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27A3CE2">
      <w:pPr>
        <w:jc w:val="center"/>
        <w:rPr>
          <w:rFonts w:ascii="新宋体" w:hAnsi="新宋体" w:eastAsia="新宋体" w:cs="Times New Roman"/>
          <w:b/>
          <w:color w:val="000000"/>
          <w:sz w:val="72"/>
          <w:szCs w:val="72"/>
          <w:highlight w:val="none"/>
          <w:u w:val="none"/>
          <w:lang w:eastAsia="zh-CN"/>
        </w:rPr>
      </w:pPr>
    </w:p>
    <w:p w14:paraId="52962B25">
      <w:pPr>
        <w:jc w:val="center"/>
        <w:rPr>
          <w:rFonts w:ascii="新宋体" w:hAnsi="新宋体" w:eastAsia="新宋体" w:cs="Times New Roman"/>
          <w:b/>
          <w:color w:val="000000"/>
          <w:sz w:val="72"/>
          <w:szCs w:val="72"/>
          <w:highlight w:val="none"/>
          <w:u w:val="none"/>
          <w:lang w:eastAsia="zh-CN"/>
        </w:rPr>
      </w:pPr>
      <w:r>
        <w:rPr>
          <w:rFonts w:ascii="新宋体" w:hAnsi="新宋体" w:eastAsia="新宋体" w:cs="Times New Roman"/>
          <w:b/>
          <w:color w:val="000000"/>
          <w:sz w:val="60"/>
          <w:szCs w:val="60"/>
          <w:u w:val="none"/>
          <w:lang w:eastAsia="zh-CN"/>
        </w:rPr>
        <w:t>阿图什市乡村振兴-幸福街道滨河社区基础设施提升</w:t>
      </w:r>
    </w:p>
    <w:p w14:paraId="1DE27A5B">
      <w:pPr>
        <w:jc w:val="both"/>
        <w:rPr>
          <w:rFonts w:ascii="叶根友毛笔行书2.0版;宋体" w:hAnsi="叶根友毛笔行书2.0版;宋体" w:eastAsia="叶根友毛笔行书2.0版;宋体" w:cs="叶根友毛笔行书2.0版;宋体"/>
          <w:b/>
          <w:color w:val="000000"/>
          <w:sz w:val="72"/>
          <w:szCs w:val="72"/>
          <w:highlight w:val="none"/>
          <w:u w:val="none"/>
          <w:lang w:eastAsia="zh-CN"/>
        </w:rPr>
      </w:pPr>
    </w:p>
    <w:p w14:paraId="0320A475">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磋</w:t>
      </w:r>
    </w:p>
    <w:p w14:paraId="06632EC1">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商</w:t>
      </w:r>
    </w:p>
    <w:p w14:paraId="5E4451AB">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文</w:t>
      </w:r>
    </w:p>
    <w:p w14:paraId="10EF4A94">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件</w:t>
      </w:r>
    </w:p>
    <w:p w14:paraId="3647B516">
      <w:pPr>
        <w:pStyle w:val="56"/>
        <w:rPr>
          <w:rFonts w:ascii="叶根友毛笔行书2.0版;宋体" w:hAnsi="叶根友毛笔行书2.0版;宋体" w:eastAsia="叶根友毛笔行书2.0版;宋体" w:cs="叶根友毛笔行书2.0版;宋体"/>
          <w:b/>
          <w:color w:val="000000"/>
          <w:sz w:val="72"/>
          <w:szCs w:val="72"/>
          <w:highlight w:val="none"/>
        </w:rPr>
      </w:pPr>
    </w:p>
    <w:p w14:paraId="263D4F41">
      <w:pPr>
        <w:widowControl/>
        <w:autoSpaceDE w:val="0"/>
        <w:spacing w:line="600" w:lineRule="auto"/>
        <w:ind w:right="-28" w:firstLine="840"/>
        <w:textAlignment w:val="bottom"/>
        <w:rPr>
          <w:rFonts w:ascii="宋体" w:hAnsi="宋体" w:cs="宋体"/>
          <w:b/>
          <w:sz w:val="28"/>
          <w:szCs w:val="22"/>
        </w:rPr>
      </w:pPr>
    </w:p>
    <w:p w14:paraId="4D69C575">
      <w:pPr>
        <w:widowControl/>
        <w:autoSpaceDE w:val="0"/>
        <w:spacing w:line="600" w:lineRule="auto"/>
        <w:ind w:right="-28" w:firstLine="840"/>
        <w:textAlignment w:val="bottom"/>
        <w:rPr>
          <w:rFonts w:ascii="宋体" w:hAnsi="宋体" w:cs="宋体"/>
          <w:b/>
          <w:sz w:val="28"/>
          <w:szCs w:val="22"/>
          <w:lang w:eastAsia="zh-CN"/>
        </w:rPr>
      </w:pPr>
      <w:r>
        <w:rPr>
          <w:rFonts w:ascii="宋体" w:hAnsi="宋体" w:cs="宋体"/>
          <w:b/>
          <w:sz w:val="28"/>
          <w:szCs w:val="22"/>
        </w:rPr>
        <w:t>采 购 人：</w:t>
      </w:r>
      <w:r>
        <w:rPr>
          <w:rFonts w:ascii="宋体" w:hAnsi="宋体" w:cs="宋体"/>
          <w:b/>
          <w:sz w:val="28"/>
          <w:szCs w:val="22"/>
          <w:lang w:eastAsia="zh-CN"/>
        </w:rPr>
        <w:t>阿图什市幸福街道办事处</w:t>
      </w:r>
    </w:p>
    <w:p w14:paraId="3909CCCB">
      <w:pPr>
        <w:widowControl/>
        <w:autoSpaceDE w:val="0"/>
        <w:spacing w:line="600" w:lineRule="auto"/>
        <w:ind w:right="-28" w:firstLine="840"/>
        <w:textAlignment w:val="bottom"/>
        <w:rPr>
          <w:rFonts w:eastAsia="宋体"/>
          <w:lang w:val="en-US" w:eastAsia="zh-CN"/>
        </w:rPr>
      </w:pPr>
      <w:r>
        <w:rPr>
          <w:rFonts w:ascii="宋体" w:hAnsi="宋体" w:cs="宋体"/>
          <w:b/>
          <w:sz w:val="28"/>
          <w:szCs w:val="22"/>
        </w:rPr>
        <w:t>联系人及电话：</w:t>
      </w:r>
      <w:r>
        <w:rPr>
          <w:rFonts w:ascii="宋体" w:hAnsi="宋体" w:cs="宋体"/>
          <w:b/>
          <w:sz w:val="28"/>
          <w:szCs w:val="22"/>
          <w:u w:val="single"/>
          <w:lang w:val="en-US" w:eastAsia="zh-CN"/>
        </w:rPr>
        <w:t>陈先生/15809089066</w:t>
      </w:r>
    </w:p>
    <w:p w14:paraId="26855F6B">
      <w:pPr>
        <w:widowControl/>
        <w:autoSpaceDE w:val="0"/>
        <w:spacing w:line="600" w:lineRule="auto"/>
        <w:ind w:right="-28" w:firstLine="840"/>
        <w:textAlignment w:val="bottom"/>
        <w:rPr>
          <w:rFonts w:ascii="宋体" w:hAnsi="宋体" w:eastAsia="宋体" w:cs="宋体"/>
          <w:b/>
          <w:sz w:val="28"/>
          <w:szCs w:val="22"/>
          <w:lang w:eastAsia="zh-CN"/>
        </w:rPr>
      </w:pPr>
      <w:r>
        <w:rPr>
          <w:rFonts w:ascii="宋体" w:hAnsi="宋体" w:cs="宋体"/>
          <w:b/>
          <w:sz w:val="28"/>
          <w:szCs w:val="22"/>
        </w:rPr>
        <w:t>代理机构：</w:t>
      </w:r>
      <w:r>
        <w:rPr>
          <w:rFonts w:ascii="宋体" w:hAnsi="宋体" w:cs="宋体"/>
          <w:b/>
          <w:sz w:val="28"/>
          <w:szCs w:val="22"/>
          <w:lang w:eastAsia="zh-CN"/>
        </w:rPr>
        <w:t>新疆大成瑞祥建设项目管理咨询有限公司</w:t>
      </w:r>
    </w:p>
    <w:p w14:paraId="2E49B1C2">
      <w:pPr>
        <w:widowControl/>
        <w:autoSpaceDE w:val="0"/>
        <w:spacing w:line="600" w:lineRule="auto"/>
        <w:ind w:right="-28" w:firstLine="840"/>
        <w:textAlignment w:val="bottom"/>
        <w:rPr>
          <w:rFonts w:ascii="新宋体" w:hAnsi="新宋体" w:eastAsia="宋体" w:cs="新宋体"/>
          <w:b/>
          <w:bCs/>
          <w:color w:val="000000"/>
          <w:sz w:val="30"/>
          <w:szCs w:val="30"/>
          <w:lang w:val="en-US" w:eastAsia="zh-CN"/>
        </w:rPr>
      </w:pPr>
      <w:r>
        <w:rPr>
          <w:rFonts w:ascii="宋体" w:hAnsi="宋体" w:cs="宋体"/>
          <w:b/>
          <w:sz w:val="28"/>
          <w:szCs w:val="22"/>
        </w:rPr>
        <w:t>联系人及电话：</w:t>
      </w:r>
      <w:r>
        <w:rPr>
          <w:rFonts w:ascii="宋体" w:hAnsi="宋体" w:cs="宋体"/>
          <w:b/>
          <w:i w:val="0"/>
          <w:iCs w:val="0"/>
          <w:sz w:val="28"/>
          <w:szCs w:val="22"/>
          <w:u w:val="single"/>
          <w:lang w:val="en-US" w:eastAsia="zh-CN"/>
        </w:rPr>
        <w:t>施女士</w:t>
      </w:r>
      <w:r>
        <w:rPr>
          <w:rFonts w:ascii="宋体" w:hAnsi="宋体" w:cs="宋体"/>
          <w:b/>
          <w:sz w:val="28"/>
          <w:szCs w:val="22"/>
          <w:u w:val="single"/>
          <w:lang w:val="en-US" w:eastAsia="zh-CN"/>
        </w:rPr>
        <w:t>/19990496023</w:t>
      </w:r>
    </w:p>
    <w:p w14:paraId="3CA5777E">
      <w:pPr>
        <w:overflowPunct w:val="0"/>
        <w:spacing w:line="600" w:lineRule="auto"/>
        <w:ind w:firstLine="900"/>
        <w:rPr>
          <w:rFonts w:ascii="新宋体" w:hAnsi="新宋体" w:eastAsia="新宋体" w:cs="新宋体"/>
          <w:b/>
          <w:bCs/>
          <w:color w:val="000000"/>
          <w:sz w:val="30"/>
          <w:szCs w:val="30"/>
          <w:lang w:eastAsia="zh-CN"/>
        </w:rPr>
      </w:pPr>
      <w:r>
        <w:rPr>
          <w:rFonts w:ascii="新宋体" w:hAnsi="新宋体" w:eastAsia="新宋体" w:cs="新宋体"/>
          <w:b/>
          <w:bCs/>
          <w:color w:val="000000"/>
          <w:sz w:val="30"/>
          <w:szCs w:val="30"/>
        </w:rPr>
        <w:t>日    期：</w:t>
      </w:r>
      <w:r>
        <w:rPr>
          <w:rFonts w:ascii="新宋体" w:hAnsi="新宋体" w:eastAsia="新宋体" w:cs="新宋体"/>
          <w:b/>
          <w:bCs/>
          <w:color w:val="000000"/>
          <w:sz w:val="30"/>
          <w:szCs w:val="30"/>
          <w:lang w:eastAsia="zh-CN"/>
        </w:rPr>
        <w:t>202</w:t>
      </w:r>
      <w:r>
        <w:rPr>
          <w:rFonts w:ascii="新宋体" w:hAnsi="新宋体" w:eastAsia="新宋体" w:cs="新宋体"/>
          <w:b/>
          <w:bCs/>
          <w:color w:val="000000"/>
          <w:sz w:val="30"/>
          <w:szCs w:val="30"/>
          <w:lang w:val="en-US" w:eastAsia="zh-CN"/>
        </w:rPr>
        <w:t>6</w:t>
      </w:r>
      <w:r>
        <w:rPr>
          <w:rFonts w:ascii="新宋体" w:hAnsi="新宋体" w:eastAsia="新宋体" w:cs="新宋体"/>
          <w:b/>
          <w:bCs/>
          <w:color w:val="000000"/>
          <w:sz w:val="30"/>
          <w:szCs w:val="30"/>
          <w:lang w:eastAsia="zh-CN"/>
        </w:rPr>
        <w:t>年0</w:t>
      </w:r>
      <w:r>
        <w:rPr>
          <w:rFonts w:ascii="新宋体" w:hAnsi="新宋体" w:eastAsia="新宋体" w:cs="新宋体"/>
          <w:b/>
          <w:bCs/>
          <w:color w:val="000000"/>
          <w:sz w:val="30"/>
          <w:szCs w:val="30"/>
          <w:lang w:val="en-US" w:eastAsia="zh-CN"/>
        </w:rPr>
        <w:t>9</w:t>
      </w:r>
      <w:r>
        <w:rPr>
          <w:rFonts w:ascii="新宋体" w:hAnsi="新宋体" w:eastAsia="新宋体" w:cs="新宋体"/>
          <w:b/>
          <w:bCs/>
          <w:color w:val="000000"/>
          <w:sz w:val="30"/>
          <w:szCs w:val="30"/>
          <w:lang w:eastAsia="zh-CN"/>
        </w:rPr>
        <w:t>月</w:t>
      </w:r>
    </w:p>
    <w:p w14:paraId="492859ED">
      <w:pPr>
        <w:overflowPunct w:val="0"/>
        <w:spacing w:line="600" w:lineRule="auto"/>
        <w:ind w:firstLine="900"/>
        <w:rPr>
          <w:rFonts w:ascii="新宋体" w:hAnsi="新宋体" w:eastAsia="新宋体" w:cs="新宋体"/>
          <w:b/>
          <w:bCs/>
          <w:color w:val="000000"/>
          <w:sz w:val="30"/>
          <w:szCs w:val="30"/>
          <w:lang w:eastAsia="zh-CN"/>
        </w:rPr>
      </w:pPr>
    </w:p>
    <w:p w14:paraId="3E7FEA53">
      <w:pPr>
        <w:overflowPunct w:val="0"/>
        <w:spacing w:line="600" w:lineRule="auto"/>
        <w:ind w:firstLine="900"/>
        <w:rPr>
          <w:rFonts w:ascii="新宋体" w:hAnsi="新宋体" w:eastAsia="新宋体" w:cs="新宋体"/>
          <w:b/>
          <w:bCs/>
          <w:color w:val="000000"/>
          <w:sz w:val="30"/>
          <w:szCs w:val="30"/>
          <w:lang w:eastAsia="zh-CN"/>
        </w:rPr>
      </w:pPr>
    </w:p>
    <w:p w14:paraId="1DD2C212">
      <w:pPr>
        <w:jc w:val="center"/>
        <w:rPr>
          <w:b/>
          <w:color w:val="000000"/>
          <w:sz w:val="36"/>
          <w:highlight w:val="none"/>
        </w:rPr>
      </w:pPr>
      <w:r>
        <w:rPr>
          <w:b/>
          <w:color w:val="000000"/>
          <w:sz w:val="36"/>
        </w:rPr>
        <w:t>目</w:t>
      </w:r>
      <w:r>
        <w:rPr>
          <w:rFonts w:eastAsia="Times New Roman"/>
          <w:b/>
          <w:color w:val="000000"/>
          <w:sz w:val="36"/>
        </w:rPr>
        <w:t xml:space="preserve">  </w:t>
      </w:r>
      <w:r>
        <w:rPr>
          <w:b/>
          <w:color w:val="000000"/>
          <w:sz w:val="36"/>
        </w:rPr>
        <w:t>录</w:t>
      </w:r>
    </w:p>
    <w:p w14:paraId="168032F3">
      <w:pPr>
        <w:spacing w:line="360" w:lineRule="exact"/>
        <w:jc w:val="center"/>
        <w:rPr>
          <w:b/>
          <w:color w:val="000000"/>
          <w:sz w:val="36"/>
          <w:highlight w:val="none"/>
        </w:rPr>
      </w:pPr>
    </w:p>
    <w:sdt>
      <w:sdtPr>
        <w:id w:val="147478013"/>
        <w:docPartObj>
          <w:docPartGallery w:val="Table of Contents"/>
          <w:docPartUnique/>
        </w:docPartObj>
      </w:sdtPr>
      <w:sdtContent>
        <w:p w14:paraId="544909E0">
          <w:pPr>
            <w:pStyle w:val="15"/>
            <w:keepNext w:val="0"/>
            <w:keepLines w:val="0"/>
            <w:pageBreakBefore w:val="0"/>
            <w:widowControl w:val="0"/>
            <w:tabs>
              <w:tab w:val="left" w:pos="1050"/>
              <w:tab w:val="right" w:leader="dot" w:pos="8296"/>
            </w:tabs>
            <w:kinsoku/>
            <w:overflowPunct/>
            <w:autoSpaceDE/>
            <w:bidi w:val="0"/>
            <w:snapToGrid/>
            <w:spacing w:line="440" w:lineRule="exact"/>
            <w:ind w:firstLine="480"/>
            <w:textAlignment w:val="auto"/>
            <w:rPr>
              <w:rFonts w:ascii="宋体" w:hAnsi="宋体" w:cs="宋体"/>
              <w:color w:val="000000"/>
              <w:szCs w:val="22"/>
              <w:highlight w:val="none"/>
            </w:rPr>
          </w:pPr>
          <w:r>
            <w:fldChar w:fldCharType="begin"/>
          </w:r>
          <w:r>
            <w:rPr>
              <w:rStyle w:val="44"/>
              <w:rFonts w:ascii="宋体" w:hAnsi="宋体" w:cs="宋体"/>
              <w:bCs/>
              <w:color w:val="000000"/>
            </w:rPr>
            <w:instrText xml:space="preserve"> TOC \o "1-3" \h \z \u </w:instrText>
          </w:r>
          <w:r>
            <w:rPr>
              <w:rStyle w:val="44"/>
              <w:rFonts w:ascii="宋体" w:hAnsi="宋体" w:cs="宋体"/>
              <w:bCs/>
              <w:color w:val="000000"/>
            </w:rPr>
            <w:fldChar w:fldCharType="separate"/>
          </w:r>
          <w:r>
            <w:fldChar w:fldCharType="begin"/>
          </w:r>
          <w:r>
            <w:instrText xml:space="preserve"> HYPERLINK \l "__RefHeading___Toc469495720" \h </w:instrText>
          </w:r>
          <w:r>
            <w:fldChar w:fldCharType="separate"/>
          </w:r>
          <w:r>
            <w:rPr>
              <w:rStyle w:val="44"/>
              <w:rFonts w:ascii="宋体" w:hAnsi="宋体" w:cs="宋体"/>
              <w:bCs/>
              <w:color w:val="000000"/>
            </w:rPr>
            <w:t>第一章</w:t>
          </w:r>
          <w:r>
            <w:rPr>
              <w:rStyle w:val="44"/>
              <w:rFonts w:ascii="宋体" w:hAnsi="宋体" w:cs="宋体"/>
              <w:bCs/>
              <w:color w:val="000000"/>
              <w:lang w:val="en-US" w:eastAsia="zh-CN"/>
            </w:rPr>
            <w:t xml:space="preserve"> </w:t>
          </w:r>
          <w:r>
            <w:rPr>
              <w:rStyle w:val="44"/>
              <w:rFonts w:ascii="宋体" w:hAnsi="宋体" w:cs="宋体"/>
              <w:bCs/>
              <w:color w:val="000000"/>
            </w:rPr>
            <w:t>磋商公告</w:t>
          </w:r>
          <w:r>
            <w:rPr>
              <w:rStyle w:val="44"/>
              <w:rFonts w:ascii="宋体" w:hAnsi="宋体" w:cs="宋体"/>
              <w:color w:val="000000"/>
              <w:szCs w:val="22"/>
            </w:rPr>
            <w:tab/>
          </w:r>
          <w:r>
            <w:rPr>
              <w:rStyle w:val="44"/>
              <w:rFonts w:ascii="宋体" w:hAnsi="宋体" w:cs="宋体"/>
              <w:color w:val="000000"/>
              <w:szCs w:val="22"/>
              <w:lang w:val="en-US" w:eastAsia="zh-CN"/>
            </w:rPr>
            <w:t>4</w:t>
          </w:r>
          <w:r>
            <w:rPr>
              <w:rStyle w:val="44"/>
              <w:rFonts w:ascii="宋体" w:hAnsi="宋体" w:cs="宋体"/>
              <w:color w:val="000000"/>
              <w:szCs w:val="22"/>
              <w:lang w:val="en-US" w:eastAsia="zh-CN"/>
            </w:rPr>
            <w:fldChar w:fldCharType="end"/>
          </w:r>
        </w:p>
        <w:p w14:paraId="57674A9A">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"__RefHeading___Toc469495721" \h </w:instrText>
          </w:r>
          <w:r>
            <w:fldChar w:fldCharType="separate"/>
          </w:r>
          <w:r>
            <w:rPr>
              <w:rStyle w:val="44"/>
              <w:rFonts w:ascii="宋体" w:hAnsi="宋体" w:cs="宋体"/>
              <w:color w:val="000000"/>
            </w:rPr>
            <w:t>第二章 供应商须知</w:t>
          </w:r>
          <w:r>
            <w:rPr>
              <w:rStyle w:val="44"/>
              <w:rFonts w:ascii="宋体" w:hAnsi="宋体" w:cs="宋体"/>
              <w:color w:val="000000"/>
            </w:rPr>
            <w:tab/>
          </w:r>
          <w:r>
            <w:rPr>
              <w:rStyle w:val="44"/>
              <w:rFonts w:ascii="宋体" w:hAnsi="宋体" w:cs="宋体"/>
              <w:color w:val="000000"/>
              <w:lang w:val="en-US" w:eastAsia="zh-CN"/>
            </w:rPr>
            <w:t>8</w:t>
          </w:r>
          <w:r>
            <w:rPr>
              <w:rStyle w:val="44"/>
              <w:rFonts w:ascii="宋体" w:hAnsi="宋体" w:cs="宋体"/>
              <w:color w:val="000000"/>
              <w:lang w:val="en-US" w:eastAsia="zh-CN"/>
            </w:rPr>
            <w:fldChar w:fldCharType="end"/>
          </w:r>
        </w:p>
        <w:p w14:paraId="08C92331">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cs="宋体"/>
              <w:color w:val="000000"/>
              <w:szCs w:val="22"/>
              <w:highlight w:val="none"/>
            </w:rPr>
          </w:pPr>
          <w:r>
            <w:fldChar w:fldCharType="begin"/>
          </w:r>
          <w:r>
            <w:instrText xml:space="preserve"> HYPERLINK \l "__RefHeading___Toc469495722" \h </w:instrText>
          </w:r>
          <w:r>
            <w:fldChar w:fldCharType="separate"/>
          </w:r>
          <w:r>
            <w:rPr>
              <w:rStyle w:val="44"/>
              <w:rFonts w:ascii="宋体" w:hAnsi="宋体" w:cs="宋体"/>
              <w:color w:val="000000"/>
            </w:rPr>
            <w:t>一、供应商须知前附表</w:t>
          </w:r>
          <w:r>
            <w:rPr>
              <w:rStyle w:val="44"/>
              <w:rFonts w:ascii="宋体" w:hAnsi="宋体" w:cs="宋体"/>
              <w:color w:val="000000"/>
            </w:rPr>
            <w:tab/>
          </w:r>
          <w:r>
            <w:rPr>
              <w:rStyle w:val="44"/>
              <w:rFonts w:ascii="宋体" w:hAnsi="宋体" w:cs="宋体"/>
              <w:color w:val="000000"/>
              <w:lang w:val="en-US" w:eastAsia="zh-CN"/>
            </w:rPr>
            <w:t>8</w:t>
          </w:r>
          <w:r>
            <w:rPr>
              <w:rStyle w:val="44"/>
              <w:rFonts w:ascii="宋体" w:hAnsi="宋体" w:cs="宋体"/>
              <w:color w:val="000000"/>
              <w:lang w:val="en-US" w:eastAsia="zh-CN"/>
            </w:rPr>
            <w:fldChar w:fldCharType="end"/>
          </w:r>
        </w:p>
        <w:p w14:paraId="31E1B0F0">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"__RefHeading___Toc469495723" \h </w:instrText>
          </w:r>
          <w:r>
            <w:fldChar w:fldCharType="separate"/>
          </w:r>
          <w:r>
            <w:rPr>
              <w:rStyle w:val="44"/>
              <w:rFonts w:ascii="宋体" w:hAnsi="宋体" w:cs="宋体"/>
              <w:color w:val="000000"/>
            </w:rPr>
            <w:t>二、供应商须知</w:t>
          </w:r>
          <w:r>
            <w:rPr>
              <w:rStyle w:val="44"/>
              <w:rFonts w:ascii="宋体" w:hAnsi="宋体" w:cs="宋体"/>
              <w:color w:val="000000"/>
            </w:rPr>
            <w:tab/>
          </w:r>
          <w:r>
            <w:rPr>
              <w:rStyle w:val="44"/>
              <w:rFonts w:ascii="宋体" w:hAnsi="宋体" w:cs="宋体"/>
              <w:color w:val="000000"/>
              <w:lang w:val="en-US" w:eastAsia="zh-CN"/>
            </w:rPr>
            <w:t>1</w:t>
          </w:r>
          <w:r>
            <w:rPr>
              <w:rStyle w:val="44"/>
              <w:rFonts w:ascii="宋体" w:hAnsi="宋体" w:cs="宋体"/>
              <w:color w:val="000000"/>
              <w:lang w:val="en-US" w:eastAsia="zh-CN"/>
            </w:rPr>
            <w:fldChar w:fldCharType="end"/>
          </w:r>
          <w:r>
            <w:rPr>
              <w:rFonts w:ascii="宋体" w:hAnsi="宋体" w:cs="宋体"/>
              <w:color w:val="000000"/>
              <w:lang w:val="en-US" w:eastAsia="zh-CN"/>
            </w:rPr>
            <w:t>4</w:t>
          </w:r>
        </w:p>
        <w:p w14:paraId="0BB49300">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"__RefHeading___Toc469495731" \h </w:instrText>
          </w:r>
          <w:r>
            <w:fldChar w:fldCharType="separate"/>
          </w:r>
          <w:r>
            <w:rPr>
              <w:rStyle w:val="44"/>
              <w:rFonts w:ascii="宋体" w:hAnsi="宋体" w:cs="宋体"/>
              <w:color w:val="000000"/>
            </w:rPr>
            <w:t>第三章  评审办法</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5</w:t>
          </w:r>
        </w:p>
        <w:p w14:paraId="2CF36F28">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"__RefHeading___Toc469495732" \h </w:instrText>
          </w:r>
          <w:r>
            <w:fldChar w:fldCharType="separate"/>
          </w:r>
          <w:r>
            <w:rPr>
              <w:rStyle w:val="44"/>
              <w:rFonts w:ascii="宋体" w:hAnsi="宋体" w:cs="宋体"/>
              <w:color w:val="000000"/>
            </w:rPr>
            <w:t>一  总则</w:t>
          </w:r>
          <w:r>
            <w:rPr>
              <w:rStyle w:val="44"/>
              <w:rFonts w:ascii="宋体" w:hAnsi="宋体" w:cs="宋体"/>
              <w:color w:val="000000"/>
            </w:rPr>
            <w:tab/>
          </w:r>
          <w:r>
            <w:rPr>
              <w:rStyle w:val="44"/>
              <w:rFonts w:ascii="宋体" w:hAnsi="宋体" w:cs="宋体"/>
              <w:color w:val="000000"/>
            </w:rPr>
            <w:fldChar w:fldCharType="end"/>
          </w:r>
          <w:r>
            <w:rPr>
              <w:rFonts w:ascii="宋体" w:hAnsi="宋体" w:cs="宋体"/>
              <w:color w:val="000000"/>
              <w:lang w:val="en-US" w:eastAsia="zh-CN"/>
            </w:rPr>
            <w:t>35</w:t>
          </w:r>
        </w:p>
        <w:p w14:paraId="2F948E3F">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"__RefHeading___Toc469495733" \h </w:instrText>
          </w:r>
          <w:r>
            <w:fldChar w:fldCharType="separate"/>
          </w:r>
          <w:r>
            <w:rPr>
              <w:rStyle w:val="44"/>
              <w:rFonts w:ascii="宋体" w:hAnsi="宋体" w:cs="宋体"/>
              <w:color w:val="000000"/>
            </w:rPr>
            <w:t>二  响应文件初审</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7</w:t>
          </w:r>
        </w:p>
        <w:p w14:paraId="6762A1D3">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"__RefHeading___Toc469495734" \h </w:instrText>
          </w:r>
          <w:r>
            <w:fldChar w:fldCharType="separate"/>
          </w:r>
          <w:r>
            <w:rPr>
              <w:rStyle w:val="44"/>
              <w:rFonts w:ascii="宋体" w:hAnsi="宋体" w:cs="宋体"/>
              <w:color w:val="000000"/>
            </w:rPr>
            <w:t>三  响应文件的澄清和补正</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8</w:t>
          </w:r>
        </w:p>
        <w:p w14:paraId="2D7B2A48">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"__RefHeading___Toc469495735" \h </w:instrText>
          </w:r>
          <w:r>
            <w:fldChar w:fldCharType="separate"/>
          </w:r>
          <w:r>
            <w:rPr>
              <w:rStyle w:val="44"/>
              <w:rFonts w:ascii="宋体" w:hAnsi="宋体" w:cs="宋体"/>
              <w:color w:val="000000"/>
            </w:rPr>
            <w:t xml:space="preserve">四 </w:t>
          </w:r>
          <w:r>
            <w:rPr>
              <w:rStyle w:val="44"/>
              <w:rFonts w:ascii="宋体" w:hAnsi="宋体" w:cs="宋体"/>
              <w:color w:val="000000"/>
              <w:lang w:val="en-US" w:eastAsia="zh-CN"/>
            </w:rPr>
            <w:t xml:space="preserve"> </w:t>
          </w:r>
          <w:r>
            <w:rPr>
              <w:rStyle w:val="44"/>
              <w:rFonts w:ascii="宋体" w:hAnsi="宋体" w:cs="宋体"/>
              <w:color w:val="000000"/>
            </w:rPr>
            <w:t>比较与评价</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9</w:t>
          </w:r>
        </w:p>
        <w:p w14:paraId="3C70A645">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"__RefHeading___Toc469495737" \h </w:instrText>
          </w:r>
          <w:r>
            <w:fldChar w:fldCharType="separate"/>
          </w:r>
          <w:r>
            <w:rPr>
              <w:rStyle w:val="44"/>
              <w:rFonts w:ascii="宋体" w:hAnsi="宋体" w:cs="宋体"/>
              <w:color w:val="000000"/>
            </w:rPr>
            <w:t xml:space="preserve">第四章  </w:t>
          </w:r>
          <w:r>
            <w:rPr>
              <w:rStyle w:val="44"/>
              <w:rFonts w:ascii="宋体" w:hAnsi="宋体" w:cs="Times New Roman"/>
              <w:color w:val="000000"/>
              <w:kern w:val="2"/>
              <w:sz w:val="21"/>
              <w:szCs w:val="24"/>
              <w:lang w:val="en-US" w:eastAsia="zh-CN" w:bidi="ar-SA"/>
            </w:rPr>
            <w:t>技术规格、数量及服务要求</w:t>
          </w:r>
          <w:r>
            <w:rPr>
              <w:rStyle w:val="44"/>
              <w:rFonts w:ascii="宋体" w:hAnsi="宋体" w:cs="宋体"/>
              <w:color w:val="000000"/>
            </w:rPr>
            <w:tab/>
          </w:r>
          <w:r>
            <w:rPr>
              <w:rStyle w:val="44"/>
              <w:rFonts w:ascii="宋体" w:hAnsi="宋体" w:cs="宋体"/>
              <w:color w:val="000000"/>
            </w:rPr>
            <w:t>43</w:t>
          </w:r>
          <w:r>
            <w:rPr>
              <w:rStyle w:val="44"/>
              <w:rFonts w:ascii="宋体" w:hAnsi="宋体" w:cs="宋体"/>
              <w:color w:val="000000"/>
            </w:rPr>
            <w:fldChar w:fldCharType="end"/>
          </w:r>
        </w:p>
        <w:p w14:paraId="17A4C82E">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"__RefHeading___Toc469495740" \h </w:instrText>
          </w:r>
          <w:r>
            <w:fldChar w:fldCharType="separate"/>
          </w:r>
          <w:r>
            <w:rPr>
              <w:rStyle w:val="44"/>
              <w:rFonts w:ascii="宋体" w:hAnsi="宋体" w:cs="宋体"/>
              <w:color w:val="000000"/>
            </w:rPr>
            <w:t>第五章  合同条款及格式</w:t>
          </w:r>
          <w:r>
            <w:rPr>
              <w:rStyle w:val="44"/>
              <w:rFonts w:ascii="宋体" w:hAnsi="宋体" w:cs="宋体"/>
              <w:color w:val="000000"/>
            </w:rPr>
            <w:tab/>
          </w:r>
          <w:r>
            <w:rPr>
              <w:rStyle w:val="44"/>
              <w:rFonts w:ascii="宋体" w:hAnsi="宋体" w:cs="宋体"/>
              <w:color w:val="000000"/>
              <w:lang w:val="en-US" w:eastAsia="zh-CN"/>
            </w:rPr>
            <w:t>5</w:t>
          </w:r>
          <w:r>
            <w:rPr>
              <w:rStyle w:val="44"/>
              <w:rFonts w:ascii="宋体" w:hAnsi="宋体" w:cs="宋体"/>
              <w:color w:val="000000"/>
              <w:lang w:val="en-US" w:eastAsia="zh-CN"/>
            </w:rPr>
            <w:fldChar w:fldCharType="end"/>
          </w:r>
          <w:r>
            <w:rPr>
              <w:rFonts w:ascii="宋体" w:hAnsi="宋体" w:cs="宋体"/>
              <w:color w:val="000000"/>
              <w:lang w:val="en-US" w:eastAsia="zh-CN"/>
            </w:rPr>
            <w:t>4</w:t>
          </w:r>
        </w:p>
        <w:p w14:paraId="59F97B58">
          <w:pPr>
            <w:pStyle w:val="18"/>
            <w:keepNext w:val="0"/>
            <w:keepLines w:val="0"/>
            <w:pageBreakBefore w:val="0"/>
            <w:widowControl w:val="0"/>
            <w:tabs>
              <w:tab w:val="left" w:pos="945"/>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"__RefHeading___Toc469495741" \h </w:instrText>
          </w:r>
          <w:r>
            <w:fldChar w:fldCharType="separate"/>
          </w:r>
          <w:r>
            <w:rPr>
              <w:rStyle w:val="44"/>
              <w:rFonts w:ascii="宋体" w:hAnsi="宋体" w:cs="宋体"/>
              <w:color w:val="000000"/>
            </w:rPr>
            <w:t>一</w:t>
          </w:r>
          <w:r>
            <w:rPr>
              <w:rStyle w:val="44"/>
              <w:rFonts w:ascii="宋体" w:hAnsi="宋体" w:cs="宋体"/>
              <w:color w:val="000000"/>
              <w:lang w:val="en-US" w:eastAsia="zh-CN"/>
            </w:rPr>
            <w:t xml:space="preserve">  </w:t>
          </w:r>
          <w:r>
            <w:rPr>
              <w:rStyle w:val="44"/>
              <w:rFonts w:ascii="宋体" w:hAnsi="宋体" w:cs="宋体"/>
              <w:color w:val="000000"/>
            </w:rPr>
            <w:t>合同协议书</w:t>
          </w:r>
          <w:r>
            <w:rPr>
              <w:rStyle w:val="44"/>
              <w:rFonts w:ascii="宋体" w:hAnsi="宋体" w:cs="宋体"/>
              <w:color w:val="000000"/>
            </w:rPr>
            <w:tab/>
          </w:r>
          <w:r>
            <w:rPr>
              <w:rStyle w:val="44"/>
              <w:rFonts w:ascii="宋体" w:hAnsi="宋体" w:cs="宋体"/>
              <w:color w:val="000000"/>
              <w:lang w:val="en-US" w:eastAsia="zh-CN"/>
            </w:rPr>
            <w:t>5</w:t>
          </w:r>
          <w:r>
            <w:rPr>
              <w:rStyle w:val="44"/>
              <w:rFonts w:ascii="宋体" w:hAnsi="宋体" w:cs="宋体"/>
              <w:color w:val="000000"/>
              <w:lang w:val="en-US" w:eastAsia="zh-CN"/>
            </w:rPr>
            <w:fldChar w:fldCharType="end"/>
          </w:r>
          <w:r>
            <w:rPr>
              <w:rFonts w:ascii="宋体" w:hAnsi="宋体" w:cs="宋体"/>
              <w:color w:val="000000"/>
              <w:lang w:val="en-US" w:eastAsia="zh-CN"/>
            </w:rPr>
            <w:t>4</w:t>
          </w:r>
        </w:p>
        <w:p w14:paraId="5F5E4960">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"__RefHeading___Toc469495742" \h </w:instrText>
          </w:r>
          <w:r>
            <w:fldChar w:fldCharType="separate"/>
          </w:r>
          <w:r>
            <w:rPr>
              <w:rStyle w:val="44"/>
              <w:rFonts w:ascii="宋体" w:hAnsi="宋体" w:cs="宋体"/>
              <w:color w:val="000000"/>
            </w:rPr>
            <w:t>二  合同条款</w:t>
          </w:r>
          <w:r>
            <w:rPr>
              <w:rStyle w:val="44"/>
              <w:rFonts w:ascii="宋体" w:hAnsi="宋体" w:cs="宋体"/>
              <w:color w:val="000000"/>
            </w:rPr>
            <w:tab/>
          </w:r>
          <w:r>
            <w:rPr>
              <w:rStyle w:val="44"/>
              <w:rFonts w:ascii="宋体" w:hAnsi="宋体" w:cs="宋体"/>
              <w:color w:val="000000"/>
              <w:lang w:val="en-US" w:eastAsia="zh-CN"/>
            </w:rPr>
            <w:t>5</w:t>
          </w:r>
          <w:r>
            <w:rPr>
              <w:rStyle w:val="44"/>
              <w:rFonts w:ascii="宋体" w:hAnsi="宋体" w:cs="宋体"/>
              <w:color w:val="000000"/>
              <w:lang w:val="en-US" w:eastAsia="zh-CN"/>
            </w:rPr>
            <w:fldChar w:fldCharType="end"/>
          </w:r>
          <w:r>
            <w:rPr>
              <w:rFonts w:ascii="宋体" w:hAnsi="宋体" w:cs="宋体"/>
              <w:color w:val="000000"/>
              <w:lang w:val="en-US" w:eastAsia="zh-CN"/>
            </w:rPr>
            <w:t>7</w:t>
          </w:r>
        </w:p>
        <w:p w14:paraId="6680EA60">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"__RefHeading___Toc469495743" \h </w:instrText>
          </w:r>
          <w:r>
            <w:fldChar w:fldCharType="separate"/>
          </w:r>
          <w:r>
            <w:rPr>
              <w:rStyle w:val="44"/>
              <w:rFonts w:ascii="宋体" w:hAnsi="宋体" w:cs="宋体"/>
              <w:color w:val="000000"/>
            </w:rPr>
            <w:t>第六章  响应文件格式</w:t>
          </w:r>
          <w:r>
            <w:rPr>
              <w:rStyle w:val="44"/>
              <w:rFonts w:ascii="宋体" w:hAnsi="宋体" w:cs="宋体"/>
              <w:color w:val="000000"/>
            </w:rPr>
            <w:tab/>
          </w:r>
          <w:r>
            <w:rPr>
              <w:rStyle w:val="44"/>
              <w:rFonts w:ascii="宋体" w:hAnsi="宋体" w:cs="宋体"/>
              <w:color w:val="000000"/>
              <w:lang w:val="en-US" w:eastAsia="zh-CN"/>
            </w:rPr>
            <w:t>6</w:t>
          </w:r>
          <w:r>
            <w:rPr>
              <w:rStyle w:val="44"/>
              <w:rFonts w:ascii="宋体" w:hAnsi="宋体" w:cs="宋体"/>
              <w:color w:val="000000"/>
              <w:lang w:val="en-US" w:eastAsia="zh-CN"/>
            </w:rPr>
            <w:fldChar w:fldCharType="end"/>
          </w:r>
          <w:r>
            <w:rPr>
              <w:rFonts w:ascii="宋体" w:hAnsi="宋体" w:cs="宋体"/>
              <w:color w:val="000000"/>
              <w:lang w:val="en-US" w:eastAsia="zh-CN"/>
            </w:rPr>
            <w:t>2</w:t>
          </w:r>
          <w:r>
            <w:rPr>
              <w:rFonts w:ascii="宋体" w:hAnsi="宋体" w:cs="宋体"/>
              <w:color w:val="000000"/>
              <w:lang w:val="en-US" w:eastAsia="zh-CN"/>
            </w:rPr>
            <w:fldChar w:fldCharType="end"/>
          </w:r>
        </w:p>
      </w:sdtContent>
    </w:sdt>
    <w:p w14:paraId="48A7FB1D">
      <w:pPr>
        <w:rPr>
          <w:rFonts w:ascii="宋体" w:hAnsi="宋体" w:eastAsia="宋体" w:cs="宋体"/>
          <w:color w:val="000000"/>
          <w:sz w:val="24"/>
          <w:szCs w:val="22"/>
          <w:highlight w:val="none"/>
          <w:lang w:val="en-US" w:eastAsia="zh-CN"/>
        </w:rPr>
      </w:pPr>
    </w:p>
    <w:p w14:paraId="35D19551">
      <w:pPr>
        <w:keepNext w:val="0"/>
        <w:keepLines w:val="0"/>
        <w:pageBreakBefore w:val="0"/>
        <w:widowControl w:val="0"/>
        <w:kinsoku/>
        <w:overflowPunct/>
        <w:autoSpaceDE/>
        <w:bidi w:val="0"/>
        <w:snapToGrid/>
        <w:spacing w:line="440" w:lineRule="exact"/>
        <w:ind w:firstLine="480"/>
        <w:jc w:val="distribute"/>
        <w:textAlignment w:val="auto"/>
        <w:rPr>
          <w:rFonts w:ascii="宋体" w:hAnsi="宋体" w:cs="宋体"/>
          <w:color w:val="000000"/>
          <w:sz w:val="24"/>
          <w:highlight w:val="none"/>
        </w:rPr>
      </w:pPr>
      <w:r>
        <w:br w:type="page"/>
      </w:r>
    </w:p>
    <w:p w14:paraId="74A37D9F">
      <w:pPr>
        <w:numPr>
          <w:ilvl w:val="0"/>
          <w:numId w:val="3"/>
        </w:numPr>
        <w:tabs>
          <w:tab w:val="left" w:pos="1125"/>
        </w:tabs>
        <w:spacing w:line="420" w:lineRule="exact"/>
        <w:jc w:val="center"/>
        <w:outlineLvl w:val="0"/>
        <w:rPr>
          <w:rFonts w:ascii="宋体" w:hAnsi="宋体"/>
          <w:b/>
          <w:bCs/>
          <w:color w:val="000000"/>
          <w:sz w:val="32"/>
          <w:szCs w:val="32"/>
          <w:highlight w:val="none"/>
        </w:rPr>
      </w:pPr>
      <w:r>
        <w:rPr>
          <w:rFonts w:ascii="宋体" w:hAnsi="宋体" w:cs="Times New Roman"/>
          <w:b/>
          <w:color w:val="000000"/>
          <w:sz w:val="32"/>
          <w:szCs w:val="32"/>
          <w:lang w:val="en-US" w:eastAsia="zh-CN"/>
        </w:rPr>
        <w:t>磋商公告</w:t>
      </w:r>
    </w:p>
    <w:p w14:paraId="62AAA97D">
      <w:pPr>
        <w:pStyle w:val="10"/>
        <w:keepNext w:val="0"/>
        <w:keepLines w:val="0"/>
        <w:pageBreakBefore w:val="0"/>
        <w:widowControl/>
        <w:kinsoku/>
        <w:overflowPunct/>
        <w:autoSpaceDE/>
        <w:bidi w:val="0"/>
        <w:snapToGrid/>
        <w:spacing w:before="0" w:after="0" w:line="360" w:lineRule="exact"/>
        <w:ind w:left="0" w:right="0" w:firstLine="0"/>
        <w:jc w:val="center"/>
        <w:rPr>
          <w:rFonts w:ascii="微软雅黑" w:hAnsi="微软雅黑" w:eastAsia="微软雅黑" w:cs="微软雅黑"/>
          <w:b/>
          <w:bCs/>
          <w:i w:val="0"/>
          <w:iCs w:val="0"/>
          <w:caps w:val="0"/>
          <w:smallCaps w:val="0"/>
          <w:color w:val="000000"/>
          <w:spacing w:val="0"/>
          <w:sz w:val="32"/>
          <w:szCs w:val="32"/>
          <w:lang w:eastAsia="zh-CN"/>
        </w:rPr>
      </w:pPr>
      <w:r>
        <w:rPr>
          <w:rFonts w:ascii="Calibri" w:hAnsi="Calibri" w:eastAsia="微软雅黑" w:cs="Calibri"/>
          <w:color w:val="333333"/>
          <w:sz w:val="24"/>
          <w:szCs w:val="24"/>
        </w:rPr>
        <w:t> </w:t>
      </w:r>
    </w:p>
    <w:p w14:paraId="48922CBE">
      <w:pPr>
        <w:pStyle w:val="10"/>
        <w:keepNext w:val="0"/>
        <w:keepLines w:val="0"/>
        <w:pageBreakBefore w:val="0"/>
        <w:widowControl/>
        <w:kinsoku/>
        <w:overflowPunct/>
        <w:autoSpaceDE/>
        <w:bidi w:val="0"/>
        <w:snapToGrid/>
        <w:spacing w:before="0" w:after="0" w:line="360" w:lineRule="exact"/>
        <w:ind w:left="0" w:right="0" w:firstLine="0"/>
        <w:jc w:val="center"/>
        <w:textAlignment w:val="auto"/>
        <w:rPr>
          <w:rFonts w:ascii="微软雅黑" w:hAnsi="微软雅黑" w:eastAsia="微软雅黑" w:cs="微软雅黑"/>
          <w:b/>
          <w:bCs/>
          <w:i w:val="0"/>
          <w:iCs w:val="0"/>
          <w:caps w:val="0"/>
          <w:smallCaps w:val="0"/>
          <w:color w:val="000000"/>
          <w:spacing w:val="0"/>
          <w:sz w:val="28"/>
          <w:szCs w:val="28"/>
          <w:lang w:eastAsia="zh-CN"/>
        </w:rPr>
      </w:pPr>
      <w:r>
        <w:rPr>
          <w:rFonts w:ascii="微软雅黑" w:hAnsi="微软雅黑" w:eastAsia="微软雅黑" w:cs="微软雅黑"/>
          <w:b/>
          <w:bCs/>
          <w:i w:val="0"/>
          <w:iCs w:val="0"/>
          <w:caps w:val="0"/>
          <w:smallCaps w:val="0"/>
          <w:color w:val="000000"/>
          <w:spacing w:val="0"/>
          <w:sz w:val="28"/>
          <w:szCs w:val="28"/>
          <w:lang w:eastAsia="zh-CN"/>
        </w:rPr>
        <w:t>阿图什市乡村振兴-幸福街道滨河社区基础设施提升</w:t>
      </w:r>
    </w:p>
    <w:p w14:paraId="38CBFF21">
      <w:pPr>
        <w:pStyle w:val="10"/>
        <w:keepNext w:val="0"/>
        <w:keepLines w:val="0"/>
        <w:pageBreakBefore w:val="0"/>
        <w:widowControl/>
        <w:kinsoku/>
        <w:overflowPunct/>
        <w:autoSpaceDE/>
        <w:bidi w:val="0"/>
        <w:snapToGrid/>
        <w:spacing w:before="0" w:after="0" w:line="360" w:lineRule="exact"/>
        <w:ind w:left="0" w:right="0" w:firstLine="0"/>
        <w:jc w:val="center"/>
        <w:textAlignment w:val="auto"/>
        <w:rPr>
          <w:rFonts w:ascii="Calibri" w:hAnsi="Calibri" w:cs="Calibri"/>
          <w:sz w:val="24"/>
          <w:szCs w:val="24"/>
        </w:rPr>
      </w:pPr>
      <w:r>
        <w:rPr>
          <w:rFonts w:ascii="微软雅黑" w:hAnsi="微软雅黑" w:eastAsia="微软雅黑" w:cs="微软雅黑"/>
          <w:b/>
          <w:bCs/>
          <w:i w:val="0"/>
          <w:iCs w:val="0"/>
          <w:caps w:val="0"/>
          <w:smallCaps w:val="0"/>
          <w:color w:val="000000"/>
          <w:spacing w:val="0"/>
          <w:sz w:val="28"/>
          <w:szCs w:val="28"/>
        </w:rPr>
        <w:t>竞争性</w:t>
      </w:r>
      <w:r>
        <w:rPr>
          <w:rFonts w:ascii="微软雅黑" w:hAnsi="微软雅黑" w:eastAsia="微软雅黑" w:cs="微软雅黑"/>
          <w:b/>
          <w:bCs/>
          <w:i w:val="0"/>
          <w:iCs w:val="0"/>
          <w:caps w:val="0"/>
          <w:smallCaps w:val="0"/>
          <w:color w:val="000000"/>
          <w:spacing w:val="0"/>
          <w:sz w:val="28"/>
          <w:szCs w:val="28"/>
          <w:lang w:val="en-US" w:eastAsia="zh-CN"/>
        </w:rPr>
        <w:t>磋商</w:t>
      </w:r>
      <w:r>
        <w:rPr>
          <w:rFonts w:ascii="微软雅黑" w:hAnsi="微软雅黑" w:eastAsia="微软雅黑" w:cs="微软雅黑"/>
          <w:b/>
          <w:bCs/>
          <w:i w:val="0"/>
          <w:iCs w:val="0"/>
          <w:caps w:val="0"/>
          <w:smallCaps w:val="0"/>
          <w:color w:val="000000"/>
          <w:spacing w:val="0"/>
          <w:sz w:val="28"/>
          <w:szCs w:val="28"/>
        </w:rPr>
        <w:t>公告</w:t>
      </w:r>
    </w:p>
    <w:p w14:paraId="34C6ACDF">
      <w:pPr>
        <w:pStyle w:val="10"/>
        <w:keepNext w:val="0"/>
        <w:keepLines w:val="0"/>
        <w:pageBreakBefore w:val="0"/>
        <w:widowControl/>
        <w:kinsoku/>
        <w:overflowPunct/>
        <w:autoSpaceDE/>
        <w:bidi w:val="0"/>
        <w:snapToGrid/>
        <w:spacing w:before="0" w:after="0" w:line="360" w:lineRule="exact"/>
        <w:ind w:left="0" w:right="0" w:firstLine="0"/>
        <w:textAlignment w:val="auto"/>
        <w:rPr>
          <w:rFonts w:ascii="Times New Roman" w:hAnsi="Times New Roman" w:cs="Times New Roman"/>
          <w:sz w:val="24"/>
          <w:szCs w:val="24"/>
        </w:rPr>
      </w:pPr>
      <w:r>
        <w:rPr>
          <w:rFonts w:eastAsia="宋体" w:cs="宋体"/>
          <w:color w:val="000000"/>
          <w:sz w:val="24"/>
          <w:szCs w:val="24"/>
        </w:rPr>
        <w:t> </w:t>
      </w:r>
      <w:r>
        <w:rPr>
          <w:rFonts w:ascii="Times New Roman" w:hAnsi="Times New Roman" w:eastAsia="微软雅黑" w:cs="Times New Roman"/>
          <w:color w:val="333333"/>
          <w:position w:val="0"/>
          <w:sz w:val="24"/>
          <w:szCs w:val="24"/>
          <w:vertAlign w:val="baseline"/>
        </w:rPr>
        <w:t> </w:t>
      </w:r>
    </w:p>
    <w:p w14:paraId="03D2E74C">
      <w:pPr>
        <w:pStyle w:val="10"/>
        <w:keepNext w:val="0"/>
        <w:keepLines w:val="0"/>
        <w:pageBreakBefore w:val="0"/>
        <w:widowControl/>
        <w:pBdr>
          <w:top w:val="single" w:color="000000" w:sz="8" w:space="1"/>
          <w:left w:val="single" w:color="000000" w:sz="8" w:space="4"/>
          <w:bottom w:val="single" w:color="000000" w:sz="8" w:space="1"/>
          <w:right w:val="single" w:color="000000" w:sz="8" w:space="4"/>
        </w:pBdr>
        <w:kinsoku/>
        <w:overflowPunct/>
        <w:autoSpaceDE/>
        <w:bidi w:val="0"/>
        <w:snapToGrid/>
        <w:spacing w:before="0" w:after="0" w:line="360" w:lineRule="exact"/>
        <w:ind w:left="0" w:right="0" w:firstLine="0"/>
        <w:jc w:val="both"/>
        <w:textAlignment w:val="auto"/>
        <w:rPr>
          <w:rFonts w:ascii="Calibri" w:hAnsi="Calibri" w:cs="Calibri"/>
          <w:sz w:val="21"/>
          <w:szCs w:val="21"/>
        </w:rPr>
      </w:pPr>
      <w:r>
        <w:rPr>
          <w:rFonts w:ascii="仿宋" w:hAnsi="仿宋" w:eastAsia="仿宋" w:cs="仿宋"/>
          <w:color w:val="000000"/>
          <w:sz w:val="24"/>
          <w:szCs w:val="24"/>
        </w:rPr>
        <w:t>项目概况</w:t>
      </w:r>
    </w:p>
    <w:p w14:paraId="6B3883A0">
      <w:pPr>
        <w:pStyle w:val="10"/>
        <w:keepNext w:val="0"/>
        <w:keepLines w:val="0"/>
        <w:pageBreakBefore w:val="0"/>
        <w:widowControl/>
        <w:pBdr>
          <w:top w:val="single" w:color="000000" w:sz="8" w:space="1"/>
          <w:left w:val="single" w:color="000000" w:sz="8" w:space="4"/>
          <w:bottom w:val="single" w:color="000000" w:sz="8" w:space="1"/>
          <w:right w:val="single" w:color="000000" w:sz="8" w:space="4"/>
        </w:pBdr>
        <w:kinsoku/>
        <w:overflowPunct/>
        <w:autoSpaceDE/>
        <w:bidi w:val="0"/>
        <w:snapToGrid/>
        <w:spacing w:before="0" w:after="0" w:line="360" w:lineRule="exact"/>
        <w:ind w:left="0" w:right="0" w:firstLine="480"/>
        <w:jc w:val="both"/>
        <w:textAlignment w:val="auto"/>
        <w:rPr>
          <w:rFonts w:ascii="Calibri" w:hAnsi="Calibri" w:cs="Calibri"/>
          <w:sz w:val="21"/>
          <w:szCs w:val="21"/>
        </w:rPr>
      </w:pPr>
      <w:r>
        <w:rPr>
          <w:rFonts w:ascii="仿宋" w:hAnsi="仿宋" w:eastAsia="仿宋" w:cs="仿宋"/>
          <w:color w:val="000000"/>
          <w:sz w:val="24"/>
          <w:szCs w:val="24"/>
          <w:lang w:eastAsia="zh-CN"/>
        </w:rPr>
        <w:t>阿图什市乡村振兴-幸福街道滨河社区基础设施提升</w:t>
      </w:r>
      <w:r>
        <w:rPr>
          <w:rFonts w:ascii="仿宋" w:hAnsi="仿宋" w:eastAsia="仿宋" w:cs="仿宋"/>
          <w:color w:val="000000"/>
          <w:sz w:val="24"/>
          <w:szCs w:val="24"/>
        </w:rPr>
        <w:t>的潜在供应商应在政采云平台线上获取采购文件，并于202</w:t>
      </w:r>
      <w:r>
        <w:rPr>
          <w:rFonts w:ascii="仿宋" w:hAnsi="仿宋" w:eastAsia="仿宋" w:cs="仿宋"/>
          <w:color w:val="000000"/>
          <w:sz w:val="24"/>
          <w:szCs w:val="24"/>
          <w:lang w:val="en-US" w:eastAsia="zh-CN"/>
        </w:rPr>
        <w:t>6</w:t>
      </w:r>
      <w:r>
        <w:rPr>
          <w:rFonts w:ascii="仿宋" w:hAnsi="仿宋" w:eastAsia="仿宋" w:cs="仿宋"/>
          <w:color w:val="000000"/>
          <w:sz w:val="24"/>
          <w:szCs w:val="24"/>
        </w:rPr>
        <w:t>年</w:t>
      </w:r>
      <w:r>
        <w:rPr>
          <w:rFonts w:ascii="仿宋" w:hAnsi="仿宋" w:eastAsia="仿宋" w:cs="仿宋"/>
          <w:color w:val="000000"/>
          <w:sz w:val="24"/>
          <w:szCs w:val="24"/>
          <w:lang w:val="en-US" w:eastAsia="zh-CN"/>
        </w:rPr>
        <w:t>10</w:t>
      </w:r>
      <w:r>
        <w:rPr>
          <w:rFonts w:ascii="仿宋" w:hAnsi="仿宋" w:eastAsia="仿宋" w:cs="仿宋"/>
          <w:color w:val="000000"/>
          <w:sz w:val="24"/>
          <w:szCs w:val="24"/>
        </w:rPr>
        <w:t>月</w:t>
      </w:r>
      <w:r>
        <w:rPr>
          <w:rFonts w:ascii="仿宋" w:hAnsi="仿宋" w:eastAsia="仿宋" w:cs="仿宋"/>
          <w:color w:val="000000"/>
          <w:sz w:val="24"/>
          <w:szCs w:val="24"/>
          <w:lang w:val="en-US" w:eastAsia="zh-CN"/>
        </w:rPr>
        <w:t>13</w:t>
      </w:r>
      <w:r>
        <w:rPr>
          <w:rFonts w:ascii="仿宋" w:hAnsi="仿宋" w:eastAsia="仿宋" w:cs="仿宋"/>
          <w:color w:val="000000"/>
          <w:sz w:val="24"/>
          <w:szCs w:val="24"/>
        </w:rPr>
        <w:t>日1</w:t>
      </w:r>
      <w:r>
        <w:rPr>
          <w:rFonts w:ascii="仿宋" w:hAnsi="仿宋" w:eastAsia="仿宋" w:cs="仿宋"/>
          <w:color w:val="000000"/>
          <w:sz w:val="24"/>
          <w:szCs w:val="24"/>
          <w:lang w:val="en-US" w:eastAsia="zh-CN"/>
        </w:rPr>
        <w:t>6</w:t>
      </w:r>
      <w:r>
        <w:rPr>
          <w:rFonts w:ascii="仿宋" w:hAnsi="仿宋" w:eastAsia="仿宋" w:cs="仿宋"/>
          <w:color w:val="000000"/>
          <w:sz w:val="24"/>
          <w:szCs w:val="24"/>
        </w:rPr>
        <w:t>:</w:t>
      </w:r>
      <w:r>
        <w:rPr>
          <w:rFonts w:ascii="仿宋" w:hAnsi="仿宋" w:eastAsia="仿宋" w:cs="仿宋"/>
          <w:color w:val="000000"/>
          <w:sz w:val="24"/>
          <w:szCs w:val="24"/>
          <w:lang w:val="en-US" w:eastAsia="zh-CN"/>
        </w:rPr>
        <w:t>10</w:t>
      </w:r>
      <w:r>
        <w:rPr>
          <w:rFonts w:ascii="仿宋" w:hAnsi="仿宋" w:eastAsia="仿宋" w:cs="仿宋"/>
          <w:color w:val="000000"/>
          <w:sz w:val="24"/>
          <w:szCs w:val="24"/>
        </w:rPr>
        <w:t xml:space="preserve">（北京时间）前提交响应文件。    </w:t>
      </w:r>
    </w:p>
    <w:p w14:paraId="7CDF879A">
      <w:pPr>
        <w:pStyle w:val="10"/>
        <w:keepNext w:val="0"/>
        <w:keepLines w:val="0"/>
        <w:pageBreakBefore w:val="0"/>
        <w:widowControl/>
        <w:kinsoku/>
        <w:overflowPunct/>
        <w:autoSpaceDE/>
        <w:bidi w:val="0"/>
        <w:snapToGrid/>
        <w:spacing w:before="204" w:after="204" w:line="360" w:lineRule="exact"/>
        <w:ind w:left="0" w:right="0" w:firstLine="0"/>
        <w:jc w:val="both"/>
        <w:textAlignment w:val="auto"/>
        <w:rPr>
          <w:rFonts w:ascii="Calibri" w:hAnsi="Calibri" w:cs="Calibri"/>
          <w:sz w:val="24"/>
          <w:szCs w:val="24"/>
        </w:rPr>
      </w:pPr>
      <w:r>
        <w:rPr>
          <w:rFonts w:ascii="黑体" w:hAnsi="黑体" w:eastAsia="黑体" w:cs="黑体"/>
          <w:b/>
          <w:bCs/>
          <w:i w:val="0"/>
          <w:iCs w:val="0"/>
          <w:caps w:val="0"/>
          <w:smallCaps w:val="0"/>
          <w:color w:val="000000"/>
          <w:spacing w:val="0"/>
          <w:sz w:val="24"/>
          <w:szCs w:val="24"/>
        </w:rPr>
        <w:t>一、项目基本情况</w:t>
      </w:r>
    </w:p>
    <w:p w14:paraId="32C85475">
      <w:pPr>
        <w:pStyle w:val="10"/>
        <w:keepNext w:val="0"/>
        <w:keepLines w:val="0"/>
        <w:widowControl/>
        <w:spacing w:before="0" w:after="210" w:line="240" w:lineRule="atLeast"/>
        <w:ind w:left="0" w:right="0" w:firstLine="420"/>
        <w:rPr>
          <w:rFonts w:eastAsia="仿宋"/>
          <w:lang w:val="en-US" w:eastAsia="zh-CN"/>
        </w:rPr>
      </w:pPr>
      <w:r>
        <w:rPr>
          <w:rFonts w:ascii="仿宋" w:hAnsi="仿宋" w:eastAsia="仿宋" w:cs="仿宋"/>
          <w:i w:val="0"/>
          <w:caps w:val="0"/>
          <w:smallCaps w:val="0"/>
          <w:spacing w:val="0"/>
          <w:sz w:val="21"/>
          <w:szCs w:val="21"/>
          <w:shd w:val="clear" w:fill="FFFFFF"/>
        </w:rPr>
        <w:t>项目编号：</w:t>
      </w:r>
      <w:r>
        <w:rPr>
          <w:rFonts w:ascii="仿宋" w:hAnsi="仿宋" w:eastAsia="仿宋" w:cs="仿宋"/>
          <w:i w:val="0"/>
          <w:caps w:val="0"/>
          <w:smallCaps w:val="0"/>
          <w:spacing w:val="0"/>
          <w:sz w:val="21"/>
          <w:szCs w:val="21"/>
          <w:shd w:val="clear" w:fill="FFFFFF"/>
          <w:lang w:eastAsia="zh-CN"/>
        </w:rPr>
        <w:t>ATSJYZX-CG-2026121</w:t>
      </w:r>
    </w:p>
    <w:p w14:paraId="20D8960F">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项目名称：</w:t>
      </w:r>
      <w:r>
        <w:rPr>
          <w:rFonts w:ascii="仿宋" w:hAnsi="仿宋" w:eastAsia="仿宋" w:cs="仿宋"/>
          <w:i w:val="0"/>
          <w:caps w:val="0"/>
          <w:smallCaps w:val="0"/>
          <w:spacing w:val="0"/>
          <w:sz w:val="21"/>
          <w:szCs w:val="21"/>
          <w:shd w:val="clear" w:fill="FFFFFF"/>
          <w:lang w:eastAsia="zh-CN"/>
        </w:rPr>
        <w:t>阿图什市乡村振兴-幸福街道滨河社区基础设施提升</w:t>
      </w:r>
      <w:r>
        <w:rPr>
          <w:rFonts w:ascii="仿宋" w:hAnsi="仿宋" w:eastAsia="仿宋" w:cs="仿宋"/>
          <w:i w:val="0"/>
          <w:caps w:val="0"/>
          <w:smallCaps w:val="0"/>
          <w:spacing w:val="0"/>
          <w:sz w:val="21"/>
          <w:szCs w:val="21"/>
          <w:shd w:val="clear" w:fill="FFFFFF"/>
        </w:rPr>
        <w:t> </w:t>
      </w:r>
    </w:p>
    <w:p w14:paraId="0943DE64">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采购方式：竞争性磋商</w:t>
      </w:r>
      <w:r>
        <w:rPr>
          <w:rFonts w:ascii="仿宋" w:hAnsi="仿宋" w:eastAsia="仿宋" w:cs="仿宋"/>
          <w:i w:val="0"/>
          <w:caps w:val="0"/>
          <w:smallCaps w:val="0"/>
          <w:spacing w:val="0"/>
          <w:sz w:val="16"/>
          <w:szCs w:val="16"/>
          <w:shd w:val="clear" w:fill="FFFFFF"/>
        </w:rPr>
        <w:t> </w:t>
      </w:r>
    </w:p>
    <w:p w14:paraId="4DF82679">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预算金额（元）：</w:t>
      </w:r>
      <w:r>
        <w:rPr>
          <w:rFonts w:ascii="仿宋" w:hAnsi="仿宋" w:eastAsia="仿宋" w:cs="仿宋"/>
          <w:i w:val="0"/>
          <w:caps w:val="0"/>
          <w:smallCaps w:val="0"/>
          <w:spacing w:val="0"/>
          <w:sz w:val="21"/>
          <w:szCs w:val="21"/>
          <w:shd w:val="clear" w:fill="FFFFFF"/>
          <w:lang w:val="en-US" w:eastAsia="zh-CN"/>
        </w:rPr>
        <w:t>2000000</w:t>
      </w:r>
      <w:r>
        <w:rPr>
          <w:rFonts w:ascii="仿宋" w:hAnsi="仿宋" w:eastAsia="仿宋" w:cs="仿宋"/>
          <w:i w:val="0"/>
          <w:caps w:val="0"/>
          <w:smallCaps w:val="0"/>
          <w:spacing w:val="0"/>
          <w:sz w:val="21"/>
          <w:szCs w:val="21"/>
          <w:shd w:val="clear" w:fill="FFFFFF"/>
        </w:rPr>
        <w:t> </w:t>
      </w:r>
    </w:p>
    <w:p w14:paraId="2BDD3633">
      <w:pPr>
        <w:pStyle w:val="10"/>
        <w:keepNext w:val="0"/>
        <w:keepLines w:val="0"/>
        <w:widowControl/>
        <w:spacing w:before="0" w:after="210" w:line="240" w:lineRule="atLeast"/>
        <w:ind w:left="0" w:right="0" w:firstLine="0"/>
        <w:rPr>
          <w:rFonts w:eastAsia="仿宋"/>
          <w:lang w:val="en-US" w:eastAsia="zh-CN"/>
        </w:rPr>
      </w:pPr>
      <w:r>
        <w:rPr>
          <w:rFonts w:ascii="仿宋" w:hAnsi="仿宋" w:eastAsia="仿宋" w:cs="仿宋"/>
          <w:i w:val="0"/>
          <w:caps w:val="0"/>
          <w:smallCaps w:val="0"/>
          <w:spacing w:val="0"/>
          <w:sz w:val="21"/>
          <w:szCs w:val="21"/>
          <w:shd w:val="clear" w:fill="FFFFFF"/>
        </w:rPr>
        <w:t>    最高限价（元）：</w:t>
      </w:r>
      <w:r>
        <w:rPr>
          <w:rFonts w:ascii="仿宋" w:hAnsi="仿宋" w:eastAsia="仿宋" w:cs="仿宋"/>
          <w:i w:val="0"/>
          <w:caps w:val="0"/>
          <w:smallCaps w:val="0"/>
          <w:spacing w:val="0"/>
          <w:sz w:val="21"/>
          <w:szCs w:val="21"/>
          <w:shd w:val="clear" w:fill="FFFFFF"/>
          <w:lang w:val="en-US" w:eastAsia="zh-CN"/>
        </w:rPr>
        <w:t>1842394.86</w:t>
      </w:r>
    </w:p>
    <w:p w14:paraId="0491D2B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采购需求：</w:t>
      </w:r>
    </w:p>
    <w:p w14:paraId="08BC0AA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lang w:val="en-US" w:eastAsia="zh-CN"/>
        </w:rPr>
        <w:t>     </w:t>
      </w:r>
      <w:r>
        <w:rPr>
          <w:rFonts w:ascii="仿宋" w:hAnsi="仿宋" w:eastAsia="仿宋" w:cs="仿宋"/>
          <w:i w:val="0"/>
          <w:caps w:val="0"/>
          <w:smallCaps w:val="0"/>
          <w:spacing w:val="0"/>
          <w:sz w:val="21"/>
          <w:szCs w:val="21"/>
          <w:shd w:val="clear" w:fill="FFFFFF"/>
        </w:rPr>
        <w:t>标项名称： </w:t>
      </w:r>
      <w:r>
        <w:rPr>
          <w:rFonts w:ascii="仿宋" w:hAnsi="仿宋" w:eastAsia="仿宋" w:cs="仿宋"/>
          <w:i w:val="0"/>
          <w:caps w:val="0"/>
          <w:smallCaps w:val="0"/>
          <w:spacing w:val="0"/>
          <w:sz w:val="21"/>
          <w:szCs w:val="21"/>
          <w:shd w:val="clear" w:fill="FFFFFF"/>
          <w:lang w:eastAsia="zh-CN"/>
        </w:rPr>
        <w:t>阿图什市乡村振兴-幸福街道滨河社区基础设施提升</w:t>
      </w:r>
      <w:r>
        <w:rPr>
          <w:rFonts w:ascii="仿宋" w:hAnsi="仿宋" w:eastAsia="仿宋" w:cs="仿宋"/>
          <w:i w:val="0"/>
          <w:caps w:val="0"/>
          <w:smallCaps w:val="0"/>
          <w:spacing w:val="0"/>
          <w:sz w:val="21"/>
          <w:szCs w:val="21"/>
          <w:shd w:val="clear" w:fill="FFFFFF"/>
        </w:rPr>
        <w:t> </w:t>
      </w:r>
    </w:p>
    <w:p w14:paraId="078CC218">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lang w:val="en-US" w:eastAsia="zh-CN"/>
        </w:rPr>
        <w:t>   数量：1     </w:t>
      </w:r>
    </w:p>
    <w:p w14:paraId="2A6AD2AB">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lang w:val="en-US"/>
        </w:rPr>
      </w:pPr>
      <w:r>
        <w:rPr>
          <w:rFonts w:ascii="仿宋" w:hAnsi="仿宋" w:eastAsia="仿宋" w:cs="仿宋"/>
          <w:i w:val="0"/>
          <w:caps w:val="0"/>
          <w:smallCaps w:val="0"/>
          <w:spacing w:val="0"/>
          <w:sz w:val="21"/>
          <w:szCs w:val="21"/>
          <w:shd w:val="clear" w:fill="FFFFFF"/>
        </w:rPr>
        <w:t>   预算金额（元）：</w:t>
      </w:r>
      <w:r>
        <w:rPr>
          <w:rFonts w:ascii="仿宋" w:hAnsi="仿宋" w:eastAsia="仿宋" w:cs="仿宋"/>
          <w:i w:val="0"/>
          <w:caps w:val="0"/>
          <w:smallCaps w:val="0"/>
          <w:spacing w:val="0"/>
          <w:sz w:val="21"/>
          <w:szCs w:val="21"/>
          <w:shd w:val="clear" w:fill="FFFFFF"/>
          <w:lang w:val="en-US" w:eastAsia="zh-CN"/>
        </w:rPr>
        <w:t>2000000</w:t>
      </w:r>
    </w:p>
    <w:p w14:paraId="1A02EE1E">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单位：个 </w:t>
      </w:r>
    </w:p>
    <w:p w14:paraId="67E74775">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简要规格描述：</w:t>
      </w:r>
      <w:r>
        <w:rPr>
          <w:rFonts w:ascii="仿宋" w:hAnsi="仿宋" w:eastAsia="仿宋" w:cs="仿宋"/>
          <w:i w:val="0"/>
          <w:caps w:val="0"/>
          <w:smallCaps w:val="0"/>
          <w:spacing w:val="0"/>
          <w:sz w:val="21"/>
          <w:szCs w:val="21"/>
          <w:shd w:val="clear" w:fill="FFFFFF"/>
          <w:lang w:eastAsia="zh-CN"/>
        </w:rPr>
        <w:t>阿图什市乡村振兴-幸福街道滨河社区基础设施提升，总建筑面积为2573.86平方米，提升改造装修面积约为1685.48平方米，建筑共四层；负一楼包含党员活动室/业主委员会、退役军人活动室、理疗室、仓库、2间宿舍；一楼包含人大办公室、卫生服务中心、快递驿站、餐厅、厨房；二楼包含自习室、舞蹈室、托幼中心、棋牌活动中心；三楼包含办公室、2间警务室、保密室、会议室及设备改造。</w:t>
      </w:r>
      <w:r>
        <w:rPr>
          <w:rFonts w:ascii="仿宋" w:hAnsi="仿宋" w:eastAsia="仿宋" w:cs="仿宋"/>
          <w:i w:val="0"/>
          <w:caps w:val="0"/>
          <w:smallCaps w:val="0"/>
          <w:spacing w:val="0"/>
          <w:sz w:val="21"/>
          <w:szCs w:val="21"/>
          <w:shd w:val="clear" w:fill="FFFFFF"/>
          <w:lang w:val="en-US" w:eastAsia="zh-CN"/>
        </w:rPr>
        <w:t>具体内容详见磋商文件</w:t>
      </w:r>
      <w:r>
        <w:rPr>
          <w:rFonts w:ascii="仿宋" w:hAnsi="仿宋" w:eastAsia="仿宋" w:cs="仿宋"/>
          <w:i w:val="0"/>
          <w:caps w:val="0"/>
          <w:smallCaps w:val="0"/>
          <w:spacing w:val="0"/>
          <w:sz w:val="21"/>
          <w:szCs w:val="21"/>
          <w:shd w:val="clear" w:fill="FFFFFF"/>
          <w:lang w:eastAsia="zh-CN"/>
        </w:rPr>
        <w:t>。</w:t>
      </w:r>
      <w:r>
        <w:rPr>
          <w:rFonts w:ascii="仿宋" w:hAnsi="仿宋" w:eastAsia="仿宋" w:cs="仿宋"/>
          <w:i w:val="0"/>
          <w:caps w:val="0"/>
          <w:smallCaps w:val="0"/>
          <w:spacing w:val="0"/>
          <w:sz w:val="21"/>
          <w:szCs w:val="21"/>
          <w:shd w:val="clear" w:fill="FFFFFF"/>
        </w:rPr>
        <w:t> </w:t>
      </w:r>
    </w:p>
    <w:p w14:paraId="2E7A5B9F">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备注： </w:t>
      </w:r>
    </w:p>
    <w:p w14:paraId="3FE6DDA8">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合同履约期限：标项 1，</w:t>
      </w:r>
      <w:r>
        <w:rPr>
          <w:rFonts w:ascii="仿宋" w:hAnsi="仿宋" w:eastAsia="仿宋" w:cs="仿宋"/>
          <w:i w:val="0"/>
          <w:caps w:val="0"/>
          <w:smallCaps w:val="0"/>
          <w:color w:val="0000FF"/>
          <w:spacing w:val="0"/>
          <w:sz w:val="21"/>
          <w:szCs w:val="21"/>
          <w:shd w:val="clear" w:fill="FFFFFF"/>
          <w:lang w:val="en-US" w:eastAsia="zh-CN"/>
        </w:rPr>
        <w:t>90天内完成施工，具体以甲乙双方签订合同为准</w:t>
      </w:r>
      <w:r>
        <w:rPr>
          <w:rFonts w:ascii="仿宋" w:hAnsi="仿宋" w:eastAsia="仿宋" w:cs="仿宋"/>
          <w:i w:val="0"/>
          <w:caps w:val="0"/>
          <w:smallCaps w:val="0"/>
          <w:color w:val="0000FF"/>
          <w:spacing w:val="0"/>
          <w:sz w:val="21"/>
          <w:szCs w:val="21"/>
          <w:shd w:val="clear" w:fill="FFFFFF"/>
        </w:rPr>
        <w:t> </w:t>
      </w:r>
      <w:r>
        <w:rPr>
          <w:rFonts w:ascii="仿宋" w:hAnsi="仿宋" w:eastAsia="仿宋" w:cs="仿宋"/>
          <w:i w:val="0"/>
          <w:caps w:val="0"/>
          <w:smallCaps w:val="0"/>
          <w:spacing w:val="0"/>
          <w:sz w:val="16"/>
          <w:szCs w:val="16"/>
          <w:shd w:val="clear" w:fill="FFFFFF"/>
        </w:rPr>
        <w:t> </w:t>
      </w:r>
    </w:p>
    <w:p w14:paraId="0BB5D15A">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本项目（否）接受联合体响应。</w:t>
      </w:r>
      <w:r>
        <w:rPr>
          <w:rFonts w:ascii="仿宋" w:hAnsi="仿宋" w:eastAsia="仿宋" w:cs="仿宋"/>
          <w:i w:val="0"/>
          <w:caps w:val="0"/>
          <w:smallCaps w:val="0"/>
          <w:spacing w:val="0"/>
          <w:sz w:val="16"/>
          <w:szCs w:val="16"/>
          <w:shd w:val="clear" w:fill="FFFFFF"/>
        </w:rPr>
        <w:t>  </w:t>
      </w:r>
    </w:p>
    <w:p w14:paraId="37D106F6">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二、申请人的资格要求：</w:t>
      </w:r>
    </w:p>
    <w:p w14:paraId="4EA82C9E">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1.满足《中华人民共和国政府采购法》第二十二条规定；</w:t>
      </w:r>
    </w:p>
    <w:p w14:paraId="191100FF">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2.落实政府采购政策需满足的资格要求：标项1：供应商为中小企业 </w:t>
      </w:r>
    </w:p>
    <w:p w14:paraId="08ED55E8">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3.本项目的特定资格要求：</w:t>
      </w:r>
      <w:r>
        <w:rPr>
          <w:rFonts w:ascii="仿宋" w:hAnsi="仿宋" w:eastAsia="仿宋" w:cs="仿宋"/>
          <w:i w:val="0"/>
          <w:caps w:val="0"/>
          <w:smallCaps w:val="0"/>
          <w:spacing w:val="0"/>
          <w:sz w:val="21"/>
          <w:szCs w:val="21"/>
          <w:shd w:val="clear" w:fill="FFFFFF"/>
        </w:rPr>
        <w:br w:type="textWrapping"/>
      </w:r>
      <w:r>
        <w:rPr>
          <w:rFonts w:ascii="仿宋" w:hAnsi="仿宋" w:eastAsia="仿宋" w:cs="仿宋"/>
          <w:i w:val="0"/>
          <w:caps w:val="0"/>
          <w:smallCaps w:val="0"/>
          <w:spacing w:val="0"/>
          <w:sz w:val="21"/>
          <w:szCs w:val="21"/>
          <w:shd w:val="clear" w:fill="FFFFFF"/>
        </w:rPr>
        <w:t>【标项1】</w:t>
      </w:r>
      <w:r>
        <w:rPr>
          <w:rFonts w:ascii="仿宋" w:hAnsi="仿宋" w:eastAsia="仿宋" w:cs="仿宋"/>
          <w:i w:val="0"/>
          <w:caps w:val="0"/>
          <w:smallCaps w:val="0"/>
          <w:spacing w:val="0"/>
          <w:sz w:val="21"/>
          <w:szCs w:val="21"/>
          <w:shd w:val="clear" w:fill="FFFFFF"/>
        </w:rPr>
        <w:br w:type="textWrapping"/>
      </w:r>
      <w:bookmarkStart w:id="0" w:name="OLE_LINK19"/>
      <w:r>
        <w:rPr>
          <w:rFonts w:ascii="仿宋" w:hAnsi="仿宋" w:eastAsia="仿宋" w:cs="仿宋"/>
          <w:i w:val="0"/>
          <w:caps w:val="0"/>
          <w:smallCaps w:val="0"/>
          <w:spacing w:val="0"/>
          <w:sz w:val="21"/>
          <w:szCs w:val="21"/>
          <w:shd w:val="clear" w:fill="FFFFFF"/>
        </w:rPr>
        <w:t>（1）具备三证合一营业执照副本；</w:t>
      </w:r>
    </w:p>
    <w:p w14:paraId="3B4027F1">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（2）法定代表人响应需提供法定代表人资格证明书，委托代理人响应需提供法定代表人授权委托书；</w:t>
      </w:r>
    </w:p>
    <w:p w14:paraId="6D062C4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（3）</w:t>
      </w:r>
      <w:r>
        <w:rPr>
          <w:rFonts w:ascii="仿宋" w:hAnsi="仿宋" w:eastAsia="仿宋" w:cs="仿宋"/>
          <w:i w:val="0"/>
          <w:caps w:val="0"/>
          <w:smallCaps w:val="0"/>
          <w:spacing w:val="0"/>
          <w:sz w:val="21"/>
          <w:szCs w:val="21"/>
          <w:shd w:val="clear" w:fill="FFFFFF"/>
          <w:lang w:eastAsia="zh-CN"/>
        </w:rPr>
        <w:t>供应商须提供供应商（被授权在职人员）近 6 个月内任意一个月有效的社保证明</w:t>
      </w:r>
      <w:r>
        <w:rPr>
          <w:rFonts w:ascii="仿宋" w:hAnsi="仿宋" w:eastAsia="仿宋" w:cs="仿宋"/>
          <w:i w:val="0"/>
          <w:caps w:val="0"/>
          <w:smallCaps w:val="0"/>
          <w:spacing w:val="0"/>
          <w:sz w:val="21"/>
          <w:szCs w:val="21"/>
          <w:shd w:val="clear" w:fill="FFFFFF"/>
        </w:rPr>
        <w:t>；</w:t>
      </w:r>
    </w:p>
    <w:p w14:paraId="6F2D393C">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（4）未被“信用中国 ”（www.creditchina.gov.cn）、中国政府采购网（www.ccgp.gov.cn） 列入失信被执行人、重大税收违法案件当事人名单、政府采购严重违法失信行为记录名单（提</w:t>
      </w:r>
    </w:p>
    <w:p w14:paraId="2EF93D23">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供查询结果网页截图并加盖供应商公章）；</w:t>
      </w:r>
    </w:p>
    <w:p w14:paraId="0E8BC0D1">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lang w:eastAsia="zh-CN"/>
        </w:rPr>
        <w:t>（</w:t>
      </w:r>
      <w:r>
        <w:rPr>
          <w:rFonts w:ascii="仿宋" w:hAnsi="仿宋" w:eastAsia="仿宋" w:cs="仿宋"/>
          <w:i w:val="0"/>
          <w:caps w:val="0"/>
          <w:smallCaps w:val="0"/>
          <w:spacing w:val="0"/>
          <w:sz w:val="21"/>
          <w:szCs w:val="21"/>
          <w:shd w:val="clear" w:fill="FFFFFF"/>
          <w:lang w:val="en-US" w:eastAsia="zh-CN"/>
        </w:rPr>
        <w:t>5</w:t>
      </w:r>
      <w:r>
        <w:rPr>
          <w:rFonts w:ascii="仿宋" w:hAnsi="仿宋" w:eastAsia="仿宋" w:cs="仿宋"/>
          <w:i w:val="0"/>
          <w:caps w:val="0"/>
          <w:smallCaps w:val="0"/>
          <w:spacing w:val="0"/>
          <w:sz w:val="21"/>
          <w:szCs w:val="21"/>
          <w:shd w:val="clear" w:fill="FFFFFF"/>
          <w:lang w:eastAsia="zh-CN"/>
        </w:rPr>
        <w:t>）</w:t>
      </w:r>
      <w:bookmarkEnd w:id="0"/>
      <w:r>
        <w:rPr>
          <w:rFonts w:ascii="仿宋" w:hAnsi="仿宋" w:eastAsia="仿宋" w:cs="仿宋"/>
          <w:i w:val="0"/>
          <w:caps w:val="0"/>
          <w:smallCaps w:val="0"/>
          <w:spacing w:val="0"/>
          <w:sz w:val="21"/>
          <w:szCs w:val="21"/>
          <w:shd w:val="clear" w:fill="FFFFFF"/>
          <w:lang w:eastAsia="zh-CN"/>
        </w:rPr>
        <w:t>供应商须具备建筑工程施工总承包二级（含）以上资质等级、有效的安全生产许可证；项目负责人具备建筑工程专业二级（含）以上注册建造师执业资格且具有有效的安全生产考核证；</w:t>
      </w:r>
      <w:r>
        <w:rPr>
          <w:rFonts w:ascii="仿宋" w:hAnsi="仿宋" w:eastAsia="仿宋" w:cs="仿宋"/>
          <w:i w:val="0"/>
          <w:caps w:val="0"/>
          <w:smallCaps w:val="0"/>
          <w:spacing w:val="0"/>
          <w:sz w:val="21"/>
          <w:szCs w:val="21"/>
          <w:shd w:val="clear" w:fill="FFFFFF"/>
        </w:rPr>
        <w:t> </w:t>
      </w:r>
    </w:p>
    <w:p w14:paraId="48646A5B">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三、获取采购文件</w:t>
      </w:r>
    </w:p>
    <w:p w14:paraId="1257E9C1">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w:t>
      </w:r>
      <w:r>
        <w:rPr>
          <w:rFonts w:ascii="仿宋" w:hAnsi="仿宋" w:eastAsia="仿宋" w:cs="仿宋"/>
          <w:i w:val="0"/>
          <w:caps w:val="0"/>
          <w:smallCaps w:val="0"/>
          <w:spacing w:val="0"/>
          <w:sz w:val="21"/>
          <w:szCs w:val="21"/>
          <w:u w:val="none"/>
          <w:shd w:val="clear" w:fill="FFFFFF"/>
        </w:rPr>
        <w:t>时间：2026年</w:t>
      </w:r>
      <w:r>
        <w:rPr>
          <w:rFonts w:ascii="仿宋" w:hAnsi="仿宋" w:eastAsia="仿宋" w:cs="仿宋"/>
          <w:i w:val="0"/>
          <w:caps w:val="0"/>
          <w:smallCaps w:val="0"/>
          <w:spacing w:val="0"/>
          <w:sz w:val="21"/>
          <w:szCs w:val="21"/>
          <w:u w:val="none"/>
          <w:shd w:val="clear" w:fill="FFFFFF"/>
          <w:lang w:val="en-US" w:eastAsia="zh-CN"/>
        </w:rPr>
        <w:t>9</w:t>
      </w:r>
      <w:r>
        <w:rPr>
          <w:rFonts w:ascii="仿宋" w:hAnsi="仿宋" w:eastAsia="仿宋" w:cs="仿宋"/>
          <w:i w:val="0"/>
          <w:caps w:val="0"/>
          <w:smallCaps w:val="0"/>
          <w:spacing w:val="0"/>
          <w:sz w:val="21"/>
          <w:szCs w:val="21"/>
          <w:u w:val="none"/>
          <w:shd w:val="clear" w:fill="FFFFFF"/>
        </w:rPr>
        <w:t>月</w:t>
      </w:r>
      <w:r>
        <w:rPr>
          <w:rFonts w:ascii="仿宋" w:hAnsi="仿宋" w:eastAsia="仿宋" w:cs="仿宋"/>
          <w:i w:val="0"/>
          <w:caps w:val="0"/>
          <w:smallCaps w:val="0"/>
          <w:spacing w:val="0"/>
          <w:sz w:val="21"/>
          <w:szCs w:val="21"/>
          <w:u w:val="none"/>
          <w:shd w:val="clear" w:fill="FFFFFF"/>
          <w:lang w:val="en-US" w:eastAsia="zh-CN"/>
        </w:rPr>
        <w:t>28</w:t>
      </w:r>
      <w:r>
        <w:rPr>
          <w:rFonts w:ascii="仿宋" w:hAnsi="仿宋" w:eastAsia="仿宋" w:cs="仿宋"/>
          <w:i w:val="0"/>
          <w:caps w:val="0"/>
          <w:smallCaps w:val="0"/>
          <w:spacing w:val="0"/>
          <w:sz w:val="21"/>
          <w:szCs w:val="21"/>
          <w:u w:val="none"/>
          <w:shd w:val="clear" w:fill="FFFFFF"/>
        </w:rPr>
        <w:t>日至2026年</w:t>
      </w:r>
      <w:r>
        <w:rPr>
          <w:rFonts w:ascii="仿宋" w:hAnsi="仿宋" w:eastAsia="仿宋" w:cs="仿宋"/>
          <w:i w:val="0"/>
          <w:caps w:val="0"/>
          <w:smallCaps w:val="0"/>
          <w:spacing w:val="0"/>
          <w:sz w:val="21"/>
          <w:szCs w:val="21"/>
          <w:u w:val="none"/>
          <w:shd w:val="clear" w:fill="FFFFFF"/>
          <w:lang w:val="en-US" w:eastAsia="zh-CN"/>
        </w:rPr>
        <w:t>10</w:t>
      </w:r>
      <w:r>
        <w:rPr>
          <w:rFonts w:ascii="仿宋" w:hAnsi="仿宋" w:eastAsia="仿宋" w:cs="仿宋"/>
          <w:i w:val="0"/>
          <w:caps w:val="0"/>
          <w:smallCaps w:val="0"/>
          <w:spacing w:val="0"/>
          <w:sz w:val="21"/>
          <w:szCs w:val="21"/>
          <w:u w:val="none"/>
          <w:shd w:val="clear" w:fill="FFFFFF"/>
        </w:rPr>
        <w:t>月</w:t>
      </w:r>
      <w:r>
        <w:rPr>
          <w:rFonts w:ascii="仿宋" w:hAnsi="仿宋" w:eastAsia="仿宋" w:cs="仿宋"/>
          <w:i w:val="0"/>
          <w:caps w:val="0"/>
          <w:smallCaps w:val="0"/>
          <w:spacing w:val="0"/>
          <w:sz w:val="21"/>
          <w:szCs w:val="21"/>
          <w:u w:val="none"/>
          <w:shd w:val="clear" w:fill="FFFFFF"/>
          <w:lang w:val="en-US" w:eastAsia="zh-CN"/>
        </w:rPr>
        <w:t>10</w:t>
      </w:r>
      <w:r>
        <w:rPr>
          <w:rFonts w:ascii="仿宋" w:hAnsi="仿宋" w:eastAsia="仿宋" w:cs="仿宋"/>
          <w:i w:val="0"/>
          <w:caps w:val="0"/>
          <w:smallCaps w:val="0"/>
          <w:spacing w:val="0"/>
          <w:sz w:val="21"/>
          <w:szCs w:val="21"/>
          <w:u w:val="none"/>
          <w:shd w:val="clear" w:fill="FFFFFF"/>
        </w:rPr>
        <w:t>日，每天上午10:00至14:00，下午16:00至20:00（北京时间，法定节假日除外）</w:t>
      </w:r>
    </w:p>
    <w:p w14:paraId="5DC68BA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地点：政采云平台线上 </w:t>
      </w:r>
    </w:p>
    <w:p w14:paraId="0C1E4C8F">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2929BB28">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售价（元）： </w:t>
      </w:r>
      <w:r>
        <w:rPr>
          <w:rStyle w:val="42"/>
          <w:rFonts w:ascii="仿宋" w:hAnsi="仿宋" w:eastAsia="仿宋" w:cs="仿宋"/>
          <w:i w:val="0"/>
          <w:caps w:val="0"/>
          <w:smallCaps w:val="0"/>
          <w:spacing w:val="0"/>
          <w:sz w:val="21"/>
          <w:szCs w:val="21"/>
          <w:shd w:val="clear" w:fill="FFFFFF"/>
        </w:rPr>
        <w:t>0</w:t>
      </w:r>
      <w:r>
        <w:rPr>
          <w:rFonts w:ascii="仿宋" w:hAnsi="仿宋" w:eastAsia="仿宋" w:cs="仿宋"/>
          <w:i w:val="0"/>
          <w:caps w:val="0"/>
          <w:smallCaps w:val="0"/>
          <w:spacing w:val="0"/>
          <w:sz w:val="21"/>
          <w:szCs w:val="21"/>
          <w:shd w:val="clear" w:fill="FFFFFF"/>
        </w:rPr>
        <w:t> </w:t>
      </w:r>
    </w:p>
    <w:p w14:paraId="2E6CE3AE">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四、响应文件提交</w:t>
      </w:r>
      <w:r>
        <w:rPr>
          <w:rFonts w:ascii="黑体" w:hAnsi="黑体" w:eastAsia="黑体" w:cs="黑体"/>
          <w:i w:val="0"/>
          <w:caps w:val="0"/>
          <w:smallCaps w:val="0"/>
          <w:spacing w:val="0"/>
          <w:sz w:val="21"/>
          <w:szCs w:val="21"/>
          <w:shd w:val="clear" w:fill="FFFFFF"/>
        </w:rPr>
        <w:t> </w:t>
      </w:r>
    </w:p>
    <w:p w14:paraId="30D4E450">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截止时间：2026年</w:t>
      </w:r>
      <w:r>
        <w:rPr>
          <w:rFonts w:ascii="仿宋" w:hAnsi="仿宋" w:eastAsia="仿宋" w:cs="仿宋"/>
          <w:i w:val="0"/>
          <w:caps w:val="0"/>
          <w:smallCaps w:val="0"/>
          <w:spacing w:val="0"/>
          <w:sz w:val="21"/>
          <w:szCs w:val="21"/>
          <w:shd w:val="clear" w:fill="FFFFFF"/>
          <w:lang w:val="en-US" w:eastAsia="zh-CN"/>
        </w:rPr>
        <w:t>10</w:t>
      </w:r>
      <w:r>
        <w:rPr>
          <w:rFonts w:ascii="仿宋" w:hAnsi="仿宋" w:eastAsia="仿宋" w:cs="仿宋"/>
          <w:i w:val="0"/>
          <w:caps w:val="0"/>
          <w:smallCaps w:val="0"/>
          <w:spacing w:val="0"/>
          <w:sz w:val="21"/>
          <w:szCs w:val="21"/>
          <w:shd w:val="clear" w:fill="FFFFFF"/>
        </w:rPr>
        <w:t>月</w:t>
      </w:r>
      <w:r>
        <w:rPr>
          <w:rFonts w:ascii="仿宋" w:hAnsi="仿宋" w:eastAsia="仿宋" w:cs="仿宋"/>
          <w:i w:val="0"/>
          <w:caps w:val="0"/>
          <w:smallCaps w:val="0"/>
          <w:spacing w:val="0"/>
          <w:sz w:val="21"/>
          <w:szCs w:val="21"/>
          <w:shd w:val="clear" w:fill="FFFFFF"/>
          <w:lang w:val="en-US" w:eastAsia="zh-CN"/>
        </w:rPr>
        <w:t>13</w:t>
      </w:r>
      <w:r>
        <w:rPr>
          <w:rFonts w:ascii="仿宋" w:hAnsi="仿宋" w:eastAsia="仿宋" w:cs="仿宋"/>
          <w:i w:val="0"/>
          <w:caps w:val="0"/>
          <w:smallCaps w:val="0"/>
          <w:spacing w:val="0"/>
          <w:sz w:val="21"/>
          <w:szCs w:val="21"/>
          <w:shd w:val="clear" w:fill="FFFFFF"/>
        </w:rPr>
        <w:t>日 1</w:t>
      </w:r>
      <w:r>
        <w:rPr>
          <w:rFonts w:ascii="仿宋" w:hAnsi="仿宋" w:eastAsia="仿宋" w:cs="仿宋"/>
          <w:i w:val="0"/>
          <w:caps w:val="0"/>
          <w:smallCaps w:val="0"/>
          <w:spacing w:val="0"/>
          <w:sz w:val="21"/>
          <w:szCs w:val="21"/>
          <w:shd w:val="clear" w:fill="FFFFFF"/>
          <w:lang w:val="en-US" w:eastAsia="zh-CN"/>
        </w:rPr>
        <w:t>6</w:t>
      </w:r>
      <w:r>
        <w:rPr>
          <w:rFonts w:ascii="仿宋" w:hAnsi="仿宋" w:eastAsia="仿宋" w:cs="仿宋"/>
          <w:i w:val="0"/>
          <w:caps w:val="0"/>
          <w:smallCaps w:val="0"/>
          <w:spacing w:val="0"/>
          <w:sz w:val="21"/>
          <w:szCs w:val="21"/>
          <w:shd w:val="clear" w:fill="FFFFFF"/>
        </w:rPr>
        <w:t>:1</w:t>
      </w:r>
      <w:r>
        <w:rPr>
          <w:rFonts w:ascii="仿宋" w:hAnsi="仿宋" w:eastAsia="仿宋" w:cs="仿宋"/>
          <w:i w:val="0"/>
          <w:caps w:val="0"/>
          <w:smallCaps w:val="0"/>
          <w:spacing w:val="0"/>
          <w:sz w:val="21"/>
          <w:szCs w:val="21"/>
          <w:shd w:val="clear" w:fill="FFFFFF"/>
          <w:lang w:val="en-US" w:eastAsia="zh-CN"/>
        </w:rPr>
        <w:t>0</w:t>
      </w:r>
      <w:r>
        <w:rPr>
          <w:rFonts w:ascii="仿宋" w:hAnsi="仿宋" w:eastAsia="仿宋" w:cs="仿宋"/>
          <w:i w:val="0"/>
          <w:caps w:val="0"/>
          <w:smallCaps w:val="0"/>
          <w:spacing w:val="0"/>
          <w:sz w:val="21"/>
          <w:szCs w:val="21"/>
          <w:shd w:val="clear" w:fill="FFFFFF"/>
        </w:rPr>
        <w:t>（北京时间）</w:t>
      </w:r>
    </w:p>
    <w:p w14:paraId="49BABAB7">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地点：请登录政采云响应客户端响应 </w:t>
      </w:r>
    </w:p>
    <w:p w14:paraId="72CDD586">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五、响应文件开启</w:t>
      </w:r>
      <w:r>
        <w:rPr>
          <w:rFonts w:ascii="黑体" w:hAnsi="黑体" w:eastAsia="黑体" w:cs="黑体"/>
          <w:i w:val="0"/>
          <w:caps w:val="0"/>
          <w:smallCaps w:val="0"/>
          <w:spacing w:val="0"/>
          <w:sz w:val="21"/>
          <w:szCs w:val="21"/>
          <w:shd w:val="clear" w:fill="FFFFFF"/>
        </w:rPr>
        <w:t> </w:t>
      </w:r>
    </w:p>
    <w:p w14:paraId="6BCE695E">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开启时间：2026年</w:t>
      </w:r>
      <w:r>
        <w:rPr>
          <w:rFonts w:ascii="仿宋" w:hAnsi="仿宋" w:eastAsia="仿宋" w:cs="仿宋"/>
          <w:i w:val="0"/>
          <w:caps w:val="0"/>
          <w:smallCaps w:val="0"/>
          <w:spacing w:val="0"/>
          <w:sz w:val="21"/>
          <w:szCs w:val="21"/>
          <w:shd w:val="clear" w:fill="FFFFFF"/>
          <w:lang w:val="en-US" w:eastAsia="zh-CN"/>
        </w:rPr>
        <w:t>10</w:t>
      </w:r>
      <w:r>
        <w:rPr>
          <w:rFonts w:ascii="仿宋" w:hAnsi="仿宋" w:eastAsia="仿宋" w:cs="仿宋"/>
          <w:i w:val="0"/>
          <w:caps w:val="0"/>
          <w:smallCaps w:val="0"/>
          <w:spacing w:val="0"/>
          <w:sz w:val="21"/>
          <w:szCs w:val="21"/>
          <w:shd w:val="clear" w:fill="FFFFFF"/>
        </w:rPr>
        <w:t>月</w:t>
      </w:r>
      <w:r>
        <w:rPr>
          <w:rFonts w:ascii="仿宋" w:hAnsi="仿宋" w:eastAsia="仿宋" w:cs="仿宋"/>
          <w:i w:val="0"/>
          <w:caps w:val="0"/>
          <w:smallCaps w:val="0"/>
          <w:spacing w:val="0"/>
          <w:sz w:val="21"/>
          <w:szCs w:val="21"/>
          <w:shd w:val="clear" w:fill="FFFFFF"/>
          <w:lang w:val="en-US" w:eastAsia="zh-CN"/>
        </w:rPr>
        <w:t>13</w:t>
      </w:r>
      <w:r>
        <w:rPr>
          <w:rFonts w:ascii="仿宋" w:hAnsi="仿宋" w:eastAsia="仿宋" w:cs="仿宋"/>
          <w:i w:val="0"/>
          <w:caps w:val="0"/>
          <w:smallCaps w:val="0"/>
          <w:spacing w:val="0"/>
          <w:sz w:val="21"/>
          <w:szCs w:val="21"/>
          <w:shd w:val="clear" w:fill="FFFFFF"/>
        </w:rPr>
        <w:t>日 1</w:t>
      </w:r>
      <w:r>
        <w:rPr>
          <w:rFonts w:ascii="仿宋" w:hAnsi="仿宋" w:eastAsia="仿宋" w:cs="仿宋"/>
          <w:i w:val="0"/>
          <w:caps w:val="0"/>
          <w:smallCaps w:val="0"/>
          <w:spacing w:val="0"/>
          <w:sz w:val="21"/>
          <w:szCs w:val="21"/>
          <w:shd w:val="clear" w:fill="FFFFFF"/>
          <w:lang w:val="en-US" w:eastAsia="zh-CN"/>
        </w:rPr>
        <w:t>6</w:t>
      </w:r>
      <w:r>
        <w:rPr>
          <w:rFonts w:ascii="仿宋" w:hAnsi="仿宋" w:eastAsia="仿宋" w:cs="仿宋"/>
          <w:i w:val="0"/>
          <w:caps w:val="0"/>
          <w:smallCaps w:val="0"/>
          <w:spacing w:val="0"/>
          <w:sz w:val="21"/>
          <w:szCs w:val="21"/>
          <w:shd w:val="clear" w:fill="FFFFFF"/>
        </w:rPr>
        <w:t>:1</w:t>
      </w:r>
      <w:r>
        <w:rPr>
          <w:rFonts w:ascii="仿宋" w:hAnsi="仿宋" w:eastAsia="仿宋" w:cs="仿宋"/>
          <w:i w:val="0"/>
          <w:caps w:val="0"/>
          <w:smallCaps w:val="0"/>
          <w:spacing w:val="0"/>
          <w:sz w:val="21"/>
          <w:szCs w:val="21"/>
          <w:shd w:val="clear" w:fill="FFFFFF"/>
          <w:lang w:val="en-US" w:eastAsia="zh-CN"/>
        </w:rPr>
        <w:t>0</w:t>
      </w:r>
      <w:r>
        <w:rPr>
          <w:rFonts w:ascii="仿宋" w:hAnsi="仿宋" w:eastAsia="仿宋" w:cs="仿宋"/>
          <w:i w:val="0"/>
          <w:caps w:val="0"/>
          <w:smallCaps w:val="0"/>
          <w:spacing w:val="0"/>
          <w:sz w:val="21"/>
          <w:szCs w:val="21"/>
          <w:shd w:val="clear" w:fill="FFFFFF"/>
        </w:rPr>
        <w:t>（北京时间）</w:t>
      </w:r>
    </w:p>
    <w:p w14:paraId="1958C95D">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地点：供应商登录政采云平台https://www.zcygov.cn/，进入“项目采购-开启响应文件评审-右边选择对应项目点击“进入项目”进入开启响应文件大厅。</w:t>
      </w:r>
    </w:p>
    <w:p w14:paraId="777B0B68">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5"/>
          <w:szCs w:val="25"/>
        </w:rPr>
      </w:pPr>
      <w:r>
        <w:rPr>
          <w:rStyle w:val="41"/>
          <w:rFonts w:ascii="黑体" w:hAnsi="黑体" w:eastAsia="黑体" w:cs="黑体"/>
          <w:b/>
          <w:i w:val="0"/>
          <w:caps w:val="0"/>
          <w:smallCaps w:val="0"/>
          <w:spacing w:val="0"/>
          <w:sz w:val="21"/>
          <w:szCs w:val="21"/>
          <w:shd w:val="clear" w:fill="FFFFFF"/>
        </w:rPr>
        <w:t>六、公告期限</w:t>
      </w:r>
    </w:p>
    <w:p w14:paraId="51C32855">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自本公告发布之日起3个工作日。</w:t>
      </w:r>
    </w:p>
    <w:p w14:paraId="44FE3A8A">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七、其他补充事宜</w:t>
      </w:r>
      <w:r>
        <w:rPr>
          <w:rFonts w:ascii="黑体" w:hAnsi="黑体" w:eastAsia="黑体" w:cs="黑体"/>
          <w:i w:val="0"/>
          <w:caps w:val="0"/>
          <w:smallCaps w:val="0"/>
          <w:spacing w:val="0"/>
          <w:sz w:val="21"/>
          <w:szCs w:val="21"/>
          <w:shd w:val="clear" w:fill="FFFFFF"/>
        </w:rPr>
        <w:t> </w:t>
      </w:r>
    </w:p>
    <w:p w14:paraId="061C8265">
      <w:pPr>
        <w:pStyle w:val="10"/>
        <w:keepNext w:val="0"/>
        <w:keepLines w:val="0"/>
        <w:widowControl/>
        <w:shd w:val="clear" w:fill="FFFFFF"/>
        <w:spacing w:before="0" w:after="210" w:line="315" w:lineRule="atLeast"/>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1、本项目实行网上响应，采用电子响应文件。</w:t>
      </w:r>
    </w:p>
    <w:p w14:paraId="3CA4BD8C">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2、各供应商应在响应文件开启前确保成为正式注册入库供应商，并完成CA数字证书(符合国密标准)申领。因未注册入库、未办理CA数字证书等原因造成无法响应或响应失败等后果由供应商自行承担。如需咨询，请联系新疆-安信CA服务热线0991-7810912；翔晟CA服务热线025-66085508；新疆CA服务热线4000921999。</w:t>
      </w:r>
    </w:p>
    <w:p w14:paraId="0D1FD4AC">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3、供应商将政采云电子交易客户端下载、安装完成后，可通过账号密码或CA登录客户端进行响应文件的制作。在使用政采云响应客户端时，建议使用WIN7及以上操作系统。</w:t>
      </w:r>
    </w:p>
    <w:p w14:paraId="7A976D72">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4、其他事项：无    </w:t>
      </w:r>
    </w:p>
    <w:p w14:paraId="15DB1EFC">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特别提示：</w:t>
      </w:r>
    </w:p>
    <w:p w14:paraId="7DFA2698">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1、采购限额标准以上，200万元以下的货物和服务采购项目、400万元以下的工程采购项目，适宜由中小企业提供的，采购人应当专门面向中小企业采购。</w:t>
      </w:r>
    </w:p>
    <w:p w14:paraId="59209AE6">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2、超过200万元的货物和服务采购项目，预留该部分采购项目预算总额的30%以上专门面向中小企业采购，其中预留给小微企业的比例不低于60%。</w:t>
      </w:r>
    </w:p>
    <w:p w14:paraId="4975626E">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3、超过400万元的工程采购项目中适宜由中小企业提供的，预留该部分采购项目预算总额的40%以上专门面向中小企业采购，其中预留给小微企业的比例不低于60%。</w:t>
      </w:r>
    </w:p>
    <w:p w14:paraId="4F2F0C1B">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ADE0AC0">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5E19BD1">
      <w:pPr>
        <w:pStyle w:val="10"/>
        <w:keepNext w:val="0"/>
        <w:keepLines w:val="0"/>
        <w:widowControl/>
        <w:shd w:val="clear" w:fill="FFFFFF"/>
        <w:spacing w:before="204" w:after="204" w:line="384" w:lineRule="atLeast"/>
        <w:ind w:left="0" w:right="0" w:firstLine="0"/>
        <w:jc w:val="both"/>
        <w:rPr>
          <w:rFonts w:ascii="黑体" w:hAnsi="黑体" w:eastAsia="黑体" w:cs="黑体"/>
          <w:i w:val="0"/>
          <w:caps w:val="0"/>
          <w:smallCaps w:val="0"/>
          <w:spacing w:val="0"/>
          <w:sz w:val="25"/>
          <w:szCs w:val="25"/>
        </w:rPr>
      </w:pPr>
      <w:r>
        <w:rPr>
          <w:rStyle w:val="41"/>
          <w:rFonts w:ascii="黑体" w:hAnsi="黑体" w:eastAsia="黑体" w:cs="黑体"/>
          <w:b/>
          <w:i w:val="0"/>
          <w:caps w:val="0"/>
          <w:smallCaps w:val="0"/>
          <w:spacing w:val="0"/>
          <w:sz w:val="21"/>
          <w:szCs w:val="21"/>
          <w:shd w:val="clear" w:fill="FFFFFF"/>
        </w:rPr>
        <w:t>八、凡对本次采购提出询问，请按以下方式联系</w:t>
      </w:r>
    </w:p>
    <w:p w14:paraId="3E57D670">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1.采购人信息</w:t>
      </w:r>
    </w:p>
    <w:p w14:paraId="2B486B2D">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名 称：</w:t>
      </w:r>
      <w:r>
        <w:rPr>
          <w:rStyle w:val="42"/>
          <w:rFonts w:ascii="仿宋" w:hAnsi="仿宋" w:eastAsia="仿宋" w:cs="仿宋"/>
          <w:i w:val="0"/>
          <w:caps w:val="0"/>
          <w:smallCaps w:val="0"/>
          <w:spacing w:val="0"/>
          <w:sz w:val="21"/>
          <w:szCs w:val="21"/>
          <w:shd w:val="clear" w:fill="FFFFFF"/>
          <w:lang w:eastAsia="zh-CN"/>
        </w:rPr>
        <w:t>阿图什市幸福街道办事处</w:t>
      </w:r>
    </w:p>
    <w:p w14:paraId="5340DF27">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地 址：</w:t>
      </w:r>
      <w:r>
        <w:rPr>
          <w:rFonts w:ascii="仿宋" w:hAnsi="仿宋" w:eastAsia="仿宋" w:cs="仿宋"/>
          <w:i w:val="0"/>
          <w:caps w:val="0"/>
          <w:smallCaps w:val="0"/>
          <w:spacing w:val="0"/>
          <w:sz w:val="21"/>
          <w:szCs w:val="21"/>
          <w:shd w:val="clear" w:fill="FFFFFF"/>
          <w:lang w:eastAsia="zh-CN"/>
        </w:rPr>
        <w:t>阿图什市</w:t>
      </w:r>
    </w:p>
    <w:p w14:paraId="52583E9F">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val="en-US" w:eastAsia="zh-CN"/>
        </w:rPr>
      </w:pPr>
      <w:r>
        <w:rPr>
          <w:rFonts w:ascii="仿宋" w:hAnsi="仿宋" w:eastAsia="仿宋" w:cs="仿宋"/>
          <w:i w:val="0"/>
          <w:caps w:val="0"/>
          <w:smallCaps w:val="0"/>
          <w:spacing w:val="0"/>
          <w:sz w:val="21"/>
          <w:szCs w:val="21"/>
          <w:shd w:val="clear" w:fill="FFFFFF"/>
        </w:rPr>
        <w:t>联系方式：15809089066</w:t>
      </w:r>
    </w:p>
    <w:p w14:paraId="2101CAA9">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2.采购代理机构信息</w:t>
      </w:r>
    </w:p>
    <w:p w14:paraId="3197E5ED">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名 称：新疆大成瑞祥建设项目管理咨询有限公司</w:t>
      </w:r>
    </w:p>
    <w:p w14:paraId="52BF1D45">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地 址：阿图什市阿扎克镇提坚村沙依路43号三楼</w:t>
      </w:r>
    </w:p>
    <w:p w14:paraId="4C5B031C">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联系方式：</w:t>
      </w:r>
      <w:r>
        <w:rPr>
          <w:rFonts w:ascii="仿宋" w:hAnsi="仿宋" w:eastAsia="仿宋" w:cs="仿宋"/>
          <w:i w:val="0"/>
          <w:caps w:val="0"/>
          <w:smallCaps w:val="0"/>
          <w:spacing w:val="0"/>
          <w:sz w:val="21"/>
          <w:szCs w:val="21"/>
          <w:shd w:val="clear" w:fill="FFFFFF"/>
          <w:lang w:eastAsia="zh-CN"/>
        </w:rPr>
        <w:t>19990496023</w:t>
      </w:r>
    </w:p>
    <w:p w14:paraId="749DC566">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3.项目联系方式</w:t>
      </w:r>
    </w:p>
    <w:p w14:paraId="57421AE4">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项目联系人：</w:t>
      </w:r>
      <w:r>
        <w:rPr>
          <w:rStyle w:val="42"/>
          <w:rFonts w:ascii="仿宋" w:hAnsi="仿宋" w:eastAsia="仿宋" w:cs="仿宋"/>
          <w:i w:val="0"/>
          <w:caps w:val="0"/>
          <w:smallCaps w:val="0"/>
          <w:spacing w:val="0"/>
          <w:sz w:val="21"/>
          <w:szCs w:val="21"/>
          <w:shd w:val="clear" w:fill="FFFFFF"/>
          <w:lang w:val="en-US" w:eastAsia="zh-CN"/>
        </w:rPr>
        <w:t>施</w:t>
      </w:r>
      <w:r>
        <w:rPr>
          <w:rStyle w:val="42"/>
          <w:rFonts w:ascii="仿宋" w:hAnsi="仿宋" w:eastAsia="仿宋" w:cs="仿宋"/>
          <w:i w:val="0"/>
          <w:caps w:val="0"/>
          <w:smallCaps w:val="0"/>
          <w:spacing w:val="0"/>
          <w:sz w:val="21"/>
          <w:szCs w:val="21"/>
          <w:shd w:val="clear" w:fill="FFFFFF"/>
        </w:rPr>
        <w:t>女士</w:t>
      </w:r>
    </w:p>
    <w:p w14:paraId="25EBA82E">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电 话：</w:t>
      </w:r>
      <w:r>
        <w:rPr>
          <w:rStyle w:val="42"/>
          <w:rFonts w:ascii="仿宋" w:hAnsi="仿宋" w:eastAsia="仿宋" w:cs="仿宋"/>
          <w:i w:val="0"/>
          <w:caps w:val="0"/>
          <w:smallCaps w:val="0"/>
          <w:spacing w:val="0"/>
          <w:sz w:val="21"/>
          <w:szCs w:val="21"/>
          <w:shd w:val="clear" w:fill="FFFFFF"/>
          <w:lang w:eastAsia="zh-CN"/>
        </w:rPr>
        <w:t>19990496023</w:t>
      </w:r>
    </w:p>
    <w:p w14:paraId="2DA07845">
      <w:pPr>
        <w:numPr>
          <w:ilvl w:val="0"/>
          <w:numId w:val="0"/>
        </w:numPr>
        <w:spacing w:line="500" w:lineRule="exact"/>
        <w:jc w:val="center"/>
        <w:outlineLvl w:val="0"/>
        <w:rPr>
          <w:rFonts w:ascii="宋体" w:hAnsi="宋体"/>
          <w:b/>
          <w:color w:val="000000"/>
          <w:sz w:val="32"/>
          <w:szCs w:val="32"/>
          <w:highlight w:val="none"/>
        </w:rPr>
      </w:pPr>
      <w:bookmarkStart w:id="1" w:name="__RefHeading___Toc469495721"/>
      <w:bookmarkEnd w:id="1"/>
      <w:r>
        <w:rPr>
          <w:rFonts w:ascii="宋体" w:hAnsi="宋体"/>
          <w:b/>
          <w:color w:val="000000"/>
          <w:sz w:val="32"/>
          <w:szCs w:val="32"/>
        </w:rPr>
        <w:t>第二章 供应商须知</w:t>
      </w:r>
    </w:p>
    <w:p w14:paraId="52A86CC7">
      <w:pPr>
        <w:numPr>
          <w:ilvl w:val="0"/>
          <w:numId w:val="0"/>
        </w:numPr>
        <w:snapToGrid w:val="0"/>
        <w:spacing w:line="500" w:lineRule="exact"/>
        <w:jc w:val="center"/>
        <w:outlineLvl w:val="1"/>
        <w:rPr>
          <w:rFonts w:ascii="宋体" w:hAnsi="宋体"/>
          <w:b/>
          <w:color w:val="000000"/>
          <w:sz w:val="28"/>
          <w:szCs w:val="28"/>
          <w:highlight w:val="none"/>
        </w:rPr>
      </w:pPr>
      <w:bookmarkStart w:id="2" w:name="__RefHeading___Toc469495722"/>
      <w:bookmarkEnd w:id="2"/>
      <w:r>
        <w:rPr>
          <w:rFonts w:ascii="宋体" w:hAnsi="宋体"/>
          <w:b/>
          <w:color w:val="000000"/>
          <w:sz w:val="28"/>
          <w:szCs w:val="28"/>
        </w:rPr>
        <w:t>一、供应商须知前附表</w:t>
      </w:r>
    </w:p>
    <w:tbl>
      <w:tblPr>
        <w:tblStyle w:val="19"/>
        <w:tblW w:w="9373" w:type="dxa"/>
        <w:jc w:val="center"/>
        <w:tblLayout w:type="fixed"/>
        <w:tblCellMar>
          <w:top w:w="0" w:type="dxa"/>
          <w:left w:w="108" w:type="dxa"/>
          <w:bottom w:w="0" w:type="dxa"/>
          <w:right w:w="108" w:type="dxa"/>
        </w:tblCellMar>
      </w:tblPr>
      <w:tblGrid>
        <w:gridCol w:w="471"/>
        <w:gridCol w:w="1537"/>
        <w:gridCol w:w="7365"/>
      </w:tblGrid>
      <w:tr w14:paraId="0847601C">
        <w:tblPrEx>
          <w:tblCellMar>
            <w:top w:w="0" w:type="dxa"/>
            <w:left w:w="108" w:type="dxa"/>
            <w:bottom w:w="0" w:type="dxa"/>
            <w:right w:w="108" w:type="dxa"/>
          </w:tblCellMar>
        </w:tblPrEx>
        <w:trPr>
          <w:trHeight w:val="479" w:hRule="atLeast"/>
          <w:jc w:val="center"/>
        </w:trPr>
        <w:tc>
          <w:tcPr>
            <w:tcW w:w="471" w:type="dxa"/>
            <w:tcBorders>
              <w:top w:val="single" w:color="000000" w:sz="12" w:space="0"/>
              <w:left w:val="single" w:color="000000" w:sz="12" w:space="0"/>
              <w:bottom w:val="single" w:color="000000" w:sz="8" w:space="0"/>
              <w:right w:val="single" w:color="000000" w:sz="8" w:space="0"/>
            </w:tcBorders>
            <w:vAlign w:val="center"/>
          </w:tcPr>
          <w:p w14:paraId="77018D7B">
            <w:pPr>
              <w:pStyle w:val="50"/>
              <w:keepNext w:val="0"/>
              <w:keepLines w:val="0"/>
              <w:kinsoku/>
              <w:overflowPunct/>
              <w:autoSpaceDE/>
              <w:bidi w:val="0"/>
              <w:snapToGrid w:val="0"/>
              <w:spacing w:line="360" w:lineRule="auto"/>
              <w:ind w:left="-94" w:right="-81" w:firstLine="0"/>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条款号</w:t>
            </w:r>
          </w:p>
        </w:tc>
        <w:tc>
          <w:tcPr>
            <w:tcW w:w="1537" w:type="dxa"/>
            <w:tcBorders>
              <w:top w:val="single" w:color="000000" w:sz="12" w:space="0"/>
              <w:left w:val="single" w:color="000000" w:sz="8" w:space="0"/>
              <w:bottom w:val="single" w:color="000000" w:sz="8" w:space="0"/>
              <w:right w:val="single" w:color="000000" w:sz="8" w:space="0"/>
            </w:tcBorders>
            <w:vAlign w:val="center"/>
          </w:tcPr>
          <w:p w14:paraId="2DEB22E4">
            <w:pPr>
              <w:pStyle w:val="50"/>
              <w:keepNext w:val="0"/>
              <w:keepLines w:val="0"/>
              <w:kinsoku/>
              <w:overflowPunct/>
              <w:autoSpaceDE/>
              <w:bidi w:val="0"/>
              <w:snapToGrid w:val="0"/>
              <w:spacing w:line="360" w:lineRule="auto"/>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内容</w:t>
            </w:r>
          </w:p>
        </w:tc>
        <w:tc>
          <w:tcPr>
            <w:tcW w:w="7365" w:type="dxa"/>
            <w:tcBorders>
              <w:top w:val="single" w:color="000000" w:sz="12" w:space="0"/>
              <w:left w:val="single" w:color="000000" w:sz="8" w:space="0"/>
              <w:bottom w:val="single" w:color="000000" w:sz="8" w:space="0"/>
              <w:right w:val="single" w:color="000000" w:sz="12" w:space="0"/>
            </w:tcBorders>
            <w:vAlign w:val="center"/>
          </w:tcPr>
          <w:p w14:paraId="790FFE1E">
            <w:pPr>
              <w:pStyle w:val="50"/>
              <w:keepNext w:val="0"/>
              <w:keepLines w:val="0"/>
              <w:kinsoku/>
              <w:overflowPunct/>
              <w:autoSpaceDE/>
              <w:bidi w:val="0"/>
              <w:snapToGrid w:val="0"/>
              <w:spacing w:line="360" w:lineRule="auto"/>
              <w:ind w:firstLine="2100"/>
              <w:jc w:val="both"/>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说明与要求</w:t>
            </w:r>
          </w:p>
        </w:tc>
      </w:tr>
      <w:tr w14:paraId="57E203F1">
        <w:tblPrEx>
          <w:tblCellMar>
            <w:top w:w="0" w:type="dxa"/>
            <w:left w:w="108" w:type="dxa"/>
            <w:bottom w:w="0" w:type="dxa"/>
            <w:right w:w="108" w:type="dxa"/>
          </w:tblCellMar>
        </w:tblPrEx>
        <w:trPr>
          <w:trHeight w:val="7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247263">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p>
        </w:tc>
        <w:tc>
          <w:tcPr>
            <w:tcW w:w="1537" w:type="dxa"/>
            <w:tcBorders>
              <w:top w:val="single" w:color="000000" w:sz="8" w:space="0"/>
              <w:left w:val="single" w:color="000000" w:sz="8" w:space="0"/>
              <w:bottom w:val="single" w:color="000000" w:sz="8" w:space="0"/>
              <w:right w:val="single" w:color="000000" w:sz="8" w:space="0"/>
            </w:tcBorders>
            <w:vAlign w:val="center"/>
          </w:tcPr>
          <w:p w14:paraId="6335295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项目名称</w:t>
            </w:r>
          </w:p>
          <w:p w14:paraId="672D076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项目编号</w:t>
            </w:r>
          </w:p>
        </w:tc>
        <w:tc>
          <w:tcPr>
            <w:tcW w:w="7365" w:type="dxa"/>
            <w:tcBorders>
              <w:top w:val="single" w:color="000000" w:sz="8" w:space="0"/>
              <w:left w:val="single" w:color="000000" w:sz="8" w:space="0"/>
              <w:bottom w:val="single" w:color="000000" w:sz="8" w:space="0"/>
              <w:right w:val="single" w:color="000000" w:sz="12" w:space="0"/>
            </w:tcBorders>
            <w:vAlign w:val="bottom"/>
          </w:tcPr>
          <w:p w14:paraId="6E18B664">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项目名称：阿图什市乡村振兴</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幸福街道滨河社区基础设施提升</w:t>
            </w:r>
          </w:p>
          <w:p w14:paraId="0011F119">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FF"/>
                <w:sz w:val="21"/>
                <w:szCs w:val="21"/>
                <w:lang w:val="en-US" w:eastAsia="zh-CN"/>
              </w:rPr>
              <w:t>项目编号：</w:t>
            </w:r>
            <w:r>
              <w:rPr>
                <w:rFonts w:ascii="宋体" w:hAnsi="宋体" w:eastAsia="宋体" w:cs="宋体"/>
                <w:color w:val="0000FF"/>
                <w:sz w:val="21"/>
                <w:szCs w:val="21"/>
                <w:lang w:val="en-US" w:eastAsia="zh-CN"/>
              </w:rPr>
              <w:t>ATSJYZX-CG-2026121</w:t>
            </w:r>
            <w:r>
              <w:rPr>
                <w:rFonts w:ascii="宋体" w:hAnsi="宋体" w:eastAsia="宋体" w:cs="宋体"/>
                <w:color w:val="000000"/>
                <w:sz w:val="21"/>
                <w:szCs w:val="21"/>
                <w:lang w:val="en-US" w:eastAsia="zh-CN"/>
              </w:rPr>
              <w:t xml:space="preserve">   </w:t>
            </w:r>
          </w:p>
          <w:p w14:paraId="3F2A36AF">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采购内容：阿图什市乡村振兴</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幸福街道滨河社区基础设施提升，总建筑面积为</w:t>
            </w:r>
            <w:r>
              <w:rPr>
                <w:rFonts w:ascii="宋体" w:hAnsi="宋体" w:eastAsia="宋体" w:cs="宋体"/>
                <w:color w:val="000000"/>
                <w:sz w:val="21"/>
                <w:szCs w:val="21"/>
                <w:lang w:val="en-US" w:eastAsia="zh-CN"/>
              </w:rPr>
              <w:t>2573.86</w:t>
            </w:r>
            <w:r>
              <w:rPr>
                <w:rFonts w:ascii="宋体" w:hAnsi="宋体" w:cs="宋体"/>
                <w:color w:val="000000"/>
                <w:sz w:val="21"/>
                <w:szCs w:val="21"/>
                <w:lang w:val="en-US" w:eastAsia="zh-CN"/>
              </w:rPr>
              <w:t>平方米，提升改造装修面积约为</w:t>
            </w:r>
            <w:r>
              <w:rPr>
                <w:rFonts w:ascii="宋体" w:hAnsi="宋体" w:eastAsia="宋体" w:cs="宋体"/>
                <w:color w:val="000000"/>
                <w:sz w:val="21"/>
                <w:szCs w:val="21"/>
                <w:lang w:val="en-US" w:eastAsia="zh-CN"/>
              </w:rPr>
              <w:t>1685.48</w:t>
            </w:r>
            <w:r>
              <w:rPr>
                <w:rFonts w:ascii="宋体" w:hAnsi="宋体" w:cs="宋体"/>
                <w:color w:val="000000"/>
                <w:sz w:val="21"/>
                <w:szCs w:val="21"/>
                <w:lang w:val="en-US" w:eastAsia="zh-CN"/>
              </w:rPr>
              <w:t>平方米，建筑共四层；负一楼包含党员活动室</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业主委员会、退役军人活动室、理疗室、仓库、</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间宿舍；一楼包含人大办公室、卫生服务中心、快递驿站、餐厅、厨房；二楼包含自习室、舞蹈室、托幼中心、棋牌活动中心；三楼包含办公室、</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间警务室、保密室、会议室及设备改造。具体内容详见磋商文件。</w:t>
            </w:r>
          </w:p>
        </w:tc>
      </w:tr>
      <w:tr w14:paraId="091F449B">
        <w:tblPrEx>
          <w:tblCellMar>
            <w:top w:w="0" w:type="dxa"/>
            <w:left w:w="108" w:type="dxa"/>
            <w:bottom w:w="0" w:type="dxa"/>
            <w:right w:w="108" w:type="dxa"/>
          </w:tblCellMar>
        </w:tblPrEx>
        <w:trPr>
          <w:trHeight w:val="6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9D32CC9">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p>
        </w:tc>
        <w:tc>
          <w:tcPr>
            <w:tcW w:w="1537" w:type="dxa"/>
            <w:tcBorders>
              <w:top w:val="single" w:color="000000" w:sz="8" w:space="0"/>
              <w:left w:val="single" w:color="000000" w:sz="8" w:space="0"/>
              <w:bottom w:val="single" w:color="000000" w:sz="8" w:space="0"/>
              <w:right w:val="single" w:color="000000" w:sz="8" w:space="0"/>
            </w:tcBorders>
            <w:vAlign w:val="center"/>
          </w:tcPr>
          <w:p w14:paraId="6DB4DEB7">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采购人</w:t>
            </w:r>
            <w:r>
              <w:rPr>
                <w:rFonts w:ascii="宋体" w:hAnsi="宋体" w:cs="宋体"/>
                <w:color w:val="000000"/>
                <w:sz w:val="21"/>
                <w:szCs w:val="21"/>
                <w:lang w:val="en-US" w:eastAsia="zh-CN"/>
              </w:rPr>
              <w:t>信息</w:t>
            </w:r>
          </w:p>
        </w:tc>
        <w:tc>
          <w:tcPr>
            <w:tcW w:w="7365" w:type="dxa"/>
            <w:tcBorders>
              <w:top w:val="single" w:color="000000" w:sz="8" w:space="0"/>
              <w:left w:val="single" w:color="000000" w:sz="8" w:space="0"/>
              <w:bottom w:val="single" w:color="000000" w:sz="8" w:space="0"/>
              <w:right w:val="single" w:color="000000" w:sz="12" w:space="0"/>
            </w:tcBorders>
            <w:vAlign w:val="bottom"/>
          </w:tcPr>
          <w:p w14:paraId="510EF312">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eastAsia="zh-CN"/>
              </w:rPr>
              <w:t>单</w:t>
            </w:r>
            <w:r>
              <w:rPr>
                <w:rFonts w:ascii="宋体" w:hAnsi="宋体" w:cs="宋体"/>
                <w:color w:val="000000"/>
                <w:sz w:val="21"/>
                <w:szCs w:val="21"/>
                <w:lang w:val="en-US" w:eastAsia="zh-CN"/>
              </w:rPr>
              <w:t xml:space="preserve">    </w:t>
            </w:r>
            <w:r>
              <w:rPr>
                <w:rFonts w:ascii="宋体" w:hAnsi="宋体" w:cs="宋体"/>
                <w:color w:val="000000"/>
                <w:sz w:val="21"/>
                <w:szCs w:val="21"/>
                <w:lang w:eastAsia="zh-CN"/>
              </w:rPr>
              <w:t>位：阿图什市幸福街道办事处</w:t>
            </w:r>
          </w:p>
          <w:p w14:paraId="37862B11">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eastAsia="zh-CN"/>
              </w:rPr>
              <w:t>联 系 人：</w:t>
            </w:r>
            <w:r>
              <w:rPr>
                <w:rFonts w:ascii="宋体" w:hAnsi="宋体" w:cs="宋体"/>
                <w:color w:val="000000"/>
                <w:sz w:val="21"/>
                <w:szCs w:val="21"/>
                <w:lang w:val="en-US" w:eastAsia="zh-CN"/>
              </w:rPr>
              <w:t>陈先生</w:t>
            </w:r>
            <w:r>
              <w:rPr>
                <w:rFonts w:ascii="宋体" w:hAnsi="宋体" w:cs="宋体"/>
                <w:color w:val="000000"/>
                <w:sz w:val="21"/>
                <w:szCs w:val="21"/>
                <w:lang w:eastAsia="zh-CN"/>
              </w:rPr>
              <w:t xml:space="preserve">   联系电话：</w:t>
            </w:r>
            <w:r>
              <w:rPr>
                <w:rFonts w:ascii="宋体" w:hAnsi="宋体" w:eastAsia="宋体" w:cs="宋体"/>
                <w:color w:val="000000"/>
                <w:sz w:val="21"/>
                <w:szCs w:val="21"/>
                <w:lang w:val="en-US" w:eastAsia="zh-CN"/>
              </w:rPr>
              <w:t>15809089066</w:t>
            </w:r>
            <w:r>
              <w:rPr>
                <w:rFonts w:ascii="宋体" w:hAnsi="宋体" w:eastAsia="宋体" w:cs="宋体"/>
                <w:color w:val="000000"/>
                <w:sz w:val="21"/>
                <w:szCs w:val="21"/>
                <w:lang w:eastAsia="zh-CN"/>
              </w:rPr>
              <w:t xml:space="preserve">   </w:t>
            </w:r>
          </w:p>
        </w:tc>
      </w:tr>
      <w:tr w14:paraId="6B03CB77">
        <w:tblPrEx>
          <w:tblCellMar>
            <w:top w:w="0" w:type="dxa"/>
            <w:left w:w="108" w:type="dxa"/>
            <w:bottom w:w="0" w:type="dxa"/>
            <w:right w:w="108" w:type="dxa"/>
          </w:tblCellMar>
        </w:tblPrEx>
        <w:trPr>
          <w:trHeight w:val="100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ABC83E8">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p>
        </w:tc>
        <w:tc>
          <w:tcPr>
            <w:tcW w:w="1537" w:type="dxa"/>
            <w:tcBorders>
              <w:top w:val="single" w:color="000000" w:sz="8" w:space="0"/>
              <w:left w:val="single" w:color="000000" w:sz="8" w:space="0"/>
              <w:bottom w:val="single" w:color="000000" w:sz="8" w:space="0"/>
              <w:right w:val="single" w:color="000000" w:sz="8" w:space="0"/>
            </w:tcBorders>
            <w:vAlign w:val="center"/>
          </w:tcPr>
          <w:p w14:paraId="6A170E41">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w:t>
            </w:r>
          </w:p>
          <w:p w14:paraId="596629F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机</w:t>
            </w:r>
            <w:r>
              <w:rPr>
                <w:rFonts w:ascii="宋体" w:hAnsi="宋体" w:cs="宋体"/>
                <w:color w:val="000000"/>
                <w:sz w:val="21"/>
                <w:szCs w:val="21"/>
                <w:lang w:val="en-US" w:eastAsia="zh-CN"/>
              </w:rPr>
              <w:t xml:space="preserve">  </w:t>
            </w:r>
            <w:r>
              <w:rPr>
                <w:rFonts w:ascii="宋体" w:hAnsi="宋体" w:cs="宋体"/>
                <w:color w:val="000000"/>
                <w:sz w:val="21"/>
                <w:szCs w:val="21"/>
              </w:rPr>
              <w:t>构</w:t>
            </w:r>
          </w:p>
        </w:tc>
        <w:tc>
          <w:tcPr>
            <w:tcW w:w="7365" w:type="dxa"/>
            <w:tcBorders>
              <w:top w:val="single" w:color="000000" w:sz="8" w:space="0"/>
              <w:left w:val="single" w:color="000000" w:sz="8" w:space="0"/>
              <w:bottom w:val="single" w:color="000000" w:sz="8" w:space="0"/>
              <w:right w:val="single" w:color="000000" w:sz="12" w:space="0"/>
            </w:tcBorders>
            <w:vAlign w:val="bottom"/>
          </w:tcPr>
          <w:p w14:paraId="508D5F98">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val="en-US" w:eastAsia="zh-CN"/>
              </w:rPr>
              <w:t>名称：</w:t>
            </w:r>
            <w:r>
              <w:rPr>
                <w:rFonts w:ascii="宋体" w:hAnsi="宋体" w:cs="宋体"/>
                <w:color w:val="000000"/>
                <w:sz w:val="21"/>
                <w:szCs w:val="21"/>
                <w:lang w:eastAsia="zh-CN"/>
              </w:rPr>
              <w:t>新疆大成瑞祥建设项目管理咨询有限公司</w:t>
            </w:r>
          </w:p>
          <w:p w14:paraId="4669B1F7">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sz w:val="21"/>
                <w:szCs w:val="21"/>
              </w:rPr>
              <w:t>地址：阿图什市阿扎克镇提坚村沙依路</w:t>
            </w:r>
            <w:r>
              <w:rPr>
                <w:rFonts w:ascii="宋体" w:hAnsi="宋体" w:eastAsia="宋体" w:cs="宋体"/>
                <w:color w:val="000000"/>
                <w:sz w:val="21"/>
                <w:szCs w:val="21"/>
              </w:rPr>
              <w:t>43</w:t>
            </w:r>
            <w:r>
              <w:rPr>
                <w:rFonts w:ascii="宋体" w:hAnsi="宋体" w:cs="宋体"/>
                <w:color w:val="000000"/>
                <w:sz w:val="21"/>
                <w:szCs w:val="21"/>
              </w:rPr>
              <w:t>号三楼</w:t>
            </w:r>
            <w:r>
              <w:rPr>
                <w:rFonts w:ascii="宋体" w:hAnsi="宋体" w:cs="宋体"/>
                <w:color w:val="000000"/>
                <w:sz w:val="21"/>
                <w:szCs w:val="21"/>
                <w:lang w:val="en-US" w:eastAsia="zh-CN"/>
              </w:rPr>
              <w:t xml:space="preserve"> </w:t>
            </w:r>
          </w:p>
          <w:p w14:paraId="7D6598F5">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rPr>
            </w:pPr>
            <w:r>
              <w:rPr>
                <w:rFonts w:ascii="宋体" w:hAnsi="宋体" w:cs="宋体"/>
                <w:color w:val="000000"/>
                <w:sz w:val="21"/>
                <w:szCs w:val="21"/>
              </w:rPr>
              <w:t>联系人：</w:t>
            </w:r>
            <w:r>
              <w:rPr>
                <w:rFonts w:ascii="宋体" w:hAnsi="宋体" w:cs="宋体"/>
                <w:color w:val="000000"/>
                <w:sz w:val="21"/>
                <w:szCs w:val="21"/>
                <w:lang w:val="en-US" w:eastAsia="zh-CN"/>
              </w:rPr>
              <w:t>施女士</w:t>
            </w:r>
            <w:r>
              <w:rPr>
                <w:rFonts w:ascii="宋体" w:hAnsi="宋体" w:cs="宋体"/>
                <w:color w:val="000000"/>
                <w:sz w:val="21"/>
                <w:szCs w:val="21"/>
              </w:rPr>
              <w:t xml:space="preserve">  联系电话：</w:t>
            </w:r>
            <w:r>
              <w:rPr>
                <w:rFonts w:ascii="宋体" w:hAnsi="宋体" w:eastAsia="宋体" w:cs="宋体"/>
                <w:color w:val="000000"/>
                <w:sz w:val="21"/>
                <w:szCs w:val="21"/>
                <w:lang w:val="en-US" w:eastAsia="zh-CN"/>
              </w:rPr>
              <w:t>19990496023</w:t>
            </w:r>
          </w:p>
        </w:tc>
      </w:tr>
      <w:tr w14:paraId="30885BBA">
        <w:tblPrEx>
          <w:tblCellMar>
            <w:top w:w="0" w:type="dxa"/>
            <w:left w:w="108" w:type="dxa"/>
            <w:bottom w:w="0" w:type="dxa"/>
            <w:right w:w="108" w:type="dxa"/>
          </w:tblCellMar>
        </w:tblPrEx>
        <w:trPr>
          <w:trHeight w:val="52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8A1047">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p>
        </w:tc>
        <w:tc>
          <w:tcPr>
            <w:tcW w:w="1537" w:type="dxa"/>
            <w:tcBorders>
              <w:top w:val="single" w:color="000000" w:sz="8" w:space="0"/>
              <w:left w:val="single" w:color="000000" w:sz="8" w:space="0"/>
              <w:bottom w:val="single" w:color="000000" w:sz="8" w:space="0"/>
              <w:right w:val="single" w:color="000000" w:sz="8" w:space="0"/>
            </w:tcBorders>
            <w:vAlign w:val="center"/>
          </w:tcPr>
          <w:p w14:paraId="41BCDB4A">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7EB3833D">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0000FF"/>
                <w:sz w:val="21"/>
                <w:szCs w:val="21"/>
                <w:lang w:val="en-US" w:eastAsia="zh-CN"/>
              </w:rPr>
              <w:t>签订合同后</w:t>
            </w:r>
            <w:r>
              <w:rPr>
                <w:rFonts w:ascii="宋体" w:hAnsi="宋体" w:eastAsia="宋体" w:cs="宋体"/>
                <w:color w:val="0000FF"/>
                <w:sz w:val="21"/>
                <w:szCs w:val="21"/>
                <w:lang w:val="en-US" w:eastAsia="zh-CN"/>
              </w:rPr>
              <w:t>90</w:t>
            </w:r>
            <w:r>
              <w:rPr>
                <w:rFonts w:ascii="宋体" w:hAnsi="宋体" w:cs="宋体"/>
                <w:color w:val="0000FF"/>
                <w:sz w:val="21"/>
                <w:szCs w:val="21"/>
                <w:lang w:val="en-US" w:eastAsia="zh-CN"/>
              </w:rPr>
              <w:t>天内完成施工，具体以甲乙双方签订合同为准。</w:t>
            </w:r>
          </w:p>
        </w:tc>
      </w:tr>
      <w:tr w14:paraId="587A5E1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BF42F8B">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5</w:t>
            </w:r>
          </w:p>
        </w:tc>
        <w:tc>
          <w:tcPr>
            <w:tcW w:w="1537" w:type="dxa"/>
            <w:tcBorders>
              <w:top w:val="single" w:color="000000" w:sz="8" w:space="0"/>
              <w:left w:val="single" w:color="000000" w:sz="8" w:space="0"/>
              <w:bottom w:val="single" w:color="000000" w:sz="8" w:space="0"/>
              <w:right w:val="single" w:color="000000" w:sz="8" w:space="0"/>
            </w:tcBorders>
            <w:vAlign w:val="center"/>
          </w:tcPr>
          <w:p w14:paraId="5ECBD3E8">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付款方式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0060977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签订合同后，甲方向乙方预付合同价款的</w:t>
            </w:r>
            <w:r>
              <w:rPr>
                <w:rFonts w:ascii="宋体" w:hAnsi="宋体" w:eastAsia="宋体" w:cs="宋体"/>
                <w:color w:val="000000"/>
                <w:sz w:val="21"/>
                <w:szCs w:val="21"/>
                <w:lang w:val="en-US" w:eastAsia="zh-CN"/>
              </w:rPr>
              <w:t>30%</w:t>
            </w:r>
            <w:r>
              <w:rPr>
                <w:rFonts w:ascii="宋体" w:hAnsi="宋体" w:cs="宋体"/>
                <w:color w:val="000000"/>
                <w:sz w:val="21"/>
                <w:szCs w:val="21"/>
                <w:lang w:val="en-US" w:eastAsia="zh-CN"/>
              </w:rPr>
              <w:t>，项目实施至项目进度</w:t>
            </w:r>
            <w:r>
              <w:rPr>
                <w:rFonts w:ascii="宋体" w:hAnsi="宋体" w:eastAsia="宋体" w:cs="宋体"/>
                <w:color w:val="000000"/>
                <w:sz w:val="21"/>
                <w:szCs w:val="21"/>
                <w:lang w:val="en-US" w:eastAsia="zh-CN"/>
              </w:rPr>
              <w:t>70%</w:t>
            </w:r>
            <w:r>
              <w:rPr>
                <w:rFonts w:ascii="宋体" w:hAnsi="宋体" w:cs="宋体"/>
                <w:color w:val="000000"/>
                <w:sz w:val="21"/>
                <w:szCs w:val="21"/>
                <w:lang w:val="en-US" w:eastAsia="zh-CN"/>
              </w:rPr>
              <w:t>时，支付至合同价款的</w:t>
            </w:r>
            <w:r>
              <w:rPr>
                <w:rFonts w:ascii="宋体" w:hAnsi="宋体" w:eastAsia="宋体" w:cs="宋体"/>
                <w:color w:val="000000"/>
                <w:sz w:val="21"/>
                <w:szCs w:val="21"/>
                <w:lang w:val="en-US" w:eastAsia="zh-CN"/>
              </w:rPr>
              <w:t>60%</w:t>
            </w:r>
            <w:r>
              <w:rPr>
                <w:rFonts w:ascii="宋体" w:hAnsi="宋体" w:cs="宋体"/>
                <w:color w:val="000000"/>
                <w:sz w:val="21"/>
                <w:szCs w:val="21"/>
                <w:lang w:val="en-US" w:eastAsia="zh-CN"/>
              </w:rPr>
              <w:t>，竣工验收合格后支付至合同价款的</w:t>
            </w:r>
            <w:r>
              <w:rPr>
                <w:rFonts w:ascii="宋体" w:hAnsi="宋体" w:eastAsia="宋体" w:cs="宋体"/>
                <w:color w:val="000000"/>
                <w:sz w:val="21"/>
                <w:szCs w:val="21"/>
                <w:lang w:val="en-US" w:eastAsia="zh-CN"/>
              </w:rPr>
              <w:t>80%</w:t>
            </w:r>
            <w:r>
              <w:rPr>
                <w:rFonts w:ascii="宋体" w:hAnsi="宋体" w:cs="宋体"/>
                <w:color w:val="000000"/>
                <w:sz w:val="21"/>
                <w:szCs w:val="21"/>
                <w:lang w:val="en-US" w:eastAsia="zh-CN"/>
              </w:rPr>
              <w:t>，结算审计后支付审计价的</w:t>
            </w:r>
            <w:r>
              <w:rPr>
                <w:rFonts w:ascii="宋体" w:hAnsi="宋体" w:eastAsia="宋体" w:cs="宋体"/>
                <w:color w:val="000000"/>
                <w:sz w:val="21"/>
                <w:szCs w:val="21"/>
                <w:lang w:val="en-US" w:eastAsia="zh-CN"/>
              </w:rPr>
              <w:t>97%</w:t>
            </w:r>
            <w:r>
              <w:rPr>
                <w:rFonts w:ascii="宋体" w:hAnsi="宋体" w:cs="宋体"/>
                <w:color w:val="000000"/>
                <w:sz w:val="21"/>
                <w:szCs w:val="21"/>
                <w:lang w:val="en-US" w:eastAsia="zh-CN"/>
              </w:rPr>
              <w:t>，剩余</w:t>
            </w:r>
            <w:r>
              <w:rPr>
                <w:rFonts w:ascii="宋体" w:hAnsi="宋体" w:eastAsia="宋体" w:cs="宋体"/>
                <w:color w:val="000000"/>
                <w:sz w:val="21"/>
                <w:szCs w:val="21"/>
                <w:lang w:val="en-US" w:eastAsia="zh-CN"/>
              </w:rPr>
              <w:t>3%</w:t>
            </w:r>
            <w:r>
              <w:rPr>
                <w:rFonts w:ascii="宋体" w:hAnsi="宋体" w:cs="宋体"/>
                <w:color w:val="000000"/>
                <w:sz w:val="21"/>
                <w:szCs w:val="21"/>
                <w:lang w:val="en-US" w:eastAsia="zh-CN"/>
              </w:rPr>
              <w:t>作为质量保证金。</w:t>
            </w:r>
          </w:p>
        </w:tc>
      </w:tr>
      <w:tr w14:paraId="2EB0EE67">
        <w:tblPrEx>
          <w:tblCellMar>
            <w:top w:w="0" w:type="dxa"/>
            <w:left w:w="108" w:type="dxa"/>
            <w:bottom w:w="0" w:type="dxa"/>
            <w:right w:w="108" w:type="dxa"/>
          </w:tblCellMar>
        </w:tblPrEx>
        <w:trPr>
          <w:trHeight w:val="5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AC2E98E">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6</w:t>
            </w:r>
          </w:p>
        </w:tc>
        <w:tc>
          <w:tcPr>
            <w:tcW w:w="1537" w:type="dxa"/>
            <w:tcBorders>
              <w:top w:val="single" w:color="000000" w:sz="8" w:space="0"/>
              <w:left w:val="single" w:color="000000" w:sz="8" w:space="0"/>
              <w:bottom w:val="single" w:color="000000" w:sz="8" w:space="0"/>
              <w:right w:val="single" w:color="000000" w:sz="8" w:space="0"/>
            </w:tcBorders>
            <w:vAlign w:val="center"/>
          </w:tcPr>
          <w:p w14:paraId="1B811412">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保修期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64AEC8A8">
            <w:pPr>
              <w:numPr>
                <w:ilvl w:val="0"/>
                <w:numId w:val="0"/>
              </w:numPr>
              <w:spacing w:line="360" w:lineRule="auto"/>
              <w:ind w:left="0" w:firstLine="0"/>
              <w:rPr>
                <w:rFonts w:ascii="宋体" w:hAnsi="宋体" w:eastAsia="宋体" w:cs="宋体"/>
                <w:color w:val="0000FF"/>
                <w:sz w:val="21"/>
                <w:szCs w:val="21"/>
                <w:highlight w:val="none"/>
                <w:lang w:val="en-US" w:eastAsia="zh-CN"/>
              </w:rPr>
            </w:pPr>
            <w:r>
              <w:rPr>
                <w:rFonts w:ascii="宋体" w:hAnsi="宋体" w:cs="宋体"/>
                <w:color w:val="000000"/>
                <w:sz w:val="21"/>
                <w:szCs w:val="21"/>
                <w:lang w:val="en-US" w:eastAsia="zh-CN"/>
              </w:rPr>
              <w:t>本项目保修期</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年。</w:t>
            </w:r>
          </w:p>
        </w:tc>
      </w:tr>
      <w:tr w14:paraId="72E2D2EF">
        <w:tblPrEx>
          <w:tblCellMar>
            <w:top w:w="0" w:type="dxa"/>
            <w:left w:w="108" w:type="dxa"/>
            <w:bottom w:w="0" w:type="dxa"/>
            <w:right w:w="108" w:type="dxa"/>
          </w:tblCellMar>
        </w:tblPrEx>
        <w:trPr>
          <w:trHeight w:val="52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A8FCFBD">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7</w:t>
            </w:r>
          </w:p>
        </w:tc>
        <w:tc>
          <w:tcPr>
            <w:tcW w:w="1537" w:type="dxa"/>
            <w:tcBorders>
              <w:top w:val="single" w:color="000000" w:sz="8" w:space="0"/>
              <w:left w:val="single" w:color="000000" w:sz="8" w:space="0"/>
              <w:bottom w:val="single" w:color="000000" w:sz="8" w:space="0"/>
              <w:right w:val="single" w:color="000000" w:sz="8" w:space="0"/>
            </w:tcBorders>
            <w:vAlign w:val="center"/>
          </w:tcPr>
          <w:p w14:paraId="5E7A291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最高响应</w:t>
            </w:r>
          </w:p>
          <w:p w14:paraId="5E2A027C">
            <w:pPr>
              <w:keepNext w:val="0"/>
              <w:keepLines w:val="0"/>
              <w:kinsoku/>
              <w:overflowPunct/>
              <w:autoSpaceDE/>
              <w:bidi w:val="0"/>
              <w:snapToGrid w:val="0"/>
              <w:spacing w:line="360" w:lineRule="auto"/>
              <w:jc w:val="center"/>
              <w:textAlignment w:val="auto"/>
              <w:rPr>
                <w:rFonts w:ascii="宋体" w:hAnsi="宋体" w:eastAsia="宋体" w:cs="宋体"/>
                <w:b w:val="0"/>
                <w:bCs w:val="0"/>
                <w:color w:val="000000"/>
                <w:sz w:val="21"/>
                <w:szCs w:val="21"/>
                <w:highlight w:val="none"/>
                <w:lang w:val="en-US" w:eastAsia="zh-CN"/>
              </w:rPr>
            </w:pPr>
            <w:r>
              <w:rPr>
                <w:rFonts w:ascii="宋体" w:hAnsi="宋体" w:cs="宋体"/>
                <w:color w:val="000000"/>
                <w:sz w:val="21"/>
                <w:szCs w:val="21"/>
              </w:rPr>
              <w:t>限价</w:t>
            </w:r>
          </w:p>
        </w:tc>
        <w:tc>
          <w:tcPr>
            <w:tcW w:w="7365" w:type="dxa"/>
            <w:tcBorders>
              <w:top w:val="single" w:color="000000" w:sz="8" w:space="0"/>
              <w:left w:val="single" w:color="000000" w:sz="8" w:space="0"/>
              <w:bottom w:val="single" w:color="000000" w:sz="8" w:space="0"/>
              <w:right w:val="single" w:color="000000" w:sz="12" w:space="0"/>
            </w:tcBorders>
            <w:vAlign w:val="center"/>
          </w:tcPr>
          <w:p w14:paraId="4972DB1A">
            <w:pPr>
              <w:keepNext w:val="0"/>
              <w:keepLines w:val="0"/>
              <w:widowControl/>
              <w:spacing w:line="360" w:lineRule="auto"/>
              <w:jc w:val="left"/>
              <w:rPr>
                <w:rFonts w:ascii="宋体" w:hAnsi="宋体" w:eastAsia="宋体" w:cs="宋体"/>
                <w:color w:val="0000FF"/>
                <w:sz w:val="21"/>
                <w:szCs w:val="21"/>
                <w:highlight w:val="none"/>
                <w:lang w:val="en-US" w:eastAsia="zh-CN"/>
              </w:rPr>
            </w:pPr>
            <w:r>
              <w:rPr>
                <w:rFonts w:ascii="宋体" w:hAnsi="宋体" w:cs="宋体"/>
                <w:color w:val="0000FF"/>
                <w:sz w:val="21"/>
                <w:szCs w:val="21"/>
              </w:rPr>
              <w:t>磋商报价最高限</w:t>
            </w:r>
            <w:r>
              <w:rPr>
                <w:rFonts w:ascii="宋体" w:hAnsi="宋体" w:cs="宋体"/>
                <w:color w:val="0000FF"/>
                <w:sz w:val="21"/>
                <w:szCs w:val="21"/>
                <w:lang w:val="en-US" w:eastAsia="zh-CN"/>
              </w:rPr>
              <w:t>价</w:t>
            </w:r>
            <w:r>
              <w:rPr>
                <w:rFonts w:ascii="宋体" w:hAnsi="宋体" w:cs="宋体"/>
                <w:b w:val="0"/>
                <w:bCs w:val="0"/>
                <w:color w:val="0000FF"/>
                <w:sz w:val="21"/>
                <w:szCs w:val="21"/>
                <w:u w:val="none"/>
              </w:rPr>
              <w:t>：</w:t>
            </w:r>
            <w:r>
              <w:rPr>
                <w:rFonts w:ascii="宋体" w:hAnsi="宋体" w:cs="宋体"/>
                <w:color w:val="0000FF"/>
                <w:sz w:val="21"/>
                <w:szCs w:val="21"/>
                <w:u w:val="single"/>
                <w:lang w:val="en-US" w:eastAsia="zh-CN"/>
              </w:rPr>
              <w:t xml:space="preserve"> </w:t>
            </w:r>
            <w:r>
              <w:rPr>
                <w:rFonts w:ascii="宋体" w:hAnsi="宋体" w:eastAsia="宋体" w:cs="宋体"/>
                <w:color w:val="0000FF"/>
                <w:sz w:val="21"/>
                <w:szCs w:val="21"/>
                <w:u w:val="single"/>
                <w:lang w:val="en-US" w:eastAsia="zh-CN"/>
              </w:rPr>
              <w:t xml:space="preserve">1842394.86  </w:t>
            </w:r>
            <w:r>
              <w:rPr>
                <w:rFonts w:ascii="宋体" w:hAnsi="宋体" w:cs="宋体"/>
                <w:b w:val="0"/>
                <w:bCs w:val="0"/>
                <w:color w:val="0000FF"/>
                <w:sz w:val="21"/>
                <w:szCs w:val="21"/>
                <w:u w:val="none"/>
                <w:lang w:val="en-US" w:eastAsia="zh-CN"/>
              </w:rPr>
              <w:t>元</w:t>
            </w:r>
            <w:r>
              <w:rPr>
                <w:rFonts w:ascii="宋体" w:hAnsi="宋体" w:cs="宋体"/>
                <w:b w:val="0"/>
                <w:bCs w:val="0"/>
                <w:color w:val="0000FF"/>
                <w:sz w:val="21"/>
                <w:szCs w:val="21"/>
                <w:u w:val="none"/>
              </w:rPr>
              <w:t>，高于最高限价的，</w:t>
            </w:r>
            <w:r>
              <w:rPr>
                <w:rFonts w:ascii="宋体" w:hAnsi="宋体" w:cs="宋体"/>
                <w:b w:val="0"/>
                <w:bCs w:val="0"/>
                <w:color w:val="0000FF"/>
                <w:sz w:val="21"/>
                <w:szCs w:val="21"/>
              </w:rPr>
              <w:t>其</w:t>
            </w:r>
            <w:r>
              <w:rPr>
                <w:rFonts w:ascii="宋体" w:hAnsi="宋体" w:cs="宋体"/>
                <w:color w:val="0000FF"/>
                <w:sz w:val="21"/>
                <w:szCs w:val="21"/>
              </w:rPr>
              <w:t>响应文件按无效响应处理。</w:t>
            </w:r>
          </w:p>
        </w:tc>
      </w:tr>
      <w:tr w14:paraId="5ADD4B9C">
        <w:tblPrEx>
          <w:tblCellMar>
            <w:top w:w="0" w:type="dxa"/>
            <w:left w:w="108" w:type="dxa"/>
            <w:bottom w:w="0" w:type="dxa"/>
            <w:right w:w="108" w:type="dxa"/>
          </w:tblCellMar>
        </w:tblPrEx>
        <w:trPr>
          <w:trHeight w:val="43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BDB2E1A">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8</w:t>
            </w:r>
          </w:p>
        </w:tc>
        <w:tc>
          <w:tcPr>
            <w:tcW w:w="1537" w:type="dxa"/>
            <w:tcBorders>
              <w:top w:val="single" w:color="000000" w:sz="8" w:space="0"/>
              <w:left w:val="single" w:color="000000" w:sz="8" w:space="0"/>
              <w:bottom w:val="single" w:color="000000" w:sz="8" w:space="0"/>
              <w:right w:val="single" w:color="000000" w:sz="8" w:space="0"/>
            </w:tcBorders>
            <w:vAlign w:val="center"/>
          </w:tcPr>
          <w:p w14:paraId="61999790">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资金来源</w:t>
            </w:r>
          </w:p>
        </w:tc>
        <w:tc>
          <w:tcPr>
            <w:tcW w:w="7365" w:type="dxa"/>
            <w:tcBorders>
              <w:top w:val="single" w:color="000000" w:sz="8" w:space="0"/>
              <w:left w:val="single" w:color="000000" w:sz="8" w:space="0"/>
              <w:bottom w:val="single" w:color="000000" w:sz="8" w:space="0"/>
              <w:right w:val="single" w:color="000000" w:sz="12" w:space="0"/>
            </w:tcBorders>
            <w:vAlign w:val="center"/>
          </w:tcPr>
          <w:p w14:paraId="62BA76E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江苏援疆资金</w:t>
            </w:r>
          </w:p>
        </w:tc>
      </w:tr>
      <w:tr w14:paraId="7143864E">
        <w:tblPrEx>
          <w:tblCellMar>
            <w:top w:w="0" w:type="dxa"/>
            <w:left w:w="108" w:type="dxa"/>
            <w:bottom w:w="0" w:type="dxa"/>
            <w:right w:w="108" w:type="dxa"/>
          </w:tblCellMar>
        </w:tblPrEx>
        <w:trPr>
          <w:trHeight w:val="486"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756BEA7">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9</w:t>
            </w:r>
          </w:p>
        </w:tc>
        <w:tc>
          <w:tcPr>
            <w:tcW w:w="1537" w:type="dxa"/>
            <w:tcBorders>
              <w:top w:val="single" w:color="000000" w:sz="8" w:space="0"/>
              <w:left w:val="single" w:color="000000" w:sz="8" w:space="0"/>
              <w:bottom w:val="single" w:color="000000" w:sz="8" w:space="0"/>
              <w:right w:val="single" w:color="000000" w:sz="8" w:space="0"/>
            </w:tcBorders>
            <w:vAlign w:val="center"/>
          </w:tcPr>
          <w:p w14:paraId="66D6889C">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358BB089">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竞争性磋商</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本项目采用网上电子招投标</w:t>
            </w:r>
            <w:r>
              <w:rPr>
                <w:rFonts w:ascii="宋体" w:hAnsi="宋体" w:eastAsia="宋体" w:cs="宋体"/>
                <w:color w:val="000000"/>
                <w:sz w:val="21"/>
                <w:szCs w:val="21"/>
                <w:lang w:val="en-US" w:eastAsia="zh-CN"/>
              </w:rPr>
              <w:t xml:space="preserve">)             </w:t>
            </w:r>
          </w:p>
        </w:tc>
      </w:tr>
      <w:tr w14:paraId="63F61349">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D23D5F3">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10</w:t>
            </w:r>
          </w:p>
        </w:tc>
        <w:tc>
          <w:tcPr>
            <w:tcW w:w="1537" w:type="dxa"/>
            <w:tcBorders>
              <w:top w:val="single" w:color="000000" w:sz="8" w:space="0"/>
              <w:left w:val="single" w:color="000000" w:sz="8" w:space="0"/>
              <w:bottom w:val="single" w:color="000000" w:sz="8" w:space="0"/>
              <w:right w:val="single" w:color="000000" w:sz="8" w:space="0"/>
            </w:tcBorders>
            <w:vAlign w:val="center"/>
          </w:tcPr>
          <w:p w14:paraId="4BD6C00D">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供应商资格条件及其他要求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983F6AF">
            <w:pPr>
              <w:keepNext w:val="0"/>
              <w:keepLines w:val="0"/>
              <w:widowControl/>
              <w:spacing w:line="360" w:lineRule="auto"/>
              <w:jc w:val="left"/>
              <w:rPr>
                <w:rFonts w:ascii="宋体" w:hAnsi="宋体" w:eastAsia="宋体" w:cs="宋体"/>
                <w:b w:val="0"/>
                <w:bCs w:val="0"/>
                <w:kern w:val="2"/>
                <w:sz w:val="21"/>
                <w:szCs w:val="21"/>
                <w:lang w:val="en-US" w:eastAsia="zh-CN" w:bidi="ar-SA"/>
              </w:rPr>
            </w:pPr>
            <w:r>
              <w:rPr>
                <w:rFonts w:ascii="宋体" w:hAnsi="宋体" w:eastAsia="宋体" w:cs="宋体"/>
                <w:b w:val="0"/>
                <w:bCs w:val="0"/>
                <w:kern w:val="2"/>
                <w:sz w:val="21"/>
                <w:szCs w:val="21"/>
                <w:lang w:val="en-US" w:eastAsia="zh-CN" w:bidi="ar-SA"/>
              </w:rPr>
              <w:t>1</w:t>
            </w:r>
            <w:r>
              <w:rPr>
                <w:rFonts w:ascii="宋体" w:hAnsi="宋体" w:cs="宋体"/>
                <w:b w:val="0"/>
                <w:bCs w:val="0"/>
                <w:kern w:val="2"/>
                <w:sz w:val="21"/>
                <w:szCs w:val="21"/>
                <w:lang w:val="en-US" w:eastAsia="zh-CN" w:bidi="ar-SA"/>
              </w:rPr>
              <w:t>、符合《中华人民共和国政府采购法》第二十二条之规定的合格供应商：</w:t>
            </w:r>
          </w:p>
          <w:p w14:paraId="1C90AF9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kern w:val="2"/>
                <w:sz w:val="21"/>
                <w:szCs w:val="21"/>
                <w:lang w:val="en-US" w:eastAsia="zh-CN" w:bidi="ar-SA"/>
              </w:rPr>
              <w:t>2.</w:t>
            </w:r>
            <w:r>
              <w:rPr>
                <w:rFonts w:ascii="宋体" w:hAnsi="宋体" w:cs="宋体"/>
                <w:b w:val="0"/>
                <w:bCs w:val="0"/>
                <w:kern w:val="2"/>
                <w:sz w:val="21"/>
                <w:szCs w:val="21"/>
                <w:lang w:val="en-US" w:eastAsia="zh-CN" w:bidi="ar-SA"/>
              </w:rPr>
              <w:t>落实政府采购政策需满足的资格要求：</w:t>
            </w:r>
            <w:r>
              <w:rPr>
                <w:rFonts w:ascii="宋体" w:hAnsi="宋体" w:cs="宋体"/>
                <w:b w:val="0"/>
                <w:bCs w:val="0"/>
                <w:color w:val="0000FF"/>
                <w:sz w:val="21"/>
                <w:szCs w:val="21"/>
                <w:u w:val="none"/>
                <w:lang w:val="en-US" w:eastAsia="zh-CN"/>
              </w:rPr>
              <w:t>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 供应商为中小企业； </w:t>
            </w:r>
          </w:p>
          <w:p w14:paraId="7D940179">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本项目的特定资格要求：【标项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br w:type="textWrapping"/>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）具备三证合一营业执照副本；</w:t>
            </w:r>
          </w:p>
          <w:p w14:paraId="099A76E1">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2</w:t>
            </w:r>
            <w:r>
              <w:rPr>
                <w:rFonts w:ascii="宋体" w:hAnsi="宋体" w:cs="宋体"/>
                <w:b w:val="0"/>
                <w:bCs w:val="0"/>
                <w:color w:val="0000FF"/>
                <w:sz w:val="21"/>
                <w:szCs w:val="21"/>
                <w:u w:val="none"/>
                <w:lang w:val="en-US" w:eastAsia="zh-CN"/>
              </w:rPr>
              <w:t>）法定代表人响应需提供法定代表人资格证明书，委托代理人响应需提供法定代表人授权委托书；</w:t>
            </w:r>
          </w:p>
          <w:p w14:paraId="13DB23EC">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 xml:space="preserve">）供应商须提供供应商（被授权在职人员）近 </w:t>
            </w:r>
            <w:r>
              <w:rPr>
                <w:rFonts w:ascii="宋体" w:hAnsi="宋体" w:eastAsia="宋体" w:cs="宋体"/>
                <w:b w:val="0"/>
                <w:bCs w:val="0"/>
                <w:color w:val="0000FF"/>
                <w:sz w:val="21"/>
                <w:szCs w:val="21"/>
                <w:u w:val="none"/>
                <w:lang w:val="en-US" w:eastAsia="zh-CN"/>
              </w:rPr>
              <w:t xml:space="preserve">6 </w:t>
            </w:r>
            <w:r>
              <w:rPr>
                <w:rFonts w:ascii="宋体" w:hAnsi="宋体" w:cs="宋体"/>
                <w:b w:val="0"/>
                <w:bCs w:val="0"/>
                <w:color w:val="0000FF"/>
                <w:sz w:val="21"/>
                <w:szCs w:val="21"/>
                <w:u w:val="none"/>
                <w:lang w:val="en-US" w:eastAsia="zh-CN"/>
              </w:rPr>
              <w:t>个月内任意一个月有效的社保证明；</w:t>
            </w:r>
          </w:p>
          <w:p w14:paraId="1987B96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4</w:t>
            </w:r>
            <w:r>
              <w:rPr>
                <w:rFonts w:ascii="宋体" w:hAnsi="宋体" w:cs="宋体"/>
                <w:b w:val="0"/>
                <w:bCs w:val="0"/>
                <w:color w:val="0000FF"/>
                <w:sz w:val="21"/>
                <w:szCs w:val="21"/>
                <w:u w:val="none"/>
                <w:lang w:val="en-US" w:eastAsia="zh-CN"/>
              </w:rPr>
              <w:t>）未被“信用中国 ”（</w:t>
            </w:r>
            <w:r>
              <w:rPr>
                <w:rFonts w:ascii="宋体" w:hAnsi="宋体" w:eastAsia="宋体" w:cs="宋体"/>
                <w:b w:val="0"/>
                <w:bCs w:val="0"/>
                <w:color w:val="0000FF"/>
                <w:sz w:val="21"/>
                <w:szCs w:val="21"/>
                <w:u w:val="none"/>
                <w:lang w:val="en-US" w:eastAsia="zh-CN"/>
              </w:rPr>
              <w:t>www.creditchina.gov.cn</w:t>
            </w:r>
            <w:r>
              <w:rPr>
                <w:rFonts w:ascii="宋体" w:hAnsi="宋体" w:cs="宋体"/>
                <w:b w:val="0"/>
                <w:bCs w:val="0"/>
                <w:color w:val="0000FF"/>
                <w:sz w:val="21"/>
                <w:szCs w:val="21"/>
                <w:u w:val="none"/>
                <w:lang w:val="en-US" w:eastAsia="zh-CN"/>
              </w:rPr>
              <w:t>）、中国政府采购网（</w:t>
            </w:r>
            <w:r>
              <w:rPr>
                <w:rFonts w:ascii="宋体" w:hAnsi="宋体" w:eastAsia="宋体" w:cs="宋体"/>
                <w:b w:val="0"/>
                <w:bCs w:val="0"/>
                <w:color w:val="0000FF"/>
                <w:sz w:val="21"/>
                <w:szCs w:val="21"/>
                <w:u w:val="none"/>
                <w:lang w:val="en-US" w:eastAsia="zh-CN"/>
              </w:rPr>
              <w:t>www.ccgp.gov.cn</w:t>
            </w:r>
            <w:r>
              <w:rPr>
                <w:rFonts w:ascii="宋体" w:hAnsi="宋体" w:cs="宋体"/>
                <w:b w:val="0"/>
                <w:bCs w:val="0"/>
                <w:color w:val="0000FF"/>
                <w:sz w:val="21"/>
                <w:szCs w:val="21"/>
                <w:u w:val="none"/>
                <w:lang w:val="en-US" w:eastAsia="zh-CN"/>
              </w:rPr>
              <w:t>） 列入失信被执行人、重大税收违法案件当事人名单、政府采购严重违法失信行为记录名单（提供查询结果网页截图并加盖供应商公章）；</w:t>
            </w:r>
          </w:p>
          <w:p w14:paraId="60847C3D">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5</w:t>
            </w:r>
            <w:r>
              <w:rPr>
                <w:rFonts w:ascii="宋体" w:hAnsi="宋体" w:cs="宋体"/>
                <w:b w:val="0"/>
                <w:bCs w:val="0"/>
                <w:color w:val="0000FF"/>
                <w:sz w:val="21"/>
                <w:szCs w:val="21"/>
                <w:u w:val="none"/>
                <w:lang w:val="en-US" w:eastAsia="zh-CN"/>
              </w:rPr>
              <w:t>）供应商须具备建筑工程施工总承包二级（含）以上资质等级、有效的安全生产许可证；项目负责人具备建筑工程专业二级（含）以上注册建造师执业资格且具有有效的安全生产考核证；</w:t>
            </w:r>
          </w:p>
          <w:p w14:paraId="7BF4A7E4">
            <w:pPr>
              <w:keepNext w:val="0"/>
              <w:keepLines w:val="0"/>
              <w:widowControl/>
              <w:spacing w:line="360" w:lineRule="auto"/>
              <w:jc w:val="left"/>
              <w:rPr>
                <w:rFonts w:ascii="宋体" w:hAnsi="宋体" w:eastAsia="宋体" w:cs="宋体"/>
                <w:b w:val="0"/>
                <w:bCs w:val="0"/>
                <w:kern w:val="2"/>
                <w:sz w:val="21"/>
                <w:szCs w:val="21"/>
                <w:lang w:val="en-US" w:eastAsia="zh-CN" w:bidi="ar-SA"/>
              </w:rPr>
            </w:pPr>
            <w:r>
              <w:rPr>
                <w:rFonts w:ascii="宋体" w:hAnsi="宋体" w:eastAsia="宋体" w:cs="宋体"/>
                <w:b w:val="0"/>
                <w:bCs w:val="0"/>
                <w:kern w:val="2"/>
                <w:sz w:val="21"/>
                <w:szCs w:val="21"/>
                <w:lang w:val="en-US" w:eastAsia="zh-CN" w:bidi="ar-SA"/>
              </w:rPr>
              <w:t>4</w:t>
            </w:r>
            <w:r>
              <w:rPr>
                <w:rFonts w:ascii="宋体" w:hAnsi="宋体" w:cs="宋体"/>
                <w:b w:val="0"/>
                <w:bCs w:val="0"/>
                <w:kern w:val="2"/>
                <w:sz w:val="21"/>
                <w:szCs w:val="21"/>
                <w:lang w:val="en-US" w:eastAsia="zh-CN" w:bidi="ar-SA"/>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60A153D4">
            <w:pPr>
              <w:keepNext w:val="0"/>
              <w:keepLines w:val="0"/>
              <w:widowControl/>
              <w:spacing w:line="360" w:lineRule="auto"/>
              <w:jc w:val="left"/>
              <w:rPr>
                <w:rFonts w:ascii="宋体" w:hAnsi="宋体" w:eastAsia="宋体" w:cs="宋体"/>
                <w:color w:val="000000"/>
                <w:sz w:val="21"/>
                <w:szCs w:val="21"/>
                <w:highlight w:val="none"/>
              </w:rPr>
            </w:pPr>
            <w:r>
              <w:rPr>
                <w:rFonts w:ascii="宋体" w:hAnsi="宋体" w:eastAsia="宋体" w:cs="宋体"/>
                <w:b w:val="0"/>
                <w:bCs w:val="0"/>
                <w:kern w:val="2"/>
                <w:sz w:val="21"/>
                <w:szCs w:val="21"/>
                <w:lang w:val="en-US" w:eastAsia="zh-CN" w:bidi="ar-SA"/>
              </w:rPr>
              <w:t>5</w:t>
            </w:r>
            <w:r>
              <w:rPr>
                <w:rFonts w:ascii="宋体" w:hAnsi="宋体" w:cs="宋体"/>
                <w:b w:val="0"/>
                <w:bCs w:val="0"/>
                <w:kern w:val="2"/>
                <w:sz w:val="21"/>
                <w:szCs w:val="21"/>
                <w:lang w:val="en-US" w:eastAsia="zh-CN" w:bidi="ar-SA"/>
              </w:rPr>
              <w:t>、本项目不接受联合体响应。</w:t>
            </w:r>
          </w:p>
        </w:tc>
      </w:tr>
      <w:tr w14:paraId="67F2B00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AA3CC0">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11</w:t>
            </w:r>
          </w:p>
        </w:tc>
        <w:tc>
          <w:tcPr>
            <w:tcW w:w="1537" w:type="dxa"/>
            <w:tcBorders>
              <w:top w:val="single" w:color="000000" w:sz="8" w:space="0"/>
              <w:left w:val="single" w:color="000000" w:sz="8" w:space="0"/>
              <w:bottom w:val="single" w:color="000000" w:sz="8" w:space="0"/>
              <w:right w:val="single" w:color="000000" w:sz="8" w:space="0"/>
            </w:tcBorders>
            <w:vAlign w:val="center"/>
          </w:tcPr>
          <w:p w14:paraId="2FDE431F">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供应商信用查询</w:t>
            </w:r>
          </w:p>
        </w:tc>
        <w:tc>
          <w:tcPr>
            <w:tcW w:w="7365" w:type="dxa"/>
            <w:tcBorders>
              <w:top w:val="single" w:color="000000" w:sz="8" w:space="0"/>
              <w:left w:val="single" w:color="000000" w:sz="8" w:space="0"/>
              <w:bottom w:val="single" w:color="000000" w:sz="8" w:space="0"/>
              <w:right w:val="single" w:color="000000" w:sz="12" w:space="0"/>
            </w:tcBorders>
            <w:vAlign w:val="center"/>
          </w:tcPr>
          <w:p w14:paraId="52634D33">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、查询渠道：信用中国（网址：</w:t>
            </w:r>
            <w:r>
              <w:rPr>
                <w:rFonts w:eastAsia="宋体" w:cs="宋体"/>
                <w:color w:val="000000"/>
                <w:sz w:val="21"/>
                <w:szCs w:val="21"/>
                <w:lang w:val="en-US" w:eastAsia="zh-CN"/>
              </w:rPr>
              <w:t>http://www.creditchina.gov.cn</w:t>
            </w:r>
            <w:r>
              <w:rPr>
                <w:rFonts w:ascii="宋体" w:hAnsi="宋体" w:cs="宋体"/>
                <w:color w:val="000000"/>
                <w:sz w:val="21"/>
                <w:szCs w:val="21"/>
                <w:lang w:val="en-US" w:eastAsia="zh-CN"/>
              </w:rPr>
              <w:t>）、中国政府采购网</w:t>
            </w:r>
            <w:r>
              <w:rPr>
                <w:rFonts w:eastAsia="宋体" w:cs="宋体"/>
                <w:color w:val="000000"/>
                <w:sz w:val="21"/>
                <w:szCs w:val="21"/>
                <w:lang w:val="en-US" w:eastAsia="zh-CN"/>
              </w:rPr>
              <w:t>(</w:t>
            </w:r>
            <w:r>
              <w:rPr>
                <w:rFonts w:ascii="宋体" w:hAnsi="宋体" w:cs="宋体"/>
                <w:color w:val="000000"/>
                <w:sz w:val="21"/>
                <w:szCs w:val="21"/>
                <w:lang w:val="en-US" w:eastAsia="zh-CN"/>
              </w:rPr>
              <w:t>网址：</w:t>
            </w:r>
            <w:r>
              <w:rPr>
                <w:rFonts w:eastAsia="宋体" w:cs="宋体"/>
                <w:color w:val="000000"/>
                <w:sz w:val="21"/>
                <w:szCs w:val="21"/>
                <w:lang w:val="en-US" w:eastAsia="zh-CN"/>
              </w:rPr>
              <w:t>http://www.ccgp.gov.cn</w:t>
            </w:r>
            <w:r>
              <w:rPr>
                <w:rFonts w:ascii="宋体" w:hAnsi="宋体" w:cs="宋体"/>
                <w:color w:val="000000"/>
                <w:sz w:val="21"/>
                <w:szCs w:val="21"/>
                <w:lang w:val="en-US" w:eastAsia="zh-CN"/>
              </w:rPr>
              <w:t>）。</w:t>
            </w:r>
          </w:p>
          <w:p w14:paraId="1568EE46">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、截止时点：响应文件开启后评审前。</w:t>
            </w:r>
          </w:p>
          <w:p w14:paraId="6F775A42">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r>
              <w:rPr>
                <w:rFonts w:ascii="宋体" w:hAnsi="宋体" w:cs="宋体"/>
                <w:color w:val="000000"/>
                <w:sz w:val="21"/>
                <w:szCs w:val="21"/>
                <w:lang w:val="en-US" w:eastAsia="zh-CN"/>
              </w:rPr>
              <w:t>、信用信息查询记录和证据留存的具体方式：由采购组织机构在规定查询时间内打印信用信息查询记录并归入项目档案。</w:t>
            </w:r>
          </w:p>
          <w:p w14:paraId="216454A3">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r>
              <w:rPr>
                <w:rFonts w:ascii="宋体" w:hAnsi="宋体" w:cs="宋体"/>
                <w:color w:val="000000"/>
                <w:sz w:val="21"/>
                <w:szCs w:val="21"/>
                <w:lang w:val="en-US" w:eastAsia="zh-CN"/>
              </w:rPr>
              <w:t>、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2FDC4919">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336483C">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12</w:t>
            </w:r>
          </w:p>
        </w:tc>
        <w:tc>
          <w:tcPr>
            <w:tcW w:w="1537" w:type="dxa"/>
            <w:tcBorders>
              <w:top w:val="single" w:color="000000" w:sz="8" w:space="0"/>
              <w:left w:val="single" w:color="000000" w:sz="8" w:space="0"/>
              <w:bottom w:val="single" w:color="000000" w:sz="8" w:space="0"/>
              <w:right w:val="single" w:color="000000" w:sz="8" w:space="0"/>
            </w:tcBorders>
            <w:vAlign w:val="center"/>
          </w:tcPr>
          <w:p w14:paraId="792A0ED9">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踏勘现场</w:t>
            </w:r>
          </w:p>
        </w:tc>
        <w:tc>
          <w:tcPr>
            <w:tcW w:w="7365" w:type="dxa"/>
            <w:tcBorders>
              <w:top w:val="single" w:color="000000" w:sz="8" w:space="0"/>
              <w:left w:val="single" w:color="000000" w:sz="8" w:space="0"/>
              <w:bottom w:val="single" w:color="000000" w:sz="8" w:space="0"/>
              <w:right w:val="single" w:color="000000" w:sz="12" w:space="0"/>
            </w:tcBorders>
            <w:vAlign w:val="center"/>
          </w:tcPr>
          <w:p w14:paraId="56CB67DD">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lang w:val="en-US" w:eastAsia="zh-CN"/>
              </w:rPr>
              <w:t>不组织</w:t>
            </w:r>
            <w:r>
              <w:rPr>
                <w:rFonts w:eastAsia="宋体" w:cs="宋体"/>
                <w:color w:val="000000"/>
                <w:sz w:val="21"/>
                <w:szCs w:val="21"/>
                <w:lang w:val="en-US" w:eastAsia="zh-CN"/>
              </w:rPr>
              <w:t>,</w:t>
            </w:r>
            <w:r>
              <w:rPr>
                <w:rFonts w:ascii="宋体" w:hAnsi="宋体" w:cs="宋体"/>
                <w:color w:val="000000"/>
                <w:sz w:val="21"/>
                <w:szCs w:val="21"/>
                <w:lang w:val="en-US" w:eastAsia="zh-CN"/>
              </w:rPr>
              <w:t>供应商可自行合理安排时间踏勘现场。</w:t>
            </w:r>
          </w:p>
        </w:tc>
      </w:tr>
      <w:tr w14:paraId="6A83AD4F">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F5C8F5C">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13</w:t>
            </w:r>
          </w:p>
        </w:tc>
        <w:tc>
          <w:tcPr>
            <w:tcW w:w="1537" w:type="dxa"/>
            <w:tcBorders>
              <w:top w:val="single" w:color="000000" w:sz="8" w:space="0"/>
              <w:left w:val="single" w:color="000000" w:sz="8" w:space="0"/>
              <w:bottom w:val="single" w:color="000000" w:sz="8" w:space="0"/>
              <w:right w:val="single" w:color="000000" w:sz="8" w:space="0"/>
            </w:tcBorders>
            <w:vAlign w:val="center"/>
          </w:tcPr>
          <w:p w14:paraId="7AC06C85">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响应预备会</w:t>
            </w:r>
          </w:p>
        </w:tc>
        <w:tc>
          <w:tcPr>
            <w:tcW w:w="7365" w:type="dxa"/>
            <w:tcBorders>
              <w:top w:val="single" w:color="000000" w:sz="8" w:space="0"/>
              <w:left w:val="single" w:color="000000" w:sz="8" w:space="0"/>
              <w:bottom w:val="single" w:color="000000" w:sz="8" w:space="0"/>
              <w:right w:val="single" w:color="000000" w:sz="12" w:space="0"/>
            </w:tcBorders>
            <w:vAlign w:val="center"/>
          </w:tcPr>
          <w:p w14:paraId="76271EEA">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不召开</w:t>
            </w:r>
          </w:p>
        </w:tc>
      </w:tr>
      <w:tr w14:paraId="7F0FAEAB">
        <w:tblPrEx>
          <w:tblCellMar>
            <w:top w:w="0" w:type="dxa"/>
            <w:left w:w="108" w:type="dxa"/>
            <w:bottom w:w="0" w:type="dxa"/>
            <w:right w:w="108" w:type="dxa"/>
          </w:tblCellMar>
        </w:tblPrEx>
        <w:trPr>
          <w:trHeight w:val="3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E3C392">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14</w:t>
            </w:r>
          </w:p>
        </w:tc>
        <w:tc>
          <w:tcPr>
            <w:tcW w:w="1537" w:type="dxa"/>
            <w:tcBorders>
              <w:top w:val="single" w:color="000000" w:sz="8" w:space="0"/>
              <w:left w:val="single" w:color="000000" w:sz="8" w:space="0"/>
              <w:bottom w:val="single" w:color="000000" w:sz="8" w:space="0"/>
              <w:right w:val="single" w:color="000000" w:sz="8" w:space="0"/>
            </w:tcBorders>
            <w:vAlign w:val="center"/>
          </w:tcPr>
          <w:p w14:paraId="2C750D39">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联合体响应</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84B7F3">
            <w:pPr>
              <w:keepNext w:val="0"/>
              <w:keepLines w:val="0"/>
              <w:kinsoku/>
              <w:overflowPunct/>
              <w:autoSpaceDE/>
              <w:bidi w:val="0"/>
              <w:spacing w:line="360" w:lineRule="auto"/>
              <w:textAlignment w:val="auto"/>
              <w:rPr>
                <w:rFonts w:ascii="宋体" w:hAnsi="宋体" w:eastAsia="宋体" w:cs="宋体"/>
                <w:color w:val="000000"/>
                <w:sz w:val="21"/>
                <w:szCs w:val="21"/>
                <w:highlight w:val="none"/>
              </w:rPr>
            </w:pPr>
            <w:r>
              <w:rPr>
                <w:rFonts w:ascii="宋体" w:hAnsi="宋体" w:eastAsia="宋体" w:cs="宋体"/>
                <w:color w:val="000000"/>
                <w:sz w:val="21"/>
                <w:szCs w:val="21"/>
                <w:lang w:eastAsia="zh-CN"/>
              </w:rPr>
              <w:t>☑</w:t>
            </w:r>
            <w:r>
              <w:rPr>
                <w:rFonts w:ascii="宋体" w:hAnsi="宋体" w:cs="宋体"/>
                <w:color w:val="000000"/>
                <w:sz w:val="21"/>
                <w:szCs w:val="21"/>
              </w:rPr>
              <w:t>不接受</w:t>
            </w:r>
          </w:p>
          <w:p w14:paraId="01F311E0">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rPr>
              <w:t>接受，联合体响应的须在响应文件中提供联合体协议书，联合体所有成员不得超过</w:t>
            </w:r>
            <w:r>
              <w:rPr>
                <w:rFonts w:eastAsia="宋体" w:cs="宋体"/>
                <w:color w:val="000000"/>
                <w:sz w:val="21"/>
                <w:szCs w:val="21"/>
              </w:rPr>
              <w:t>2</w:t>
            </w:r>
            <w:r>
              <w:rPr>
                <w:rFonts w:ascii="宋体" w:hAnsi="宋体" w:cs="宋体"/>
                <w:color w:val="000000"/>
                <w:sz w:val="21"/>
                <w:szCs w:val="21"/>
              </w:rPr>
              <w:t>家，联合体的任何一方均不得再与其他供应商联合。</w:t>
            </w:r>
          </w:p>
        </w:tc>
      </w:tr>
      <w:tr w14:paraId="63AAF836">
        <w:tblPrEx>
          <w:tblCellMar>
            <w:top w:w="0" w:type="dxa"/>
            <w:left w:w="108" w:type="dxa"/>
            <w:bottom w:w="0" w:type="dxa"/>
            <w:right w:w="108" w:type="dxa"/>
          </w:tblCellMar>
        </w:tblPrEx>
        <w:trPr>
          <w:trHeight w:val="2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E485B9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15</w:t>
            </w:r>
          </w:p>
        </w:tc>
        <w:tc>
          <w:tcPr>
            <w:tcW w:w="1537" w:type="dxa"/>
            <w:tcBorders>
              <w:top w:val="single" w:color="000000" w:sz="8" w:space="0"/>
              <w:left w:val="single" w:color="000000" w:sz="8" w:space="0"/>
              <w:bottom w:val="single" w:color="000000" w:sz="8" w:space="0"/>
              <w:right w:val="single" w:color="000000" w:sz="8" w:space="0"/>
            </w:tcBorders>
            <w:vAlign w:val="center"/>
          </w:tcPr>
          <w:p w14:paraId="3C7E377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采购代理服务费</w:t>
            </w:r>
          </w:p>
        </w:tc>
        <w:tc>
          <w:tcPr>
            <w:tcW w:w="7365" w:type="dxa"/>
            <w:tcBorders>
              <w:top w:val="single" w:color="000000" w:sz="8" w:space="0"/>
              <w:left w:val="single" w:color="000000" w:sz="8" w:space="0"/>
              <w:bottom w:val="single" w:color="000000" w:sz="8" w:space="0"/>
              <w:right w:val="single" w:color="000000" w:sz="12" w:space="0"/>
            </w:tcBorders>
            <w:vAlign w:val="center"/>
          </w:tcPr>
          <w:p w14:paraId="028CDFF5">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kern w:val="2"/>
                <w:sz w:val="21"/>
                <w:szCs w:val="21"/>
                <w:u w:val="none" w:color="000000"/>
                <w:lang w:val="en-US" w:eastAsia="zh-CN" w:bidi="ar-SA"/>
              </w:rPr>
              <w:t>采购代理服务报酬为人民币，经采购人与代理机构协商后确定由成交单位在领取本项目成交通知书时，由成交供应商支付本项目代理服务费。</w:t>
            </w:r>
          </w:p>
        </w:tc>
      </w:tr>
      <w:tr w14:paraId="5A5D2F48">
        <w:tblPrEx>
          <w:tblCellMar>
            <w:top w:w="0" w:type="dxa"/>
            <w:left w:w="108" w:type="dxa"/>
            <w:bottom w:w="0" w:type="dxa"/>
            <w:right w:w="108" w:type="dxa"/>
          </w:tblCellMar>
        </w:tblPrEx>
        <w:trPr>
          <w:trHeight w:val="422"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75E5DD5">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16</w:t>
            </w:r>
          </w:p>
        </w:tc>
        <w:tc>
          <w:tcPr>
            <w:tcW w:w="1537" w:type="dxa"/>
            <w:tcBorders>
              <w:top w:val="single" w:color="000000" w:sz="8" w:space="0"/>
              <w:left w:val="single" w:color="000000" w:sz="8" w:space="0"/>
              <w:bottom w:val="single" w:color="000000" w:sz="8" w:space="0"/>
              <w:right w:val="single" w:color="000000" w:sz="8" w:space="0"/>
            </w:tcBorders>
            <w:vAlign w:val="center"/>
          </w:tcPr>
          <w:p w14:paraId="2AA64AF4">
            <w:pPr>
              <w:keepNext w:val="0"/>
              <w:keepLines w:val="0"/>
              <w:kinsoku/>
              <w:overflowPunct/>
              <w:autoSpaceDE/>
              <w:bidi w:val="0"/>
              <w:snapToGrid w:val="0"/>
              <w:spacing w:line="360" w:lineRule="auto"/>
              <w:jc w:val="center"/>
              <w:textAlignment w:val="auto"/>
              <w:rPr>
                <w:rFonts w:ascii="宋体" w:hAnsi="宋体" w:eastAsia="宋体" w:cs="宋体"/>
                <w:color w:val="000000"/>
                <w:kern w:val="2"/>
                <w:sz w:val="21"/>
                <w:szCs w:val="21"/>
                <w:highlight w:val="none"/>
                <w:u w:val="none" w:color="000000"/>
                <w:lang w:val="en-US" w:eastAsia="zh-CN" w:bidi="ar-SA"/>
              </w:rPr>
            </w:pPr>
            <w:r>
              <w:rPr>
                <w:rFonts w:ascii="宋体" w:hAnsi="宋体" w:cs="宋体"/>
                <w:color w:val="000000"/>
                <w:kern w:val="2"/>
                <w:sz w:val="21"/>
                <w:szCs w:val="21"/>
                <w:u w:val="none" w:color="000000"/>
                <w:lang w:val="en-US" w:eastAsia="zh-CN" w:bidi="ar-SA"/>
              </w:rPr>
              <w:t>报价合理性</w:t>
            </w:r>
          </w:p>
          <w:p w14:paraId="02C2614B">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kern w:val="2"/>
                <w:sz w:val="21"/>
                <w:szCs w:val="21"/>
                <w:u w:val="none" w:color="000000"/>
                <w:lang w:val="en-US" w:eastAsia="zh-CN" w:bidi="ar-SA"/>
              </w:rPr>
              <w:t>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254B4DD">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kern w:val="2"/>
                <w:sz w:val="21"/>
                <w:szCs w:val="21"/>
                <w:u w:val="none" w:color="000000"/>
                <w:lang w:val="en-US" w:eastAsia="zh-CN" w:bidi="ar-SA"/>
              </w:rPr>
              <w:t>根据《政府采购货物和服务招标投标管理办法》（财政部令第</w:t>
            </w:r>
            <w:r>
              <w:rPr>
                <w:rFonts w:ascii="宋体" w:hAnsi="宋体" w:eastAsia="宋体" w:cs="宋体"/>
                <w:color w:val="000000"/>
                <w:kern w:val="2"/>
                <w:sz w:val="21"/>
                <w:szCs w:val="21"/>
                <w:u w:val="none" w:color="000000"/>
                <w:lang w:val="en-US" w:eastAsia="zh-CN" w:bidi="ar-SA"/>
              </w:rPr>
              <w:t>87</w:t>
            </w:r>
            <w:r>
              <w:rPr>
                <w:rFonts w:ascii="宋体" w:hAnsi="宋体" w:cs="宋体"/>
                <w:color w:val="000000"/>
                <w:kern w:val="2"/>
                <w:sz w:val="21"/>
                <w:szCs w:val="21"/>
                <w:u w:val="none" w:color="000000"/>
                <w:lang w:val="en-US" w:eastAsia="zh-CN" w:bidi="ar-SA"/>
              </w:rPr>
              <w:t>号）第六十条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237A347B">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D5AFF2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17</w:t>
            </w:r>
          </w:p>
        </w:tc>
        <w:tc>
          <w:tcPr>
            <w:tcW w:w="1537" w:type="dxa"/>
            <w:tcBorders>
              <w:top w:val="single" w:color="000000" w:sz="8" w:space="0"/>
              <w:left w:val="single" w:color="000000" w:sz="8" w:space="0"/>
              <w:bottom w:val="single" w:color="000000" w:sz="8" w:space="0"/>
              <w:right w:val="single" w:color="000000" w:sz="8" w:space="0"/>
            </w:tcBorders>
            <w:vAlign w:val="center"/>
          </w:tcPr>
          <w:p w14:paraId="06F0450E">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4429E7">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磋商有效期为</w:t>
            </w:r>
            <w:r>
              <w:rPr>
                <w:rFonts w:ascii="宋体" w:hAnsi="宋体" w:cs="宋体"/>
                <w:color w:val="000000"/>
                <w:sz w:val="21"/>
                <w:szCs w:val="21"/>
                <w:u w:val="single"/>
                <w:lang w:val="en-US" w:eastAsia="zh-CN"/>
              </w:rPr>
              <w:t xml:space="preserve"> </w:t>
            </w:r>
            <w:r>
              <w:rPr>
                <w:rFonts w:eastAsia="宋体" w:cs="宋体"/>
                <w:color w:val="000000"/>
                <w:sz w:val="21"/>
                <w:szCs w:val="21"/>
                <w:u w:val="single"/>
                <w:lang w:val="en-US" w:eastAsia="zh-CN"/>
              </w:rPr>
              <w:t xml:space="preserve">60 </w:t>
            </w:r>
            <w:r>
              <w:rPr>
                <w:rFonts w:ascii="宋体" w:hAnsi="宋体" w:cs="宋体"/>
                <w:color w:val="000000"/>
                <w:sz w:val="21"/>
                <w:szCs w:val="21"/>
                <w:lang w:val="en-US" w:eastAsia="zh-CN"/>
              </w:rPr>
              <w:t>日历天（从响应截止之日算起）。在此期限内，凡符合本采购文件要求的响应文件均保持有效。</w:t>
            </w:r>
          </w:p>
        </w:tc>
      </w:tr>
      <w:tr w14:paraId="155A61C9">
        <w:tblPrEx>
          <w:tblCellMar>
            <w:top w:w="0" w:type="dxa"/>
            <w:left w:w="108" w:type="dxa"/>
            <w:bottom w:w="0" w:type="dxa"/>
            <w:right w:w="108" w:type="dxa"/>
          </w:tblCellMar>
        </w:tblPrEx>
        <w:trPr>
          <w:trHeight w:val="107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FA7699F">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18</w:t>
            </w:r>
          </w:p>
        </w:tc>
        <w:tc>
          <w:tcPr>
            <w:tcW w:w="1537" w:type="dxa"/>
            <w:tcBorders>
              <w:top w:val="single" w:color="000000" w:sz="8" w:space="0"/>
              <w:left w:val="single" w:color="000000" w:sz="8" w:space="0"/>
              <w:bottom w:val="single" w:color="000000" w:sz="4" w:space="0"/>
              <w:right w:val="single" w:color="000000" w:sz="8" w:space="0"/>
            </w:tcBorders>
            <w:vAlign w:val="center"/>
          </w:tcPr>
          <w:p w14:paraId="0A71630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磋商保证金</w:t>
            </w:r>
          </w:p>
        </w:tc>
        <w:tc>
          <w:tcPr>
            <w:tcW w:w="7365" w:type="dxa"/>
            <w:tcBorders>
              <w:top w:val="single" w:color="000000" w:sz="8" w:space="0"/>
              <w:left w:val="single" w:color="000000" w:sz="8" w:space="0"/>
              <w:bottom w:val="single" w:color="000000" w:sz="4" w:space="0"/>
              <w:right w:val="single" w:color="000000" w:sz="12" w:space="0"/>
            </w:tcBorders>
          </w:tcPr>
          <w:p w14:paraId="4FEFF889">
            <w:pPr>
              <w:pStyle w:val="50"/>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color w:val="000000"/>
                <w:sz w:val="21"/>
                <w:szCs w:val="21"/>
                <w:lang w:val="en-US" w:eastAsia="zh-CN"/>
              </w:rPr>
              <w:t>磋商保证金缴纳方式：</w:t>
            </w:r>
            <w:r>
              <w:rPr>
                <w:rFonts w:hint="eastAsia" w:ascii="宋体" w:hAnsi="宋体" w:eastAsia="宋体" w:cs="宋体"/>
                <w:b/>
                <w:bCs/>
                <w:color w:val="auto"/>
                <w:sz w:val="21"/>
                <w:szCs w:val="21"/>
                <w:highlight w:val="none"/>
                <w:lang w:val="en-US" w:eastAsia="zh-CN"/>
              </w:rPr>
              <w:t>供应商自主选择以网上银行转账</w:t>
            </w:r>
            <w:r>
              <w:rPr>
                <w:rFonts w:hint="eastAsia"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支票、汇票、本票、保函等非现金形式缴纳或提交保证金。</w:t>
            </w:r>
          </w:p>
          <w:p w14:paraId="1ACD035C">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具体缴纳方式如下：</w:t>
            </w:r>
          </w:p>
          <w:p w14:paraId="69496F4C">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磋商保证金的金额：</w:t>
            </w:r>
            <w:r>
              <w:rPr>
                <w:rFonts w:eastAsia="宋体" w:cs="宋体"/>
                <w:b/>
                <w:bCs/>
                <w:color w:val="000000"/>
                <w:sz w:val="21"/>
                <w:szCs w:val="21"/>
                <w:lang w:val="en-US" w:eastAsia="zh-CN"/>
              </w:rPr>
              <w:t>35000.00</w:t>
            </w:r>
            <w:r>
              <w:rPr>
                <w:rFonts w:ascii="宋体" w:hAnsi="宋体" w:cs="宋体"/>
                <w:b/>
                <w:bCs/>
                <w:color w:val="000000"/>
                <w:sz w:val="21"/>
                <w:szCs w:val="21"/>
                <w:lang w:val="en-US" w:eastAsia="zh-CN"/>
              </w:rPr>
              <w:t>元，（大写：</w:t>
            </w:r>
            <w:r>
              <w:rPr>
                <w:rFonts w:cs="宋体"/>
                <w:b/>
                <w:bCs/>
                <w:color w:val="000000"/>
                <w:sz w:val="21"/>
                <w:szCs w:val="21"/>
                <w:lang w:val="en-US" w:eastAsia="zh-CN"/>
              </w:rPr>
              <w:t>叁万伍仟元整</w:t>
            </w:r>
            <w:r>
              <w:rPr>
                <w:rFonts w:ascii="宋体" w:hAnsi="宋体" w:cs="宋体"/>
                <w:b/>
                <w:bCs/>
                <w:color w:val="000000"/>
                <w:sz w:val="21"/>
                <w:szCs w:val="21"/>
                <w:lang w:val="en-US" w:eastAsia="zh-CN"/>
              </w:rPr>
              <w:t>）</w:t>
            </w:r>
            <w:r>
              <w:rPr>
                <w:rFonts w:ascii="宋体" w:hAnsi="宋体" w:cs="宋体"/>
                <w:color w:val="000000"/>
                <w:sz w:val="21"/>
                <w:szCs w:val="21"/>
                <w:lang w:val="en-US" w:eastAsia="zh-CN"/>
              </w:rPr>
              <w:t>。</w:t>
            </w:r>
          </w:p>
          <w:p w14:paraId="47DB6D4B">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注：每个标项的保证金应分别缴纳，合并缴纳磋商保证金视为无效缴纳磋商保证金。</w:t>
            </w:r>
          </w:p>
          <w:p w14:paraId="18616113">
            <w:pPr>
              <w:pStyle w:val="50"/>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方式一：电子保证金</w:t>
            </w:r>
          </w:p>
          <w:p w14:paraId="1243ADD1">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账户信息：按系统自动生成的收款账号信息进行缴纳。具体操作在【保证金管理】页面，选择【电子保证金</w:t>
            </w:r>
            <w:r>
              <w:rPr>
                <w:rFonts w:eastAsia="宋体" w:cs="宋体"/>
                <w:color w:val="000000"/>
                <w:sz w:val="21"/>
                <w:szCs w:val="21"/>
                <w:lang w:val="en-US" w:eastAsia="zh-CN"/>
              </w:rPr>
              <w:t>(</w:t>
            </w:r>
            <w:r>
              <w:rPr>
                <w:rFonts w:ascii="宋体" w:hAnsi="宋体" w:cs="宋体"/>
                <w:color w:val="000000"/>
                <w:sz w:val="21"/>
                <w:szCs w:val="21"/>
                <w:lang w:val="en-US" w:eastAsia="zh-CN"/>
              </w:rPr>
              <w:t>在线获取账号</w:t>
            </w:r>
            <w:r>
              <w:rPr>
                <w:rFonts w:eastAsia="宋体" w:cs="宋体"/>
                <w:color w:val="000000"/>
                <w:sz w:val="21"/>
                <w:szCs w:val="21"/>
                <w:lang w:val="en-US" w:eastAsia="zh-CN"/>
              </w:rPr>
              <w:t>)</w:t>
            </w:r>
            <w:r>
              <w:rPr>
                <w:rFonts w:ascii="宋体" w:hAnsi="宋体" w:cs="宋体"/>
                <w:color w:val="000000"/>
                <w:sz w:val="21"/>
                <w:szCs w:val="21"/>
                <w:lang w:val="en-US" w:eastAsia="zh-CN"/>
              </w:rPr>
              <w:t>】</w:t>
            </w:r>
            <w:r>
              <w:rPr>
                <w:rFonts w:eastAsia="宋体" w:cs="宋体"/>
                <w:color w:val="000000"/>
                <w:sz w:val="21"/>
                <w:szCs w:val="21"/>
                <w:lang w:val="en-US" w:eastAsia="zh-CN"/>
              </w:rPr>
              <w:t>,</w:t>
            </w:r>
            <w:r>
              <w:rPr>
                <w:rFonts w:ascii="宋体" w:hAnsi="宋体" w:cs="宋体"/>
                <w:color w:val="000000"/>
                <w:sz w:val="21"/>
                <w:szCs w:val="21"/>
                <w:lang w:val="en-US" w:eastAsia="zh-CN"/>
              </w:rPr>
              <w:t>点击【新疆保证金平台】</w:t>
            </w:r>
            <w:r>
              <w:rPr>
                <w:rFonts w:eastAsia="宋体" w:cs="宋体"/>
                <w:color w:val="000000"/>
                <w:sz w:val="21"/>
                <w:szCs w:val="21"/>
                <w:lang w:val="en-US" w:eastAsia="zh-CN"/>
              </w:rPr>
              <w:t>,</w:t>
            </w:r>
            <w:r>
              <w:rPr>
                <w:rFonts w:ascii="宋体" w:hAnsi="宋体" w:cs="宋体"/>
                <w:color w:val="000000"/>
                <w:sz w:val="21"/>
                <w:szCs w:val="21"/>
                <w:lang w:val="en-US" w:eastAsia="zh-CN"/>
              </w:rPr>
              <w:t>自动从银行获取保证金的收款户名、收款账号、收款银行信息</w:t>
            </w:r>
            <w:r>
              <w:rPr>
                <w:rFonts w:eastAsia="宋体" w:cs="宋体"/>
                <w:color w:val="000000"/>
                <w:sz w:val="21"/>
                <w:szCs w:val="21"/>
                <w:lang w:val="en-US" w:eastAsia="zh-CN"/>
              </w:rPr>
              <w:t>(</w:t>
            </w:r>
            <w:r>
              <w:rPr>
                <w:rFonts w:ascii="宋体" w:hAnsi="宋体" w:cs="宋体"/>
                <w:color w:val="000000"/>
                <w:sz w:val="21"/>
                <w:szCs w:val="21"/>
                <w:lang w:val="en-US" w:eastAsia="zh-CN"/>
              </w:rPr>
              <w:t>开户行及行号</w:t>
            </w:r>
            <w:r>
              <w:rPr>
                <w:rFonts w:eastAsia="宋体" w:cs="宋体"/>
                <w:color w:val="000000"/>
                <w:sz w:val="21"/>
                <w:szCs w:val="21"/>
                <w:lang w:val="en-US" w:eastAsia="zh-CN"/>
              </w:rPr>
              <w:t>)</w:t>
            </w:r>
            <w:r>
              <w:rPr>
                <w:rFonts w:ascii="宋体" w:hAnsi="宋体" w:cs="宋体"/>
                <w:color w:val="000000"/>
                <w:sz w:val="21"/>
                <w:szCs w:val="21"/>
                <w:lang w:val="en-US" w:eastAsia="zh-CN"/>
              </w:rPr>
              <w:t>。供应商需将保证金转入获取到的收款账号，转账时请备注项目名称。</w:t>
            </w:r>
          </w:p>
          <w:p w14:paraId="5C205CB1">
            <w:pPr>
              <w:pStyle w:val="50"/>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方式二：保函</w:t>
            </w:r>
          </w:p>
          <w:p w14:paraId="33D207D6">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电子保函。</w:t>
            </w:r>
            <w:r>
              <w:rPr>
                <w:rFonts w:eastAsia="宋体" w:cs="宋体"/>
                <w:color w:val="000000"/>
                <w:sz w:val="21"/>
                <w:szCs w:val="21"/>
                <w:lang w:val="en-US" w:eastAsia="zh-CN"/>
              </w:rPr>
              <w:t>(1)</w:t>
            </w:r>
            <w:r>
              <w:rPr>
                <w:rFonts w:ascii="宋体" w:hAnsi="宋体" w:cs="宋体"/>
                <w:color w:val="000000"/>
                <w:sz w:val="21"/>
                <w:szCs w:val="21"/>
                <w:lang w:val="en-US" w:eastAsia="zh-CN"/>
              </w:rPr>
              <w:t>缴纳程序：供应商可登录新疆政府采购网“电子保函”窗口线上办理投保手续；</w:t>
            </w:r>
            <w:r>
              <w:rPr>
                <w:rFonts w:eastAsia="宋体" w:cs="宋体"/>
                <w:color w:val="000000"/>
                <w:sz w:val="21"/>
                <w:szCs w:val="21"/>
                <w:lang w:val="en-US" w:eastAsia="zh-CN"/>
              </w:rPr>
              <w:t>(2)</w:t>
            </w:r>
            <w:r>
              <w:rPr>
                <w:rFonts w:ascii="宋体" w:hAnsi="宋体" w:cs="宋体"/>
                <w:color w:val="000000"/>
                <w:sz w:val="21"/>
                <w:szCs w:val="21"/>
                <w:lang w:val="en-US" w:eastAsia="zh-CN"/>
              </w:rPr>
              <w:t>办理电子保函必须在响应文件递交截止时间</w:t>
            </w:r>
            <w:r>
              <w:rPr>
                <w:rFonts w:eastAsia="宋体" w:cs="宋体"/>
                <w:color w:val="000000"/>
                <w:sz w:val="21"/>
                <w:szCs w:val="21"/>
                <w:lang w:val="en-US" w:eastAsia="zh-CN"/>
              </w:rPr>
              <w:t>(</w:t>
            </w:r>
            <w:r>
              <w:rPr>
                <w:rFonts w:ascii="宋体" w:hAnsi="宋体" w:cs="宋体"/>
                <w:color w:val="000000"/>
                <w:sz w:val="21"/>
                <w:szCs w:val="21"/>
                <w:lang w:val="en-US" w:eastAsia="zh-CN"/>
              </w:rPr>
              <w:t>响应文件开启时间</w:t>
            </w:r>
            <w:r>
              <w:rPr>
                <w:rFonts w:eastAsia="宋体" w:cs="宋体"/>
                <w:color w:val="000000"/>
                <w:sz w:val="21"/>
                <w:szCs w:val="21"/>
                <w:lang w:val="en-US" w:eastAsia="zh-CN"/>
              </w:rPr>
              <w:t>)</w:t>
            </w:r>
            <w:r>
              <w:rPr>
                <w:rFonts w:ascii="宋体" w:hAnsi="宋体" w:cs="宋体"/>
                <w:color w:val="000000"/>
                <w:sz w:val="21"/>
                <w:szCs w:val="21"/>
                <w:lang w:val="en-US" w:eastAsia="zh-CN"/>
              </w:rPr>
              <w:t>前完成；</w:t>
            </w:r>
            <w:r>
              <w:rPr>
                <w:rFonts w:eastAsia="宋体" w:cs="宋体"/>
                <w:color w:val="000000"/>
                <w:sz w:val="21"/>
                <w:szCs w:val="21"/>
                <w:lang w:val="en-US" w:eastAsia="zh-CN"/>
              </w:rPr>
              <w:t>(3)</w:t>
            </w:r>
            <w:r>
              <w:rPr>
                <w:rFonts w:ascii="宋体" w:hAnsi="宋体" w:cs="宋体"/>
                <w:color w:val="000000"/>
                <w:sz w:val="21"/>
                <w:szCs w:val="21"/>
                <w:lang w:val="en-US" w:eastAsia="zh-CN"/>
              </w:rPr>
              <w:t>响应文件开启前，投保人须下载加密保单并加盖公章做为保证金缴纳凭证，并上传至资格审查文件中提交；</w:t>
            </w:r>
            <w:r>
              <w:rPr>
                <w:rFonts w:eastAsia="宋体" w:cs="宋体"/>
                <w:color w:val="000000"/>
                <w:sz w:val="21"/>
                <w:szCs w:val="21"/>
                <w:lang w:val="en-US" w:eastAsia="zh-CN"/>
              </w:rPr>
              <w:t>(4)</w:t>
            </w:r>
            <w:r>
              <w:rPr>
                <w:rFonts w:ascii="宋体" w:hAnsi="宋体" w:cs="宋体"/>
                <w:color w:val="000000"/>
                <w:sz w:val="21"/>
                <w:szCs w:val="21"/>
                <w:lang w:val="en-US" w:eastAsia="zh-CN"/>
              </w:rPr>
              <w:t xml:space="preserve">技术支持电话详见新疆政府采购网电子保函服务系统。   </w:t>
            </w:r>
          </w:p>
          <w:p w14:paraId="1971A616">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b/>
                <w:bCs/>
                <w:color w:val="000000"/>
                <w:sz w:val="21"/>
                <w:szCs w:val="21"/>
                <w:lang w:val="en-US" w:eastAsia="zh-CN"/>
              </w:rPr>
              <w:t xml:space="preserve">保证金退还须知：响应文件开启后，未成交企业在法定工作时间内自动退还保证金，成交企业在签订合同后自动退还保证金。 </w:t>
            </w:r>
          </w:p>
        </w:tc>
      </w:tr>
      <w:tr w14:paraId="50F7EF3A">
        <w:tblPrEx>
          <w:tblCellMar>
            <w:top w:w="0" w:type="dxa"/>
            <w:left w:w="108" w:type="dxa"/>
            <w:bottom w:w="0" w:type="dxa"/>
            <w:right w:w="108" w:type="dxa"/>
          </w:tblCellMar>
        </w:tblPrEx>
        <w:trPr>
          <w:trHeight w:val="334"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1DCBE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19</w:t>
            </w:r>
          </w:p>
        </w:tc>
        <w:tc>
          <w:tcPr>
            <w:tcW w:w="1537" w:type="dxa"/>
            <w:tcBorders>
              <w:top w:val="single" w:color="000000" w:sz="8" w:space="0"/>
              <w:left w:val="single" w:color="000000" w:sz="8" w:space="0"/>
              <w:bottom w:val="single" w:color="000000" w:sz="8" w:space="0"/>
              <w:right w:val="single" w:color="000000" w:sz="8" w:space="0"/>
            </w:tcBorders>
            <w:vAlign w:val="center"/>
          </w:tcPr>
          <w:p w14:paraId="120386A7">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响应文件形式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25B05302">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电子响应文件包括“电子加密响应文件”和“备份响应文件”，在响应文件编制完成后同时生成。</w:t>
            </w:r>
          </w:p>
          <w:p w14:paraId="2AC74275">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、“电子加密响应文件”是指通过“政采云电子交易客户端”完成响应文件编制后生成并加密的数据电文形式的响应文件。</w:t>
            </w:r>
          </w:p>
          <w:p w14:paraId="00E8A288">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、“备份响应文件”是指与“电子加密响应文件”同时生成的数据电文形式的电子文件（备份标书，用于供应商标书解密异常时应急使用），其他方式编制的备份响应文件视为无效备份响应文件。</w:t>
            </w:r>
          </w:p>
        </w:tc>
      </w:tr>
      <w:tr w14:paraId="5F14B442">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622432C">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20</w:t>
            </w:r>
          </w:p>
        </w:tc>
        <w:tc>
          <w:tcPr>
            <w:tcW w:w="1537" w:type="dxa"/>
            <w:tcBorders>
              <w:top w:val="single" w:color="000000" w:sz="8" w:space="0"/>
              <w:left w:val="single" w:color="000000" w:sz="8" w:space="0"/>
              <w:bottom w:val="single" w:color="000000" w:sz="8" w:space="0"/>
              <w:right w:val="single" w:color="000000" w:sz="8" w:space="0"/>
            </w:tcBorders>
            <w:vAlign w:val="center"/>
          </w:tcPr>
          <w:p w14:paraId="691B2448">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响应文件份数及要求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1207A39F">
            <w:pPr>
              <w:pStyle w:val="50"/>
              <w:numPr>
                <w:ilvl w:val="0"/>
                <w:numId w:val="4"/>
              </w:numPr>
              <w:snapToGrid w:val="0"/>
              <w:spacing w:line="360" w:lineRule="auto"/>
              <w:rPr>
                <w:rFonts w:ascii="宋体" w:hAnsi="宋体" w:eastAsia="宋体" w:cs="宋体"/>
                <w:b/>
                <w:bCs/>
                <w:color w:val="000000"/>
                <w:sz w:val="21"/>
                <w:szCs w:val="21"/>
              </w:rPr>
            </w:pPr>
            <w:r>
              <w:rPr>
                <w:rFonts w:ascii="宋体" w:hAnsi="宋体" w:cs="宋体"/>
                <w:b/>
                <w:bCs/>
                <w:color w:val="000000"/>
                <w:sz w:val="21"/>
                <w:szCs w:val="21"/>
              </w:rPr>
              <w:t>一份电子加密标书（“</w:t>
            </w:r>
            <w:r>
              <w:rPr>
                <w:rFonts w:eastAsia="宋体" w:cs="宋体"/>
                <w:b/>
                <w:bCs/>
                <w:color w:val="000000"/>
                <w:sz w:val="21"/>
                <w:szCs w:val="21"/>
              </w:rPr>
              <w:t>.jmbs”</w:t>
            </w:r>
            <w:r>
              <w:rPr>
                <w:rFonts w:ascii="宋体" w:hAnsi="宋体" w:cs="宋体"/>
                <w:b/>
                <w:bCs/>
                <w:color w:val="000000"/>
                <w:sz w:val="21"/>
                <w:szCs w:val="21"/>
              </w:rPr>
              <w:t>格式）</w:t>
            </w:r>
            <w:r>
              <w:rPr>
                <w:rFonts w:ascii="宋体" w:hAnsi="宋体" w:cs="宋体"/>
                <w:b/>
                <w:bCs/>
                <w:color w:val="000000"/>
                <w:sz w:val="21"/>
                <w:szCs w:val="21"/>
                <w:lang w:eastAsia="zh-CN"/>
              </w:rPr>
              <w:t>。</w:t>
            </w:r>
          </w:p>
          <w:p w14:paraId="777BD3B3">
            <w:pPr>
              <w:pStyle w:val="50"/>
              <w:numPr>
                <w:ilvl w:val="0"/>
                <w:numId w:val="0"/>
              </w:numPr>
              <w:snapToGrid w:val="0"/>
              <w:spacing w:line="360" w:lineRule="auto"/>
              <w:ind w:left="0" w:firstLine="0"/>
              <w:rPr>
                <w:rFonts w:ascii="宋体" w:hAnsi="宋体" w:eastAsia="宋体" w:cs="宋体"/>
                <w:color w:val="000000"/>
                <w:sz w:val="21"/>
                <w:szCs w:val="21"/>
                <w:highlight w:val="none"/>
                <w:lang w:val="en-US" w:eastAsia="zh-CN"/>
              </w:rPr>
            </w:pPr>
            <w:r>
              <w:rPr>
                <w:rFonts w:eastAsia="宋体" w:cs="宋体"/>
                <w:b/>
                <w:bCs/>
                <w:color w:val="000000"/>
                <w:sz w:val="21"/>
                <w:szCs w:val="21"/>
              </w:rPr>
              <w:t>2</w:t>
            </w:r>
            <w:r>
              <w:rPr>
                <w:rFonts w:ascii="宋体" w:hAnsi="宋体" w:cs="宋体"/>
                <w:b/>
                <w:bCs/>
                <w:color w:val="000000"/>
                <w:sz w:val="21"/>
                <w:szCs w:val="21"/>
              </w:rPr>
              <w:t>、每份电子响应文件应包括资格证明文件和商务、技术文件两部分。</w:t>
            </w:r>
          </w:p>
        </w:tc>
      </w:tr>
      <w:tr w14:paraId="60111F8B">
        <w:tblPrEx>
          <w:tblCellMar>
            <w:top w:w="0" w:type="dxa"/>
            <w:left w:w="108" w:type="dxa"/>
            <w:bottom w:w="0" w:type="dxa"/>
            <w:right w:w="108" w:type="dxa"/>
          </w:tblCellMar>
        </w:tblPrEx>
        <w:trPr>
          <w:trHeight w:val="844"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34EFC532">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21</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00300641">
            <w:pPr>
              <w:pStyle w:val="50"/>
              <w:keepNext w:val="0"/>
              <w:keepLines w:val="0"/>
              <w:kinsoku/>
              <w:overflowPunct/>
              <w:autoSpaceDE/>
              <w:bidi w:val="0"/>
              <w:snapToGrid w:val="0"/>
              <w:spacing w:line="360" w:lineRule="auto"/>
              <w:jc w:val="center"/>
              <w:textAlignment w:val="auto"/>
              <w:rPr>
                <w:rFonts w:ascii="宋体" w:hAnsi="宋体" w:eastAsia="宋体" w:cs="宋体"/>
                <w:bCs/>
                <w:color w:val="000000"/>
                <w:sz w:val="21"/>
                <w:szCs w:val="21"/>
                <w:highlight w:val="none"/>
              </w:rPr>
            </w:pPr>
            <w:r>
              <w:rPr>
                <w:rFonts w:ascii="宋体" w:hAnsi="宋体" w:cs="宋体"/>
                <w:b/>
                <w:bCs/>
                <w:color w:val="000000"/>
                <w:sz w:val="21"/>
                <w:szCs w:val="21"/>
                <w:lang w:bidi="zh-CN"/>
              </w:rPr>
              <w:t>响应文件的上传和递交</w:t>
            </w:r>
          </w:p>
        </w:tc>
        <w:tc>
          <w:tcPr>
            <w:tcW w:w="7365" w:type="dxa"/>
            <w:tcBorders>
              <w:top w:val="single" w:color="000000" w:sz="8" w:space="0"/>
              <w:left w:val="single" w:color="000000" w:sz="8" w:space="0"/>
              <w:bottom w:val="single" w:color="000000" w:sz="8" w:space="0"/>
              <w:right w:val="single" w:color="000000" w:sz="12" w:space="0"/>
            </w:tcBorders>
            <w:vAlign w:val="center"/>
          </w:tcPr>
          <w:p w14:paraId="0698577D">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u w:val="singl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电子加密响应文件：响应文件制作完成并生成加密标书，在响应文件递交截止时间前，供应商需将加密的响应文件上传至政采云平台，</w:t>
            </w:r>
            <w:r>
              <w:rPr>
                <w:rFonts w:ascii="宋体" w:hAnsi="宋体" w:cs="宋体"/>
                <w:b/>
                <w:bCs/>
                <w:color w:val="000000"/>
                <w:sz w:val="21"/>
                <w:szCs w:val="21"/>
                <w:u w:val="single"/>
                <w:lang w:val="en-US" w:eastAsia="zh-CN"/>
              </w:rPr>
              <w:t>在响应文件开启时间开始后，待采购组织机构发出解密通知后</w:t>
            </w:r>
            <w:r>
              <w:rPr>
                <w:rFonts w:eastAsia="宋体" w:cs="宋体"/>
                <w:b/>
                <w:bCs/>
                <w:color w:val="000000"/>
                <w:sz w:val="21"/>
                <w:szCs w:val="21"/>
                <w:u w:val="single"/>
                <w:lang w:val="en-US" w:eastAsia="zh-CN"/>
              </w:rPr>
              <w:t>30</w:t>
            </w:r>
            <w:r>
              <w:rPr>
                <w:rFonts w:ascii="宋体" w:hAnsi="宋体" w:cs="宋体"/>
                <w:b/>
                <w:bCs/>
                <w:color w:val="000000"/>
                <w:sz w:val="21"/>
                <w:szCs w:val="21"/>
                <w:u w:val="single"/>
                <w:lang w:val="en-US" w:eastAsia="zh-CN"/>
              </w:rPr>
              <w:t>分钟内解密响应文件。</w:t>
            </w:r>
          </w:p>
          <w:p w14:paraId="59724BC0">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a.</w:t>
            </w:r>
            <w:r>
              <w:rPr>
                <w:rFonts w:ascii="宋体" w:hAnsi="宋体" w:cs="宋体"/>
                <w:color w:val="000000"/>
                <w:sz w:val="21"/>
                <w:szCs w:val="21"/>
                <w:lang w:val="en-US" w:eastAsia="zh-CN"/>
              </w:rPr>
              <w:t>供应商未能在响应文件递交截止时间前成功上传电子加密响应文件的响应无效。</w:t>
            </w:r>
          </w:p>
          <w:p w14:paraId="7356A37F">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b.</w:t>
            </w:r>
            <w:r>
              <w:rPr>
                <w:rFonts w:ascii="宋体" w:hAnsi="宋体" w:cs="宋体"/>
                <w:color w:val="000000"/>
                <w:sz w:val="21"/>
                <w:szCs w:val="21"/>
                <w:lang w:val="en-US" w:eastAsia="zh-CN"/>
              </w:rPr>
              <w:t>供应商成功上传电子加密响应文件后，可自行打印响应文件接收回执。</w:t>
            </w:r>
          </w:p>
        </w:tc>
      </w:tr>
      <w:tr w14:paraId="0D0DC7F0">
        <w:tblPrEx>
          <w:tblCellMar>
            <w:top w:w="0" w:type="dxa"/>
            <w:left w:w="108" w:type="dxa"/>
            <w:bottom w:w="0" w:type="dxa"/>
            <w:right w:w="108" w:type="dxa"/>
          </w:tblCellMar>
        </w:tblPrEx>
        <w:trPr>
          <w:trHeight w:val="844"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44FCBEA9">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FB1E078">
            <w:pPr>
              <w:pStyle w:val="50"/>
              <w:keepNext w:val="0"/>
              <w:keepLines w:val="0"/>
              <w:kinsoku/>
              <w:overflowPunct/>
              <w:autoSpaceDE/>
              <w:bidi w:val="0"/>
              <w:snapToGrid w:val="0"/>
              <w:spacing w:line="360" w:lineRule="auto"/>
              <w:textAlignment w:val="auto"/>
              <w:rPr>
                <w:rFonts w:ascii="宋体" w:hAnsi="宋体" w:eastAsia="宋体" w:cs="宋体"/>
                <w:sz w:val="21"/>
                <w:szCs w:val="21"/>
              </w:rPr>
            </w:pPr>
          </w:p>
        </w:tc>
        <w:tc>
          <w:tcPr>
            <w:tcW w:w="7365" w:type="dxa"/>
            <w:tcBorders>
              <w:top w:val="single" w:color="000000" w:sz="8" w:space="0"/>
              <w:left w:val="single" w:color="000000" w:sz="8" w:space="0"/>
              <w:bottom w:val="single" w:color="000000" w:sz="8" w:space="0"/>
              <w:right w:val="single" w:color="000000" w:sz="12" w:space="0"/>
            </w:tcBorders>
            <w:vAlign w:val="center"/>
          </w:tcPr>
          <w:p w14:paraId="204ED053">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rPr>
            </w:pPr>
            <w:r>
              <w:rPr>
                <w:rFonts w:eastAsia="宋体" w:cs="宋体"/>
                <w:color w:val="000000"/>
                <w:sz w:val="21"/>
                <w:szCs w:val="21"/>
              </w:rPr>
              <w:t>2.</w:t>
            </w:r>
            <w:r>
              <w:rPr>
                <w:rFonts w:ascii="宋体" w:hAnsi="宋体" w:cs="宋体"/>
                <w:color w:val="000000"/>
                <w:sz w:val="21"/>
                <w:szCs w:val="21"/>
              </w:rPr>
              <w:t>备份响应文件：供应商在响应文件递交截止时间前将加密的响应文件上传至政府采购云平台，还可以在响应文件递交截止时间前以电子邮件方式提供备份响应文件</w:t>
            </w:r>
            <w:r>
              <w:rPr>
                <w:rFonts w:eastAsia="宋体" w:cs="宋体"/>
                <w:color w:val="000000"/>
                <w:sz w:val="21"/>
                <w:szCs w:val="21"/>
              </w:rPr>
              <w:t>1</w:t>
            </w:r>
            <w:r>
              <w:rPr>
                <w:rFonts w:ascii="宋体" w:hAnsi="宋体" w:cs="宋体"/>
                <w:color w:val="000000"/>
                <w:sz w:val="21"/>
                <w:szCs w:val="21"/>
              </w:rPr>
              <w:t>份（接收人邮箱：</w:t>
            </w:r>
            <w:r>
              <w:rPr>
                <w:rFonts w:eastAsia="宋体" w:cs="宋体"/>
                <w:color w:val="000000"/>
                <w:sz w:val="21"/>
                <w:szCs w:val="21"/>
                <w:lang w:val="en-US" w:eastAsia="zh-CN"/>
              </w:rPr>
              <w:t>1499247858@qq.com</w:t>
            </w:r>
            <w:r>
              <w:rPr>
                <w:rFonts w:ascii="宋体" w:hAnsi="宋体" w:cs="宋体"/>
                <w:color w:val="000000"/>
                <w:sz w:val="21"/>
                <w:szCs w:val="21"/>
              </w:rPr>
              <w:t>，接收人：</w:t>
            </w:r>
            <w:r>
              <w:rPr>
                <w:rFonts w:cs="宋体"/>
                <w:color w:val="000000"/>
                <w:sz w:val="21"/>
                <w:szCs w:val="21"/>
                <w:lang w:val="en-US" w:eastAsia="zh-CN"/>
              </w:rPr>
              <w:t>施女士</w:t>
            </w:r>
            <w:r>
              <w:rPr>
                <w:rFonts w:ascii="宋体" w:hAnsi="宋体" w:cs="宋体"/>
                <w:color w:val="000000"/>
                <w:sz w:val="21"/>
                <w:szCs w:val="21"/>
                <w:lang w:val="en-US" w:eastAsia="zh-CN"/>
              </w:rPr>
              <w:t xml:space="preserve"> 联系电话：</w:t>
            </w:r>
            <w:r>
              <w:rPr>
                <w:rFonts w:eastAsia="宋体" w:cs="宋体"/>
                <w:color w:val="000000"/>
                <w:sz w:val="21"/>
                <w:szCs w:val="21"/>
                <w:lang w:val="en-US" w:eastAsia="zh-CN"/>
              </w:rPr>
              <w:t>19990496023</w:t>
            </w:r>
            <w:r>
              <w:rPr>
                <w:rFonts w:eastAsia="宋体" w:cs="宋体"/>
                <w:color w:val="000000"/>
                <w:sz w:val="21"/>
                <w:szCs w:val="21"/>
              </w:rPr>
              <w:t>“</w:t>
            </w:r>
            <w:r>
              <w:rPr>
                <w:rFonts w:ascii="宋体" w:hAnsi="宋体" w:cs="宋体"/>
                <w:color w:val="000000"/>
                <w:sz w:val="21"/>
                <w:szCs w:val="21"/>
              </w:rPr>
              <w:t>备份响应文件”由供应商自愿提供，采购文件不作强制性要求；如不提供或未按要求提供的，当电子响应文件无法解密时，将导致无备份响应文件而失去响应资格。</w:t>
            </w:r>
          </w:p>
          <w:p w14:paraId="0C522B26">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rPr>
            </w:pPr>
            <w:r>
              <w:rPr>
                <w:rFonts w:eastAsia="宋体" w:cs="宋体"/>
                <w:color w:val="000000"/>
                <w:sz w:val="21"/>
                <w:szCs w:val="21"/>
              </w:rPr>
              <w:t>a.</w:t>
            </w:r>
            <w:r>
              <w:rPr>
                <w:rFonts w:ascii="宋体" w:hAnsi="宋体" w:cs="宋体"/>
                <w:color w:val="000000"/>
                <w:sz w:val="21"/>
                <w:szCs w:val="21"/>
              </w:rPr>
              <w:t>备份响应文件提供要求：供应商可以将备份响应文件打包压缩并加密，压缩包命名为“</w:t>
            </w:r>
            <w:r>
              <w:rPr>
                <w:rFonts w:eastAsia="宋体" w:cs="宋体"/>
                <w:color w:val="000000"/>
                <w:sz w:val="21"/>
                <w:szCs w:val="21"/>
              </w:rPr>
              <w:t>XX</w:t>
            </w:r>
            <w:r>
              <w:rPr>
                <w:rFonts w:ascii="宋体" w:hAnsi="宋体" w:cs="宋体"/>
                <w:color w:val="000000"/>
                <w:sz w:val="21"/>
                <w:szCs w:val="21"/>
              </w:rPr>
              <w:t>单位备份响应文件”，加密密码由供应商自行保管；送达时间以采购代理机构实际接收时间为准。“备份响应文件”逾期或未按要求提供的视为未提供，建议供应商提前</w:t>
            </w:r>
            <w:r>
              <w:rPr>
                <w:rFonts w:eastAsia="宋体" w:cs="宋体"/>
                <w:color w:val="000000"/>
                <w:sz w:val="21"/>
                <w:szCs w:val="21"/>
              </w:rPr>
              <w:t>1</w:t>
            </w:r>
            <w:r>
              <w:rPr>
                <w:rFonts w:ascii="宋体" w:hAnsi="宋体" w:cs="宋体"/>
                <w:color w:val="000000"/>
                <w:sz w:val="21"/>
                <w:szCs w:val="21"/>
              </w:rPr>
              <w:t>日办理邮件提供事宜。</w:t>
            </w:r>
          </w:p>
          <w:p w14:paraId="6BA3DC75">
            <w:pPr>
              <w:pStyle w:val="50"/>
              <w:keepNext w:val="0"/>
              <w:keepLines w:val="0"/>
              <w:kinsoku/>
              <w:overflowPunct/>
              <w:autoSpaceDE/>
              <w:bidi w:val="0"/>
              <w:snapToGrid w:val="0"/>
              <w:spacing w:line="360" w:lineRule="auto"/>
              <w:textAlignment w:val="auto"/>
              <w:rPr>
                <w:rFonts w:ascii="宋体" w:hAnsi="宋体" w:eastAsia="宋体" w:cs="宋体"/>
                <w:color w:val="000000"/>
                <w:kern w:val="2"/>
                <w:sz w:val="21"/>
                <w:szCs w:val="21"/>
                <w:highlight w:val="none"/>
                <w:lang w:val="en-US" w:eastAsia="zh-CN" w:bidi="ar-SA"/>
              </w:rPr>
            </w:pPr>
            <w:r>
              <w:rPr>
                <w:rFonts w:eastAsia="宋体" w:cs="宋体"/>
                <w:color w:val="000000"/>
                <w:sz w:val="21"/>
                <w:szCs w:val="21"/>
              </w:rPr>
              <w:t>b.</w:t>
            </w:r>
            <w:r>
              <w:rPr>
                <w:rFonts w:ascii="宋体" w:hAnsi="宋体" w:cs="宋体"/>
                <w:color w:val="000000"/>
                <w:sz w:val="21"/>
                <w:szCs w:val="21"/>
              </w:rPr>
              <w:t>通过“政府采购云平台”成功上传递交的“电子加密响应文件”已按时解密的，“备份响应文件”自动失效。响应文件递交截止时间前，供应商仅提供了“备份响应文件”而未将“电子加密响应文件”成功上传至“政府采购云平台”的，响应无效。</w:t>
            </w:r>
          </w:p>
        </w:tc>
      </w:tr>
      <w:tr w14:paraId="1348912E">
        <w:tblPrEx>
          <w:tblCellMar>
            <w:top w:w="0" w:type="dxa"/>
            <w:left w:w="108" w:type="dxa"/>
            <w:bottom w:w="0" w:type="dxa"/>
            <w:right w:w="108" w:type="dxa"/>
          </w:tblCellMar>
        </w:tblPrEx>
        <w:trPr>
          <w:trHeight w:val="27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A606B81">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22</w:t>
            </w:r>
          </w:p>
        </w:tc>
        <w:tc>
          <w:tcPr>
            <w:tcW w:w="1537" w:type="dxa"/>
            <w:tcBorders>
              <w:top w:val="single" w:color="000000" w:sz="8" w:space="0"/>
              <w:left w:val="single" w:color="000000" w:sz="8" w:space="0"/>
              <w:bottom w:val="single" w:color="000000" w:sz="8" w:space="0"/>
              <w:right w:val="single" w:color="000000" w:sz="8" w:space="0"/>
            </w:tcBorders>
            <w:vAlign w:val="center"/>
          </w:tcPr>
          <w:p w14:paraId="47BAD3D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lang w:eastAsia="zh-CN"/>
              </w:rPr>
              <w:t>响应截止</w:t>
            </w:r>
            <w:r>
              <w:rPr>
                <w:rFonts w:ascii="宋体" w:hAnsi="宋体" w:cs="宋体"/>
                <w:color w:val="000000"/>
                <w:sz w:val="21"/>
                <w:szCs w:val="21"/>
              </w:rPr>
              <w:t>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78B858B0">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lang w:eastAsia="zh-CN"/>
              </w:rPr>
              <w:t>响应截止</w:t>
            </w:r>
            <w:r>
              <w:rPr>
                <w:rFonts w:ascii="宋体" w:hAnsi="宋体" w:cs="宋体"/>
                <w:b/>
                <w:bCs/>
                <w:color w:val="000000"/>
                <w:sz w:val="21"/>
                <w:szCs w:val="21"/>
              </w:rPr>
              <w:t>时间：</w:t>
            </w:r>
            <w:r>
              <w:rPr>
                <w:rFonts w:ascii="宋体" w:hAnsi="宋体" w:eastAsia="宋体" w:cs="宋体"/>
                <w:b/>
                <w:bCs/>
                <w:color w:val="FF0000"/>
                <w:sz w:val="21"/>
                <w:szCs w:val="21"/>
                <w:lang w:val="en-US" w:eastAsia="zh-CN"/>
              </w:rPr>
              <w:t>2026</w:t>
            </w:r>
            <w:r>
              <w:rPr>
                <w:rFonts w:ascii="宋体" w:hAnsi="宋体" w:cs="宋体"/>
                <w:b/>
                <w:bCs/>
                <w:color w:val="FF0000"/>
                <w:sz w:val="21"/>
                <w:szCs w:val="21"/>
                <w:lang w:val="en-US" w:eastAsia="zh-CN"/>
              </w:rPr>
              <w:t>年</w:t>
            </w:r>
            <w:r>
              <w:rPr>
                <w:rFonts w:ascii="宋体" w:hAnsi="宋体" w:eastAsia="宋体" w:cs="宋体"/>
                <w:b/>
                <w:bCs/>
                <w:color w:val="FF0000"/>
                <w:sz w:val="21"/>
                <w:szCs w:val="21"/>
                <w:lang w:val="en-US" w:eastAsia="zh-CN"/>
              </w:rPr>
              <w:t>10</w:t>
            </w:r>
            <w:r>
              <w:rPr>
                <w:rFonts w:ascii="宋体" w:hAnsi="宋体" w:cs="宋体"/>
                <w:b/>
                <w:bCs/>
                <w:color w:val="FF0000"/>
                <w:sz w:val="21"/>
                <w:szCs w:val="21"/>
                <w:lang w:val="en-US" w:eastAsia="zh-CN"/>
              </w:rPr>
              <w:t>月</w:t>
            </w:r>
            <w:r>
              <w:rPr>
                <w:rFonts w:ascii="宋体" w:hAnsi="宋体" w:eastAsia="宋体" w:cs="宋体"/>
                <w:b/>
                <w:bCs/>
                <w:color w:val="FF0000"/>
                <w:sz w:val="21"/>
                <w:szCs w:val="21"/>
                <w:lang w:val="en-US" w:eastAsia="zh-CN"/>
              </w:rPr>
              <w:t>13</w:t>
            </w:r>
            <w:r>
              <w:rPr>
                <w:rFonts w:ascii="宋体" w:hAnsi="宋体" w:cs="宋体"/>
                <w:b/>
                <w:bCs/>
                <w:color w:val="FF0000"/>
                <w:sz w:val="21"/>
                <w:szCs w:val="21"/>
                <w:lang w:val="en-US" w:eastAsia="zh-CN"/>
              </w:rPr>
              <w:t>日</w:t>
            </w:r>
            <w:r>
              <w:rPr>
                <w:rFonts w:ascii="宋体" w:hAnsi="宋体" w:eastAsia="宋体" w:cs="宋体"/>
                <w:b/>
                <w:bCs/>
                <w:color w:val="FF0000"/>
                <w:sz w:val="21"/>
                <w:szCs w:val="21"/>
                <w:lang w:val="en-US" w:eastAsia="zh-CN"/>
              </w:rPr>
              <w:t>16</w:t>
            </w:r>
            <w:r>
              <w:rPr>
                <w:rFonts w:ascii="宋体" w:hAnsi="宋体" w:cs="宋体"/>
                <w:b/>
                <w:bCs/>
                <w:color w:val="FF0000"/>
                <w:sz w:val="21"/>
                <w:szCs w:val="21"/>
              </w:rPr>
              <w:t>时</w:t>
            </w:r>
            <w:r>
              <w:rPr>
                <w:rFonts w:ascii="宋体" w:hAnsi="宋体" w:eastAsia="宋体" w:cs="宋体"/>
                <w:b/>
                <w:bCs/>
                <w:color w:val="FF0000"/>
                <w:sz w:val="21"/>
                <w:szCs w:val="21"/>
                <w:lang w:val="en-US" w:eastAsia="zh-CN"/>
              </w:rPr>
              <w:t>10</w:t>
            </w:r>
            <w:r>
              <w:rPr>
                <w:rFonts w:ascii="宋体" w:hAnsi="宋体" w:cs="宋体"/>
                <w:b/>
                <w:bCs/>
                <w:color w:val="FF0000"/>
                <w:sz w:val="21"/>
                <w:szCs w:val="21"/>
              </w:rPr>
              <w:t>分</w:t>
            </w:r>
            <w:r>
              <w:rPr>
                <w:rFonts w:ascii="宋体" w:hAnsi="宋体" w:cs="宋体"/>
                <w:b/>
                <w:bCs/>
                <w:color w:val="000000"/>
                <w:sz w:val="21"/>
                <w:szCs w:val="21"/>
              </w:rPr>
              <w:t>（北京时间）</w:t>
            </w:r>
          </w:p>
          <w:p w14:paraId="1BE71216">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lang w:eastAsia="zh-CN"/>
              </w:rPr>
              <w:t>响应</w:t>
            </w:r>
            <w:r>
              <w:rPr>
                <w:rFonts w:ascii="宋体" w:hAnsi="宋体" w:cs="宋体"/>
                <w:b/>
                <w:bCs/>
                <w:color w:val="000000"/>
                <w:sz w:val="21"/>
                <w:szCs w:val="21"/>
              </w:rPr>
              <w:t>地点：</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lang w:val="en-US" w:eastAsia="zh-CN"/>
              </w:rPr>
              <w:t>）政采云线上平台，逾期上传的响应文件将被拒收。</w:t>
            </w:r>
          </w:p>
        </w:tc>
      </w:tr>
      <w:tr w14:paraId="4ECC63C8">
        <w:tblPrEx>
          <w:tblCellMar>
            <w:top w:w="0" w:type="dxa"/>
            <w:left w:w="108" w:type="dxa"/>
            <w:bottom w:w="0" w:type="dxa"/>
            <w:right w:w="108" w:type="dxa"/>
          </w:tblCellMar>
        </w:tblPrEx>
        <w:trPr>
          <w:trHeight w:val="56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F6B9202">
            <w:pPr>
              <w:pStyle w:val="50"/>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23</w:t>
            </w:r>
          </w:p>
        </w:tc>
        <w:tc>
          <w:tcPr>
            <w:tcW w:w="1537" w:type="dxa"/>
            <w:tcBorders>
              <w:top w:val="single" w:color="000000" w:sz="8" w:space="0"/>
              <w:left w:val="single" w:color="000000" w:sz="8" w:space="0"/>
              <w:bottom w:val="single" w:color="000000" w:sz="8" w:space="0"/>
              <w:right w:val="single" w:color="000000" w:sz="8" w:space="0"/>
            </w:tcBorders>
            <w:vAlign w:val="center"/>
          </w:tcPr>
          <w:p w14:paraId="0BF182E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响应文件开启时间及地点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3DC2623C">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rPr>
              <w:t>响应文件开启时间：同响应文件递交截止时间</w:t>
            </w:r>
          </w:p>
          <w:p w14:paraId="2A9BE9CF">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rPr>
              <w:t>响应文件开启地点：在</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rPr>
              <w:t>）上开启响应文件</w:t>
            </w:r>
          </w:p>
        </w:tc>
      </w:tr>
      <w:tr w14:paraId="0A044E01">
        <w:tblPrEx>
          <w:tblCellMar>
            <w:top w:w="0" w:type="dxa"/>
            <w:left w:w="108" w:type="dxa"/>
            <w:bottom w:w="0" w:type="dxa"/>
            <w:right w:w="108" w:type="dxa"/>
          </w:tblCellMar>
        </w:tblPrEx>
        <w:trPr>
          <w:trHeight w:val="60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C01BD20">
            <w:pPr>
              <w:pStyle w:val="50"/>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24</w:t>
            </w:r>
          </w:p>
        </w:tc>
        <w:tc>
          <w:tcPr>
            <w:tcW w:w="1537" w:type="dxa"/>
            <w:tcBorders>
              <w:top w:val="single" w:color="000000" w:sz="8" w:space="0"/>
              <w:left w:val="single" w:color="000000" w:sz="8" w:space="0"/>
              <w:bottom w:val="single" w:color="000000" w:sz="8" w:space="0"/>
              <w:right w:val="single" w:color="000000" w:sz="8" w:space="0"/>
            </w:tcBorders>
            <w:vAlign w:val="center"/>
          </w:tcPr>
          <w:p w14:paraId="79CB0375">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磋商小组的组建</w:t>
            </w:r>
          </w:p>
        </w:tc>
        <w:tc>
          <w:tcPr>
            <w:tcW w:w="7365" w:type="dxa"/>
            <w:tcBorders>
              <w:top w:val="single" w:color="000000" w:sz="8" w:space="0"/>
              <w:left w:val="single" w:color="000000" w:sz="8" w:space="0"/>
              <w:bottom w:val="single" w:color="000000" w:sz="8" w:space="0"/>
              <w:right w:val="single" w:color="000000" w:sz="12" w:space="0"/>
            </w:tcBorders>
          </w:tcPr>
          <w:p w14:paraId="438972B8">
            <w:pPr>
              <w:pStyle w:val="50"/>
              <w:keepNext w:val="0"/>
              <w:keepLines w:val="0"/>
              <w:kinsoku/>
              <w:overflowPunct/>
              <w:autoSpaceDE/>
              <w:bidi w:val="0"/>
              <w:snapToGrid w:val="0"/>
              <w:spacing w:line="360" w:lineRule="auto"/>
              <w:textAlignment w:val="auto"/>
              <w:rPr>
                <w:b w:val="0"/>
                <w:bCs/>
                <w:color w:val="000000"/>
                <w:sz w:val="21"/>
                <w:szCs w:val="21"/>
                <w:highlight w:val="none"/>
                <w:lang w:val="en-US" w:eastAsia="zh-CN"/>
              </w:rPr>
            </w:pPr>
            <w:r>
              <w:rPr>
                <w:b w:val="0"/>
                <w:bCs/>
                <w:color w:val="000000"/>
                <w:sz w:val="21"/>
                <w:szCs w:val="21"/>
                <w:lang w:val="en-US" w:eastAsia="zh-CN"/>
              </w:rPr>
              <w:t>磋商小组由采购人依法组建；</w:t>
            </w:r>
          </w:p>
          <w:p w14:paraId="14B3671C">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b w:val="0"/>
                <w:bCs/>
                <w:color w:val="000000"/>
                <w:sz w:val="21"/>
                <w:szCs w:val="21"/>
                <w:lang w:val="en-US" w:eastAsia="zh-CN"/>
              </w:rPr>
              <w:t>评审专家确定方式：专家磋商小组成员由采购人（采购代理机构）在响应文件开启前48小时内从政采云专家库中随机抽取。</w:t>
            </w:r>
          </w:p>
        </w:tc>
      </w:tr>
      <w:tr w14:paraId="1C46F13E">
        <w:tblPrEx>
          <w:tblCellMar>
            <w:top w:w="0" w:type="dxa"/>
            <w:left w:w="108" w:type="dxa"/>
            <w:bottom w:w="0" w:type="dxa"/>
            <w:right w:w="108" w:type="dxa"/>
          </w:tblCellMar>
        </w:tblPrEx>
        <w:trPr>
          <w:trHeight w:val="4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D95510D">
            <w:pPr>
              <w:pStyle w:val="50"/>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25</w:t>
            </w:r>
          </w:p>
        </w:tc>
        <w:tc>
          <w:tcPr>
            <w:tcW w:w="1537" w:type="dxa"/>
            <w:tcBorders>
              <w:top w:val="single" w:color="000000" w:sz="8" w:space="0"/>
              <w:left w:val="single" w:color="000000" w:sz="8" w:space="0"/>
              <w:bottom w:val="single" w:color="000000" w:sz="8" w:space="0"/>
              <w:right w:val="single" w:color="000000" w:sz="8" w:space="0"/>
            </w:tcBorders>
            <w:vAlign w:val="center"/>
          </w:tcPr>
          <w:p w14:paraId="62B1DD64">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是否授权磋商小组确定成交候选人</w:t>
            </w:r>
          </w:p>
        </w:tc>
        <w:tc>
          <w:tcPr>
            <w:tcW w:w="7365" w:type="dxa"/>
            <w:tcBorders>
              <w:top w:val="single" w:color="000000" w:sz="8" w:space="0"/>
              <w:left w:val="single" w:color="000000" w:sz="8" w:space="0"/>
              <w:bottom w:val="single" w:color="000000" w:sz="8" w:space="0"/>
              <w:right w:val="single" w:color="000000" w:sz="12" w:space="0"/>
            </w:tcBorders>
            <w:vAlign w:val="center"/>
          </w:tcPr>
          <w:p w14:paraId="638A7531">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是，磋商小组推荐</w:t>
            </w:r>
            <w:r>
              <w:rPr>
                <w:rFonts w:eastAsia="宋体" w:cs="宋体"/>
                <w:color w:val="000000"/>
                <w:sz w:val="21"/>
                <w:szCs w:val="21"/>
                <w:lang w:val="en-US" w:eastAsia="zh-CN"/>
              </w:rPr>
              <w:t>3</w:t>
            </w:r>
            <w:r>
              <w:rPr>
                <w:rFonts w:ascii="宋体" w:hAnsi="宋体" w:cs="宋体"/>
                <w:color w:val="000000"/>
                <w:sz w:val="21"/>
                <w:szCs w:val="21"/>
                <w:lang w:val="en-US" w:eastAsia="zh-CN"/>
              </w:rPr>
              <w:t>名成交候选人。</w:t>
            </w:r>
          </w:p>
        </w:tc>
      </w:tr>
      <w:tr w14:paraId="4F194286">
        <w:tblPrEx>
          <w:tblCellMar>
            <w:top w:w="0" w:type="dxa"/>
            <w:left w:w="108" w:type="dxa"/>
            <w:bottom w:w="0" w:type="dxa"/>
            <w:right w:w="108" w:type="dxa"/>
          </w:tblCellMar>
        </w:tblPrEx>
        <w:trPr>
          <w:trHeight w:val="4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0A87A9">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26</w:t>
            </w:r>
          </w:p>
        </w:tc>
        <w:tc>
          <w:tcPr>
            <w:tcW w:w="1537" w:type="dxa"/>
            <w:tcBorders>
              <w:top w:val="single" w:color="000000" w:sz="8" w:space="0"/>
              <w:left w:val="single" w:color="000000" w:sz="8" w:space="0"/>
              <w:bottom w:val="single" w:color="000000" w:sz="8" w:space="0"/>
              <w:right w:val="single" w:color="000000" w:sz="8" w:space="0"/>
            </w:tcBorders>
            <w:vAlign w:val="center"/>
          </w:tcPr>
          <w:p w14:paraId="344C69D4">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成交候选人公示媒介</w:t>
            </w:r>
          </w:p>
        </w:tc>
        <w:tc>
          <w:tcPr>
            <w:tcW w:w="7365" w:type="dxa"/>
            <w:tcBorders>
              <w:top w:val="single" w:color="000000" w:sz="8" w:space="0"/>
              <w:left w:val="single" w:color="000000" w:sz="8" w:space="0"/>
              <w:bottom w:val="single" w:color="000000" w:sz="8" w:space="0"/>
              <w:right w:val="single" w:color="000000" w:sz="12" w:space="0"/>
            </w:tcBorders>
            <w:vAlign w:val="center"/>
          </w:tcPr>
          <w:p w14:paraId="51461EE3">
            <w:pPr>
              <w:pStyle w:val="50"/>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Times New Roman" w:hAnsi="Times New Roman" w:cs="Times New Roman"/>
                <w:b w:val="0"/>
                <w:bCs/>
                <w:color w:val="000000"/>
                <w:kern w:val="2"/>
                <w:sz w:val="21"/>
                <w:szCs w:val="21"/>
                <w:u w:val="none"/>
                <w:lang w:val="en-US" w:eastAsia="zh-CN" w:bidi="ar-SA"/>
              </w:rPr>
              <w:t>新疆政府采购网、克州公共资源交易网，公示期为一个工作日。</w:t>
            </w:r>
          </w:p>
        </w:tc>
      </w:tr>
      <w:tr w14:paraId="576488AB">
        <w:tblPrEx>
          <w:tblCellMar>
            <w:top w:w="0" w:type="dxa"/>
            <w:left w:w="108" w:type="dxa"/>
            <w:bottom w:w="0" w:type="dxa"/>
            <w:right w:w="108" w:type="dxa"/>
          </w:tblCellMar>
        </w:tblPrEx>
        <w:trPr>
          <w:trHeight w:val="145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694866C">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27</w:t>
            </w:r>
          </w:p>
        </w:tc>
        <w:tc>
          <w:tcPr>
            <w:tcW w:w="1537" w:type="dxa"/>
            <w:tcBorders>
              <w:top w:val="single" w:color="000000" w:sz="8" w:space="0"/>
              <w:left w:val="single" w:color="000000" w:sz="8" w:space="0"/>
              <w:bottom w:val="single" w:color="000000" w:sz="8" w:space="0"/>
              <w:right w:val="single" w:color="000000" w:sz="8" w:space="0"/>
            </w:tcBorders>
            <w:vAlign w:val="center"/>
          </w:tcPr>
          <w:p w14:paraId="041AC58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履约担保</w:t>
            </w:r>
          </w:p>
        </w:tc>
        <w:tc>
          <w:tcPr>
            <w:tcW w:w="7365" w:type="dxa"/>
            <w:tcBorders>
              <w:top w:val="single" w:color="000000" w:sz="8" w:space="0"/>
              <w:left w:val="single" w:color="000000" w:sz="8" w:space="0"/>
              <w:bottom w:val="single" w:color="000000" w:sz="8" w:space="0"/>
              <w:right w:val="single" w:color="000000" w:sz="12" w:space="0"/>
            </w:tcBorders>
          </w:tcPr>
          <w:p w14:paraId="43D3C678">
            <w:pPr>
              <w:keepNext w:val="0"/>
              <w:keepLines w:val="0"/>
              <w:numPr>
                <w:ilvl w:val="0"/>
                <w:numId w:val="5"/>
              </w:numPr>
              <w:kinsoku/>
              <w:overflowPunct/>
              <w:autoSpaceDE/>
              <w:bidi w:val="0"/>
              <w:snapToGrid w:val="0"/>
              <w:spacing w:line="360" w:lineRule="auto"/>
              <w:textAlignment w:val="auto"/>
              <w:rPr>
                <w:b w:val="0"/>
                <w:bCs/>
                <w:lang w:val="en-US" w:eastAsia="zh-CN"/>
              </w:rPr>
            </w:pPr>
            <w:r>
              <w:rPr>
                <w:b w:val="0"/>
                <w:bCs/>
                <w:lang w:val="en-US" w:eastAsia="zh-CN"/>
              </w:rPr>
              <w:t>成交供应商在</w:t>
            </w:r>
            <w:r>
              <w:rPr>
                <w:b w:val="0"/>
                <w:bCs/>
                <w:color w:val="FF0000"/>
                <w:lang w:val="en-US" w:eastAsia="zh-CN"/>
              </w:rPr>
              <w:t>收</w:t>
            </w:r>
            <w:r>
              <w:rPr>
                <w:rFonts w:ascii="Times New Roman" w:hAnsi="Times New Roman" w:cs="Times New Roman"/>
                <w:b w:val="0"/>
                <w:bCs/>
                <w:color w:val="FF0000"/>
                <w:lang w:val="en-US" w:eastAsia="zh-CN"/>
              </w:rPr>
              <w:t>到成交通知书</w:t>
            </w:r>
            <w:r>
              <w:rPr>
                <w:rFonts w:eastAsia="宋体" w:cs="Times New Roman"/>
                <w:b w:val="0"/>
                <w:bCs/>
                <w:color w:val="FF0000"/>
                <w:lang w:val="en-US" w:eastAsia="zh-CN"/>
              </w:rPr>
              <w:t>7</w:t>
            </w:r>
            <w:r>
              <w:rPr>
                <w:rFonts w:ascii="Times New Roman" w:hAnsi="Times New Roman" w:cs="Times New Roman"/>
                <w:b w:val="0"/>
                <w:bCs/>
                <w:color w:val="FF0000"/>
                <w:lang w:val="en-US" w:eastAsia="zh-CN"/>
              </w:rPr>
              <w:t>日内向采购人交纳成交价</w:t>
            </w:r>
            <w:r>
              <w:rPr>
                <w:rFonts w:eastAsia="宋体" w:cs="Times New Roman"/>
                <w:b w:val="0"/>
                <w:bCs/>
                <w:color w:val="FF0000"/>
                <w:lang w:val="en-US" w:eastAsia="zh-CN"/>
              </w:rPr>
              <w:t>5</w:t>
            </w:r>
            <w:r>
              <w:rPr>
                <w:b w:val="0"/>
                <w:bCs/>
                <w:color w:val="FF0000"/>
                <w:lang w:val="en-US" w:eastAsia="zh-CN"/>
              </w:rPr>
              <w:t>%的履约保证金</w:t>
            </w:r>
            <w:r>
              <w:rPr>
                <w:b w:val="0"/>
                <w:bCs/>
                <w:lang w:val="en-US" w:eastAsia="zh-CN"/>
              </w:rPr>
              <w:t>（若以电汇、银行转账方式提交的，必须转到采购人的指定账户），如果成交供应商在供货期内没有涉及采购人的应付而未付金额或违约行为，采购人在项目验收合格后或提前终止合同后全额无息退还履约保证金。</w:t>
            </w:r>
          </w:p>
          <w:p w14:paraId="707D233F">
            <w:pPr>
              <w:spacing w:line="360" w:lineRule="auto"/>
              <w:jc w:val="left"/>
              <w:rPr>
                <w:rFonts w:ascii="宋体" w:hAnsi="宋体"/>
                <w:b w:val="0"/>
                <w:bCs/>
                <w:color w:val="000000"/>
                <w:szCs w:val="21"/>
                <w:highlight w:val="none"/>
                <w:lang w:val="en-US" w:eastAsia="zh-CN"/>
              </w:rPr>
            </w:pPr>
            <w:r>
              <w:rPr>
                <w:rFonts w:ascii="宋体" w:hAnsi="宋体" w:eastAsia="宋体" w:cs="宋体"/>
                <w:b w:val="0"/>
                <w:bCs/>
                <w:color w:val="000000"/>
                <w:kern w:val="0"/>
                <w:sz w:val="21"/>
                <w:szCs w:val="21"/>
                <w:u w:val="none" w:color="000000"/>
                <w:lang w:val="en-US" w:eastAsia="zh-CN" w:bidi="ar-SA"/>
              </w:rPr>
              <w:t>2</w:t>
            </w:r>
            <w:r>
              <w:rPr>
                <w:rFonts w:ascii="宋体" w:hAnsi="宋体" w:cs="宋体"/>
                <w:b w:val="0"/>
                <w:bCs/>
                <w:color w:val="000000"/>
                <w:kern w:val="0"/>
                <w:sz w:val="21"/>
                <w:szCs w:val="21"/>
                <w:u w:val="none" w:color="000000"/>
                <w:lang w:val="en-US" w:eastAsia="zh-CN" w:bidi="ar-SA"/>
              </w:rPr>
              <w:t>、</w:t>
            </w:r>
            <w:r>
              <w:rPr>
                <w:rFonts w:ascii="宋体" w:hAnsi="宋体"/>
                <w:b w:val="0"/>
                <w:bCs/>
                <w:color w:val="000000"/>
                <w:szCs w:val="21"/>
                <w:lang w:val="en-US" w:eastAsia="zh-CN"/>
              </w:rPr>
              <w:t>签订合同后，如</w:t>
            </w:r>
            <w:r>
              <w:rPr>
                <w:b w:val="0"/>
                <w:bCs/>
                <w:lang w:val="en-US" w:eastAsia="zh-CN"/>
              </w:rPr>
              <w:t>成交</w:t>
            </w:r>
            <w:r>
              <w:rPr>
                <w:rFonts w:ascii="宋体" w:hAnsi="宋体"/>
                <w:b w:val="0"/>
                <w:bCs/>
                <w:color w:val="000000"/>
                <w:szCs w:val="21"/>
                <w:lang w:val="en-US" w:eastAsia="zh-CN"/>
              </w:rPr>
              <w:t>供应商不按合同约定履约的，履约保证金不予退还，履约保证金不足以赔偿损失的，按实际损失赔偿。</w:t>
            </w:r>
          </w:p>
          <w:p w14:paraId="3C3585C7">
            <w:pPr>
              <w:spacing w:line="360" w:lineRule="auto"/>
              <w:jc w:val="left"/>
              <w:rPr>
                <w:rFonts w:ascii="宋体" w:hAnsi="宋体"/>
                <w:b w:val="0"/>
                <w:bCs/>
                <w:color w:val="000000"/>
                <w:szCs w:val="21"/>
                <w:highlight w:val="none"/>
                <w:lang w:val="en-US" w:eastAsia="zh-CN"/>
              </w:rPr>
            </w:pPr>
            <w:r>
              <w:rPr>
                <w:rFonts w:ascii="宋体" w:hAnsi="宋体"/>
                <w:b w:val="0"/>
                <w:bCs/>
                <w:color w:val="000000"/>
                <w:szCs w:val="21"/>
                <w:lang w:val="en-US" w:eastAsia="zh-CN"/>
              </w:rPr>
              <w:t>3、如果</w:t>
            </w:r>
            <w:r>
              <w:rPr>
                <w:b w:val="0"/>
                <w:bCs/>
                <w:lang w:val="en-US" w:eastAsia="zh-CN"/>
              </w:rPr>
              <w:t>成交</w:t>
            </w:r>
            <w:r>
              <w:rPr>
                <w:rFonts w:ascii="宋体" w:hAnsi="宋体"/>
                <w:b w:val="0"/>
                <w:bCs/>
                <w:color w:val="000000"/>
                <w:szCs w:val="21"/>
                <w:lang w:val="en-US" w:eastAsia="zh-CN"/>
              </w:rPr>
              <w:t>供应商在供货期内没有涉及采购人的应付而未付金额或违约行为，采购人在项目验收合格后或提前终止合同后全额无息退还履约保证金。</w:t>
            </w:r>
          </w:p>
          <w:p w14:paraId="3238A535">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b w:val="0"/>
                <w:bCs/>
                <w:color w:val="000000"/>
                <w:szCs w:val="21"/>
                <w:lang w:val="en-US" w:eastAsia="zh-CN"/>
              </w:rPr>
              <w:t>4、履约保证金以保函形式提交的，保函格式须严格按照采购人要求填写。</w:t>
            </w:r>
          </w:p>
        </w:tc>
      </w:tr>
      <w:tr w14:paraId="1BD0455C">
        <w:tblPrEx>
          <w:tblCellMar>
            <w:top w:w="0" w:type="dxa"/>
            <w:left w:w="108" w:type="dxa"/>
            <w:bottom w:w="0" w:type="dxa"/>
            <w:right w:w="108" w:type="dxa"/>
          </w:tblCellMar>
        </w:tblPrEx>
        <w:trPr>
          <w:trHeight w:val="96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38AB50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28</w:t>
            </w:r>
          </w:p>
        </w:tc>
        <w:tc>
          <w:tcPr>
            <w:tcW w:w="1537" w:type="dxa"/>
            <w:tcBorders>
              <w:top w:val="single" w:color="000000" w:sz="8" w:space="0"/>
              <w:left w:val="single" w:color="000000" w:sz="8" w:space="0"/>
              <w:bottom w:val="single" w:color="000000" w:sz="8" w:space="0"/>
              <w:right w:val="single" w:color="000000" w:sz="8" w:space="0"/>
            </w:tcBorders>
            <w:vAlign w:val="center"/>
          </w:tcPr>
          <w:p w14:paraId="3FE0A32A">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eastAsia="zh-CN"/>
              </w:rPr>
              <w:t>磋商文件</w:t>
            </w:r>
            <w:r>
              <w:rPr>
                <w:rFonts w:ascii="宋体" w:hAnsi="宋体" w:cs="宋体"/>
                <w:color w:val="000000"/>
                <w:sz w:val="21"/>
                <w:szCs w:val="21"/>
              </w:rPr>
              <w:t>领取</w:t>
            </w:r>
          </w:p>
        </w:tc>
        <w:tc>
          <w:tcPr>
            <w:tcW w:w="7365" w:type="dxa"/>
            <w:tcBorders>
              <w:top w:val="single" w:color="000000" w:sz="8" w:space="0"/>
              <w:left w:val="single" w:color="000000" w:sz="8" w:space="0"/>
              <w:bottom w:val="single" w:color="000000" w:sz="8" w:space="0"/>
              <w:right w:val="single" w:color="000000" w:sz="12" w:space="0"/>
            </w:tcBorders>
          </w:tcPr>
          <w:p w14:paraId="250AF282">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时间：</w:t>
            </w:r>
            <w:r>
              <w:rPr>
                <w:rFonts w:ascii="宋体" w:hAnsi="宋体" w:eastAsia="宋体" w:cs="宋体"/>
                <w:color w:val="FF0000"/>
                <w:sz w:val="21"/>
                <w:szCs w:val="21"/>
                <w:lang w:eastAsia="zh-CN"/>
              </w:rPr>
              <w:t>202</w:t>
            </w:r>
            <w:r>
              <w:rPr>
                <w:rFonts w:ascii="宋体" w:hAnsi="宋体" w:eastAsia="宋体" w:cs="宋体"/>
                <w:color w:val="FF0000"/>
                <w:sz w:val="21"/>
                <w:szCs w:val="21"/>
                <w:lang w:val="en-US" w:eastAsia="zh-CN"/>
              </w:rPr>
              <w:t>6</w:t>
            </w:r>
            <w:r>
              <w:rPr>
                <w:rFonts w:ascii="宋体" w:hAnsi="宋体" w:cs="宋体"/>
                <w:color w:val="FF0000"/>
                <w:sz w:val="21"/>
                <w:szCs w:val="21"/>
                <w:lang w:eastAsia="zh-CN"/>
              </w:rPr>
              <w:t>年</w:t>
            </w:r>
            <w:r>
              <w:rPr>
                <w:rFonts w:ascii="宋体" w:hAnsi="宋体" w:eastAsia="宋体" w:cs="宋体"/>
                <w:color w:val="FF0000"/>
                <w:sz w:val="21"/>
                <w:szCs w:val="21"/>
                <w:lang w:val="en-US" w:eastAsia="zh-CN"/>
              </w:rPr>
              <w:t>9</w:t>
            </w:r>
            <w:r>
              <w:rPr>
                <w:rFonts w:ascii="宋体" w:hAnsi="宋体" w:cs="宋体"/>
                <w:color w:val="FF0000"/>
                <w:sz w:val="21"/>
                <w:szCs w:val="21"/>
                <w:lang w:eastAsia="zh-CN"/>
              </w:rPr>
              <w:t>月</w:t>
            </w:r>
            <w:r>
              <w:rPr>
                <w:rFonts w:ascii="宋体" w:hAnsi="宋体" w:eastAsia="宋体" w:cs="宋体"/>
                <w:color w:val="FF0000"/>
                <w:sz w:val="21"/>
                <w:szCs w:val="21"/>
                <w:lang w:val="en-US" w:eastAsia="zh-CN"/>
              </w:rPr>
              <w:t>28</w:t>
            </w:r>
            <w:r>
              <w:rPr>
                <w:rFonts w:ascii="宋体" w:hAnsi="宋体" w:cs="宋体"/>
                <w:color w:val="FF0000"/>
                <w:sz w:val="21"/>
                <w:szCs w:val="21"/>
              </w:rPr>
              <w:t>日</w:t>
            </w:r>
            <w:r>
              <w:rPr>
                <w:rFonts w:ascii="宋体" w:hAnsi="宋体" w:cs="宋体"/>
                <w:color w:val="000000"/>
                <w:sz w:val="21"/>
                <w:szCs w:val="21"/>
              </w:rPr>
              <w:t>至</w:t>
            </w:r>
            <w:r>
              <w:rPr>
                <w:rFonts w:ascii="宋体" w:hAnsi="宋体" w:eastAsia="宋体" w:cs="宋体"/>
                <w:color w:val="FF0000"/>
                <w:sz w:val="21"/>
                <w:szCs w:val="21"/>
              </w:rPr>
              <w:t>202</w:t>
            </w:r>
            <w:r>
              <w:rPr>
                <w:rFonts w:ascii="宋体" w:hAnsi="宋体" w:eastAsia="宋体" w:cs="宋体"/>
                <w:color w:val="FF0000"/>
                <w:sz w:val="21"/>
                <w:szCs w:val="21"/>
                <w:lang w:val="en-US" w:eastAsia="zh-CN"/>
              </w:rPr>
              <w:t>6</w:t>
            </w:r>
            <w:r>
              <w:rPr>
                <w:rFonts w:ascii="宋体" w:hAnsi="宋体" w:cs="宋体"/>
                <w:color w:val="FF0000"/>
                <w:sz w:val="21"/>
                <w:szCs w:val="21"/>
              </w:rPr>
              <w:t>年</w:t>
            </w:r>
            <w:r>
              <w:rPr>
                <w:rFonts w:ascii="宋体" w:hAnsi="宋体" w:eastAsia="宋体" w:cs="宋体"/>
                <w:color w:val="FF0000"/>
                <w:sz w:val="21"/>
                <w:szCs w:val="21"/>
                <w:lang w:val="en-US" w:eastAsia="zh-CN"/>
              </w:rPr>
              <w:t>10</w:t>
            </w:r>
            <w:r>
              <w:rPr>
                <w:rFonts w:ascii="宋体" w:hAnsi="宋体" w:cs="宋体"/>
                <w:color w:val="FF0000"/>
                <w:sz w:val="21"/>
                <w:szCs w:val="21"/>
              </w:rPr>
              <w:t>月</w:t>
            </w:r>
            <w:r>
              <w:rPr>
                <w:rFonts w:ascii="宋体" w:hAnsi="宋体" w:eastAsia="宋体" w:cs="宋体"/>
                <w:color w:val="FF0000"/>
                <w:sz w:val="21"/>
                <w:szCs w:val="21"/>
                <w:lang w:val="en-US" w:eastAsia="zh-CN"/>
              </w:rPr>
              <w:t>10</w:t>
            </w:r>
            <w:r>
              <w:rPr>
                <w:rFonts w:ascii="宋体" w:hAnsi="宋体" w:cs="宋体"/>
                <w:color w:val="FF0000"/>
                <w:sz w:val="21"/>
                <w:szCs w:val="21"/>
              </w:rPr>
              <w:t>日</w:t>
            </w:r>
            <w:r>
              <w:rPr>
                <w:rFonts w:ascii="宋体" w:hAnsi="宋体" w:cs="宋体"/>
                <w:color w:val="000000"/>
                <w:sz w:val="21"/>
                <w:szCs w:val="21"/>
              </w:rPr>
              <w:t>，每天上午</w:t>
            </w:r>
            <w:r>
              <w:rPr>
                <w:rFonts w:ascii="宋体" w:hAnsi="宋体" w:eastAsia="宋体" w:cs="宋体"/>
                <w:color w:val="000000"/>
                <w:sz w:val="21"/>
                <w:szCs w:val="21"/>
              </w:rPr>
              <w:t>10:00</w:t>
            </w:r>
            <w:r>
              <w:rPr>
                <w:rFonts w:ascii="宋体" w:hAnsi="宋体" w:cs="宋体"/>
                <w:color w:val="000000"/>
                <w:sz w:val="21"/>
                <w:szCs w:val="21"/>
              </w:rPr>
              <w:t>至</w:t>
            </w:r>
            <w:r>
              <w:rPr>
                <w:rFonts w:ascii="宋体" w:hAnsi="宋体" w:eastAsia="宋体" w:cs="宋体"/>
                <w:color w:val="000000"/>
                <w:sz w:val="21"/>
                <w:szCs w:val="21"/>
                <w:lang w:val="en-US" w:eastAsia="zh-CN"/>
              </w:rPr>
              <w:t>14</w:t>
            </w:r>
            <w:r>
              <w:rPr>
                <w:rFonts w:ascii="宋体" w:hAnsi="宋体" w:eastAsia="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，下午</w:t>
            </w:r>
            <w:r>
              <w:rPr>
                <w:rFonts w:ascii="宋体" w:hAnsi="宋体" w:eastAsia="宋体" w:cs="宋体"/>
                <w:color w:val="000000"/>
                <w:sz w:val="21"/>
                <w:szCs w:val="21"/>
              </w:rPr>
              <w:t>16:</w:t>
            </w:r>
            <w:r>
              <w:rPr>
                <w:rFonts w:ascii="宋体" w:hAnsi="宋体" w:eastAsia="宋体" w:cs="宋体"/>
                <w:color w:val="000000"/>
                <w:sz w:val="21"/>
                <w:szCs w:val="21"/>
                <w:lang w:val="en-US" w:eastAsia="zh-CN"/>
              </w:rPr>
              <w:t>00</w:t>
            </w:r>
            <w:r>
              <w:rPr>
                <w:rFonts w:ascii="宋体" w:hAnsi="宋体" w:cs="宋体"/>
                <w:color w:val="000000"/>
                <w:sz w:val="21"/>
                <w:szCs w:val="21"/>
              </w:rPr>
              <w:t>至</w:t>
            </w:r>
            <w:r>
              <w:rPr>
                <w:rFonts w:ascii="宋体" w:hAnsi="宋体" w:eastAsia="宋体" w:cs="宋体"/>
                <w:color w:val="000000"/>
                <w:sz w:val="21"/>
                <w:szCs w:val="21"/>
                <w:lang w:val="en-US" w:eastAsia="zh-CN"/>
              </w:rPr>
              <w:t>20</w:t>
            </w:r>
            <w:r>
              <w:rPr>
                <w:rFonts w:ascii="宋体" w:hAnsi="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（北京时间）</w:t>
            </w:r>
          </w:p>
          <w:p w14:paraId="42614F0C">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地点：供应商登陆政采云平台</w:t>
            </w:r>
            <w:r>
              <w:rPr>
                <w:rFonts w:ascii="宋体" w:hAnsi="宋体" w:eastAsia="宋体" w:cs="宋体"/>
                <w:color w:val="000000"/>
                <w:sz w:val="21"/>
                <w:szCs w:val="21"/>
              </w:rPr>
              <w:t>http://www.zcygov.cn/</w:t>
            </w:r>
            <w:r>
              <w:rPr>
                <w:rFonts w:ascii="宋体" w:hAnsi="宋体" w:cs="宋体"/>
                <w:color w:val="000000"/>
                <w:sz w:val="21"/>
                <w:szCs w:val="21"/>
              </w:rPr>
              <w:t>，在线申请获取</w:t>
            </w:r>
            <w:r>
              <w:rPr>
                <w:rFonts w:ascii="宋体" w:hAnsi="宋体" w:cs="宋体"/>
                <w:color w:val="000000"/>
                <w:sz w:val="21"/>
                <w:szCs w:val="21"/>
                <w:lang w:eastAsia="zh-CN"/>
              </w:rPr>
              <w:t>磋商文件</w:t>
            </w:r>
            <w:r>
              <w:rPr>
                <w:rFonts w:ascii="宋体" w:hAnsi="宋体" w:cs="宋体"/>
                <w:color w:val="000000"/>
                <w:sz w:val="21"/>
                <w:szCs w:val="21"/>
              </w:rPr>
              <w:t>（登录政府采购云平台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→申请，审核通过后可下载</w:t>
            </w:r>
            <w:r>
              <w:rPr>
                <w:rFonts w:ascii="宋体" w:hAnsi="宋体" w:cs="宋体"/>
                <w:color w:val="000000"/>
                <w:sz w:val="21"/>
                <w:szCs w:val="21"/>
                <w:lang w:eastAsia="zh-CN"/>
              </w:rPr>
              <w:t>磋商文件</w:t>
            </w:r>
            <w:r>
              <w:rPr>
                <w:rFonts w:ascii="宋体" w:hAnsi="宋体" w:cs="宋体"/>
                <w:color w:val="000000"/>
                <w:sz w:val="21"/>
                <w:szCs w:val="21"/>
              </w:rPr>
              <w:t>，如有操作性问题，可与政采云在线客服进行咨询，咨询电话：</w:t>
            </w:r>
            <w:r>
              <w:rPr>
                <w:rFonts w:ascii="宋体" w:hAnsi="宋体" w:cs="宋体"/>
                <w:color w:val="000000"/>
                <w:sz w:val="21"/>
                <w:szCs w:val="21"/>
                <w:lang w:val="en-US" w:eastAsia="zh-CN"/>
              </w:rPr>
              <w:t>95763</w:t>
            </w:r>
            <w:r>
              <w:rPr>
                <w:rFonts w:ascii="宋体" w:hAnsi="宋体" w:cs="宋体"/>
                <w:color w:val="000000"/>
                <w:sz w:val="21"/>
                <w:szCs w:val="21"/>
              </w:rPr>
              <w:t>）。</w:t>
            </w:r>
          </w:p>
          <w:p w14:paraId="4BD2FA93">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方式：（</w:t>
            </w:r>
            <w:r>
              <w:rPr>
                <w:rFonts w:ascii="宋体" w:hAnsi="宋体" w:eastAsia="宋体" w:cs="宋体"/>
                <w:color w:val="000000"/>
                <w:sz w:val="21"/>
                <w:szCs w:val="21"/>
              </w:rPr>
              <w:t>1</w:t>
            </w:r>
            <w:r>
              <w:rPr>
                <w:rFonts w:ascii="宋体" w:hAnsi="宋体" w:cs="宋体"/>
                <w:color w:val="000000"/>
                <w:sz w:val="21"/>
                <w:szCs w:val="21"/>
              </w:rPr>
              <w:t>）线上获取（登录政府采购云平台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 申请，审核通过后可下载</w:t>
            </w:r>
            <w:r>
              <w:rPr>
                <w:rFonts w:ascii="宋体" w:hAnsi="宋体" w:cs="宋体"/>
                <w:color w:val="000000"/>
                <w:sz w:val="21"/>
                <w:szCs w:val="21"/>
                <w:lang w:eastAsia="zh-CN"/>
              </w:rPr>
              <w:t>磋商文件</w:t>
            </w:r>
            <w:r>
              <w:rPr>
                <w:rFonts w:ascii="宋体" w:hAnsi="宋体" w:cs="宋体"/>
                <w:color w:val="000000"/>
                <w:sz w:val="21"/>
                <w:szCs w:val="21"/>
              </w:rPr>
              <w:t>）。本次采购不提供纸质版</w:t>
            </w:r>
            <w:r>
              <w:rPr>
                <w:rFonts w:ascii="宋体" w:hAnsi="宋体" w:cs="宋体"/>
                <w:color w:val="000000"/>
                <w:sz w:val="21"/>
                <w:szCs w:val="21"/>
                <w:lang w:eastAsia="zh-CN"/>
              </w:rPr>
              <w:t>磋商文件</w:t>
            </w:r>
            <w:r>
              <w:rPr>
                <w:rFonts w:ascii="宋体" w:hAnsi="宋体" w:cs="宋体"/>
                <w:color w:val="000000"/>
                <w:sz w:val="21"/>
                <w:szCs w:val="21"/>
              </w:rPr>
              <w:t>。</w:t>
            </w:r>
          </w:p>
          <w:p w14:paraId="465AB06D">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2</w:t>
            </w:r>
            <w:r>
              <w:rPr>
                <w:rFonts w:ascii="宋体" w:hAnsi="宋体" w:cs="宋体"/>
                <w:color w:val="000000"/>
                <w:sz w:val="21"/>
                <w:szCs w:val="21"/>
              </w:rPr>
              <w:t>）供应商获取</w:t>
            </w:r>
            <w:r>
              <w:rPr>
                <w:rFonts w:ascii="宋体" w:hAnsi="宋体" w:cs="宋体"/>
                <w:color w:val="000000"/>
                <w:sz w:val="21"/>
                <w:szCs w:val="21"/>
                <w:lang w:eastAsia="zh-CN"/>
              </w:rPr>
              <w:t>磋商文件</w:t>
            </w:r>
            <w:r>
              <w:rPr>
                <w:rFonts w:ascii="宋体" w:hAnsi="宋体" w:cs="宋体"/>
                <w:color w:val="000000"/>
                <w:sz w:val="21"/>
                <w:szCs w:val="21"/>
              </w:rPr>
              <w:t>前应注册成为政府采购云平台正式供应商。</w:t>
            </w:r>
          </w:p>
        </w:tc>
      </w:tr>
      <w:tr w14:paraId="23FD43D3">
        <w:tblPrEx>
          <w:tblCellMar>
            <w:top w:w="0" w:type="dxa"/>
            <w:left w:w="108" w:type="dxa"/>
            <w:bottom w:w="0" w:type="dxa"/>
            <w:right w:w="108" w:type="dxa"/>
          </w:tblCellMar>
        </w:tblPrEx>
        <w:trPr>
          <w:trHeight w:val="1082"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738E7C14">
            <w:pPr>
              <w:keepNext w:val="0"/>
              <w:keepLines w:val="0"/>
              <w:kinsoku/>
              <w:overflowPunct/>
              <w:autoSpaceDE/>
              <w:bidi w:val="0"/>
              <w:snapToGrid w:val="0"/>
              <w:spacing w:line="360" w:lineRule="auto"/>
              <w:jc w:val="left"/>
              <w:textAlignment w:val="auto"/>
              <w:rPr>
                <w:rFonts w:ascii="宋体" w:hAnsi="宋体" w:eastAsia="宋体" w:cs="宋体"/>
                <w:color w:val="000000"/>
                <w:sz w:val="21"/>
                <w:szCs w:val="21"/>
                <w:lang w:val="en-US" w:eastAsia="zh-CN"/>
              </w:rPr>
            </w:pPr>
            <w:bookmarkStart w:id="3" w:name="__RefHeading___Toc469495723"/>
            <w:bookmarkEnd w:id="3"/>
            <w:r>
              <w:rPr>
                <w:rFonts w:ascii="宋体" w:hAnsi="宋体" w:eastAsia="宋体" w:cs="宋体"/>
                <w:color w:val="000000"/>
                <w:sz w:val="21"/>
                <w:szCs w:val="21"/>
                <w:lang w:val="en-US" w:eastAsia="zh-CN"/>
              </w:rPr>
              <w:t>29</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19430E28">
            <w:pPr>
              <w:keepNext w:val="0"/>
              <w:keepLines w:val="0"/>
              <w:kinsoku/>
              <w:overflowPunct/>
              <w:autoSpaceDE/>
              <w:bidi w:val="0"/>
              <w:snapToGrid w:val="0"/>
              <w:spacing w:line="360" w:lineRule="auto"/>
              <w:jc w:val="center"/>
              <w:textAlignment w:val="auto"/>
              <w:rPr>
                <w:rFonts w:ascii="宋体" w:hAnsi="宋体" w:eastAsia="宋体" w:cs="宋体"/>
                <w:color w:val="0000FF"/>
                <w:sz w:val="21"/>
                <w:szCs w:val="21"/>
              </w:rPr>
            </w:pPr>
            <w:r>
              <w:rPr>
                <w:rFonts w:ascii="Times New Roman" w:hAnsi="Times New Roman" w:cs="Times New Roman"/>
                <w:spacing w:val="-7"/>
              </w:rPr>
              <w:t>中小微企业政策文件</w:t>
            </w:r>
          </w:p>
        </w:tc>
        <w:tc>
          <w:tcPr>
            <w:tcW w:w="7365" w:type="dxa"/>
            <w:tcBorders>
              <w:top w:val="single" w:color="000000" w:sz="8" w:space="0"/>
              <w:left w:val="single" w:color="000000" w:sz="8" w:space="0"/>
              <w:bottom w:val="single" w:color="000000" w:sz="8" w:space="0"/>
              <w:right w:val="single" w:color="000000" w:sz="12" w:space="0"/>
            </w:tcBorders>
          </w:tcPr>
          <w:p w14:paraId="5A2830E3">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1</w:t>
            </w:r>
            <w:r>
              <w:rPr>
                <w:rFonts w:ascii="宋体" w:hAnsi="宋体" w:cs="宋体"/>
                <w:b w:val="0"/>
                <w:bCs/>
                <w:color w:val="000000"/>
                <w:szCs w:val="21"/>
                <w:lang w:val="en-US" w:eastAsia="zh-CN"/>
              </w:rPr>
              <w:t>）根据财政部、工业和信息化部关于印发《政府采购促进中小企业发展管理办法》的通知（财库</w:t>
            </w:r>
            <w:r>
              <w:rPr>
                <w:rFonts w:ascii="宋体" w:hAnsi="宋体" w:eastAsia="宋体" w:cs="宋体"/>
                <w:b w:val="0"/>
                <w:bCs/>
                <w:color w:val="000000"/>
                <w:szCs w:val="21"/>
                <w:lang w:val="en-US" w:eastAsia="zh-CN"/>
              </w:rPr>
              <w:t>[2020]46</w:t>
            </w:r>
            <w:r>
              <w:rPr>
                <w:rFonts w:ascii="宋体" w:hAnsi="宋体" w:cs="宋体"/>
                <w:b w:val="0"/>
                <w:bCs/>
                <w:color w:val="000000"/>
                <w:szCs w:val="21"/>
                <w:lang w:val="en-US" w:eastAsia="zh-CN"/>
              </w:rPr>
              <w:t>号）及（财库</w:t>
            </w:r>
            <w:r>
              <w:rPr>
                <w:rFonts w:ascii="宋体" w:hAnsi="宋体" w:eastAsia="宋体" w:cs="宋体"/>
                <w:b w:val="0"/>
                <w:bCs/>
                <w:color w:val="000000"/>
                <w:szCs w:val="21"/>
                <w:lang w:val="en-US" w:eastAsia="zh-CN"/>
              </w:rPr>
              <w:t>[2022]19</w:t>
            </w:r>
            <w:r>
              <w:rPr>
                <w:rFonts w:ascii="宋体" w:hAnsi="宋体" w:cs="宋体"/>
                <w:b w:val="0"/>
                <w:bCs/>
                <w:color w:val="000000"/>
                <w:szCs w:val="21"/>
                <w:lang w:val="en-US" w:eastAsia="zh-CN"/>
              </w:rPr>
              <w:t>号），供应商所投产品的制造商均属于《工业和信息化部、国家统计局、国家发展和改革委员会、财政部关于印发中小企业划型标准规定的通知》（工信部联企业</w:t>
            </w:r>
            <w:r>
              <w:rPr>
                <w:rFonts w:ascii="宋体" w:hAnsi="宋体" w:eastAsia="宋体" w:cs="宋体"/>
                <w:b w:val="0"/>
                <w:bCs/>
                <w:color w:val="000000"/>
                <w:szCs w:val="21"/>
                <w:lang w:val="en-US" w:eastAsia="zh-CN"/>
              </w:rPr>
              <w:t>[2011]300</w:t>
            </w:r>
            <w:r>
              <w:rPr>
                <w:rFonts w:ascii="宋体" w:hAnsi="宋体" w:cs="宋体"/>
                <w:b w:val="0"/>
                <w:bCs/>
                <w:color w:val="000000"/>
                <w:szCs w:val="21"/>
                <w:lang w:val="en-US" w:eastAsia="zh-CN"/>
              </w:rPr>
              <w:t>号）中规定的中型、小型、微型企业标准的，按磋商文件格式提供《中小企业声明函》。</w:t>
            </w:r>
          </w:p>
        </w:tc>
      </w:tr>
      <w:tr w14:paraId="5F5052F7">
        <w:tblPrEx>
          <w:tblCellMar>
            <w:top w:w="0" w:type="dxa"/>
            <w:left w:w="108" w:type="dxa"/>
            <w:bottom w:w="0" w:type="dxa"/>
            <w:right w:w="108" w:type="dxa"/>
          </w:tblCellMar>
        </w:tblPrEx>
        <w:trPr>
          <w:trHeight w:val="108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10985948">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3F7C0A77">
            <w:pPr>
              <w:keepNext w:val="0"/>
              <w:keepLines w:val="0"/>
              <w:kinsoku/>
              <w:overflowPunct/>
              <w:autoSpaceDE/>
              <w:bidi w:val="0"/>
              <w:snapToGrid w:val="0"/>
              <w:spacing w:line="360" w:lineRule="auto"/>
              <w:jc w:val="left"/>
              <w:textAlignment w:val="auto"/>
            </w:pPr>
          </w:p>
        </w:tc>
        <w:tc>
          <w:tcPr>
            <w:tcW w:w="7365" w:type="dxa"/>
            <w:tcBorders>
              <w:top w:val="single" w:color="000000" w:sz="8" w:space="0"/>
              <w:left w:val="single" w:color="000000" w:sz="8" w:space="0"/>
              <w:bottom w:val="single" w:color="000000" w:sz="8" w:space="0"/>
              <w:right w:val="single" w:color="000000" w:sz="12" w:space="0"/>
            </w:tcBorders>
          </w:tcPr>
          <w:p w14:paraId="74CF6379">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2</w:t>
            </w:r>
            <w:r>
              <w:rPr>
                <w:rFonts w:ascii="宋体" w:hAnsi="宋体" w:cs="宋体"/>
                <w:b w:val="0"/>
                <w:bCs/>
                <w:color w:val="000000"/>
                <w:szCs w:val="21"/>
                <w:lang w:val="en-US" w:eastAsia="zh-CN"/>
              </w:rPr>
              <w:t>）根据财政部、司法部《关于政府采购支持监狱企业发展有关问题》的通知财库</w:t>
            </w:r>
            <w:r>
              <w:rPr>
                <w:rFonts w:ascii="宋体" w:hAnsi="宋体" w:eastAsia="宋体" w:cs="宋体"/>
                <w:b w:val="0"/>
                <w:bCs/>
                <w:color w:val="000000"/>
                <w:szCs w:val="21"/>
                <w:lang w:val="en-US" w:eastAsia="zh-CN"/>
              </w:rPr>
              <w:t>[2014]68</w:t>
            </w:r>
            <w:r>
              <w:rPr>
                <w:rFonts w:ascii="宋体" w:hAnsi="宋体" w:cs="宋体"/>
                <w:b w:val="0"/>
                <w:bCs/>
                <w:color w:val="000000"/>
                <w:szCs w:val="21"/>
                <w:lang w:val="en-US" w:eastAsia="zh-CN"/>
              </w:rPr>
              <w:t>号，监狱企业参加本项目响应时，应当提供由省级以上监狱管理局、戒毒管理局（新疆生产建设兵团）出具的属于监狱企业的证明文件。监狱企业视同小型、微型企业。</w:t>
            </w:r>
          </w:p>
        </w:tc>
      </w:tr>
      <w:tr w14:paraId="01C62EAD">
        <w:tblPrEx>
          <w:tblCellMar>
            <w:top w:w="0" w:type="dxa"/>
            <w:left w:w="108" w:type="dxa"/>
            <w:bottom w:w="0" w:type="dxa"/>
            <w:right w:w="108" w:type="dxa"/>
          </w:tblCellMar>
        </w:tblPrEx>
        <w:trPr>
          <w:trHeight w:val="50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4CF8A86">
            <w:pPr>
              <w:keepNext w:val="0"/>
              <w:keepLines w:val="0"/>
              <w:kinsoku/>
              <w:overflowPunct/>
              <w:autoSpaceDE/>
              <w:bidi w:val="0"/>
              <w:snapToGrid w:val="0"/>
              <w:spacing w:line="360" w:lineRule="auto"/>
              <w:jc w:val="left"/>
              <w:textAlignment w:val="auto"/>
              <w:rPr>
                <w:spacing w:val="-1"/>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08A8D1D">
            <w:pPr>
              <w:keepNext w:val="0"/>
              <w:keepLines w:val="0"/>
              <w:kinsoku/>
              <w:overflowPunct/>
              <w:autoSpaceDE/>
              <w:bidi w:val="0"/>
              <w:snapToGrid w:val="0"/>
              <w:spacing w:line="360" w:lineRule="auto"/>
              <w:jc w:val="left"/>
              <w:textAlignment w:val="auto"/>
              <w:rPr>
                <w:spacing w:val="-1"/>
              </w:rPr>
            </w:pPr>
          </w:p>
        </w:tc>
        <w:tc>
          <w:tcPr>
            <w:tcW w:w="7365" w:type="dxa"/>
            <w:tcBorders>
              <w:top w:val="single" w:color="000000" w:sz="8" w:space="0"/>
              <w:left w:val="single" w:color="000000" w:sz="8" w:space="0"/>
              <w:bottom w:val="single" w:color="000000" w:sz="8" w:space="0"/>
              <w:right w:val="single" w:color="000000" w:sz="12" w:space="0"/>
            </w:tcBorders>
          </w:tcPr>
          <w:p w14:paraId="1FC7EC54">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3</w:t>
            </w:r>
            <w:r>
              <w:rPr>
                <w:rFonts w:ascii="宋体" w:hAnsi="宋体" w:cs="宋体"/>
                <w:b w:val="0"/>
                <w:bCs/>
                <w:color w:val="000000"/>
                <w:szCs w:val="21"/>
                <w:lang w:val="en-US" w:eastAsia="zh-CN"/>
              </w:rPr>
              <w:t>）根据财政部、民政部、中国残疾人联合会《关于促进残疾人就业政府采购政策的通知》（财库</w:t>
            </w:r>
            <w:r>
              <w:rPr>
                <w:rFonts w:ascii="宋体" w:hAnsi="宋体" w:eastAsia="宋体" w:cs="宋体"/>
                <w:b w:val="0"/>
                <w:bCs/>
                <w:color w:val="000000"/>
                <w:szCs w:val="21"/>
                <w:lang w:val="en-US" w:eastAsia="zh-CN"/>
              </w:rPr>
              <w:t>[2017]141</w:t>
            </w:r>
            <w:r>
              <w:rPr>
                <w:rFonts w:ascii="宋体" w:hAnsi="宋体" w:cs="宋体"/>
                <w:b w:val="0"/>
                <w:bCs/>
                <w:color w:val="000000"/>
                <w:szCs w:val="21"/>
                <w:lang w:val="en-US" w:eastAsia="zh-CN"/>
              </w:rPr>
              <w:t>号），在政府采购活动中，残疾人福利性单位视同小型、微型企业。供应商属于残疾人福利性单位的，按照磋商文件格式提供残疾人福利性单位声明函。</w:t>
            </w:r>
          </w:p>
        </w:tc>
      </w:tr>
      <w:tr w14:paraId="3F082A39">
        <w:tblPrEx>
          <w:tblCellMar>
            <w:top w:w="0" w:type="dxa"/>
            <w:left w:w="108" w:type="dxa"/>
            <w:bottom w:w="0" w:type="dxa"/>
            <w:right w:w="108" w:type="dxa"/>
          </w:tblCellMar>
        </w:tblPrEx>
        <w:trPr>
          <w:trHeight w:val="351"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5AA5B53">
            <w:pPr>
              <w:keepNext w:val="0"/>
              <w:keepLines w:val="0"/>
              <w:kinsoku/>
              <w:overflowPunct/>
              <w:autoSpaceDE/>
              <w:bidi w:val="0"/>
              <w:snapToGrid w:val="0"/>
              <w:spacing w:line="360" w:lineRule="auto"/>
              <w:jc w:val="left"/>
              <w:textAlignment w:val="auto"/>
              <w:rPr>
                <w:spacing w:val="-1"/>
              </w:rPr>
            </w:pPr>
          </w:p>
        </w:tc>
        <w:tc>
          <w:tcPr>
            <w:tcW w:w="1537" w:type="dxa"/>
            <w:tcBorders>
              <w:top w:val="single" w:color="000000" w:sz="8" w:space="0"/>
              <w:left w:val="single" w:color="000000" w:sz="8" w:space="0"/>
              <w:bottom w:val="single" w:color="000000" w:sz="8" w:space="0"/>
              <w:right w:val="single" w:color="000000" w:sz="8" w:space="0"/>
            </w:tcBorders>
            <w:vAlign w:val="center"/>
          </w:tcPr>
          <w:p w14:paraId="384E1DCC">
            <w:pPr>
              <w:keepNext w:val="0"/>
              <w:keepLines w:val="0"/>
              <w:kinsoku/>
              <w:overflowPunct/>
              <w:autoSpaceDE/>
              <w:bidi w:val="0"/>
              <w:snapToGrid w:val="0"/>
              <w:spacing w:line="360" w:lineRule="auto"/>
              <w:jc w:val="center"/>
              <w:textAlignment w:val="auto"/>
              <w:rPr>
                <w:color w:val="0000FF"/>
              </w:rPr>
            </w:pPr>
            <w:r>
              <w:rPr>
                <w:rFonts w:ascii="宋体" w:hAnsi="宋体" w:cs="宋体"/>
                <w:b/>
                <w:bCs w:val="0"/>
                <w:color w:val="000000"/>
                <w:szCs w:val="21"/>
                <w:lang w:val="en-US" w:eastAsia="zh-CN"/>
              </w:rPr>
              <w:t>本项目面向中小企业说明</w:t>
            </w:r>
          </w:p>
        </w:tc>
        <w:tc>
          <w:tcPr>
            <w:tcW w:w="7365" w:type="dxa"/>
            <w:tcBorders>
              <w:top w:val="single" w:color="000000" w:sz="8" w:space="0"/>
              <w:left w:val="single" w:color="000000" w:sz="8" w:space="0"/>
              <w:bottom w:val="single" w:color="000000" w:sz="8" w:space="0"/>
              <w:right w:val="single" w:color="000000" w:sz="12" w:space="0"/>
            </w:tcBorders>
          </w:tcPr>
          <w:p w14:paraId="056714C4">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val="0"/>
                <w:color w:val="0000FF"/>
                <w:szCs w:val="21"/>
                <w:lang w:val="en-US" w:eastAsia="zh-CN"/>
              </w:rPr>
              <w:t>（</w:t>
            </w:r>
            <w:r>
              <w:rPr>
                <w:rFonts w:ascii="宋体" w:hAnsi="宋体" w:eastAsia="宋体" w:cs="宋体"/>
                <w:b/>
                <w:bCs w:val="0"/>
                <w:color w:val="0000FF"/>
                <w:szCs w:val="21"/>
                <w:lang w:val="en-US" w:eastAsia="zh-CN"/>
              </w:rPr>
              <w:t>1</w:t>
            </w:r>
            <w:r>
              <w:rPr>
                <w:rFonts w:ascii="宋体" w:hAnsi="宋体" w:cs="宋体"/>
                <w:b/>
                <w:bCs/>
                <w:color w:val="0000FF"/>
                <w:lang w:val="en-US" w:eastAsia="zh-CN"/>
              </w:rPr>
              <w:t>）本项目采购工程服务所属行业：</w:t>
            </w:r>
            <w:r>
              <w:rPr>
                <w:rFonts w:ascii="宋体" w:hAnsi="宋体" w:cs="宋体"/>
                <w:b/>
                <w:bCs/>
                <w:color w:val="0000FF"/>
                <w:u w:val="single"/>
                <w:lang w:val="en-US" w:eastAsia="zh-CN"/>
              </w:rPr>
              <w:t>建筑业；</w:t>
            </w:r>
          </w:p>
          <w:p w14:paraId="1721F605">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2</w:t>
            </w:r>
            <w:r>
              <w:rPr>
                <w:rFonts w:ascii="宋体" w:hAnsi="宋体" w:cs="宋体"/>
                <w:b/>
                <w:bCs/>
                <w:color w:val="0000FF"/>
                <w:lang w:val="en-US" w:eastAsia="zh-CN"/>
              </w:rPr>
              <w:t>）本项目为专门面向中小企业采购，不再对中小企业的价格进行扣除评审。</w:t>
            </w:r>
          </w:p>
          <w:p w14:paraId="1825D958">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3</w:t>
            </w:r>
            <w:r>
              <w:rPr>
                <w:rFonts w:ascii="宋体" w:hAnsi="宋体" w:cs="宋体"/>
                <w:b/>
                <w:bCs/>
                <w:color w:val="0000FF"/>
                <w:lang w:val="en-US" w:eastAsia="zh-CN"/>
              </w:rPr>
              <w:t>）供应商提供工程服务承建商为</w:t>
            </w:r>
            <w:r>
              <w:rPr>
                <w:rFonts w:ascii="宋体" w:hAnsi="宋体" w:cs="宋体"/>
                <w:b/>
                <w:bCs/>
                <w:color w:val="FF0000"/>
                <w:lang w:val="en-US" w:eastAsia="zh-CN"/>
              </w:rPr>
              <w:t>中小企业</w:t>
            </w:r>
            <w:r>
              <w:rPr>
                <w:rFonts w:ascii="宋体" w:hAnsi="宋体" w:cs="宋体"/>
                <w:b/>
                <w:bCs/>
                <w:color w:val="0000FF"/>
                <w:lang w:val="en-US" w:eastAsia="zh-CN"/>
              </w:rPr>
              <w:t>的《中小企业声明函》，否则专门面向中小企业的项目做无效响应处理。</w:t>
            </w:r>
          </w:p>
          <w:p w14:paraId="72C3358F">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4</w:t>
            </w:r>
            <w:r>
              <w:rPr>
                <w:rFonts w:ascii="宋体" w:hAnsi="宋体" w:cs="宋体"/>
                <w:b/>
                <w:bCs/>
                <w:color w:val="0000FF"/>
                <w:lang w:val="en-US" w:eastAsia="zh-CN"/>
              </w:rPr>
              <w:t>）本项目标的物名称为该项目的项目名称。</w:t>
            </w:r>
          </w:p>
          <w:p w14:paraId="409D55E3">
            <w:pPr>
              <w:keepNext w:val="0"/>
              <w:keepLines w:val="0"/>
              <w:numPr>
                <w:ilvl w:val="0"/>
                <w:numId w:val="0"/>
              </w:numPr>
              <w:kinsoku/>
              <w:overflowPunct/>
              <w:autoSpaceDE/>
              <w:bidi w:val="0"/>
              <w:snapToGrid w:val="0"/>
              <w:spacing w:line="360" w:lineRule="auto"/>
              <w:ind w:left="0" w:firstLine="0"/>
              <w:jc w:val="left"/>
              <w:textAlignment w:val="auto"/>
            </w:pPr>
            <w:r>
              <w:rPr>
                <w:rFonts w:ascii="宋体" w:hAnsi="宋体" w:cs="宋体"/>
                <w:b/>
                <w:bCs/>
                <w:color w:val="0000FF"/>
                <w:lang w:val="en-US" w:eastAsia="zh-CN"/>
              </w:rPr>
              <w:t>（</w:t>
            </w:r>
            <w:r>
              <w:rPr>
                <w:rFonts w:ascii="宋体" w:hAnsi="宋体" w:eastAsia="宋体" w:cs="宋体"/>
                <w:b/>
                <w:bCs/>
                <w:color w:val="0000FF"/>
                <w:lang w:val="en-US" w:eastAsia="zh-CN"/>
              </w:rPr>
              <w:t>5</w:t>
            </w:r>
            <w:r>
              <w:rPr>
                <w:rFonts w:ascii="宋体" w:hAnsi="宋体" w:cs="宋体"/>
                <w:b/>
                <w:bCs/>
                <w:color w:val="0000FF"/>
                <w:lang w:val="en-US" w:eastAsia="zh-CN"/>
              </w:rPr>
              <w:t>）建筑业划分标准：营业收入</w:t>
            </w:r>
            <w:r>
              <w:rPr>
                <w:rFonts w:ascii="宋体" w:hAnsi="宋体" w:eastAsia="宋体" w:cs="宋体"/>
                <w:b/>
                <w:bCs/>
                <w:color w:val="0000FF"/>
                <w:lang w:val="en-US" w:eastAsia="zh-CN"/>
              </w:rPr>
              <w:t>80000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80000</w:t>
            </w:r>
            <w:r>
              <w:rPr>
                <w:rFonts w:ascii="宋体" w:hAnsi="宋体" w:cs="宋体"/>
                <w:b/>
                <w:bCs/>
                <w:color w:val="0000FF"/>
                <w:lang w:val="en-US" w:eastAsia="zh-CN"/>
              </w:rPr>
              <w:t>万元以下的为中小微型企业。其中，营业收入</w:t>
            </w:r>
            <w:r>
              <w:rPr>
                <w:rFonts w:ascii="宋体" w:hAnsi="宋体" w:eastAsia="宋体" w:cs="宋体"/>
                <w:b/>
                <w:bCs/>
                <w:color w:val="0000FF"/>
                <w:lang w:val="en-US" w:eastAsia="zh-CN"/>
              </w:rPr>
              <w:t>6000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5000</w:t>
            </w:r>
            <w:r>
              <w:rPr>
                <w:rFonts w:ascii="宋体" w:hAnsi="宋体" w:cs="宋体"/>
                <w:b/>
                <w:bCs/>
                <w:color w:val="0000FF"/>
                <w:lang w:val="en-US" w:eastAsia="zh-CN"/>
              </w:rPr>
              <w:t>万元及以上的为中型企业；营业收入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300</w:t>
            </w:r>
            <w:r>
              <w:rPr>
                <w:rFonts w:ascii="宋体" w:hAnsi="宋体" w:cs="宋体"/>
                <w:b/>
                <w:bCs/>
                <w:color w:val="0000FF"/>
                <w:lang w:val="en-US" w:eastAsia="zh-CN"/>
              </w:rPr>
              <w:t>万元及以上的为小型企业；营业收入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300</w:t>
            </w:r>
            <w:r>
              <w:rPr>
                <w:rFonts w:ascii="宋体" w:hAnsi="宋体" w:cs="宋体"/>
                <w:b/>
                <w:bCs/>
                <w:color w:val="0000FF"/>
                <w:lang w:val="en-US" w:eastAsia="zh-CN"/>
              </w:rPr>
              <w:t>万元以下的为微型企业。</w:t>
            </w:r>
          </w:p>
        </w:tc>
      </w:tr>
      <w:tr w14:paraId="499454A9">
        <w:tblPrEx>
          <w:tblCellMar>
            <w:top w:w="0" w:type="dxa"/>
            <w:left w:w="108" w:type="dxa"/>
            <w:bottom w:w="0" w:type="dxa"/>
            <w:right w:w="108" w:type="dxa"/>
          </w:tblCellMar>
        </w:tblPrEx>
        <w:trPr>
          <w:trHeight w:val="841" w:hRule="atLeast"/>
          <w:jc w:val="center"/>
        </w:trPr>
        <w:tc>
          <w:tcPr>
            <w:tcW w:w="471" w:type="dxa"/>
            <w:tcBorders>
              <w:top w:val="single" w:color="000000" w:sz="8" w:space="0"/>
              <w:left w:val="single" w:color="000000" w:sz="12" w:space="0"/>
              <w:bottom w:val="single" w:color="000000" w:sz="8" w:space="0"/>
              <w:right w:val="single" w:color="000000" w:sz="4" w:space="0"/>
            </w:tcBorders>
            <w:vAlign w:val="center"/>
          </w:tcPr>
          <w:p w14:paraId="51D28227">
            <w:pPr>
              <w:keepNext w:val="0"/>
              <w:keepLines w:val="0"/>
              <w:kinsoku/>
              <w:overflowPunct/>
              <w:autoSpaceDE/>
              <w:bidi w:val="0"/>
              <w:snapToGrid w:val="0"/>
              <w:spacing w:line="360" w:lineRule="auto"/>
              <w:textAlignment w:val="auto"/>
              <w:rPr>
                <w:rFonts w:ascii="宋体" w:hAnsi="宋体" w:eastAsia="宋体" w:cs="宋体"/>
                <w:b/>
                <w:bCs w:val="0"/>
                <w:color w:val="000000"/>
                <w:sz w:val="21"/>
                <w:szCs w:val="21"/>
                <w:highlight w:val="none"/>
                <w:lang w:val="en-US" w:eastAsia="zh-CN"/>
              </w:rPr>
            </w:pPr>
            <w:r>
              <w:rPr>
                <w:rFonts w:ascii="宋体" w:hAnsi="宋体" w:eastAsia="宋体" w:cs="宋体"/>
                <w:b w:val="0"/>
                <w:bCs/>
                <w:color w:val="000000"/>
                <w:sz w:val="21"/>
                <w:szCs w:val="21"/>
                <w:lang w:val="en-US" w:eastAsia="zh-CN"/>
              </w:rPr>
              <w:t>30</w:t>
            </w:r>
          </w:p>
        </w:tc>
        <w:tc>
          <w:tcPr>
            <w:tcW w:w="8902" w:type="dxa"/>
            <w:gridSpan w:val="2"/>
            <w:tcBorders>
              <w:top w:val="single" w:color="000000" w:sz="8" w:space="0"/>
              <w:left w:val="single" w:color="000000" w:sz="4" w:space="0"/>
              <w:bottom w:val="single" w:color="000000" w:sz="8" w:space="0"/>
              <w:right w:val="single" w:color="000000" w:sz="12" w:space="0"/>
            </w:tcBorders>
            <w:vAlign w:val="center"/>
          </w:tcPr>
          <w:p w14:paraId="01BBDFEF">
            <w:pPr>
              <w:spacing w:line="360" w:lineRule="auto"/>
              <w:rPr>
                <w:rFonts w:ascii="宋体" w:hAnsi="宋体" w:eastAsia="宋体" w:cs="宋体"/>
                <w:b/>
                <w:bCs/>
                <w:kern w:val="0"/>
                <w:sz w:val="21"/>
                <w:szCs w:val="21"/>
              </w:rPr>
            </w:pPr>
            <w:r>
              <w:rPr>
                <w:rFonts w:ascii="宋体" w:hAnsi="宋体" w:cs="宋体"/>
                <w:b/>
                <w:bCs/>
                <w:kern w:val="0"/>
                <w:sz w:val="21"/>
                <w:szCs w:val="21"/>
              </w:rPr>
              <w:t>注：</w:t>
            </w:r>
            <w:r>
              <w:rPr>
                <w:rFonts w:ascii="宋体" w:hAnsi="宋体" w:eastAsia="宋体" w:cs="宋体"/>
                <w:b/>
                <w:bCs/>
                <w:kern w:val="0"/>
                <w:sz w:val="21"/>
                <w:szCs w:val="21"/>
              </w:rPr>
              <w:t>1</w:t>
            </w:r>
            <w:r>
              <w:rPr>
                <w:rFonts w:ascii="宋体" w:hAnsi="宋体" w:cs="宋体"/>
                <w:b/>
                <w:bCs/>
                <w:kern w:val="0"/>
                <w:sz w:val="21"/>
                <w:szCs w:val="21"/>
              </w:rPr>
              <w:t>、采购的实质性要求和条件，着重提醒各供应商注意认真查看</w:t>
            </w:r>
            <w:r>
              <w:rPr>
                <w:rFonts w:ascii="宋体" w:hAnsi="宋体" w:cs="宋体"/>
                <w:b/>
                <w:bCs/>
                <w:kern w:val="0"/>
                <w:sz w:val="21"/>
                <w:szCs w:val="21"/>
                <w:lang w:eastAsia="zh-CN"/>
              </w:rPr>
              <w:t>竞争性磋商文件</w:t>
            </w:r>
            <w:r>
              <w:rPr>
                <w:rFonts w:ascii="宋体" w:hAnsi="宋体" w:cs="宋体"/>
                <w:b/>
                <w:bCs/>
                <w:kern w:val="0"/>
                <w:sz w:val="21"/>
                <w:szCs w:val="21"/>
              </w:rPr>
              <w:t>中的每一个条款及要求，因误读</w:t>
            </w:r>
            <w:r>
              <w:rPr>
                <w:rFonts w:ascii="宋体" w:hAnsi="宋体" w:cs="宋体"/>
                <w:b/>
                <w:bCs/>
                <w:kern w:val="0"/>
                <w:sz w:val="21"/>
                <w:szCs w:val="21"/>
                <w:lang w:eastAsia="zh-CN"/>
              </w:rPr>
              <w:t>竞争性磋商文件</w:t>
            </w:r>
            <w:r>
              <w:rPr>
                <w:rFonts w:ascii="宋体" w:hAnsi="宋体" w:cs="宋体"/>
                <w:b/>
                <w:bCs/>
                <w:kern w:val="0"/>
                <w:sz w:val="21"/>
                <w:szCs w:val="21"/>
              </w:rPr>
              <w:t>而造成的后果，采购人概不负责。</w:t>
            </w:r>
          </w:p>
          <w:p w14:paraId="7C5C4029">
            <w:pPr>
              <w:spacing w:line="360" w:lineRule="auto"/>
              <w:rPr>
                <w:rFonts w:ascii="宋体" w:hAnsi="宋体" w:eastAsia="宋体" w:cs="宋体"/>
                <w:b/>
                <w:bCs/>
                <w:kern w:val="0"/>
                <w:sz w:val="21"/>
                <w:szCs w:val="21"/>
              </w:rPr>
            </w:pPr>
            <w:r>
              <w:rPr>
                <w:rFonts w:ascii="宋体" w:hAnsi="宋体" w:eastAsia="宋体" w:cs="宋体"/>
                <w:b/>
                <w:bCs/>
                <w:kern w:val="0"/>
                <w:sz w:val="21"/>
                <w:szCs w:val="21"/>
                <w:lang w:val="en-US" w:eastAsia="zh-CN"/>
              </w:rPr>
              <w:t>2</w:t>
            </w:r>
            <w:r>
              <w:rPr>
                <w:rFonts w:ascii="宋体" w:hAnsi="宋体" w:cs="宋体"/>
                <w:b/>
                <w:bCs/>
                <w:kern w:val="0"/>
                <w:sz w:val="21"/>
                <w:szCs w:val="21"/>
              </w:rPr>
              <w:t>、除法律、法规和规章规定外，竞争性磋商文件中用“拒绝”、“不接受”、“无效”、“不得”等文字规定，对其中任何一条的偏离，在评审时将其视为无效文件。未用上述文字规定或符号标注的条款为非实质性要求条款</w:t>
            </w:r>
            <w:r>
              <w:rPr>
                <w:rFonts w:ascii="宋体" w:hAnsi="宋体" w:eastAsia="宋体" w:cs="宋体"/>
                <w:b/>
                <w:bCs/>
                <w:kern w:val="0"/>
                <w:sz w:val="21"/>
                <w:szCs w:val="21"/>
              </w:rPr>
              <w:t>(</w:t>
            </w:r>
            <w:r>
              <w:rPr>
                <w:rFonts w:ascii="宋体" w:hAnsi="宋体" w:cs="宋体"/>
                <w:b/>
                <w:bCs/>
                <w:kern w:val="0"/>
                <w:sz w:val="21"/>
                <w:szCs w:val="21"/>
              </w:rPr>
              <w:t>即一般条款</w:t>
            </w:r>
            <w:r>
              <w:rPr>
                <w:rFonts w:ascii="宋体" w:hAnsi="宋体" w:eastAsia="宋体" w:cs="宋体"/>
                <w:b/>
                <w:bCs/>
                <w:kern w:val="0"/>
                <w:sz w:val="21"/>
                <w:szCs w:val="21"/>
              </w:rPr>
              <w:t>)</w:t>
            </w:r>
            <w:r>
              <w:rPr>
                <w:rFonts w:ascii="宋体" w:hAnsi="宋体" w:cs="宋体"/>
                <w:b/>
                <w:bCs/>
                <w:kern w:val="0"/>
                <w:sz w:val="21"/>
                <w:szCs w:val="21"/>
              </w:rPr>
              <w:t>。</w:t>
            </w:r>
          </w:p>
          <w:p w14:paraId="75802DE6">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eastAsia="zh-CN"/>
              </w:rPr>
            </w:pPr>
            <w:r>
              <w:rPr>
                <w:rFonts w:ascii="宋体" w:hAnsi="宋体" w:eastAsia="宋体" w:cs="宋体"/>
                <w:b/>
                <w:bCs/>
                <w:color w:val="FF0000"/>
                <w:kern w:val="0"/>
                <w:sz w:val="21"/>
                <w:szCs w:val="21"/>
                <w:lang w:val="en-US" w:eastAsia="zh-CN"/>
              </w:rPr>
              <w:t>3</w:t>
            </w:r>
            <w:r>
              <w:rPr>
                <w:rFonts w:ascii="宋体" w:hAnsi="宋体" w:cs="宋体"/>
                <w:b/>
                <w:bCs/>
                <w:color w:val="FF0000"/>
                <w:kern w:val="0"/>
                <w:sz w:val="21"/>
                <w:szCs w:val="21"/>
              </w:rPr>
              <w:t>、</w:t>
            </w:r>
            <w:r>
              <w:rPr>
                <w:rFonts w:ascii="宋体" w:hAnsi="宋体" w:cs="宋体"/>
                <w:b/>
                <w:bCs/>
                <w:color w:val="FF0000"/>
                <w:sz w:val="21"/>
                <w:szCs w:val="21"/>
              </w:rPr>
              <w:t>供应商</w:t>
            </w:r>
            <w:r>
              <w:rPr>
                <w:rFonts w:ascii="宋体" w:hAnsi="宋体" w:cs="宋体"/>
                <w:b/>
                <w:bCs/>
                <w:color w:val="FF0000"/>
                <w:kern w:val="0"/>
                <w:sz w:val="21"/>
                <w:szCs w:val="21"/>
              </w:rPr>
              <w:t>响应文件中的报价为一次报价，各供应商进行二次报价（磋商），</w:t>
            </w:r>
            <w:r>
              <w:rPr>
                <w:rFonts w:ascii="宋体" w:hAnsi="宋体" w:cs="宋体"/>
                <w:b/>
                <w:bCs/>
                <w:color w:val="FF0000"/>
                <w:kern w:val="0"/>
                <w:sz w:val="21"/>
                <w:szCs w:val="21"/>
                <w:lang w:val="en-US" w:eastAsia="zh-CN"/>
              </w:rPr>
              <w:t>均</w:t>
            </w:r>
            <w:r>
              <w:rPr>
                <w:rFonts w:ascii="宋体" w:hAnsi="宋体" w:cs="宋体"/>
                <w:b/>
                <w:bCs/>
                <w:color w:val="FF0000"/>
                <w:kern w:val="0"/>
                <w:sz w:val="21"/>
                <w:szCs w:val="21"/>
              </w:rPr>
              <w:t>不得高于</w:t>
            </w:r>
            <w:r>
              <w:rPr>
                <w:rFonts w:ascii="宋体" w:hAnsi="宋体" w:cs="宋体"/>
                <w:b/>
                <w:bCs/>
                <w:color w:val="FF0000"/>
                <w:kern w:val="0"/>
                <w:sz w:val="21"/>
                <w:szCs w:val="21"/>
                <w:lang w:val="en-US" w:eastAsia="zh-CN"/>
              </w:rPr>
              <w:t>最高限价</w:t>
            </w:r>
            <w:r>
              <w:rPr>
                <w:rFonts w:ascii="宋体" w:hAnsi="宋体" w:cs="宋体"/>
                <w:b/>
                <w:bCs/>
                <w:color w:val="FF0000"/>
                <w:kern w:val="0"/>
                <w:sz w:val="21"/>
                <w:szCs w:val="21"/>
              </w:rPr>
              <w:t>，</w:t>
            </w:r>
            <w:r>
              <w:rPr>
                <w:rFonts w:ascii="宋体" w:hAnsi="宋体" w:cs="宋体"/>
                <w:b/>
                <w:bCs/>
                <w:color w:val="FF0000"/>
                <w:kern w:val="0"/>
                <w:sz w:val="21"/>
                <w:szCs w:val="21"/>
                <w:lang w:val="en-US" w:eastAsia="zh-CN"/>
              </w:rPr>
              <w:t>磋商报价</w:t>
            </w:r>
            <w:r>
              <w:rPr>
                <w:rFonts w:ascii="宋体" w:hAnsi="宋体" w:cs="宋体"/>
                <w:b/>
                <w:bCs/>
                <w:color w:val="FF0000"/>
                <w:sz w:val="21"/>
                <w:szCs w:val="21"/>
              </w:rPr>
              <w:t>以最终磋商报价作为评审价</w:t>
            </w:r>
            <w:r>
              <w:rPr>
                <w:rFonts w:ascii="宋体" w:hAnsi="宋体" w:cs="宋体"/>
                <w:b/>
                <w:bCs/>
                <w:color w:val="FF0000"/>
                <w:sz w:val="21"/>
                <w:szCs w:val="21"/>
                <w:lang w:eastAsia="zh-CN"/>
              </w:rPr>
              <w:t>。</w:t>
            </w:r>
          </w:p>
          <w:p w14:paraId="3FC94CC9">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val="en-US" w:eastAsia="zh-CN"/>
              </w:rPr>
            </w:pPr>
            <w:r>
              <w:rPr>
                <w:rFonts w:ascii="宋体" w:hAnsi="宋体" w:cs="宋体"/>
                <w:b/>
                <w:bCs/>
                <w:color w:val="FF0000"/>
                <w:sz w:val="21"/>
                <w:szCs w:val="21"/>
                <w:highlight w:val="yellow"/>
                <w:lang w:val="en-US" w:eastAsia="zh-CN"/>
              </w:rPr>
              <w:t>注：最终轮磋商报价须在政采云系统上传价格调整后的工程量报价</w:t>
            </w:r>
            <w:r>
              <w:rPr>
                <w:rFonts w:ascii="宋体" w:hAnsi="宋体" w:eastAsia="宋体" w:cs="宋体"/>
                <w:b/>
                <w:bCs/>
                <w:color w:val="FF0000"/>
                <w:sz w:val="21"/>
                <w:szCs w:val="21"/>
                <w:highlight w:val="yellow"/>
                <w:lang w:val="en-US" w:eastAsia="zh-CN"/>
              </w:rPr>
              <w:t>PDF</w:t>
            </w:r>
            <w:r>
              <w:rPr>
                <w:rFonts w:ascii="宋体" w:hAnsi="宋体" w:cs="宋体"/>
                <w:b/>
                <w:bCs/>
                <w:color w:val="FF0000"/>
                <w:sz w:val="21"/>
                <w:szCs w:val="21"/>
                <w:highlight w:val="yellow"/>
                <w:lang w:val="en-US" w:eastAsia="zh-CN"/>
              </w:rPr>
              <w:t>清单。（因上传时间较短，各潜在供应商可提前编制准备最终工程量报价清单）</w:t>
            </w:r>
          </w:p>
        </w:tc>
      </w:tr>
      <w:tr w14:paraId="3CE4FF90">
        <w:tblPrEx>
          <w:tblCellMar>
            <w:top w:w="0" w:type="dxa"/>
            <w:left w:w="108" w:type="dxa"/>
            <w:bottom w:w="0" w:type="dxa"/>
            <w:right w:w="108" w:type="dxa"/>
          </w:tblCellMar>
        </w:tblPrEx>
        <w:trPr>
          <w:trHeight w:val="841" w:hRule="atLeast"/>
          <w:jc w:val="center"/>
        </w:trPr>
        <w:tc>
          <w:tcPr>
            <w:tcW w:w="9373" w:type="dxa"/>
            <w:gridSpan w:val="3"/>
            <w:tcBorders>
              <w:top w:val="single" w:color="000000" w:sz="8" w:space="0"/>
              <w:left w:val="single" w:color="000000" w:sz="12" w:space="0"/>
              <w:bottom w:val="single" w:color="000000" w:sz="12" w:space="0"/>
              <w:right w:val="single" w:color="000000" w:sz="12" w:space="0"/>
            </w:tcBorders>
            <w:vAlign w:val="center"/>
          </w:tcPr>
          <w:p w14:paraId="6B09B4C2">
            <w:pPr>
              <w:keepNext w:val="0"/>
              <w:keepLines w:val="0"/>
              <w:kinsoku/>
              <w:overflowPunct/>
              <w:autoSpaceDE/>
              <w:bidi w:val="0"/>
              <w:snapToGrid w:val="0"/>
              <w:spacing w:line="360" w:lineRule="auto"/>
              <w:jc w:val="left"/>
              <w:textAlignment w:val="auto"/>
              <w:rPr>
                <w:rFonts w:ascii="宋体" w:hAnsi="宋体" w:eastAsia="宋体" w:cs="宋体"/>
                <w:b/>
                <w:bCs w:val="0"/>
                <w:color w:val="000000"/>
                <w:kern w:val="2"/>
                <w:sz w:val="21"/>
                <w:szCs w:val="21"/>
                <w:highlight w:val="none"/>
                <w:lang w:val="en-US" w:eastAsia="zh-CN" w:bidi="ar-SA"/>
              </w:rPr>
            </w:pPr>
            <w:r>
              <w:rPr>
                <w:rFonts w:ascii="宋体" w:hAnsi="宋体" w:cs="宋体"/>
                <w:b/>
                <w:bCs w:val="0"/>
                <w:color w:val="000000"/>
                <w:sz w:val="21"/>
                <w:szCs w:val="21"/>
              </w:rPr>
              <w:t>备注</w:t>
            </w:r>
            <w:r>
              <w:rPr>
                <w:rFonts w:ascii="宋体" w:hAnsi="宋体" w:cs="宋体"/>
                <w:b/>
                <w:bCs w:val="0"/>
                <w:color w:val="000000"/>
                <w:sz w:val="21"/>
                <w:szCs w:val="21"/>
                <w:lang w:eastAsia="zh-CN"/>
              </w:rPr>
              <w:t>：</w:t>
            </w:r>
            <w:r>
              <w:rPr>
                <w:rFonts w:ascii="宋体" w:hAnsi="宋体" w:cs="宋体"/>
                <w:b/>
                <w:bCs w:val="0"/>
                <w:color w:val="000000"/>
                <w:sz w:val="21"/>
                <w:szCs w:val="21"/>
              </w:rPr>
              <w:t>供应商使用相同</w:t>
            </w:r>
            <w:r>
              <w:rPr>
                <w:rFonts w:ascii="宋体" w:hAnsi="宋体" w:eastAsia="宋体" w:cs="宋体"/>
                <w:b/>
                <w:bCs w:val="0"/>
                <w:color w:val="000000"/>
                <w:sz w:val="21"/>
                <w:szCs w:val="21"/>
              </w:rPr>
              <w:t>IP</w:t>
            </w:r>
            <w:r>
              <w:rPr>
                <w:rFonts w:ascii="宋体" w:hAnsi="宋体" w:cs="宋体"/>
                <w:b/>
                <w:bCs w:val="0"/>
                <w:color w:val="000000"/>
                <w:sz w:val="21"/>
                <w:szCs w:val="21"/>
              </w:rPr>
              <w:t>地址的，一经发现，</w:t>
            </w:r>
            <w:r>
              <w:rPr>
                <w:rFonts w:ascii="宋体" w:hAnsi="宋体" w:cs="宋体"/>
                <w:b/>
                <w:bCs w:val="0"/>
                <w:color w:val="000000"/>
                <w:sz w:val="21"/>
                <w:szCs w:val="21"/>
                <w:lang w:eastAsia="zh-CN"/>
              </w:rPr>
              <w:t>相关</w:t>
            </w:r>
            <w:r>
              <w:rPr>
                <w:rFonts w:ascii="宋体" w:hAnsi="宋体" w:cs="宋体"/>
                <w:b/>
                <w:bCs w:val="0"/>
                <w:color w:val="000000"/>
                <w:sz w:val="21"/>
                <w:szCs w:val="21"/>
              </w:rPr>
              <w:t>部门将进一步核实，查实后按串通响应处理</w:t>
            </w:r>
            <w:r>
              <w:rPr>
                <w:rFonts w:ascii="宋体" w:hAnsi="宋体" w:cs="宋体"/>
                <w:b/>
                <w:bCs w:val="0"/>
                <w:color w:val="000000"/>
                <w:sz w:val="21"/>
                <w:szCs w:val="21"/>
                <w:lang w:eastAsia="zh-CN"/>
              </w:rPr>
              <w:t>。</w:t>
            </w:r>
          </w:p>
        </w:tc>
      </w:tr>
    </w:tbl>
    <w:p w14:paraId="11E305B5">
      <w:pPr>
        <w:numPr>
          <w:ilvl w:val="0"/>
          <w:numId w:val="0"/>
        </w:numPr>
        <w:spacing w:before="312" w:after="312" w:line="440" w:lineRule="exact"/>
        <w:jc w:val="center"/>
        <w:outlineLvl w:val="1"/>
        <w:rPr>
          <w:rFonts w:ascii="宋体" w:hAnsi="宋体"/>
          <w:b/>
          <w:color w:val="000000"/>
          <w:sz w:val="28"/>
          <w:szCs w:val="32"/>
          <w:highlight w:val="none"/>
        </w:rPr>
      </w:pPr>
      <w:r>
        <w:br w:type="page"/>
      </w:r>
      <w:r>
        <w:rPr>
          <w:rFonts w:ascii="宋体" w:hAnsi="宋体"/>
          <w:b/>
          <w:color w:val="000000"/>
          <w:sz w:val="28"/>
          <w:szCs w:val="28"/>
        </w:rPr>
        <w:t>二、供应商须知</w:t>
      </w:r>
    </w:p>
    <w:p w14:paraId="29EED4BB">
      <w:pPr>
        <w:numPr>
          <w:ilvl w:val="0"/>
          <w:numId w:val="0"/>
        </w:numPr>
        <w:spacing w:line="440" w:lineRule="exact"/>
        <w:jc w:val="center"/>
        <w:outlineLvl w:val="2"/>
        <w:rPr>
          <w:rFonts w:ascii="宋体" w:hAnsi="宋体"/>
          <w:color w:val="000000"/>
          <w:sz w:val="28"/>
          <w:szCs w:val="28"/>
          <w:highlight w:val="none"/>
        </w:rPr>
      </w:pPr>
      <w:r>
        <w:rPr>
          <w:rFonts w:ascii="宋体" w:hAnsi="宋体"/>
          <w:b/>
          <w:color w:val="000000"/>
          <w:sz w:val="28"/>
          <w:szCs w:val="28"/>
        </w:rPr>
        <w:t>（一）</w:t>
      </w:r>
      <w:r>
        <w:rPr>
          <w:rFonts w:ascii="宋体" w:hAnsi="宋体"/>
          <w:b/>
          <w:color w:val="000000"/>
          <w:sz w:val="28"/>
          <w:szCs w:val="32"/>
        </w:rPr>
        <w:t>总  则</w:t>
      </w:r>
    </w:p>
    <w:p w14:paraId="42E7E705">
      <w:pPr>
        <w:snapToGrid w:val="0"/>
        <w:spacing w:line="440" w:lineRule="exact"/>
        <w:ind w:firstLine="420"/>
        <w:rPr>
          <w:rFonts w:ascii="宋体" w:hAnsi="宋体"/>
          <w:b/>
          <w:color w:val="000000"/>
          <w:szCs w:val="21"/>
          <w:highlight w:val="none"/>
        </w:rPr>
      </w:pPr>
      <w:r>
        <w:rPr>
          <w:rFonts w:ascii="宋体" w:hAnsi="宋体"/>
          <w:b/>
          <w:color w:val="000000"/>
          <w:szCs w:val="21"/>
        </w:rPr>
        <w:t>1.项目概况</w:t>
      </w:r>
    </w:p>
    <w:p w14:paraId="33411E96">
      <w:pPr>
        <w:snapToGrid w:val="0"/>
        <w:spacing w:line="440" w:lineRule="exact"/>
        <w:ind w:firstLine="420"/>
        <w:rPr>
          <w:rFonts w:ascii="宋体" w:hAnsi="宋体"/>
          <w:color w:val="000000"/>
          <w:szCs w:val="21"/>
          <w:highlight w:val="none"/>
          <w:u w:val="single"/>
        </w:rPr>
      </w:pPr>
      <w:r>
        <w:rPr>
          <w:rFonts w:ascii="宋体" w:hAnsi="宋体"/>
          <w:color w:val="000000"/>
          <w:szCs w:val="21"/>
        </w:rPr>
        <w:t>1.1本次采购采购项目名称：见供应商须知前附表。</w:t>
      </w:r>
    </w:p>
    <w:p w14:paraId="6568F30A">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项目编号：见供应商须知前附表。</w:t>
      </w:r>
    </w:p>
    <w:p w14:paraId="59475594">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采购人：见供应商须知前附表。</w:t>
      </w:r>
    </w:p>
    <w:p w14:paraId="2E0C30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供货期（服务周期）：见供应商须知前附表。</w:t>
      </w:r>
    </w:p>
    <w:p w14:paraId="540ECB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供货地点：见供应商须知前附表。</w:t>
      </w:r>
    </w:p>
    <w:p w14:paraId="72FDD53F">
      <w:pPr>
        <w:snapToGrid w:val="0"/>
        <w:spacing w:line="440" w:lineRule="exact"/>
        <w:ind w:firstLine="420"/>
        <w:rPr>
          <w:rFonts w:ascii="宋体" w:hAnsi="宋体"/>
          <w:color w:val="000000"/>
          <w:szCs w:val="21"/>
          <w:highlight w:val="none"/>
          <w:u w:val="single"/>
        </w:rPr>
      </w:pPr>
      <w:r>
        <w:rPr>
          <w:rFonts w:ascii="宋体" w:hAnsi="宋体"/>
          <w:color w:val="000000"/>
          <w:szCs w:val="21"/>
        </w:rPr>
        <w:t>1.2采购人及联系人: 见供应商须知前附表。</w:t>
      </w:r>
    </w:p>
    <w:p w14:paraId="21D2CB86">
      <w:pPr>
        <w:snapToGrid w:val="0"/>
        <w:spacing w:line="440" w:lineRule="exact"/>
        <w:ind w:firstLine="525"/>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代理机构及联系人: 见供应商须知前附表。</w:t>
      </w:r>
    </w:p>
    <w:p w14:paraId="40C0B723">
      <w:pPr>
        <w:snapToGrid w:val="0"/>
        <w:spacing w:line="440" w:lineRule="exact"/>
        <w:ind w:firstLine="420"/>
        <w:rPr>
          <w:rFonts w:ascii="宋体" w:hAnsi="宋体"/>
          <w:color w:val="000000"/>
          <w:szCs w:val="21"/>
          <w:highlight w:val="none"/>
        </w:rPr>
      </w:pPr>
      <w:r>
        <w:rPr>
          <w:rFonts w:ascii="宋体" w:hAnsi="宋体"/>
          <w:color w:val="000000"/>
          <w:szCs w:val="21"/>
        </w:rPr>
        <w:t>1.3资金来源：见供应商须知前附表。</w:t>
      </w:r>
    </w:p>
    <w:p w14:paraId="0B6A9E7A">
      <w:pPr>
        <w:snapToGrid w:val="0"/>
        <w:spacing w:line="440" w:lineRule="exact"/>
        <w:ind w:firstLine="420"/>
        <w:rPr>
          <w:rFonts w:ascii="宋体" w:hAnsi="宋体"/>
          <w:color w:val="000000"/>
          <w:szCs w:val="21"/>
          <w:highlight w:val="none"/>
        </w:rPr>
      </w:pPr>
      <w:r>
        <w:rPr>
          <w:rFonts w:ascii="宋体" w:hAnsi="宋体"/>
          <w:color w:val="000000"/>
          <w:szCs w:val="21"/>
        </w:rPr>
        <w:t>1.4本项目预算：见供应商须知前附表。</w:t>
      </w:r>
    </w:p>
    <w:p w14:paraId="6DF67E34">
      <w:pPr>
        <w:snapToGrid w:val="0"/>
        <w:spacing w:line="440" w:lineRule="exact"/>
        <w:ind w:firstLine="420"/>
        <w:rPr>
          <w:rFonts w:ascii="宋体" w:hAnsi="宋体"/>
          <w:color w:val="000000"/>
          <w:szCs w:val="21"/>
          <w:highlight w:val="none"/>
        </w:rPr>
      </w:pPr>
      <w:r>
        <w:rPr>
          <w:rFonts w:ascii="宋体" w:hAnsi="宋体"/>
          <w:color w:val="000000"/>
          <w:szCs w:val="21"/>
        </w:rPr>
        <w:t>1.5本项目控制价：见供应商须知前附表。</w:t>
      </w:r>
    </w:p>
    <w:p w14:paraId="1C50A09C">
      <w:pPr>
        <w:snapToGrid w:val="0"/>
        <w:spacing w:line="440" w:lineRule="exact"/>
        <w:ind w:firstLine="420"/>
        <w:rPr>
          <w:rFonts w:ascii="宋体" w:hAnsi="宋体"/>
          <w:b/>
          <w:color w:val="000000"/>
          <w:szCs w:val="21"/>
          <w:highlight w:val="none"/>
        </w:rPr>
      </w:pPr>
      <w:r>
        <w:rPr>
          <w:rFonts w:ascii="宋体" w:hAnsi="宋体"/>
          <w:b/>
          <w:color w:val="000000"/>
          <w:szCs w:val="21"/>
        </w:rPr>
        <w:t>2.采购范围：</w:t>
      </w:r>
    </w:p>
    <w:p w14:paraId="64BB19F3">
      <w:pPr>
        <w:snapToGrid w:val="0"/>
        <w:spacing w:line="440" w:lineRule="exact"/>
        <w:ind w:firstLine="420"/>
        <w:rPr>
          <w:rFonts w:ascii="宋体" w:hAnsi="宋体"/>
          <w:color w:val="000000"/>
          <w:szCs w:val="21"/>
          <w:highlight w:val="none"/>
          <w:u w:val="single"/>
        </w:rPr>
      </w:pPr>
      <w:r>
        <w:rPr>
          <w:rFonts w:ascii="宋体" w:hAnsi="宋体"/>
          <w:color w:val="000000"/>
          <w:szCs w:val="21"/>
        </w:rPr>
        <w:t>2.1 采购内容：见供应商须知前附表。</w:t>
      </w:r>
    </w:p>
    <w:p w14:paraId="74021872">
      <w:pPr>
        <w:snapToGrid w:val="0"/>
        <w:spacing w:line="440" w:lineRule="exact"/>
        <w:ind w:firstLine="420"/>
        <w:rPr>
          <w:rFonts w:ascii="宋体" w:hAnsi="宋体"/>
          <w:color w:val="000000"/>
          <w:szCs w:val="21"/>
          <w:highlight w:val="none"/>
        </w:rPr>
      </w:pPr>
      <w:r>
        <w:rPr>
          <w:rFonts w:ascii="宋体" w:hAnsi="宋体"/>
          <w:color w:val="000000"/>
          <w:szCs w:val="21"/>
        </w:rPr>
        <w:t>2.2 技术要求：详见</w:t>
      </w:r>
      <w:r>
        <w:rPr>
          <w:rFonts w:ascii="宋体" w:hAnsi="宋体"/>
          <w:color w:val="000000"/>
          <w:szCs w:val="21"/>
          <w:lang w:eastAsia="zh-CN"/>
        </w:rPr>
        <w:t>采购文件</w:t>
      </w:r>
      <w:r>
        <w:rPr>
          <w:rFonts w:ascii="宋体" w:hAnsi="宋体"/>
          <w:color w:val="000000"/>
          <w:szCs w:val="21"/>
        </w:rPr>
        <w:t>第四章采购内容及技术要求。</w:t>
      </w:r>
    </w:p>
    <w:p w14:paraId="59EB14AC">
      <w:pPr>
        <w:snapToGrid w:val="0"/>
        <w:spacing w:line="440" w:lineRule="exact"/>
        <w:ind w:firstLine="420"/>
        <w:rPr>
          <w:rFonts w:ascii="宋体" w:hAnsi="宋体"/>
          <w:b/>
          <w:color w:val="000000"/>
          <w:szCs w:val="21"/>
          <w:highlight w:val="none"/>
        </w:rPr>
      </w:pPr>
      <w:r>
        <w:rPr>
          <w:rFonts w:ascii="宋体" w:hAnsi="宋体"/>
          <w:b/>
          <w:color w:val="000000"/>
          <w:szCs w:val="21"/>
        </w:rPr>
        <w:t>3.标包划分：</w:t>
      </w:r>
    </w:p>
    <w:p w14:paraId="732C52B5">
      <w:pPr>
        <w:snapToGrid w:val="0"/>
        <w:spacing w:line="440" w:lineRule="exact"/>
        <w:ind w:firstLine="420"/>
        <w:jc w:val="left"/>
        <w:rPr>
          <w:rFonts w:ascii="宋体" w:hAnsi="宋体"/>
          <w:color w:val="000000"/>
          <w:szCs w:val="21"/>
          <w:highlight w:val="none"/>
        </w:rPr>
      </w:pPr>
      <w:r>
        <w:rPr>
          <w:rFonts w:ascii="宋体" w:hAnsi="宋体"/>
          <w:color w:val="000000"/>
          <w:szCs w:val="21"/>
        </w:rPr>
        <w:t>3.1本项目划分：</w:t>
      </w:r>
      <w:r>
        <w:rPr>
          <w:rFonts w:ascii="宋体" w:hAnsi="宋体"/>
          <w:color w:val="000000"/>
          <w:szCs w:val="21"/>
          <w:u w:val="single"/>
        </w:rPr>
        <w:t xml:space="preserve"> </w:t>
      </w:r>
      <w:r>
        <w:rPr>
          <w:rFonts w:ascii="宋体" w:hAnsi="宋体"/>
          <w:color w:val="000000"/>
          <w:szCs w:val="21"/>
          <w:u w:val="single"/>
          <w:lang w:val="en-US" w:eastAsia="zh-CN"/>
        </w:rPr>
        <w:t>1</w:t>
      </w:r>
      <w:r>
        <w:rPr>
          <w:rFonts w:ascii="宋体" w:hAnsi="宋体"/>
          <w:color w:val="000000"/>
          <w:szCs w:val="21"/>
          <w:u w:val="single"/>
        </w:rPr>
        <w:t xml:space="preserve"> </w:t>
      </w:r>
      <w:r>
        <w:rPr>
          <w:rFonts w:ascii="宋体" w:hAnsi="宋体"/>
          <w:color w:val="000000"/>
          <w:szCs w:val="21"/>
        </w:rPr>
        <w:t xml:space="preserve"> </w:t>
      </w:r>
      <w:r>
        <w:rPr>
          <w:color w:val="000000"/>
          <w:szCs w:val="21"/>
        </w:rPr>
        <w:t>个标包</w:t>
      </w:r>
      <w:r>
        <w:rPr>
          <w:rFonts w:ascii="宋体" w:hAnsi="宋体" w:cs="宋体"/>
          <w:color w:val="000000"/>
          <w:kern w:val="0"/>
          <w:szCs w:val="21"/>
        </w:rPr>
        <w:t>。</w:t>
      </w:r>
    </w:p>
    <w:p w14:paraId="0DEA06CA">
      <w:pPr>
        <w:snapToGrid w:val="0"/>
        <w:spacing w:line="440" w:lineRule="exact"/>
        <w:ind w:firstLine="420"/>
        <w:rPr>
          <w:rFonts w:ascii="宋体" w:hAnsi="宋体"/>
          <w:b/>
          <w:color w:val="000000"/>
          <w:szCs w:val="21"/>
          <w:highlight w:val="none"/>
        </w:rPr>
      </w:pPr>
      <w:r>
        <w:rPr>
          <w:rFonts w:ascii="宋体" w:hAnsi="宋体"/>
          <w:b/>
          <w:color w:val="000000"/>
          <w:szCs w:val="21"/>
        </w:rPr>
        <w:t>4.采购方式：</w:t>
      </w:r>
    </w:p>
    <w:p w14:paraId="0227FD7E">
      <w:pPr>
        <w:snapToGrid w:val="0"/>
        <w:spacing w:line="440" w:lineRule="exact"/>
        <w:ind w:firstLine="420"/>
        <w:rPr>
          <w:rFonts w:ascii="宋体" w:hAnsi="宋体"/>
          <w:color w:val="000000"/>
          <w:szCs w:val="21"/>
          <w:highlight w:val="none"/>
        </w:rPr>
      </w:pPr>
      <w:r>
        <w:rPr>
          <w:rFonts w:ascii="宋体" w:hAnsi="宋体"/>
          <w:color w:val="000000"/>
          <w:szCs w:val="21"/>
        </w:rPr>
        <w:t>4.1本项目采购方式：见供应商须知前附表。</w:t>
      </w:r>
    </w:p>
    <w:p w14:paraId="130400F2">
      <w:pPr>
        <w:snapToGrid w:val="0"/>
        <w:spacing w:line="440" w:lineRule="exact"/>
        <w:ind w:firstLine="420"/>
        <w:rPr>
          <w:rFonts w:ascii="宋体" w:hAnsi="宋体"/>
          <w:b/>
          <w:color w:val="000000"/>
          <w:szCs w:val="21"/>
          <w:highlight w:val="none"/>
        </w:rPr>
      </w:pPr>
      <w:r>
        <w:rPr>
          <w:rFonts w:ascii="宋体" w:hAnsi="宋体"/>
          <w:b/>
          <w:color w:val="000000"/>
          <w:szCs w:val="21"/>
        </w:rPr>
        <w:t>5.计价方式：</w:t>
      </w:r>
    </w:p>
    <w:p w14:paraId="0CAAB5BF">
      <w:pPr>
        <w:snapToGrid w:val="0"/>
        <w:spacing w:line="440" w:lineRule="exact"/>
        <w:ind w:firstLine="420"/>
        <w:rPr>
          <w:rFonts w:ascii="宋体" w:hAnsi="宋体"/>
          <w:color w:val="000000"/>
          <w:szCs w:val="21"/>
          <w:highlight w:val="yellow"/>
        </w:rPr>
      </w:pPr>
      <w:r>
        <w:rPr>
          <w:rFonts w:ascii="宋体" w:hAnsi="宋体"/>
          <w:color w:val="000000"/>
          <w:szCs w:val="21"/>
        </w:rPr>
        <w:t>5.1本次采购项目合同采用</w:t>
      </w:r>
      <w:r>
        <w:rPr>
          <w:rFonts w:ascii="宋体" w:hAnsi="宋体"/>
          <w:color w:val="000000"/>
          <w:szCs w:val="21"/>
          <w:u w:val="single"/>
        </w:rPr>
        <w:t xml:space="preserve">   </w:t>
      </w:r>
      <w:r>
        <w:rPr>
          <w:rFonts w:ascii="宋体" w:hAnsi="宋体"/>
          <w:b/>
          <w:bCs/>
          <w:color w:val="000000"/>
          <w:szCs w:val="21"/>
          <w:u w:val="single"/>
        </w:rPr>
        <w:t>固定</w:t>
      </w:r>
      <w:r>
        <w:rPr>
          <w:rFonts w:ascii="宋体" w:hAnsi="宋体"/>
          <w:b/>
          <w:bCs/>
          <w:color w:val="000000"/>
          <w:szCs w:val="21"/>
          <w:u w:val="single"/>
          <w:lang w:val="en-US" w:eastAsia="zh-CN"/>
        </w:rPr>
        <w:t>总价</w:t>
      </w:r>
      <w:r>
        <w:rPr>
          <w:rFonts w:ascii="宋体" w:hAnsi="宋体"/>
          <w:color w:val="000000"/>
          <w:szCs w:val="21"/>
          <w:u w:val="single"/>
        </w:rPr>
        <w:t>。</w:t>
      </w:r>
    </w:p>
    <w:p w14:paraId="31E3ED81">
      <w:pPr>
        <w:snapToGrid w:val="0"/>
        <w:spacing w:line="440" w:lineRule="exact"/>
        <w:ind w:firstLine="420"/>
        <w:rPr>
          <w:rFonts w:ascii="宋体" w:hAnsi="宋体"/>
          <w:b/>
          <w:color w:val="000000"/>
          <w:szCs w:val="21"/>
          <w:highlight w:val="none"/>
        </w:rPr>
      </w:pPr>
      <w:r>
        <w:rPr>
          <w:rFonts w:ascii="宋体" w:hAnsi="宋体"/>
          <w:b/>
          <w:color w:val="000000"/>
          <w:szCs w:val="21"/>
        </w:rPr>
        <w:t>6.评审办法：</w:t>
      </w:r>
    </w:p>
    <w:p w14:paraId="7040E71A">
      <w:pPr>
        <w:snapToGrid w:val="0"/>
        <w:spacing w:line="440" w:lineRule="exact"/>
        <w:ind w:firstLine="420"/>
        <w:rPr>
          <w:rFonts w:ascii="宋体" w:hAnsi="宋体"/>
          <w:color w:val="000000"/>
          <w:szCs w:val="21"/>
          <w:highlight w:val="none"/>
        </w:rPr>
      </w:pPr>
      <w:r>
        <w:rPr>
          <w:rFonts w:ascii="宋体" w:hAnsi="宋体"/>
          <w:color w:val="000000"/>
          <w:szCs w:val="21"/>
        </w:rPr>
        <w:t>6.1本次采购评审采用</w:t>
      </w:r>
      <w:r>
        <w:rPr>
          <w:rFonts w:ascii="宋体" w:hAnsi="宋体"/>
          <w:color w:val="000000"/>
          <w:szCs w:val="21"/>
          <w:u w:val="single"/>
        </w:rPr>
        <w:t xml:space="preserve">  </w:t>
      </w:r>
      <w:r>
        <w:rPr>
          <w:rFonts w:ascii="宋体" w:hAnsi="宋体"/>
          <w:b/>
          <w:bCs/>
          <w:color w:val="000000"/>
          <w:szCs w:val="21"/>
          <w:u w:val="single"/>
        </w:rPr>
        <w:t>符合</w:t>
      </w:r>
      <w:r>
        <w:rPr>
          <w:rFonts w:ascii="宋体" w:hAnsi="宋体"/>
          <w:b/>
          <w:bCs/>
          <w:color w:val="000000"/>
          <w:szCs w:val="21"/>
          <w:u w:val="single"/>
          <w:lang w:eastAsia="zh-CN"/>
        </w:rPr>
        <w:t>磋商文件</w:t>
      </w:r>
      <w:r>
        <w:rPr>
          <w:rFonts w:ascii="宋体" w:hAnsi="宋体"/>
          <w:b/>
          <w:bCs/>
          <w:color w:val="000000"/>
          <w:szCs w:val="21"/>
          <w:u w:val="single"/>
        </w:rPr>
        <w:t>的综合评分法</w:t>
      </w:r>
      <w:r>
        <w:rPr>
          <w:rFonts w:ascii="宋体" w:hAnsi="宋体"/>
          <w:color w:val="000000"/>
          <w:szCs w:val="21"/>
          <w:u w:val="single"/>
        </w:rPr>
        <w:t xml:space="preserve"> </w:t>
      </w:r>
      <w:r>
        <w:rPr>
          <w:rFonts w:ascii="宋体" w:hAnsi="宋体"/>
          <w:color w:val="000000"/>
          <w:szCs w:val="21"/>
        </w:rPr>
        <w:t>（详见第三章评审办法）</w:t>
      </w:r>
    </w:p>
    <w:p w14:paraId="002FA98F">
      <w:pPr>
        <w:snapToGrid w:val="0"/>
        <w:spacing w:line="440" w:lineRule="exact"/>
        <w:ind w:firstLine="420"/>
        <w:rPr>
          <w:rFonts w:ascii="宋体" w:hAnsi="宋体"/>
          <w:b/>
          <w:color w:val="000000"/>
          <w:szCs w:val="21"/>
          <w:highlight w:val="none"/>
        </w:rPr>
      </w:pPr>
      <w:r>
        <w:rPr>
          <w:rFonts w:ascii="宋体" w:hAnsi="宋体"/>
          <w:b/>
          <w:color w:val="000000"/>
          <w:szCs w:val="21"/>
        </w:rPr>
        <w:t>7.供应商资格：</w:t>
      </w:r>
    </w:p>
    <w:p w14:paraId="4BF688DF">
      <w:pPr>
        <w:snapToGrid w:val="0"/>
        <w:spacing w:line="440" w:lineRule="exact"/>
        <w:ind w:firstLine="420"/>
        <w:rPr>
          <w:rFonts w:ascii="宋体" w:hAnsi="宋体"/>
          <w:color w:val="000000"/>
          <w:szCs w:val="21"/>
          <w:highlight w:val="none"/>
        </w:rPr>
      </w:pPr>
      <w:r>
        <w:rPr>
          <w:rFonts w:ascii="宋体" w:hAnsi="宋体"/>
          <w:color w:val="000000"/>
          <w:szCs w:val="21"/>
        </w:rPr>
        <w:t>7.1参与采购活动的供应商必须是满足《中华人民共和国政府采购法》规定条件的法人、其他组织或者自然人：</w:t>
      </w:r>
    </w:p>
    <w:p w14:paraId="75B88FA3">
      <w:pPr>
        <w:snapToGrid w:val="0"/>
        <w:spacing w:line="440" w:lineRule="exact"/>
        <w:ind w:firstLine="420"/>
        <w:rPr>
          <w:rFonts w:ascii="宋体" w:hAnsi="宋体"/>
          <w:color w:val="000000"/>
          <w:szCs w:val="21"/>
          <w:highlight w:val="none"/>
        </w:rPr>
      </w:pPr>
      <w:r>
        <w:rPr>
          <w:rFonts w:ascii="宋体" w:hAnsi="宋体"/>
          <w:color w:val="000000"/>
          <w:szCs w:val="21"/>
        </w:rPr>
        <w:t>7.2由于政府采购项目的差异性，供应商在参与具体政府采购项目活动时，应仔细阅读该项目的资质要求,具体见供应商须知前附表。</w:t>
      </w:r>
    </w:p>
    <w:p w14:paraId="24B571CC">
      <w:pPr>
        <w:snapToGrid w:val="0"/>
        <w:spacing w:line="440" w:lineRule="exact"/>
        <w:ind w:firstLine="420"/>
        <w:rPr>
          <w:rFonts w:ascii="宋体" w:hAnsi="宋体"/>
          <w:color w:val="000000"/>
          <w:szCs w:val="21"/>
          <w:highlight w:val="none"/>
        </w:rPr>
      </w:pPr>
      <w:r>
        <w:rPr>
          <w:rFonts w:ascii="宋体" w:hAnsi="宋体"/>
          <w:color w:val="000000"/>
          <w:szCs w:val="21"/>
        </w:rPr>
        <w:t>7.3根据电子化政府采购的特点，各供应商应在响应文件开启前确保成为</w:t>
      </w:r>
      <w:r>
        <w:rPr>
          <w:rFonts w:ascii="宋体" w:hAnsi="宋体" w:cs="Times New Roman"/>
          <w:color w:val="000000"/>
          <w:szCs w:val="21"/>
        </w:rPr>
        <w:t>新疆维吾尔自治区政府采购网正式注册入库供应商（已在政采云平台其他省份入驻的供应商无须重复注册</w:t>
      </w:r>
      <w:r>
        <w:rPr>
          <w:rFonts w:ascii="宋体" w:hAnsi="宋体" w:cs="宋体"/>
          <w:sz w:val="21"/>
          <w:szCs w:val="21"/>
        </w:rPr>
        <w:t>）</w:t>
      </w:r>
      <w:r>
        <w:rPr>
          <w:rFonts w:ascii="宋体" w:hAnsi="宋体"/>
          <w:color w:val="000000"/>
          <w:szCs w:val="21"/>
        </w:rPr>
        <w:t>，并完成CA数字证书申领。因未注册入库、未办理CA数字证书等原因造成无法响应或响应失败等后果由供应商自行承担。</w:t>
      </w:r>
    </w:p>
    <w:p w14:paraId="327A2295">
      <w:pPr>
        <w:snapToGrid w:val="0"/>
        <w:spacing w:line="440" w:lineRule="exact"/>
        <w:ind w:firstLine="420"/>
        <w:rPr>
          <w:rFonts w:ascii="宋体" w:hAnsi="宋体"/>
          <w:color w:val="000000"/>
          <w:szCs w:val="21"/>
          <w:highlight w:val="none"/>
        </w:rPr>
      </w:pPr>
      <w:r>
        <w:rPr>
          <w:rFonts w:ascii="宋体" w:hAnsi="宋体"/>
          <w:color w:val="000000"/>
          <w:szCs w:val="21"/>
        </w:rPr>
        <w:t>7.4供应商必须确保自己在信息库中注册的信息真实、准确，并保证响应文件中的有关信息与库中的信息相一致。否则，供应商因此蒙受损失，采购人概不负责。</w:t>
      </w:r>
    </w:p>
    <w:p w14:paraId="2F9BC5D6">
      <w:pPr>
        <w:spacing w:line="440" w:lineRule="exact"/>
        <w:ind w:firstLine="420"/>
        <w:rPr>
          <w:b/>
          <w:color w:val="000000"/>
          <w:szCs w:val="21"/>
          <w:highlight w:val="none"/>
        </w:rPr>
      </w:pPr>
      <w:r>
        <w:rPr>
          <w:b/>
          <w:color w:val="000000"/>
          <w:szCs w:val="21"/>
        </w:rPr>
        <w:t>8. 响应费用</w:t>
      </w:r>
    </w:p>
    <w:p w14:paraId="7892F6D8">
      <w:pPr>
        <w:snapToGrid w:val="0"/>
        <w:spacing w:line="440" w:lineRule="exact"/>
        <w:ind w:firstLine="420"/>
        <w:rPr>
          <w:rFonts w:ascii="宋体" w:hAnsi="宋体"/>
          <w:color w:val="000000"/>
          <w:szCs w:val="21"/>
          <w:highlight w:val="none"/>
        </w:rPr>
      </w:pPr>
      <w:r>
        <w:rPr>
          <w:rFonts w:ascii="宋体" w:hAnsi="宋体"/>
          <w:color w:val="000000"/>
          <w:szCs w:val="21"/>
        </w:rPr>
        <w:t>8.1供应商准备和参加磋商活动发生的费用自理。</w:t>
      </w:r>
    </w:p>
    <w:p w14:paraId="0280B066">
      <w:pPr>
        <w:spacing w:line="440" w:lineRule="exact"/>
        <w:ind w:firstLine="420"/>
        <w:rPr>
          <w:b/>
          <w:color w:val="000000"/>
          <w:szCs w:val="21"/>
          <w:highlight w:val="none"/>
        </w:rPr>
      </w:pPr>
      <w:r>
        <w:rPr>
          <w:b/>
          <w:color w:val="000000"/>
          <w:szCs w:val="21"/>
        </w:rPr>
        <w:t>9. 踏勘现场</w:t>
      </w:r>
    </w:p>
    <w:p w14:paraId="726DDE1C">
      <w:pPr>
        <w:spacing w:line="440" w:lineRule="exact"/>
        <w:ind w:firstLine="409"/>
        <w:rPr>
          <w:rFonts w:ascii="宋体" w:hAnsi="宋体"/>
          <w:color w:val="000000"/>
          <w:szCs w:val="21"/>
          <w:highlight w:val="none"/>
        </w:rPr>
      </w:pPr>
      <w:r>
        <w:rPr>
          <w:rFonts w:ascii="宋体" w:hAnsi="宋体"/>
          <w:color w:val="000000"/>
          <w:szCs w:val="21"/>
        </w:rPr>
        <w:t>9.1 供应商须知前附表规定组织踏勘现场的，采购人按供应商须知前附表规定的时间、地点组织供应商踏勘项目现场。</w:t>
      </w:r>
      <w:r>
        <w:rPr>
          <w:rFonts w:ascii="宋体" w:hAnsi="宋体"/>
          <w:color w:val="000000"/>
          <w:szCs w:val="21"/>
          <w:lang w:eastAsia="zh-CN"/>
        </w:rPr>
        <w:t>如需踏勘现场，</w:t>
      </w:r>
      <w:r>
        <w:rPr>
          <w:color w:val="000000"/>
          <w:lang w:eastAsia="zh-CN"/>
        </w:rPr>
        <w:t>供应商自行踏勘现场的，可咨询本项目采购人或采购代理机构联系人。</w:t>
      </w:r>
      <w:r>
        <w:rPr>
          <w:rFonts w:ascii="宋体" w:hAnsi="宋体"/>
          <w:b/>
          <w:bCs/>
          <w:color w:val="000000"/>
          <w:szCs w:val="21"/>
        </w:rPr>
        <w:t xml:space="preserve"> </w:t>
      </w:r>
    </w:p>
    <w:p w14:paraId="43B3E3E8">
      <w:pPr>
        <w:spacing w:line="440" w:lineRule="exact"/>
        <w:ind w:firstLine="409"/>
        <w:rPr>
          <w:rFonts w:ascii="宋体" w:hAnsi="宋体"/>
          <w:color w:val="000000"/>
          <w:szCs w:val="21"/>
          <w:highlight w:val="none"/>
        </w:rPr>
      </w:pPr>
      <w:r>
        <w:rPr>
          <w:rFonts w:ascii="宋体" w:hAnsi="宋体"/>
          <w:color w:val="000000"/>
          <w:szCs w:val="21"/>
        </w:rPr>
        <w:t>9.2 供应商踏勘现场发生的费用自理。</w:t>
      </w:r>
    </w:p>
    <w:p w14:paraId="1B3FD173">
      <w:pPr>
        <w:spacing w:line="440" w:lineRule="exact"/>
        <w:ind w:firstLine="409"/>
        <w:rPr>
          <w:rFonts w:ascii="宋体" w:hAnsi="宋体"/>
          <w:color w:val="000000"/>
          <w:szCs w:val="21"/>
          <w:highlight w:val="none"/>
        </w:rPr>
      </w:pPr>
      <w:r>
        <w:rPr>
          <w:rFonts w:ascii="宋体" w:hAnsi="宋体"/>
          <w:color w:val="000000"/>
          <w:szCs w:val="21"/>
        </w:rPr>
        <w:t>9.3 除采购人的原因外，供应商自行负责在踏勘现场中所发生的人员伤亡和财产损失。</w:t>
      </w:r>
    </w:p>
    <w:p w14:paraId="3554E4C1">
      <w:pPr>
        <w:spacing w:line="440" w:lineRule="exact"/>
        <w:ind w:firstLine="409"/>
        <w:rPr>
          <w:rFonts w:ascii="宋体" w:hAnsi="宋体"/>
          <w:color w:val="000000"/>
          <w:szCs w:val="21"/>
          <w:highlight w:val="none"/>
        </w:rPr>
      </w:pPr>
      <w:r>
        <w:rPr>
          <w:rFonts w:ascii="宋体" w:hAnsi="宋体"/>
          <w:color w:val="000000"/>
          <w:szCs w:val="21"/>
        </w:rPr>
        <w:t xml:space="preserve">9.4 </w:t>
      </w:r>
      <w:r>
        <w:rPr>
          <w:rFonts w:ascii="宋体" w:hAnsi="宋体" w:cs="Times New Roman"/>
          <w:color w:val="000000"/>
          <w:szCs w:val="21"/>
        </w:rPr>
        <w:t>组织供应商对现场及周围环境进行踏勘，以便供应商获取有关编制响应文件和签署合同所涉及现场的资料。</w:t>
      </w:r>
      <w:r>
        <w:rPr>
          <w:rFonts w:ascii="宋体" w:hAnsi="宋体"/>
          <w:color w:val="000000"/>
          <w:szCs w:val="21"/>
        </w:rPr>
        <w:t>采购人在踏勘现场中介绍的场地和相关的周边环境情况，供供应商在编制响应文件时参考，采购人不对供应商据此作出的判断和决策负责。</w:t>
      </w:r>
    </w:p>
    <w:p w14:paraId="1425E972">
      <w:pPr>
        <w:spacing w:line="440" w:lineRule="exact"/>
        <w:ind w:firstLine="420"/>
        <w:rPr>
          <w:b/>
          <w:color w:val="000000"/>
          <w:szCs w:val="21"/>
          <w:highlight w:val="none"/>
        </w:rPr>
      </w:pPr>
      <w:r>
        <w:rPr>
          <w:b/>
          <w:color w:val="000000"/>
          <w:szCs w:val="21"/>
        </w:rPr>
        <w:t>10. 响应预备会</w:t>
      </w:r>
    </w:p>
    <w:p w14:paraId="5C5FED0A">
      <w:pPr>
        <w:spacing w:line="440" w:lineRule="exact"/>
        <w:ind w:firstLine="409"/>
        <w:rPr>
          <w:rFonts w:ascii="宋体" w:hAnsi="宋体"/>
          <w:color w:val="000000"/>
          <w:szCs w:val="21"/>
          <w:highlight w:val="none"/>
        </w:rPr>
      </w:pPr>
      <w:r>
        <w:rPr>
          <w:rFonts w:ascii="宋体" w:hAnsi="宋体"/>
          <w:color w:val="000000"/>
          <w:szCs w:val="21"/>
        </w:rPr>
        <w:t>10.1供应商须知前附表规定召开响应预备会的，采购人按供应商须知前附表规定的时间和地点召开响应预备会，澄清供应商提出的问题。</w:t>
      </w:r>
    </w:p>
    <w:p w14:paraId="7E55F29C">
      <w:pPr>
        <w:spacing w:line="440" w:lineRule="exact"/>
        <w:ind w:firstLine="409"/>
        <w:rPr>
          <w:rFonts w:ascii="宋体" w:hAnsi="宋体"/>
          <w:color w:val="000000"/>
          <w:szCs w:val="21"/>
          <w:highlight w:val="none"/>
        </w:rPr>
      </w:pPr>
      <w:r>
        <w:rPr>
          <w:rFonts w:ascii="宋体" w:hAnsi="宋体"/>
          <w:color w:val="000000"/>
          <w:szCs w:val="21"/>
        </w:rPr>
        <w:t>10.2供应商应在供应商须知前附表规定的时间前，将提出的问题送达采购人，以便采购人澄清。</w:t>
      </w:r>
    </w:p>
    <w:p w14:paraId="6A29106B">
      <w:pPr>
        <w:spacing w:line="440" w:lineRule="exact"/>
        <w:ind w:firstLine="409"/>
        <w:rPr>
          <w:rFonts w:ascii="宋体" w:hAnsi="宋体"/>
          <w:color w:val="000000"/>
          <w:szCs w:val="21"/>
          <w:highlight w:val="none"/>
        </w:rPr>
      </w:pPr>
      <w:r>
        <w:rPr>
          <w:rFonts w:ascii="宋体" w:hAnsi="宋体"/>
          <w:color w:val="000000"/>
          <w:szCs w:val="21"/>
        </w:rPr>
        <w:t>10.3采购人在供应商须知前附表规定的时间，将对供应商所提的问题进行澄清。该澄清内容为</w:t>
      </w:r>
      <w:r>
        <w:rPr>
          <w:rFonts w:ascii="宋体" w:hAnsi="宋体"/>
          <w:color w:val="000000"/>
          <w:szCs w:val="21"/>
          <w:lang w:eastAsia="zh-CN"/>
        </w:rPr>
        <w:t>采购文件</w:t>
      </w:r>
      <w:r>
        <w:rPr>
          <w:rFonts w:ascii="宋体" w:hAnsi="宋体"/>
          <w:color w:val="000000"/>
          <w:szCs w:val="21"/>
        </w:rPr>
        <w:t>的组成部分。</w:t>
      </w:r>
    </w:p>
    <w:p w14:paraId="417D3A25">
      <w:pPr>
        <w:spacing w:line="440" w:lineRule="exact"/>
        <w:ind w:firstLine="420"/>
        <w:rPr>
          <w:b/>
          <w:color w:val="000000"/>
          <w:szCs w:val="21"/>
          <w:highlight w:val="none"/>
        </w:rPr>
      </w:pPr>
      <w:r>
        <w:rPr>
          <w:b/>
          <w:color w:val="000000"/>
          <w:szCs w:val="21"/>
        </w:rPr>
        <w:t>11. 联合响应</w:t>
      </w:r>
    </w:p>
    <w:p w14:paraId="5D386788">
      <w:pPr>
        <w:spacing w:line="440" w:lineRule="exact"/>
        <w:ind w:firstLine="409"/>
        <w:rPr>
          <w:rFonts w:ascii="宋体" w:hAnsi="宋体"/>
          <w:color w:val="000000"/>
          <w:szCs w:val="21"/>
          <w:highlight w:val="none"/>
        </w:rPr>
      </w:pPr>
      <w:r>
        <w:rPr>
          <w:rFonts w:ascii="宋体" w:hAnsi="宋体"/>
          <w:color w:val="000000"/>
          <w:szCs w:val="21"/>
        </w:rPr>
        <w:t>11.1 两个以上供应商可以组成一个响应联合体，以一个供应商的身份响应。以联合体形式参加磋商的，联合体各方均应当符合《政府采购法》第二十二条规定的条件。采购人根据采购项目的特殊要求规定供应商特定条件的，联合体各方中至少应当有一方符合采购人规定的特定条件。</w:t>
      </w:r>
    </w:p>
    <w:p w14:paraId="3755EA42">
      <w:pPr>
        <w:spacing w:line="400" w:lineRule="exact"/>
        <w:ind w:firstLine="409"/>
        <w:rPr>
          <w:rFonts w:ascii="宋体" w:hAnsi="宋体"/>
          <w:color w:val="000000"/>
          <w:szCs w:val="21"/>
          <w:highlight w:val="none"/>
        </w:rPr>
      </w:pPr>
      <w:r>
        <w:rPr>
          <w:rFonts w:ascii="宋体" w:hAnsi="宋体"/>
          <w:color w:val="000000"/>
          <w:szCs w:val="21"/>
        </w:rPr>
        <w:t>11.2联合体各方之间应当签订共同响应协议，明确约定联合体各方承担的工作和相应的责任，并将共同响应协议连同响应文件一并提交采购人。联合体各方签订共同响应协议后，不得再以自己名义单独在同一项目中响应，也不得组成新的联合体参加同一项目响应。</w:t>
      </w:r>
    </w:p>
    <w:p w14:paraId="4927EA19">
      <w:pPr>
        <w:spacing w:line="400" w:lineRule="exact"/>
        <w:ind w:firstLine="411"/>
        <w:rPr>
          <w:rFonts w:ascii="宋体" w:hAnsi="宋体"/>
          <w:color w:val="000000"/>
          <w:szCs w:val="21"/>
          <w:highlight w:val="none"/>
        </w:rPr>
      </w:pPr>
      <w:r>
        <w:rPr>
          <w:rFonts w:ascii="宋体" w:hAnsi="宋体"/>
          <w:color w:val="000000"/>
          <w:szCs w:val="21"/>
        </w:rPr>
        <w:t>11.3 联合体应当确定其中一个单位为响应的全权代表，负责参加磋商的一切事务，并承担响应及履约中应承担的全部责任与义务。</w:t>
      </w:r>
    </w:p>
    <w:p w14:paraId="7E484B16">
      <w:pPr>
        <w:pStyle w:val="9"/>
        <w:spacing w:before="0" w:after="0" w:line="400" w:lineRule="exact"/>
        <w:ind w:left="0" w:firstLine="424"/>
        <w:rPr>
          <w:rFonts w:ascii="宋体" w:hAnsi="宋体"/>
          <w:color w:val="000000"/>
          <w:szCs w:val="21"/>
          <w:highlight w:val="none"/>
        </w:rPr>
      </w:pPr>
      <w:r>
        <w:rPr>
          <w:rFonts w:ascii="宋体" w:hAnsi="宋体"/>
          <w:color w:val="000000"/>
          <w:szCs w:val="21"/>
        </w:rPr>
        <w:t>11.4 联合体各方应当共同与采购人签订采购合同，就采购合同约定的事项对采购人承担连带责任。</w:t>
      </w:r>
    </w:p>
    <w:p w14:paraId="27DD6563">
      <w:pPr>
        <w:spacing w:line="440" w:lineRule="exact"/>
        <w:ind w:firstLine="411"/>
        <w:jc w:val="left"/>
        <w:rPr>
          <w:rFonts w:ascii="宋体" w:hAnsi="宋体"/>
          <w:b/>
          <w:color w:val="000000"/>
          <w:szCs w:val="21"/>
          <w:highlight w:val="none"/>
        </w:rPr>
      </w:pPr>
      <w:r>
        <w:rPr>
          <w:rFonts w:ascii="宋体" w:hAnsi="宋体"/>
          <w:b/>
          <w:color w:val="000000"/>
          <w:szCs w:val="21"/>
        </w:rPr>
        <w:t>12.采购代理服务费</w:t>
      </w:r>
      <w:r>
        <w:rPr>
          <w:rFonts w:ascii="宋体" w:hAnsi="宋体"/>
          <w:b/>
          <w:color w:val="000000"/>
          <w:szCs w:val="21"/>
          <w:lang w:eastAsia="zh-CN"/>
        </w:rPr>
        <w:t>（</w:t>
      </w:r>
      <w:r>
        <w:rPr>
          <w:rFonts w:ascii="宋体" w:hAnsi="宋体"/>
          <w:b/>
          <w:color w:val="000000"/>
          <w:szCs w:val="21"/>
          <w:lang w:val="en-US" w:eastAsia="zh-CN"/>
        </w:rPr>
        <w:t>详见供应商须知</w:t>
      </w:r>
      <w:r>
        <w:rPr>
          <w:rFonts w:ascii="宋体" w:hAnsi="宋体" w:cs="Times New Roman"/>
          <w:b/>
          <w:color w:val="000000"/>
          <w:szCs w:val="21"/>
          <w:lang w:val="en-US" w:eastAsia="zh-CN"/>
        </w:rPr>
        <w:t>前附表</w:t>
      </w:r>
      <w:r>
        <w:rPr>
          <w:rFonts w:ascii="宋体" w:hAnsi="宋体"/>
          <w:b/>
          <w:color w:val="000000"/>
          <w:szCs w:val="21"/>
          <w:lang w:eastAsia="zh-CN"/>
        </w:rPr>
        <w:t>）</w:t>
      </w:r>
    </w:p>
    <w:p w14:paraId="0176748D">
      <w:pPr>
        <w:spacing w:line="440" w:lineRule="exact"/>
        <w:ind w:firstLine="420"/>
        <w:rPr>
          <w:b/>
          <w:color w:val="000000"/>
          <w:szCs w:val="21"/>
          <w:highlight w:val="none"/>
        </w:rPr>
      </w:pPr>
      <w:r>
        <w:rPr>
          <w:b/>
          <w:color w:val="000000"/>
          <w:szCs w:val="21"/>
        </w:rPr>
        <w:t>13.供应商应注意的事项</w:t>
      </w:r>
    </w:p>
    <w:p w14:paraId="1BE16E2A">
      <w:pPr>
        <w:spacing w:line="440" w:lineRule="exact"/>
        <w:ind w:firstLine="420"/>
        <w:rPr>
          <w:rFonts w:ascii="宋体" w:hAnsi="宋体"/>
          <w:bCs/>
          <w:color w:val="000000"/>
          <w:szCs w:val="21"/>
          <w:highlight w:val="none"/>
        </w:rPr>
      </w:pPr>
      <w:r>
        <w:rPr>
          <w:rFonts w:ascii="宋体" w:hAnsi="宋体" w:cs="宋体"/>
          <w:color w:val="000000"/>
          <w:szCs w:val="21"/>
        </w:rPr>
        <w:t>13.1供应商一旦按规定缴纳了磋商保证金并参加磋商，即被认为接受了本</w:t>
      </w:r>
      <w:r>
        <w:rPr>
          <w:rFonts w:ascii="宋体" w:hAnsi="宋体" w:cs="宋体"/>
          <w:color w:val="000000"/>
          <w:szCs w:val="21"/>
          <w:lang w:eastAsia="zh-CN"/>
        </w:rPr>
        <w:t>采购</w:t>
      </w:r>
      <w:r>
        <w:rPr>
          <w:rFonts w:ascii="宋体" w:hAnsi="宋体" w:cs="宋体"/>
          <w:color w:val="000000"/>
          <w:szCs w:val="21"/>
        </w:rPr>
        <w:t>文件中的所有条件和规定。供应商必须严格按</w:t>
      </w:r>
      <w:r>
        <w:rPr>
          <w:rFonts w:ascii="宋体" w:hAnsi="宋体" w:cs="宋体"/>
          <w:color w:val="000000"/>
          <w:szCs w:val="21"/>
          <w:lang w:eastAsia="zh-CN"/>
        </w:rPr>
        <w:t>采购文件</w:t>
      </w:r>
      <w:r>
        <w:rPr>
          <w:rFonts w:ascii="宋体" w:hAnsi="宋体" w:cs="宋体"/>
          <w:color w:val="000000"/>
          <w:szCs w:val="21"/>
        </w:rPr>
        <w:t>的要求编制响应文件，响应文件宜编制页码和目录，以便磋商小组成员审核。否则，由此产生的一切后果由供应商承担。</w:t>
      </w:r>
    </w:p>
    <w:p w14:paraId="2E87DE5F">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2</w:t>
      </w:r>
      <w:r>
        <w:rPr>
          <w:rFonts w:ascii="宋体" w:hAnsi="宋体"/>
          <w:bCs/>
          <w:color w:val="000000"/>
          <w:szCs w:val="21"/>
        </w:rPr>
        <w:t xml:space="preserve"> 供应商对采购内容中规定的技术参数、规格等要求必须完全响应或优于</w:t>
      </w:r>
      <w:r>
        <w:rPr>
          <w:rFonts w:ascii="宋体" w:hAnsi="宋体"/>
          <w:bCs/>
          <w:color w:val="000000"/>
          <w:szCs w:val="21"/>
          <w:lang w:eastAsia="zh-CN"/>
        </w:rPr>
        <w:t>采购文件</w:t>
      </w:r>
      <w:r>
        <w:rPr>
          <w:rFonts w:ascii="宋体" w:hAnsi="宋体"/>
          <w:bCs/>
          <w:color w:val="000000"/>
          <w:szCs w:val="21"/>
        </w:rPr>
        <w:t>中的要求。</w:t>
      </w:r>
    </w:p>
    <w:p w14:paraId="15084688">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3</w:t>
      </w:r>
      <w:r>
        <w:rPr>
          <w:rFonts w:ascii="宋体" w:hAnsi="宋体"/>
          <w:bCs/>
          <w:color w:val="000000"/>
          <w:szCs w:val="21"/>
        </w:rPr>
        <w:t>所有供应商的磋商保证金都应在</w:t>
      </w:r>
      <w:r>
        <w:rPr>
          <w:rFonts w:ascii="宋体" w:hAnsi="宋体"/>
          <w:bCs/>
          <w:color w:val="000000"/>
          <w:szCs w:val="21"/>
          <w:lang w:eastAsia="zh-CN"/>
        </w:rPr>
        <w:t>采购文件</w:t>
      </w:r>
      <w:r>
        <w:rPr>
          <w:rFonts w:ascii="宋体" w:hAnsi="宋体"/>
          <w:bCs/>
          <w:color w:val="000000"/>
          <w:szCs w:val="21"/>
        </w:rPr>
        <w:t>规定的磋商保证金缴纳截止日期前缴纳。</w:t>
      </w:r>
    </w:p>
    <w:p w14:paraId="26089B21">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4</w:t>
      </w:r>
      <w:r>
        <w:rPr>
          <w:rFonts w:ascii="宋体" w:hAnsi="宋体"/>
          <w:bCs/>
          <w:color w:val="000000"/>
          <w:szCs w:val="21"/>
        </w:rPr>
        <w:t>单位负责人为同一人或者存在直接控股、管理关系的不同供应商，不得参加同一合同项下的政府采购活动。</w:t>
      </w:r>
      <w:r>
        <w:rPr>
          <w:rFonts w:ascii="宋体" w:hAnsi="宋体" w:cs="宋体"/>
          <w:color w:val="000000"/>
          <w:szCs w:val="21"/>
        </w:rPr>
        <w:t>为采购项目提供整体设计、规范编制或者项目管理、监理、检测等服务的供应商，不得再参加该采购项目的其他采购活动。</w:t>
      </w:r>
    </w:p>
    <w:p w14:paraId="4A2F2D51">
      <w:pPr>
        <w:snapToGrid w:val="0"/>
        <w:spacing w:line="440" w:lineRule="exact"/>
        <w:ind w:firstLine="420"/>
        <w:rPr>
          <w:rFonts w:ascii="宋体" w:hAnsi="宋体"/>
          <w:color w:val="0000FF"/>
          <w:szCs w:val="21"/>
          <w:highlight w:val="none"/>
        </w:rPr>
      </w:pPr>
      <w:r>
        <w:rPr>
          <w:rFonts w:ascii="宋体" w:hAnsi="宋体"/>
          <w:bCs/>
          <w:color w:val="000000"/>
          <w:szCs w:val="21"/>
        </w:rPr>
        <w:t>13.</w:t>
      </w:r>
      <w:r>
        <w:rPr>
          <w:rFonts w:ascii="宋体" w:hAnsi="宋体"/>
          <w:bCs/>
          <w:color w:val="000000"/>
          <w:szCs w:val="21"/>
          <w:lang w:val="en-US" w:eastAsia="zh-CN"/>
        </w:rPr>
        <w:t>5</w:t>
      </w:r>
      <w:r>
        <w:rPr>
          <w:rFonts w:ascii="宋体" w:hAnsi="宋体" w:cs="宋体"/>
          <w:color w:val="000000"/>
          <w:szCs w:val="21"/>
        </w:rPr>
        <w:t>各供应商在响应文件开启前应确保成为新疆维吾尔自治区政府采购网正式注册入库供应商，（已在政采云平台其他省份入驻的供应商无须重复注册）并完成</w:t>
      </w:r>
      <w:r>
        <w:rPr>
          <w:rFonts w:ascii="宋体" w:hAnsi="宋体" w:eastAsia="宋体" w:cs="宋体"/>
          <w:color w:val="000000"/>
          <w:szCs w:val="21"/>
        </w:rPr>
        <w:t>CA</w:t>
      </w:r>
      <w:r>
        <w:rPr>
          <w:rFonts w:ascii="宋体" w:hAnsi="宋体" w:cs="宋体"/>
          <w:color w:val="000000"/>
          <w:szCs w:val="21"/>
        </w:rPr>
        <w:t>数字证书申领。因未注册入库、未办理</w:t>
      </w:r>
      <w:r>
        <w:rPr>
          <w:rFonts w:ascii="宋体" w:hAnsi="宋体" w:eastAsia="宋体" w:cs="宋体"/>
          <w:color w:val="000000"/>
          <w:szCs w:val="21"/>
        </w:rPr>
        <w:t>CA</w:t>
      </w:r>
      <w:r>
        <w:rPr>
          <w:rFonts w:ascii="宋体" w:hAnsi="宋体" w:cs="宋体"/>
          <w:color w:val="000000"/>
          <w:szCs w:val="21"/>
        </w:rPr>
        <w:t>数字证书等原因造成无法响应或响应失败等后果由供应商自行承担。</w:t>
      </w:r>
    </w:p>
    <w:p w14:paraId="513F6E77">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6</w:t>
      </w:r>
      <w:r>
        <w:rPr>
          <w:rFonts w:ascii="宋体" w:hAnsi="宋体"/>
          <w:bCs/>
          <w:color w:val="000000"/>
          <w:szCs w:val="21"/>
        </w:rPr>
        <w:t xml:space="preserve">  供应商被视为充分熟悉本采购项目所在地的与履行合同有关的各种情况，包括但不限于：</w:t>
      </w:r>
    </w:p>
    <w:p w14:paraId="36D9962E">
      <w:pPr>
        <w:spacing w:line="400" w:lineRule="exact"/>
        <w:ind w:firstLine="315"/>
        <w:rPr>
          <w:rFonts w:ascii="宋体" w:hAnsi="宋体"/>
          <w:bCs/>
          <w:color w:val="000000"/>
          <w:szCs w:val="21"/>
          <w:highlight w:val="none"/>
        </w:rPr>
      </w:pPr>
      <w:r>
        <w:rPr>
          <w:rFonts w:ascii="宋体" w:hAnsi="宋体"/>
          <w:bCs/>
          <w:color w:val="000000"/>
          <w:szCs w:val="21"/>
        </w:rPr>
        <w:t>（1）国家对本次响应货物和服务的生产、安装调试、验收、维修等有关法律、法规及行业管理标准；</w:t>
      </w:r>
    </w:p>
    <w:p w14:paraId="4B21C1E7">
      <w:pPr>
        <w:spacing w:line="400" w:lineRule="exact"/>
        <w:ind w:firstLine="315"/>
        <w:rPr>
          <w:rFonts w:ascii="宋体" w:hAnsi="宋体"/>
          <w:bCs/>
          <w:color w:val="000000"/>
          <w:szCs w:val="21"/>
          <w:highlight w:val="none"/>
        </w:rPr>
      </w:pPr>
      <w:r>
        <w:rPr>
          <w:rFonts w:ascii="宋体" w:hAnsi="宋体"/>
          <w:bCs/>
          <w:color w:val="000000"/>
          <w:szCs w:val="21"/>
        </w:rPr>
        <w:t>（2）</w:t>
      </w:r>
      <w:r>
        <w:rPr>
          <w:rFonts w:ascii="宋体" w:hAnsi="宋体"/>
          <w:bCs/>
          <w:color w:val="000000"/>
          <w:szCs w:val="21"/>
          <w:lang w:eastAsia="zh-CN"/>
        </w:rPr>
        <w:t>本地区</w:t>
      </w:r>
      <w:r>
        <w:rPr>
          <w:rFonts w:ascii="宋体" w:hAnsi="宋体"/>
          <w:bCs/>
          <w:color w:val="000000"/>
          <w:szCs w:val="21"/>
        </w:rPr>
        <w:t>有关管理部门的相关规定；</w:t>
      </w:r>
    </w:p>
    <w:p w14:paraId="716A3383">
      <w:pPr>
        <w:spacing w:line="400" w:lineRule="exact"/>
        <w:ind w:firstLine="315"/>
        <w:rPr>
          <w:rFonts w:ascii="宋体" w:hAnsi="宋体"/>
          <w:bCs/>
          <w:color w:val="000000"/>
          <w:szCs w:val="21"/>
          <w:highlight w:val="none"/>
        </w:rPr>
      </w:pPr>
      <w:r>
        <w:rPr>
          <w:rFonts w:ascii="宋体" w:hAnsi="宋体"/>
          <w:bCs/>
          <w:color w:val="000000"/>
          <w:szCs w:val="21"/>
        </w:rPr>
        <w:t>（3）采购人的相关场地情况、基础建设、电力供应情况及相关设计标准。</w:t>
      </w:r>
    </w:p>
    <w:p w14:paraId="7E3806AF">
      <w:pPr>
        <w:spacing w:line="400" w:lineRule="exact"/>
        <w:ind w:firstLine="315"/>
        <w:rPr>
          <w:rFonts w:ascii="宋体" w:hAnsi="宋体"/>
          <w:bCs/>
          <w:color w:val="000000"/>
          <w:szCs w:val="21"/>
          <w:highlight w:val="none"/>
        </w:rPr>
      </w:pPr>
      <w:r>
        <w:rPr>
          <w:rFonts w:ascii="宋体" w:hAnsi="宋体"/>
          <w:bCs/>
          <w:color w:val="000000"/>
          <w:szCs w:val="21"/>
        </w:rPr>
        <w:t>本</w:t>
      </w:r>
      <w:r>
        <w:rPr>
          <w:rFonts w:ascii="宋体" w:hAnsi="宋体"/>
          <w:bCs/>
          <w:color w:val="000000"/>
          <w:szCs w:val="21"/>
          <w:lang w:eastAsia="zh-CN"/>
        </w:rPr>
        <w:t>采购文件</w:t>
      </w:r>
      <w:r>
        <w:rPr>
          <w:rFonts w:ascii="宋体" w:hAnsi="宋体"/>
          <w:bCs/>
          <w:color w:val="000000"/>
          <w:szCs w:val="21"/>
        </w:rPr>
        <w:t>不再对上述情况进行描述。</w:t>
      </w:r>
    </w:p>
    <w:p w14:paraId="0D093B23">
      <w:pPr>
        <w:numPr>
          <w:ilvl w:val="0"/>
          <w:numId w:val="0"/>
        </w:numPr>
        <w:spacing w:before="312" w:after="312" w:line="440" w:lineRule="exact"/>
        <w:jc w:val="center"/>
        <w:outlineLvl w:val="2"/>
        <w:rPr>
          <w:rFonts w:ascii="宋体" w:hAnsi="宋体" w:eastAsia="宋体"/>
          <w:b/>
          <w:color w:val="000000"/>
          <w:sz w:val="28"/>
          <w:szCs w:val="28"/>
          <w:highlight w:val="none"/>
          <w:lang w:eastAsia="zh-CN"/>
        </w:rPr>
      </w:pPr>
      <w:r>
        <w:rPr>
          <w:rFonts w:ascii="宋体" w:hAnsi="宋体"/>
          <w:b/>
          <w:color w:val="000000"/>
          <w:sz w:val="28"/>
          <w:szCs w:val="28"/>
        </w:rPr>
        <w:t>（二）</w:t>
      </w:r>
      <w:r>
        <w:rPr>
          <w:rFonts w:ascii="宋体" w:hAnsi="宋体"/>
          <w:b/>
          <w:color w:val="000000"/>
          <w:sz w:val="28"/>
          <w:szCs w:val="28"/>
          <w:lang w:eastAsia="zh-CN"/>
        </w:rPr>
        <w:t>磋商文件</w:t>
      </w:r>
    </w:p>
    <w:p w14:paraId="36C99E21">
      <w:pPr>
        <w:spacing w:line="440" w:lineRule="exact"/>
        <w:ind w:firstLine="420"/>
        <w:rPr>
          <w:b/>
          <w:color w:val="000000"/>
          <w:szCs w:val="21"/>
          <w:highlight w:val="none"/>
        </w:rPr>
      </w:pPr>
      <w:r>
        <w:rPr>
          <w:b/>
          <w:color w:val="000000"/>
          <w:szCs w:val="21"/>
        </w:rPr>
        <w:t xml:space="preserve">15. </w:t>
      </w:r>
      <w:r>
        <w:rPr>
          <w:b/>
          <w:color w:val="000000"/>
          <w:szCs w:val="21"/>
          <w:lang w:eastAsia="zh-CN"/>
        </w:rPr>
        <w:t>采购文件</w:t>
      </w:r>
      <w:r>
        <w:rPr>
          <w:b/>
          <w:color w:val="000000"/>
          <w:szCs w:val="21"/>
        </w:rPr>
        <w:t>的编制依据</w:t>
      </w:r>
    </w:p>
    <w:p w14:paraId="2A07DE3E">
      <w:pPr>
        <w:spacing w:line="440" w:lineRule="exact"/>
        <w:ind w:firstLine="420"/>
        <w:rPr>
          <w:rFonts w:ascii="宋体" w:hAnsi="宋体"/>
          <w:color w:val="000000"/>
          <w:szCs w:val="21"/>
          <w:highlight w:val="none"/>
        </w:rPr>
      </w:pPr>
      <w:r>
        <w:rPr>
          <w:rFonts w:ascii="宋体" w:hAnsi="宋体"/>
          <w:color w:val="000000"/>
          <w:szCs w:val="21"/>
        </w:rPr>
        <w:t>根据《中华人民共和国政府采购法》、《政府采购货物和服务招标投标管理办法》和《</w:t>
      </w:r>
      <w:r>
        <w:rPr>
          <w:rFonts w:ascii="宋体" w:hAnsi="宋体"/>
          <w:color w:val="000000"/>
          <w:szCs w:val="21"/>
          <w:lang w:eastAsia="zh-CN"/>
        </w:rPr>
        <w:t>中华人民共和国民法典</w:t>
      </w:r>
      <w:r>
        <w:rPr>
          <w:rFonts w:ascii="宋体" w:hAnsi="宋体"/>
          <w:color w:val="000000"/>
          <w:szCs w:val="21"/>
        </w:rPr>
        <w:t>》</w:t>
      </w:r>
      <w:r>
        <w:rPr>
          <w:rFonts w:ascii="宋体" w:hAnsi="宋体"/>
          <w:color w:val="000000"/>
          <w:spacing w:val="-2"/>
          <w:szCs w:val="21"/>
        </w:rPr>
        <w:t>等相关法律法规和规章及部、省、市级规范性文件的规定，编制本</w:t>
      </w:r>
      <w:r>
        <w:rPr>
          <w:rFonts w:ascii="宋体" w:hAnsi="宋体"/>
          <w:color w:val="000000"/>
          <w:spacing w:val="-2"/>
          <w:szCs w:val="21"/>
          <w:lang w:eastAsia="zh-CN"/>
        </w:rPr>
        <w:t>采购文件</w:t>
      </w:r>
      <w:r>
        <w:rPr>
          <w:rFonts w:ascii="宋体" w:hAnsi="宋体"/>
          <w:color w:val="000000"/>
          <w:spacing w:val="-2"/>
          <w:szCs w:val="21"/>
        </w:rPr>
        <w:t>。</w:t>
      </w:r>
    </w:p>
    <w:p w14:paraId="51970551">
      <w:pPr>
        <w:spacing w:line="440" w:lineRule="exact"/>
        <w:ind w:firstLine="420"/>
        <w:rPr>
          <w:b/>
          <w:color w:val="000000"/>
          <w:szCs w:val="21"/>
          <w:highlight w:val="none"/>
        </w:rPr>
      </w:pPr>
      <w:r>
        <w:rPr>
          <w:b/>
          <w:color w:val="000000"/>
          <w:szCs w:val="21"/>
        </w:rPr>
        <w:t xml:space="preserve">16. </w:t>
      </w:r>
      <w:r>
        <w:rPr>
          <w:b/>
          <w:color w:val="000000"/>
          <w:szCs w:val="21"/>
          <w:lang w:eastAsia="zh-CN"/>
        </w:rPr>
        <w:t>磋商文件</w:t>
      </w:r>
      <w:r>
        <w:rPr>
          <w:b/>
          <w:color w:val="000000"/>
          <w:szCs w:val="21"/>
        </w:rPr>
        <w:t>的组成</w:t>
      </w:r>
    </w:p>
    <w:p w14:paraId="19CE32C2">
      <w:pPr>
        <w:spacing w:line="440" w:lineRule="exact"/>
        <w:ind w:firstLine="420"/>
        <w:rPr>
          <w:rFonts w:ascii="宋体" w:hAnsi="宋体"/>
          <w:color w:val="000000"/>
          <w:szCs w:val="21"/>
          <w:highlight w:val="none"/>
        </w:rPr>
      </w:pPr>
      <w:r>
        <w:rPr>
          <w:rFonts w:ascii="宋体" w:hAnsi="宋体"/>
          <w:color w:val="000000"/>
          <w:szCs w:val="21"/>
        </w:rPr>
        <w:t xml:space="preserve">16.1 </w:t>
      </w:r>
      <w:r>
        <w:rPr>
          <w:rFonts w:ascii="宋体" w:hAnsi="宋体"/>
          <w:color w:val="000000"/>
          <w:szCs w:val="21"/>
          <w:lang w:eastAsia="zh-CN"/>
        </w:rPr>
        <w:t>磋商文件</w:t>
      </w:r>
      <w:r>
        <w:rPr>
          <w:rFonts w:ascii="宋体" w:hAnsi="宋体"/>
          <w:color w:val="000000"/>
          <w:szCs w:val="21"/>
        </w:rPr>
        <w:t>包括内容：</w:t>
      </w:r>
    </w:p>
    <w:p w14:paraId="0AAF3ABC">
      <w:pPr>
        <w:spacing w:line="440" w:lineRule="exact"/>
        <w:ind w:firstLine="1470"/>
        <w:rPr>
          <w:rFonts w:ascii="宋体" w:hAnsi="宋体"/>
          <w:color w:val="000000"/>
          <w:szCs w:val="21"/>
          <w:highlight w:val="none"/>
        </w:rPr>
      </w:pPr>
      <w:r>
        <w:rPr>
          <w:rFonts w:ascii="宋体" w:hAnsi="宋体"/>
          <w:color w:val="000000"/>
          <w:szCs w:val="21"/>
        </w:rPr>
        <w:t xml:space="preserve">第一章  </w:t>
      </w:r>
      <w:r>
        <w:rPr>
          <w:b w:val="0"/>
          <w:bCs/>
          <w:color w:val="000000"/>
          <w:szCs w:val="21"/>
          <w:lang w:eastAsia="zh-CN"/>
        </w:rPr>
        <w:t>磋商</w:t>
      </w:r>
      <w:r>
        <w:rPr>
          <w:rFonts w:ascii="宋体" w:hAnsi="宋体"/>
          <w:color w:val="000000"/>
          <w:szCs w:val="21"/>
        </w:rPr>
        <w:t>公告</w:t>
      </w:r>
    </w:p>
    <w:p w14:paraId="785FFFB4">
      <w:pPr>
        <w:spacing w:line="440" w:lineRule="exact"/>
        <w:ind w:firstLine="1470"/>
        <w:rPr>
          <w:rFonts w:ascii="宋体" w:hAnsi="宋体"/>
          <w:color w:val="000000"/>
          <w:szCs w:val="21"/>
          <w:highlight w:val="none"/>
        </w:rPr>
      </w:pPr>
      <w:r>
        <w:rPr>
          <w:rFonts w:ascii="宋体" w:hAnsi="宋体"/>
          <w:color w:val="000000"/>
          <w:szCs w:val="21"/>
        </w:rPr>
        <w:t>第二章  响应须知</w:t>
      </w:r>
    </w:p>
    <w:p w14:paraId="279726EB">
      <w:pPr>
        <w:spacing w:line="440" w:lineRule="exact"/>
        <w:ind w:firstLine="1470"/>
        <w:rPr>
          <w:rFonts w:ascii="宋体" w:hAnsi="宋体"/>
          <w:color w:val="000000"/>
          <w:szCs w:val="21"/>
          <w:highlight w:val="none"/>
        </w:rPr>
      </w:pPr>
      <w:r>
        <w:rPr>
          <w:rFonts w:ascii="宋体" w:hAnsi="宋体"/>
          <w:color w:val="000000"/>
          <w:szCs w:val="21"/>
        </w:rPr>
        <w:t>第三章  评审办法</w:t>
      </w:r>
    </w:p>
    <w:p w14:paraId="2B4B6A12">
      <w:pPr>
        <w:spacing w:line="440" w:lineRule="exact"/>
        <w:ind w:firstLine="1470"/>
        <w:rPr>
          <w:rFonts w:ascii="宋体" w:hAnsi="宋体"/>
          <w:color w:val="000000"/>
          <w:szCs w:val="21"/>
          <w:highlight w:val="none"/>
        </w:rPr>
      </w:pPr>
      <w:r>
        <w:rPr>
          <w:rFonts w:ascii="宋体" w:hAnsi="宋体"/>
          <w:color w:val="000000"/>
          <w:szCs w:val="21"/>
        </w:rPr>
        <w:t>第四章  采购内容及技术要求</w:t>
      </w:r>
    </w:p>
    <w:p w14:paraId="02C28C00">
      <w:pPr>
        <w:spacing w:line="440" w:lineRule="exact"/>
        <w:ind w:firstLine="1470"/>
        <w:rPr>
          <w:rFonts w:ascii="宋体" w:hAnsi="宋体"/>
          <w:color w:val="000000"/>
          <w:szCs w:val="21"/>
          <w:highlight w:val="none"/>
        </w:rPr>
      </w:pPr>
      <w:r>
        <w:rPr>
          <w:rFonts w:ascii="宋体" w:hAnsi="宋体"/>
          <w:color w:val="000000"/>
          <w:szCs w:val="21"/>
        </w:rPr>
        <w:t>第五章  合同条款及格式</w:t>
      </w:r>
    </w:p>
    <w:p w14:paraId="135D5D10">
      <w:pPr>
        <w:spacing w:line="440" w:lineRule="exact"/>
        <w:ind w:firstLine="1470"/>
        <w:rPr>
          <w:rFonts w:ascii="宋体" w:hAnsi="宋体"/>
          <w:color w:val="000000"/>
          <w:szCs w:val="21"/>
          <w:highlight w:val="none"/>
        </w:rPr>
      </w:pPr>
      <w:r>
        <w:rPr>
          <w:rFonts w:ascii="宋体" w:hAnsi="宋体"/>
          <w:color w:val="000000"/>
          <w:szCs w:val="21"/>
        </w:rPr>
        <w:t>第六章  响应文件格式文本</w:t>
      </w:r>
    </w:p>
    <w:p w14:paraId="2844CCB6">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16.2 除16.1内容外，采购答疑亦为</w:t>
      </w:r>
      <w:r>
        <w:rPr>
          <w:rFonts w:ascii="宋体" w:hAnsi="宋体"/>
          <w:color w:val="000000"/>
          <w:szCs w:val="21"/>
          <w:lang w:eastAsia="zh-CN"/>
        </w:rPr>
        <w:t>采购文件</w:t>
      </w:r>
      <w:r>
        <w:rPr>
          <w:rFonts w:ascii="宋体" w:hAnsi="宋体"/>
          <w:color w:val="000000"/>
          <w:szCs w:val="21"/>
        </w:rPr>
        <w:t>的组成部分，对采购人和供应商起约束作用。</w:t>
      </w:r>
    </w:p>
    <w:p w14:paraId="7DDAAC30">
      <w:pPr>
        <w:pStyle w:val="50"/>
        <w:spacing w:line="400" w:lineRule="exact"/>
        <w:rPr>
          <w:color w:val="000000"/>
          <w:szCs w:val="21"/>
          <w:highlight w:val="none"/>
          <w:lang w:val="en-US"/>
        </w:rPr>
      </w:pPr>
      <w:r>
        <w:rPr>
          <w:rFonts w:cs="宋体"/>
          <w:color w:val="000000"/>
          <w:szCs w:val="21"/>
        </w:rPr>
        <w:t xml:space="preserve">   </w:t>
      </w:r>
      <w:r>
        <w:rPr>
          <w:color w:val="000000"/>
          <w:szCs w:val="21"/>
        </w:rPr>
        <w:t>16.3供应商应仔细阅读和检查</w:t>
      </w:r>
      <w:r>
        <w:rPr>
          <w:color w:val="000000"/>
          <w:szCs w:val="21"/>
          <w:lang w:eastAsia="zh-CN"/>
        </w:rPr>
        <w:t>采购文件</w:t>
      </w:r>
      <w:r>
        <w:rPr>
          <w:color w:val="000000"/>
          <w:szCs w:val="21"/>
        </w:rPr>
        <w:t>的全部内容。如发现缺页或附件不全，应及时向采购人提出，以便补齐。如有疑问，供应商</w:t>
      </w:r>
      <w:r>
        <w:rPr>
          <w:color w:val="000000"/>
          <w:szCs w:val="21"/>
          <w:u w:val="none"/>
        </w:rPr>
        <w:t>应在</w:t>
      </w:r>
      <w:r>
        <w:rPr>
          <w:rFonts w:ascii="宋体" w:hAnsi="宋体"/>
          <w:color w:val="000000"/>
          <w:szCs w:val="21"/>
        </w:rPr>
        <w:t>以书面形式一次性向采购人和采购代理机构提出同一环节的质疑</w:t>
      </w:r>
      <w:r>
        <w:rPr>
          <w:color w:val="000000"/>
          <w:szCs w:val="21"/>
        </w:rPr>
        <w:t>。</w:t>
      </w:r>
    </w:p>
    <w:p w14:paraId="2705D46C">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ascii="宋体" w:hAnsi="宋体"/>
          <w:color w:val="000000"/>
          <w:szCs w:val="21"/>
          <w:lang w:val="en-US" w:eastAsia="zh-CN"/>
        </w:rPr>
        <w:t>新疆</w:t>
      </w:r>
      <w:r>
        <w:rPr>
          <w:rFonts w:ascii="宋体" w:hAnsi="宋体"/>
          <w:color w:val="000000"/>
          <w:szCs w:val="21"/>
        </w:rPr>
        <w:t>政府采购网下载专区下载。</w:t>
      </w:r>
      <w:r>
        <w:rPr>
          <w:rFonts w:ascii="宋体" w:hAnsi="宋体"/>
          <w:color w:val="000000"/>
          <w:szCs w:val="21"/>
          <w:lang w:eastAsia="zh-CN"/>
        </w:rPr>
        <w:t>采购文件</w:t>
      </w:r>
      <w:r>
        <w:rPr>
          <w:rFonts w:ascii="宋体" w:hAnsi="宋体"/>
          <w:color w:val="000000"/>
          <w:szCs w:val="21"/>
        </w:rPr>
        <w:t>的澄清将在</w:t>
      </w:r>
      <w:r>
        <w:rPr>
          <w:rFonts w:ascii="宋体" w:hAnsi="宋体"/>
          <w:color w:val="000000"/>
          <w:szCs w:val="21"/>
          <w:lang w:eastAsia="zh-CN"/>
        </w:rPr>
        <w:t>政采云平台“更正公告”栏目予以公告</w:t>
      </w:r>
      <w:r>
        <w:rPr>
          <w:rFonts w:ascii="宋体" w:hAnsi="宋体"/>
          <w:color w:val="000000"/>
          <w:szCs w:val="21"/>
        </w:rPr>
        <w:t>，但不指明澄清问题的来源。如果澄清内容影响响应文件编制的，将相应延长响应文件递交截止时间。</w:t>
      </w:r>
    </w:p>
    <w:p w14:paraId="6E59F03A">
      <w:pPr>
        <w:spacing w:line="440" w:lineRule="exact"/>
        <w:ind w:firstLine="420"/>
        <w:rPr>
          <w:rFonts w:ascii="宋体" w:hAnsi="宋体"/>
          <w:b/>
          <w:bCs/>
          <w:color w:val="000000"/>
          <w:szCs w:val="21"/>
          <w:highlight w:val="none"/>
        </w:rPr>
      </w:pPr>
      <w:r>
        <w:rPr>
          <w:rFonts w:ascii="宋体" w:hAnsi="宋体"/>
          <w:b/>
          <w:bCs/>
          <w:color w:val="000000"/>
          <w:szCs w:val="21"/>
        </w:rPr>
        <w:t xml:space="preserve">17. </w:t>
      </w:r>
      <w:r>
        <w:rPr>
          <w:rFonts w:ascii="宋体" w:hAnsi="宋体"/>
          <w:b/>
          <w:bCs/>
          <w:color w:val="000000"/>
          <w:szCs w:val="21"/>
          <w:lang w:eastAsia="zh-CN"/>
        </w:rPr>
        <w:t>磋商文件</w:t>
      </w:r>
      <w:r>
        <w:rPr>
          <w:rFonts w:ascii="宋体" w:hAnsi="宋体"/>
          <w:b/>
          <w:bCs/>
          <w:color w:val="000000"/>
          <w:szCs w:val="21"/>
        </w:rPr>
        <w:t>的修改、补充、解释</w:t>
      </w:r>
    </w:p>
    <w:p w14:paraId="2500A9A9">
      <w:pPr>
        <w:spacing w:line="400" w:lineRule="exact"/>
        <w:ind w:firstLine="315"/>
        <w:rPr>
          <w:rFonts w:ascii="宋体" w:hAnsi="宋体" w:cs="宋体"/>
          <w:color w:val="000000"/>
          <w:szCs w:val="21"/>
          <w:highlight w:val="none"/>
        </w:rPr>
      </w:pPr>
      <w:r>
        <w:rPr>
          <w:rFonts w:ascii="宋体" w:hAnsi="宋体" w:cs="宋体"/>
          <w:color w:val="000000"/>
          <w:szCs w:val="21"/>
        </w:rPr>
        <w:t>17.1</w:t>
      </w:r>
      <w:r>
        <w:rPr>
          <w:rFonts w:ascii="宋体" w:hAnsi="宋体" w:cs="宋体"/>
          <w:color w:val="000000"/>
          <w:szCs w:val="21"/>
          <w:lang w:eastAsia="zh-CN"/>
        </w:rPr>
        <w:t>磋商文件</w:t>
      </w:r>
      <w:r>
        <w:rPr>
          <w:rFonts w:ascii="宋体" w:hAnsi="宋体" w:cs="宋体"/>
          <w:color w:val="000000"/>
          <w:szCs w:val="21"/>
        </w:rPr>
        <w:t>发出后，采购人在规定的响应文件递交截止时间前可对</w:t>
      </w:r>
      <w:r>
        <w:rPr>
          <w:rFonts w:ascii="宋体" w:hAnsi="宋体" w:cs="宋体"/>
          <w:color w:val="000000"/>
          <w:szCs w:val="21"/>
          <w:lang w:eastAsia="zh-CN"/>
        </w:rPr>
        <w:t>采购文件</w:t>
      </w:r>
      <w:r>
        <w:rPr>
          <w:rFonts w:ascii="宋体" w:hAnsi="宋体" w:cs="宋体"/>
          <w:color w:val="000000"/>
          <w:szCs w:val="21"/>
        </w:rPr>
        <w:t>进行必要的修改和补充，并以</w:t>
      </w:r>
      <w:r>
        <w:rPr>
          <w:rFonts w:ascii="宋体" w:hAnsi="宋体" w:cs="宋体"/>
          <w:color w:val="000000"/>
          <w:szCs w:val="21"/>
          <w:lang w:eastAsia="zh-CN"/>
        </w:rPr>
        <w:t>更正</w:t>
      </w:r>
      <w:r>
        <w:rPr>
          <w:rFonts w:ascii="宋体" w:hAnsi="宋体" w:cs="宋体"/>
          <w:color w:val="000000"/>
          <w:szCs w:val="21"/>
        </w:rPr>
        <w:t>公告形式在</w:t>
      </w:r>
      <w:r>
        <w:rPr>
          <w:rFonts w:ascii="宋体" w:hAnsi="宋体" w:cs="宋体"/>
          <w:color w:val="000000"/>
          <w:szCs w:val="21"/>
          <w:lang w:eastAsia="zh-CN"/>
        </w:rPr>
        <w:t>政采云平台</w:t>
      </w:r>
      <w:r>
        <w:rPr>
          <w:rFonts w:ascii="宋体" w:hAnsi="宋体" w:cs="宋体"/>
          <w:color w:val="000000"/>
          <w:szCs w:val="21"/>
        </w:rPr>
        <w:t xml:space="preserve"> “</w:t>
      </w:r>
      <w:r>
        <w:rPr>
          <w:rFonts w:ascii="宋体" w:hAnsi="宋体" w:cs="宋体"/>
          <w:color w:val="000000"/>
          <w:szCs w:val="21"/>
          <w:lang w:eastAsia="zh-CN"/>
        </w:rPr>
        <w:t>更正公告</w:t>
      </w:r>
      <w:r>
        <w:rPr>
          <w:rFonts w:ascii="宋体" w:hAnsi="宋体" w:cs="宋体"/>
          <w:color w:val="000000"/>
          <w:szCs w:val="21"/>
        </w:rPr>
        <w:t>”栏目予以公告，请各位供应商注意查看有关澄清内容，如不及时查看造成后果由供应商自负。</w:t>
      </w:r>
      <w:r>
        <w:rPr>
          <w:rFonts w:ascii="宋体" w:hAnsi="宋体" w:cs="宋体"/>
          <w:color w:val="000000"/>
          <w:szCs w:val="21"/>
          <w:lang w:eastAsia="zh-CN"/>
        </w:rPr>
        <w:t>采购文件</w:t>
      </w:r>
      <w:r>
        <w:rPr>
          <w:rFonts w:ascii="宋体" w:hAnsi="宋体" w:cs="宋体"/>
          <w:color w:val="000000"/>
          <w:szCs w:val="21"/>
        </w:rPr>
        <w:t>的修改、补充等内容作为</w:t>
      </w:r>
      <w:r>
        <w:rPr>
          <w:rFonts w:ascii="宋体" w:hAnsi="宋体" w:cs="宋体"/>
          <w:color w:val="000000"/>
          <w:szCs w:val="21"/>
          <w:lang w:eastAsia="zh-CN"/>
        </w:rPr>
        <w:t>采购文件</w:t>
      </w:r>
      <w:r>
        <w:rPr>
          <w:rFonts w:ascii="宋体" w:hAnsi="宋体" w:cs="宋体"/>
          <w:color w:val="000000"/>
          <w:szCs w:val="21"/>
        </w:rPr>
        <w:t>的组成部分，具有约束作用。</w:t>
      </w:r>
    </w:p>
    <w:p w14:paraId="7C554898">
      <w:pPr>
        <w:spacing w:line="400" w:lineRule="exact"/>
        <w:ind w:firstLine="315"/>
        <w:rPr>
          <w:rFonts w:ascii="宋体" w:hAnsi="宋体" w:cs="宋体"/>
          <w:color w:val="000000"/>
          <w:szCs w:val="21"/>
          <w:highlight w:val="none"/>
        </w:rPr>
      </w:pPr>
      <w:r>
        <w:rPr>
          <w:rFonts w:ascii="宋体" w:hAnsi="宋体" w:cs="宋体"/>
          <w:color w:val="000000"/>
          <w:szCs w:val="21"/>
        </w:rPr>
        <w:t>17.2 采购代理机构可视采购具体情况对已发出的采购文件进行必要的澄清、修改或者补充。澄清、修改或者补充的内容可能影响响应文件编制的，应当在响应文件递交截止时间至少</w:t>
      </w:r>
      <w:r>
        <w:rPr>
          <w:rFonts w:ascii="宋体" w:hAnsi="宋体" w:cs="宋体"/>
          <w:color w:val="000000"/>
          <w:szCs w:val="21"/>
          <w:lang w:val="en-US" w:eastAsia="zh-CN"/>
        </w:rPr>
        <w:t>3</w:t>
      </w:r>
      <w:r>
        <w:rPr>
          <w:rFonts w:ascii="宋体" w:hAnsi="宋体" w:cs="宋体"/>
          <w:color w:val="000000"/>
          <w:szCs w:val="21"/>
        </w:rPr>
        <w:t>日前，在原公告发布媒体上发布澄清公告，澄清或者修改的内容为采购文件的组成部分；不足</w:t>
      </w:r>
      <w:r>
        <w:rPr>
          <w:rFonts w:ascii="宋体" w:hAnsi="宋体" w:cs="宋体"/>
          <w:color w:val="000000"/>
          <w:szCs w:val="21"/>
          <w:lang w:val="en-US" w:eastAsia="zh-CN"/>
        </w:rPr>
        <w:t>3</w:t>
      </w:r>
      <w:r>
        <w:rPr>
          <w:rFonts w:ascii="宋体" w:hAnsi="宋体" w:cs="宋体"/>
          <w:color w:val="000000"/>
          <w:szCs w:val="21"/>
        </w:rPr>
        <w:t>日的，应当顺延提交响应文件的截止时间。</w:t>
      </w:r>
      <w:r>
        <w:rPr>
          <w:rFonts w:ascii="宋体" w:hAnsi="宋体" w:cs="宋体"/>
          <w:color w:val="000000"/>
          <w:szCs w:val="21"/>
          <w:lang w:val="en-US" w:eastAsia="zh-CN"/>
        </w:rPr>
        <w:t xml:space="preserve">  </w:t>
      </w:r>
      <w:r>
        <w:rPr>
          <w:rFonts w:ascii="宋体" w:hAnsi="宋体" w:cs="宋体"/>
          <w:color w:val="000000"/>
          <w:szCs w:val="21"/>
        </w:rPr>
        <w:t xml:space="preserve"> </w:t>
      </w:r>
      <w:r>
        <w:rPr>
          <w:rFonts w:ascii="宋体" w:hAnsi="宋体" w:cs="宋体"/>
          <w:bCs/>
          <w:color w:val="000000"/>
          <w:szCs w:val="21"/>
        </w:rPr>
        <w:t>17.</w:t>
      </w:r>
      <w:r>
        <w:rPr>
          <w:rFonts w:ascii="宋体" w:hAnsi="宋体" w:cs="宋体"/>
          <w:bCs/>
          <w:color w:val="000000"/>
          <w:szCs w:val="21"/>
          <w:lang w:val="en-US" w:eastAsia="zh-CN"/>
        </w:rPr>
        <w:t>3</w:t>
      </w:r>
      <w:r>
        <w:rPr>
          <w:rFonts w:ascii="宋体" w:hAnsi="宋体" w:cs="宋体"/>
          <w:bCs/>
          <w:color w:val="000000"/>
          <w:szCs w:val="21"/>
        </w:rPr>
        <w:t xml:space="preserve"> </w:t>
      </w:r>
      <w:r>
        <w:rPr>
          <w:rFonts w:ascii="宋体" w:hAnsi="宋体" w:cs="宋体"/>
          <w:color w:val="000000"/>
          <w:szCs w:val="21"/>
        </w:rPr>
        <w:t>供应商在规定的时间内未对采购文件提出疑问、质疑或要求澄清的，将视其为无异议。</w:t>
      </w:r>
    </w:p>
    <w:p w14:paraId="4CD01711">
      <w:pPr>
        <w:spacing w:line="400" w:lineRule="exact"/>
        <w:ind w:firstLine="420"/>
        <w:rPr>
          <w:rFonts w:ascii="宋体" w:hAnsi="宋体" w:eastAsia="宋体" w:cs="宋体"/>
          <w:bCs/>
          <w:color w:val="000000"/>
          <w:szCs w:val="21"/>
          <w:highlight w:val="none"/>
          <w:lang w:val="en-US" w:eastAsia="zh-CN"/>
        </w:rPr>
      </w:pPr>
      <w:r>
        <w:rPr>
          <w:rFonts w:ascii="宋体" w:hAnsi="宋体" w:cs="宋体"/>
          <w:bCs/>
          <w:color w:val="000000"/>
          <w:szCs w:val="21"/>
        </w:rPr>
        <w:t>17.</w:t>
      </w:r>
      <w:r>
        <w:rPr>
          <w:rFonts w:ascii="宋体" w:hAnsi="宋体" w:cs="宋体"/>
          <w:bCs/>
          <w:color w:val="000000"/>
          <w:szCs w:val="21"/>
          <w:lang w:val="en-US" w:eastAsia="zh-CN"/>
        </w:rPr>
        <w:t>4</w:t>
      </w:r>
      <w:r>
        <w:rPr>
          <w:rFonts w:ascii="宋体" w:hAnsi="宋体" w:cs="宋体"/>
          <w:bCs/>
          <w:color w:val="000000"/>
          <w:szCs w:val="21"/>
        </w:rPr>
        <w:t xml:space="preserve"> </w:t>
      </w:r>
      <w:r>
        <w:rPr>
          <w:rFonts w:ascii="宋体" w:hAnsi="宋体" w:cs="宋体"/>
          <w:bCs/>
          <w:color w:val="000000"/>
          <w:szCs w:val="21"/>
          <w:lang w:eastAsia="zh-CN"/>
        </w:rPr>
        <w:t>磋商文件</w:t>
      </w:r>
      <w:r>
        <w:rPr>
          <w:rFonts w:ascii="宋体" w:hAnsi="宋体" w:cs="宋体"/>
          <w:bCs/>
          <w:color w:val="000000"/>
          <w:szCs w:val="21"/>
        </w:rPr>
        <w:t>的解释</w:t>
      </w:r>
      <w:r>
        <w:rPr>
          <w:rFonts w:ascii="宋体" w:hAnsi="宋体" w:cs="宋体"/>
          <w:bCs/>
          <w:color w:val="000000"/>
          <w:szCs w:val="21"/>
          <w:lang w:val="en-US" w:eastAsia="zh-CN"/>
        </w:rPr>
        <w:t xml:space="preserve"> </w:t>
      </w:r>
    </w:p>
    <w:p w14:paraId="49B46A45">
      <w:pPr>
        <w:spacing w:line="400" w:lineRule="exact"/>
        <w:ind w:firstLine="420"/>
        <w:rPr>
          <w:rFonts w:ascii="宋体" w:hAnsi="宋体" w:cs="宋体"/>
          <w:color w:val="000000"/>
          <w:szCs w:val="21"/>
          <w:highlight w:val="none"/>
        </w:rPr>
      </w:pPr>
      <w:r>
        <w:rPr>
          <w:rFonts w:ascii="宋体" w:hAnsi="宋体" w:cs="宋体"/>
          <w:color w:val="000000"/>
          <w:szCs w:val="21"/>
        </w:rPr>
        <w:t>本</w:t>
      </w:r>
      <w:r>
        <w:rPr>
          <w:rFonts w:ascii="宋体" w:hAnsi="宋体" w:cs="宋体"/>
          <w:color w:val="000000"/>
          <w:szCs w:val="21"/>
          <w:lang w:eastAsia="zh-CN"/>
        </w:rPr>
        <w:t>磋商文件</w:t>
      </w:r>
      <w:r>
        <w:rPr>
          <w:rFonts w:ascii="宋体" w:hAnsi="宋体" w:cs="宋体"/>
          <w:color w:val="000000"/>
          <w:szCs w:val="21"/>
        </w:rPr>
        <w:t>由采购人（或其委托的采购代理机构）负责解释。</w:t>
      </w:r>
    </w:p>
    <w:p w14:paraId="404F7BCA">
      <w:pPr>
        <w:spacing w:line="400" w:lineRule="exact"/>
        <w:rPr>
          <w:rFonts w:ascii="宋体" w:hAnsi="宋体" w:cs="宋体"/>
          <w:b/>
          <w:color w:val="000000"/>
          <w:szCs w:val="21"/>
          <w:highlight w:val="none"/>
        </w:rPr>
      </w:pPr>
      <w:r>
        <w:rPr>
          <w:rFonts w:ascii="宋体" w:hAnsi="宋体" w:cs="宋体"/>
          <w:b/>
          <w:color w:val="000000"/>
          <w:szCs w:val="21"/>
        </w:rPr>
        <w:t xml:space="preserve">   </w:t>
      </w:r>
      <w:r>
        <w:rPr>
          <w:b/>
          <w:color w:val="000000"/>
          <w:szCs w:val="21"/>
        </w:rPr>
        <w:t xml:space="preserve">18. </w:t>
      </w:r>
      <w:r>
        <w:rPr>
          <w:rFonts w:ascii="宋体" w:hAnsi="宋体" w:cs="宋体"/>
          <w:b/>
          <w:color w:val="000000"/>
          <w:szCs w:val="21"/>
          <w:lang w:eastAsia="zh-CN"/>
        </w:rPr>
        <w:t>磋商文件</w:t>
      </w:r>
      <w:r>
        <w:rPr>
          <w:rFonts w:ascii="宋体" w:hAnsi="宋体" w:cs="宋体"/>
          <w:b/>
          <w:color w:val="000000"/>
          <w:szCs w:val="21"/>
        </w:rPr>
        <w:t>的发出</w:t>
      </w:r>
    </w:p>
    <w:p w14:paraId="07F92338">
      <w:pPr>
        <w:spacing w:line="400" w:lineRule="exact"/>
        <w:ind w:firstLine="315"/>
        <w:rPr>
          <w:rFonts w:ascii="宋体" w:hAnsi="宋体" w:cs="宋体"/>
          <w:color w:val="000000"/>
          <w:szCs w:val="21"/>
          <w:highlight w:val="green"/>
        </w:rPr>
      </w:pPr>
      <w:r>
        <w:rPr>
          <w:rFonts w:ascii="宋体" w:hAnsi="宋体" w:cs="宋体"/>
          <w:color w:val="000000"/>
          <w:szCs w:val="21"/>
        </w:rPr>
        <w:t xml:space="preserve">18.1  </w:t>
      </w:r>
      <w:r>
        <w:rPr>
          <w:rFonts w:ascii="宋体" w:hAnsi="宋体" w:cs="宋体"/>
          <w:color w:val="000000"/>
          <w:szCs w:val="21"/>
          <w:lang w:eastAsia="zh-CN"/>
        </w:rPr>
        <w:t>磋商文件</w:t>
      </w:r>
      <w:r>
        <w:rPr>
          <w:rFonts w:ascii="宋体" w:hAnsi="宋体" w:cs="宋体"/>
          <w:color w:val="000000"/>
          <w:szCs w:val="21"/>
        </w:rPr>
        <w:t>、</w:t>
      </w:r>
      <w:r>
        <w:rPr>
          <w:rFonts w:ascii="宋体" w:hAnsi="宋体" w:cs="宋体"/>
          <w:color w:val="000000"/>
          <w:szCs w:val="21"/>
          <w:lang w:eastAsia="zh-CN"/>
        </w:rPr>
        <w:t>磋商文件</w:t>
      </w:r>
      <w:r>
        <w:rPr>
          <w:rFonts w:ascii="宋体" w:hAnsi="宋体" w:cs="宋体"/>
          <w:color w:val="000000"/>
          <w:szCs w:val="21"/>
        </w:rPr>
        <w:t>的澄清、修改、补充及采购答疑等均应报</w:t>
      </w:r>
      <w:r>
        <w:rPr>
          <w:rFonts w:ascii="宋体" w:hAnsi="宋体" w:cs="宋体"/>
          <w:color w:val="000000"/>
          <w:szCs w:val="21"/>
          <w:lang w:eastAsia="zh-CN"/>
        </w:rPr>
        <w:t>相关部门</w:t>
      </w:r>
      <w:r>
        <w:rPr>
          <w:rFonts w:ascii="宋体" w:hAnsi="宋体" w:cs="宋体"/>
          <w:color w:val="000000"/>
          <w:szCs w:val="21"/>
        </w:rPr>
        <w:t>备案后，方可发出。</w:t>
      </w:r>
    </w:p>
    <w:p w14:paraId="1FB82306">
      <w:pPr>
        <w:spacing w:line="440" w:lineRule="exact"/>
        <w:ind w:firstLine="279"/>
        <w:rPr>
          <w:rFonts w:ascii="宋体" w:hAnsi="宋体"/>
          <w:color w:val="000000"/>
          <w:szCs w:val="21"/>
          <w:highlight w:val="none"/>
        </w:rPr>
      </w:pPr>
      <w:r>
        <w:rPr>
          <w:b/>
          <w:color w:val="000000"/>
          <w:szCs w:val="21"/>
        </w:rPr>
        <w:t xml:space="preserve">19. </w:t>
      </w:r>
      <w:r>
        <w:rPr>
          <w:rFonts w:ascii="宋体" w:hAnsi="宋体"/>
          <w:color w:val="000000"/>
          <w:szCs w:val="21"/>
        </w:rPr>
        <w:t>凡需要设置样品情形时，必须明确是否需要随样品提交检测报告，并明确检测机构的要求、检测内容、</w:t>
      </w:r>
      <w:r>
        <w:rPr>
          <w:rFonts w:ascii="宋体" w:hAnsi="宋体"/>
          <w:b w:val="0"/>
          <w:bCs w:val="0"/>
          <w:color w:val="000000"/>
          <w:szCs w:val="21"/>
        </w:rPr>
        <w:t>成交样品封存</w:t>
      </w:r>
      <w:r>
        <w:rPr>
          <w:rFonts w:ascii="宋体" w:hAnsi="宋体"/>
          <w:color w:val="000000"/>
          <w:szCs w:val="21"/>
        </w:rPr>
        <w:t>等事项。（磋商小组无法判断样品是否合格且样品需要提供给第三方权威检测机构检测的,在供应商提供采购人认可的第三方权威检测机构检测报告后，磋商小组推荐的成交候选人方可生效，采购人或代理机构发布成交结果公告。</w:t>
      </w:r>
    </w:p>
    <w:p w14:paraId="2E714838">
      <w:pPr>
        <w:spacing w:line="400" w:lineRule="exact"/>
        <w:ind w:firstLine="420"/>
        <w:rPr>
          <w:rFonts w:ascii="宋体" w:hAnsi="宋体"/>
          <w:color w:val="000000"/>
          <w:szCs w:val="21"/>
          <w:highlight w:val="none"/>
        </w:rPr>
      </w:pPr>
      <w:r>
        <w:rPr>
          <w:rFonts w:ascii="宋体" w:hAnsi="宋体"/>
          <w:color w:val="000000"/>
          <w:szCs w:val="21"/>
          <w:lang w:eastAsia="zh-CN"/>
        </w:rPr>
        <w:t>采购文件</w:t>
      </w:r>
      <w:r>
        <w:rPr>
          <w:rFonts w:ascii="宋体" w:hAnsi="宋体"/>
          <w:color w:val="000000"/>
          <w:szCs w:val="21"/>
        </w:rPr>
        <w:t>中应明确样品送检方式、检测费用支付方法、供应商在规定时间内无法提供第三方权威检测机构检测报告的处理方式。（</w:t>
      </w:r>
      <w:r>
        <w:rPr>
          <w:rFonts w:ascii="宋体" w:hAnsi="宋体"/>
          <w:color w:val="000000"/>
          <w:szCs w:val="21"/>
          <w:lang w:eastAsia="zh-CN"/>
        </w:rPr>
        <w:t>采购人</w:t>
      </w:r>
      <w:r>
        <w:rPr>
          <w:rFonts w:ascii="宋体" w:hAnsi="宋体"/>
          <w:color w:val="000000"/>
          <w:szCs w:val="21"/>
        </w:rPr>
        <w:t>根据项目需求按上述要求自行描述）</w:t>
      </w:r>
    </w:p>
    <w:p w14:paraId="51465E1D">
      <w:pPr>
        <w:numPr>
          <w:ilvl w:val="0"/>
          <w:numId w:val="0"/>
        </w:numPr>
        <w:spacing w:before="312" w:after="312" w:line="440" w:lineRule="exact"/>
        <w:jc w:val="center"/>
        <w:outlineLvl w:val="2"/>
        <w:rPr>
          <w:rFonts w:ascii="宋体" w:hAnsi="宋体"/>
          <w:b/>
          <w:color w:val="000000"/>
          <w:sz w:val="28"/>
          <w:szCs w:val="28"/>
          <w:highlight w:val="none"/>
        </w:rPr>
      </w:pPr>
      <w:r>
        <w:rPr>
          <w:rFonts w:ascii="宋体" w:hAnsi="宋体"/>
          <w:b/>
          <w:color w:val="000000"/>
          <w:sz w:val="28"/>
          <w:szCs w:val="28"/>
        </w:rPr>
        <w:t>（三）响应文件的编制</w:t>
      </w:r>
    </w:p>
    <w:p w14:paraId="50ED1B6C">
      <w:pPr>
        <w:spacing w:line="440" w:lineRule="exact"/>
        <w:ind w:firstLine="304"/>
        <w:rPr>
          <w:rFonts w:ascii="宋体" w:hAnsi="宋体" w:cs="宋体"/>
          <w:b/>
          <w:color w:val="000000"/>
          <w:szCs w:val="21"/>
          <w:highlight w:val="none"/>
        </w:rPr>
      </w:pPr>
      <w:r>
        <w:rPr>
          <w:b/>
          <w:color w:val="000000"/>
          <w:szCs w:val="21"/>
        </w:rPr>
        <w:t xml:space="preserve">20. </w:t>
      </w:r>
      <w:r>
        <w:rPr>
          <w:rFonts w:ascii="宋体" w:hAnsi="宋体" w:cs="宋体"/>
          <w:b/>
          <w:color w:val="000000"/>
          <w:szCs w:val="21"/>
        </w:rPr>
        <w:t>响应的语言及度量衡单位</w:t>
      </w:r>
    </w:p>
    <w:p w14:paraId="66619733">
      <w:pPr>
        <w:spacing w:line="440" w:lineRule="exact"/>
        <w:ind w:firstLine="283"/>
        <w:rPr>
          <w:rFonts w:ascii="宋体" w:hAnsi="宋体"/>
          <w:color w:val="000000"/>
          <w:szCs w:val="21"/>
          <w:highlight w:val="none"/>
        </w:rPr>
      </w:pPr>
      <w:r>
        <w:rPr>
          <w:rFonts w:ascii="宋体" w:hAnsi="宋体"/>
          <w:color w:val="000000"/>
          <w:szCs w:val="21"/>
        </w:rPr>
        <w:t>20.1</w:t>
      </w:r>
      <w:r>
        <w:rPr>
          <w:rFonts w:ascii="宋体" w:hAnsi="宋体" w:cs="宋体"/>
          <w:color w:val="000000"/>
          <w:szCs w:val="21"/>
        </w:rPr>
        <w:t>供应商提交的响应文件、技术文件和资料，以及供应商与采购人就有关响应的所有来往函电均应使用中文。响应文件中若有英文或其他语言文字的资料，应提供相应的中文翻译资料。对不同文本响应文件的解释发生异议的，以中文文本为准。</w:t>
      </w:r>
    </w:p>
    <w:p w14:paraId="73DEB06D">
      <w:pPr>
        <w:spacing w:line="440" w:lineRule="exact"/>
        <w:ind w:firstLine="283"/>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20.2除</w:t>
      </w:r>
      <w:r>
        <w:rPr>
          <w:rFonts w:ascii="宋体" w:hAnsi="宋体"/>
          <w:color w:val="000000"/>
          <w:szCs w:val="21"/>
          <w:lang w:eastAsia="zh-CN"/>
        </w:rPr>
        <w:t>采购文件</w:t>
      </w:r>
      <w:r>
        <w:rPr>
          <w:rFonts w:ascii="宋体" w:hAnsi="宋体"/>
          <w:color w:val="000000"/>
          <w:szCs w:val="21"/>
        </w:rPr>
        <w:t>中另有规定外，响应文件所使用的度量衡均须采用法定计量单位。</w:t>
      </w:r>
    </w:p>
    <w:p w14:paraId="50219D24">
      <w:pPr>
        <w:spacing w:line="400" w:lineRule="exact"/>
        <w:ind w:firstLine="417"/>
        <w:rPr>
          <w:rFonts w:ascii="宋体" w:hAnsi="宋体" w:eastAsia="宋体" w:cs="Times New Roman"/>
          <w:b/>
          <w:bCs/>
          <w:color w:val="0000FF"/>
          <w:szCs w:val="21"/>
          <w:highlight w:val="none"/>
        </w:rPr>
      </w:pPr>
      <w:r>
        <w:rPr>
          <w:rFonts w:ascii="宋体" w:hAnsi="宋体" w:eastAsia="宋体" w:cs="Times New Roman"/>
          <w:b/>
          <w:bCs/>
          <w:color w:val="0000FF"/>
          <w:szCs w:val="21"/>
        </w:rPr>
        <w:t xml:space="preserve">21. </w:t>
      </w:r>
      <w:r>
        <w:rPr>
          <w:rFonts w:ascii="宋体" w:hAnsi="宋体" w:cs="Times New Roman"/>
          <w:b/>
          <w:bCs/>
          <w:color w:val="0000FF"/>
          <w:szCs w:val="21"/>
        </w:rPr>
        <w:t>响应文件的组成</w:t>
      </w:r>
    </w:p>
    <w:p w14:paraId="6CB11768">
      <w:pPr>
        <w:spacing w:line="400" w:lineRule="exact"/>
        <w:ind w:firstLine="417"/>
        <w:rPr>
          <w:rFonts w:ascii="宋体" w:hAnsi="宋体" w:eastAsia="宋体" w:cs="Times New Roman"/>
          <w:color w:val="0000FF"/>
          <w:szCs w:val="21"/>
          <w:highlight w:val="none"/>
        </w:rPr>
      </w:pPr>
      <w:r>
        <w:rPr>
          <w:rFonts w:ascii="宋体" w:hAnsi="宋体" w:cs="Times New Roman"/>
          <w:color w:val="0000FF"/>
          <w:szCs w:val="21"/>
        </w:rPr>
        <w:t>资格证明文件和商务及技术文件两部分。</w:t>
      </w:r>
    </w:p>
    <w:p w14:paraId="07A41A6E">
      <w:pPr>
        <w:spacing w:line="400" w:lineRule="exact"/>
        <w:ind w:firstLine="417"/>
        <w:rPr>
          <w:rFonts w:ascii="宋体" w:hAnsi="宋体" w:eastAsia="宋体" w:cs="Times New Roman"/>
          <w:b/>
          <w:bCs/>
          <w:color w:val="0000FF"/>
          <w:szCs w:val="21"/>
          <w:highlight w:val="none"/>
          <w:lang w:eastAsia="zh-CN"/>
        </w:rPr>
      </w:pPr>
      <w:r>
        <w:rPr>
          <w:rFonts w:ascii="宋体" w:hAnsi="宋体" w:eastAsia="宋体" w:cs="Times New Roman"/>
          <w:b/>
          <w:bCs/>
          <w:color w:val="0000FF"/>
          <w:szCs w:val="21"/>
        </w:rPr>
        <w:t>21.1</w:t>
      </w:r>
      <w:r>
        <w:rPr>
          <w:rFonts w:ascii="宋体" w:hAnsi="宋体" w:cs="Times New Roman"/>
          <w:b/>
          <w:bCs/>
          <w:color w:val="0000FF"/>
          <w:szCs w:val="21"/>
        </w:rPr>
        <w:t>资格证明文件</w:t>
      </w:r>
      <w:r>
        <w:rPr>
          <w:rFonts w:ascii="宋体" w:hAnsi="宋体" w:cs="Times New Roman"/>
          <w:b/>
          <w:bCs/>
          <w:color w:val="0000FF"/>
          <w:szCs w:val="21"/>
          <w:lang w:eastAsia="zh-CN"/>
        </w:rPr>
        <w:t>（包括但不限于）</w:t>
      </w:r>
    </w:p>
    <w:p w14:paraId="74FCE475">
      <w:pPr>
        <w:spacing w:line="400" w:lineRule="exact"/>
        <w:ind w:firstLine="417"/>
        <w:rPr>
          <w:rFonts w:ascii="宋体" w:hAnsi="宋体" w:eastAsia="宋体" w:cs="Times New Roman"/>
          <w:b/>
          <w:bCs/>
          <w:color w:val="0000FF"/>
          <w:szCs w:val="21"/>
          <w:highlight w:val="none"/>
        </w:rPr>
      </w:pPr>
      <w:r>
        <w:rPr>
          <w:rFonts w:ascii="宋体" w:hAnsi="宋体" w:cs="Times New Roman"/>
          <w:b/>
          <w:bCs/>
          <w:color w:val="0000FF"/>
          <w:szCs w:val="21"/>
        </w:rPr>
        <w:t>资格证明</w:t>
      </w:r>
      <w:r>
        <w:rPr>
          <w:rFonts w:ascii="宋体" w:hAnsi="宋体" w:cs="Times New Roman"/>
          <w:b/>
          <w:bCs/>
          <w:color w:val="0000FF"/>
          <w:szCs w:val="21"/>
          <w:lang w:eastAsia="zh-CN"/>
        </w:rPr>
        <w:t>文件</w:t>
      </w:r>
      <w:r>
        <w:rPr>
          <w:rFonts w:ascii="宋体" w:hAnsi="宋体" w:cs="Times New Roman"/>
          <w:b/>
          <w:bCs/>
          <w:color w:val="0000FF"/>
          <w:szCs w:val="21"/>
        </w:rPr>
        <w:t>是证明供应商有资格参加磋商和成交后有能力履行合同的文件，这些文件应能满足采购的要求，否则作无效响应处理。</w:t>
      </w:r>
    </w:p>
    <w:p w14:paraId="653CE27C">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、具备三证合一营业执照副本；</w:t>
      </w:r>
    </w:p>
    <w:p w14:paraId="00F91C44">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、法定代表人响应需提供法定代表人资格证明书，委托代理人响应需提供法定代表人授权委托书；</w:t>
      </w:r>
    </w:p>
    <w:p w14:paraId="73AA9CBE">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 xml:space="preserve">、供应商须提供供应商（被授权在职人员）近 </w:t>
      </w:r>
      <w:r>
        <w:rPr>
          <w:rFonts w:ascii="宋体" w:hAnsi="宋体" w:eastAsia="宋体" w:cs="宋体"/>
          <w:b/>
          <w:bCs/>
          <w:color w:val="0000FF"/>
          <w:szCs w:val="21"/>
          <w:lang w:val="en-US" w:eastAsia="zh-CN"/>
        </w:rPr>
        <w:t xml:space="preserve">6 </w:t>
      </w:r>
      <w:r>
        <w:rPr>
          <w:rFonts w:ascii="宋体" w:hAnsi="宋体" w:cs="宋体"/>
          <w:b/>
          <w:bCs/>
          <w:color w:val="0000FF"/>
          <w:szCs w:val="21"/>
          <w:lang w:val="en-US" w:eastAsia="zh-CN"/>
        </w:rPr>
        <w:t>个月内任意一个月有效的社保证明；</w:t>
      </w:r>
    </w:p>
    <w:p w14:paraId="02FD9FF6">
      <w:pPr>
        <w:numPr>
          <w:ilvl w:val="0"/>
          <w:numId w:val="0"/>
        </w:numPr>
        <w:spacing w:line="440" w:lineRule="exact"/>
        <w:ind w:left="0" w:firstLine="0"/>
        <w:rPr>
          <w:rFonts w:ascii="宋体" w:hAnsi="宋体" w:eastAsia="宋体" w:cs="宋体"/>
          <w:color w:val="0000FF"/>
          <w:lang w:val="en-US" w:eastAsia="zh-CN"/>
        </w:rPr>
      </w:pPr>
      <w:r>
        <w:rPr>
          <w:rFonts w:ascii="宋体" w:hAnsi="宋体" w:cs="宋体"/>
          <w:b/>
          <w:bCs/>
          <w:color w:val="0000FF"/>
          <w:szCs w:val="21"/>
          <w:lang w:val="en-US" w:eastAsia="zh-CN"/>
        </w:rPr>
        <w:t>4、未被“信用中国 ”（www.creditchina.gov.cn）、中国政府采购网（www.ccgp.gov.cn） 列入失信被执行人、重大税收违法案件当事人名单、政府采购严重违法失信行为记录名单（提供查询结果网页截图并加盖供应商公章）；</w:t>
      </w:r>
    </w:p>
    <w:p w14:paraId="507511FB">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5、供应商须具备建筑工程施工总承包二级（含）以上资质等级、有效的安全生产许可证；项目负责人具备建筑工程专业二级（含）以上注册建造师执业资格且具有有效的安全生产考核证；</w:t>
      </w:r>
    </w:p>
    <w:p w14:paraId="26162606">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6、磋商保证金汇款凭证或保函等保证金交纳证明材料；</w:t>
      </w:r>
    </w:p>
    <w:p w14:paraId="48277C29">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w:t>
      </w:r>
      <w:r>
        <w:rPr>
          <w:rFonts w:ascii="宋体" w:hAnsi="宋体" w:cs="宋体"/>
          <w:b/>
          <w:bCs/>
          <w:color w:val="0000FF"/>
          <w:kern w:val="2"/>
          <w:sz w:val="21"/>
          <w:szCs w:val="21"/>
          <w:lang w:val="en-US" w:eastAsia="zh-CN" w:bidi="ar-SA"/>
        </w:rPr>
        <w:t>提供承建商为中小企业的《中小企业声明函》；</w:t>
      </w:r>
    </w:p>
    <w:p w14:paraId="52A41AF4">
      <w:pPr>
        <w:numPr>
          <w:ilvl w:val="0"/>
          <w:numId w:val="0"/>
        </w:numPr>
        <w:spacing w:line="440" w:lineRule="exact"/>
        <w:ind w:left="0" w:firstLine="0"/>
        <w:rPr>
          <w:rFonts w:ascii="宋体" w:hAnsi="宋体" w:cs="宋体"/>
          <w:b/>
          <w:bCs/>
          <w:color w:val="0000FF"/>
          <w:szCs w:val="21"/>
          <w:highlight w:val="none"/>
          <w:lang w:val="en-US" w:eastAsia="zh-CN"/>
        </w:rPr>
      </w:pPr>
      <w:r>
        <w:rPr>
          <w:rFonts w:ascii="宋体" w:hAnsi="宋体" w:cs="宋体"/>
          <w:b/>
          <w:bCs/>
          <w:color w:val="0000FF"/>
          <w:szCs w:val="21"/>
          <w:lang w:val="en-US" w:eastAsia="zh-CN"/>
        </w:rPr>
        <w:t>8、供应商关联单位的说明；</w:t>
      </w:r>
    </w:p>
    <w:p w14:paraId="61F6DB91">
      <w:pPr>
        <w:numPr>
          <w:ilvl w:val="0"/>
          <w:numId w:val="0"/>
        </w:numPr>
        <w:spacing w:line="440" w:lineRule="exact"/>
        <w:ind w:left="0" w:firstLine="0"/>
        <w:rPr>
          <w:rFonts w:ascii="宋体" w:hAnsi="宋体" w:eastAsia="宋体" w:cs="宋体"/>
          <w:b/>
          <w:bCs/>
          <w:color w:val="0000FF"/>
          <w:kern w:val="2"/>
          <w:sz w:val="21"/>
          <w:szCs w:val="21"/>
          <w:lang w:val="en-US" w:eastAsia="zh-CN" w:bidi="ar-SA"/>
        </w:rPr>
      </w:pPr>
      <w:r>
        <w:rPr>
          <w:rFonts w:ascii="宋体" w:hAnsi="宋体" w:cs="宋体"/>
          <w:b/>
          <w:bCs/>
          <w:color w:val="0000FF"/>
          <w:szCs w:val="21"/>
          <w:lang w:val="en-US" w:eastAsia="zh-CN"/>
        </w:rPr>
        <w:t>9、</w:t>
      </w:r>
      <w:r>
        <w:rPr>
          <w:rFonts w:ascii="宋体" w:hAnsi="宋体" w:cs="宋体"/>
          <w:b/>
          <w:bCs/>
          <w:color w:val="0000FF"/>
          <w:kern w:val="2"/>
          <w:sz w:val="21"/>
          <w:szCs w:val="21"/>
          <w:lang w:val="en-US" w:eastAsia="zh-CN" w:bidi="ar-SA"/>
        </w:rPr>
        <w:t>供应商须知资料表要求的其他资格证明文件；</w:t>
      </w:r>
    </w:p>
    <w:p w14:paraId="4959915D">
      <w:pPr>
        <w:spacing w:line="440" w:lineRule="exact"/>
        <w:ind w:firstLine="308"/>
        <w:rPr>
          <w:rFonts w:ascii="Times New Roman" w:hAnsi="Times New Roman" w:eastAsia="宋体" w:cs="Times New Roman"/>
          <w:color w:val="000000"/>
          <w:szCs w:val="21"/>
          <w:highlight w:val="none"/>
        </w:rPr>
      </w:pPr>
      <w:r>
        <w:rPr>
          <w:rFonts w:ascii="宋体" w:hAnsi="宋体" w:cs="宋体"/>
          <w:b/>
          <w:color w:val="000000"/>
          <w:szCs w:val="21"/>
        </w:rPr>
        <w:t>21.2</w:t>
      </w:r>
      <w:r>
        <w:rPr>
          <w:rFonts w:ascii="宋体" w:hAnsi="宋体" w:cs="宋体"/>
          <w:b/>
          <w:color w:val="000000"/>
          <w:szCs w:val="21"/>
          <w:lang w:val="en-US" w:eastAsia="zh-CN"/>
        </w:rPr>
        <w:t xml:space="preserve"> 商务及技术文件</w:t>
      </w:r>
      <w:r>
        <w:rPr>
          <w:rFonts w:ascii="宋体" w:hAnsi="宋体"/>
          <w:b/>
          <w:color w:val="000000"/>
          <w:szCs w:val="21"/>
          <w:lang w:eastAsia="zh-CN"/>
        </w:rPr>
        <w:t>（包括但不限于）</w:t>
      </w:r>
    </w:p>
    <w:p w14:paraId="7EB0625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1AFFEB23">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1827B244">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50439F3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2C65E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2FC63D56">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65802B4E">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AEAC776">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793FF41D">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6A310DA">
      <w:pPr>
        <w:spacing w:line="400" w:lineRule="exact"/>
        <w:ind w:firstLine="417"/>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569AF8FB">
      <w:pPr>
        <w:spacing w:line="400" w:lineRule="exact"/>
        <w:ind w:firstLine="417"/>
        <w:rPr>
          <w:rFonts w:ascii="宋体" w:hAnsi="宋体" w:eastAsia="宋体" w:cs="Times New Roman"/>
          <w:color w:val="000000"/>
          <w:szCs w:val="21"/>
          <w:highlight w:val="none"/>
          <w:lang w:eastAsia="zh-CN"/>
        </w:rPr>
      </w:pPr>
      <w:r>
        <w:rPr>
          <w:rFonts w:ascii="宋体" w:hAnsi="宋体"/>
          <w:color w:val="000000"/>
          <w:szCs w:val="21"/>
        </w:rPr>
        <w:t>21.</w:t>
      </w:r>
      <w:r>
        <w:rPr>
          <w:rFonts w:ascii="宋体" w:hAnsi="宋体"/>
          <w:color w:val="000000"/>
          <w:szCs w:val="21"/>
          <w:lang w:val="en-US" w:eastAsia="zh-CN"/>
        </w:rPr>
        <w:t>3</w:t>
      </w:r>
      <w:r>
        <w:rPr>
          <w:rFonts w:ascii="宋体" w:hAnsi="宋体" w:cs="Times New Roman"/>
          <w:color w:val="000000"/>
          <w:szCs w:val="21"/>
          <w:lang w:eastAsia="zh-CN"/>
        </w:rPr>
        <w:t>响应文件的要求</w:t>
      </w:r>
    </w:p>
    <w:p w14:paraId="06CC0012">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1</w:t>
      </w:r>
      <w:r>
        <w:rPr>
          <w:rFonts w:ascii="宋体" w:hAnsi="宋体" w:cs="Times New Roman"/>
          <w:color w:val="000000"/>
          <w:szCs w:val="21"/>
          <w:lang w:eastAsia="zh-CN"/>
        </w:rPr>
        <w:t>）供应商应仔细阅读采购文件的所有内容，按照采购文件的要求详细编制响应文件，所提交的全部资料必须真实有效，并且要保证字迹清晰易于辨认。响应文件应对采购文件实质性内容作出响应，否则按无效响应处理。</w:t>
      </w:r>
    </w:p>
    <w:p w14:paraId="74A36F25">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2</w:t>
      </w:r>
      <w:r>
        <w:rPr>
          <w:rFonts w:ascii="宋体" w:hAnsi="宋体" w:cs="Times New Roman"/>
          <w:color w:val="000000"/>
          <w:szCs w:val="21"/>
          <w:lang w:eastAsia="zh-CN"/>
        </w:rPr>
        <w:t>）响应文件格式应按本采购文件第六章格式要求编制，不得对采购文件格式进行增删更改，否则按无效响应处理。</w:t>
      </w:r>
    </w:p>
    <w:p w14:paraId="261A7CD8">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3</w:t>
      </w:r>
      <w:r>
        <w:rPr>
          <w:rFonts w:ascii="宋体" w:hAnsi="宋体" w:cs="Times New Roman"/>
          <w:color w:val="000000"/>
          <w:szCs w:val="21"/>
          <w:lang w:eastAsia="zh-CN"/>
        </w:rPr>
        <w:t xml:space="preserve">）对采购文件格式可更改的例外情况：采购文件第六章附件格式要求中明确规定表格中行数不够用时可按相同格式增加行数，其他一切内容和格式不得更改。 </w:t>
      </w:r>
    </w:p>
    <w:p w14:paraId="27D054EF">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4</w:t>
      </w:r>
      <w:r>
        <w:rPr>
          <w:rFonts w:ascii="宋体" w:hAnsi="宋体" w:cs="Times New Roman"/>
          <w:color w:val="000000"/>
          <w:szCs w:val="21"/>
          <w:lang w:eastAsia="zh-CN"/>
        </w:rPr>
        <w:t>）响应文件为电子响应文件，电子响应文件按“政采云供应商项目采购</w:t>
      </w:r>
      <w:r>
        <w:rPr>
          <w:rFonts w:ascii="宋体" w:hAnsi="宋体" w:eastAsia="宋体" w:cs="Times New Roman"/>
          <w:color w:val="000000"/>
          <w:szCs w:val="21"/>
          <w:lang w:eastAsia="zh-CN"/>
        </w:rPr>
        <w:t>-</w:t>
      </w:r>
      <w:r>
        <w:rPr>
          <w:rFonts w:ascii="宋体" w:hAnsi="宋体" w:cs="Times New Roman"/>
          <w:color w:val="000000"/>
          <w:szCs w:val="21"/>
          <w:lang w:eastAsia="zh-CN"/>
        </w:rPr>
        <w:t>电子招投标操作指南”及本采购文件要求制作、加密传输。</w:t>
      </w:r>
    </w:p>
    <w:p w14:paraId="5AAC993F">
      <w:pPr>
        <w:spacing w:line="400" w:lineRule="exact"/>
        <w:ind w:firstLine="417"/>
        <w:rPr>
          <w:rFonts w:ascii="宋体" w:hAnsi="宋体"/>
          <w:color w:val="000000"/>
          <w:szCs w:val="21"/>
          <w:highlight w:val="none"/>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5</w:t>
      </w:r>
      <w:r>
        <w:rPr>
          <w:rFonts w:ascii="宋体" w:hAnsi="宋体" w:cs="Times New Roman"/>
          <w:color w:val="000000"/>
          <w:szCs w:val="21"/>
          <w:lang w:eastAsia="zh-CN"/>
        </w:rPr>
        <w:t>）响应文件未在响应文件递交截止时间前完成传输的，视为响应文件撤回；响应文件未按时解密，亦视为响应文件撤回。</w:t>
      </w:r>
    </w:p>
    <w:p w14:paraId="765C18CB">
      <w:pPr>
        <w:spacing w:line="440" w:lineRule="exact"/>
        <w:ind w:firstLine="420"/>
        <w:rPr>
          <w:rFonts w:ascii="宋体" w:hAnsi="宋体"/>
          <w:color w:val="000000"/>
          <w:szCs w:val="21"/>
          <w:highlight w:val="none"/>
        </w:rPr>
      </w:pPr>
      <w:r>
        <w:rPr>
          <w:rFonts w:ascii="宋体" w:hAnsi="宋体"/>
          <w:b/>
          <w:color w:val="000000"/>
          <w:szCs w:val="21"/>
        </w:rPr>
        <w:t>22</w:t>
      </w:r>
      <w:r>
        <w:rPr>
          <w:rFonts w:ascii="宋体" w:hAnsi="宋体"/>
          <w:color w:val="000000"/>
          <w:szCs w:val="21"/>
        </w:rPr>
        <w:t>.</w:t>
      </w:r>
      <w:r>
        <w:rPr>
          <w:rFonts w:ascii="宋体" w:hAnsi="宋体"/>
          <w:b/>
          <w:color w:val="000000"/>
          <w:szCs w:val="21"/>
          <w:lang w:eastAsia="zh-CN"/>
        </w:rPr>
        <w:t>磋商</w:t>
      </w:r>
      <w:r>
        <w:rPr>
          <w:rFonts w:ascii="宋体" w:hAnsi="宋体"/>
          <w:b/>
          <w:color w:val="000000"/>
          <w:szCs w:val="21"/>
        </w:rPr>
        <w:t>报价</w:t>
      </w:r>
    </w:p>
    <w:p w14:paraId="23D26CFE">
      <w:pPr>
        <w:spacing w:line="440" w:lineRule="exact"/>
        <w:ind w:firstLine="420"/>
        <w:rPr>
          <w:rFonts w:ascii="宋体" w:hAnsi="宋体"/>
          <w:color w:val="000000"/>
          <w:szCs w:val="21"/>
          <w:highlight w:val="none"/>
        </w:rPr>
      </w:pPr>
      <w:r>
        <w:rPr>
          <w:rFonts w:ascii="宋体" w:hAnsi="宋体"/>
          <w:color w:val="000000"/>
          <w:szCs w:val="21"/>
        </w:rPr>
        <w:t>22.1磋商报价文件中的单价和总价全部采用人民币表示。</w:t>
      </w:r>
    </w:p>
    <w:p w14:paraId="6778DA3A">
      <w:pPr>
        <w:spacing w:line="440" w:lineRule="exact"/>
        <w:ind w:firstLine="420"/>
        <w:rPr>
          <w:rFonts w:ascii="宋体" w:hAnsi="宋体" w:eastAsia="宋体" w:cs="Times New Roman"/>
          <w:color w:val="000000"/>
          <w:szCs w:val="21"/>
          <w:highlight w:val="none"/>
        </w:rPr>
      </w:pPr>
      <w:r>
        <w:rPr>
          <w:rFonts w:ascii="宋体" w:hAnsi="宋体"/>
          <w:color w:val="000000"/>
          <w:szCs w:val="21"/>
        </w:rPr>
        <w:t>22.</w:t>
      </w:r>
      <w:r>
        <w:rPr>
          <w:rFonts w:ascii="宋体" w:hAnsi="宋体" w:eastAsia="宋体" w:cs="Times New Roman"/>
          <w:color w:val="000000"/>
          <w:szCs w:val="21"/>
        </w:rPr>
        <w:t>2</w:t>
      </w:r>
      <w:r>
        <w:rPr>
          <w:rFonts w:ascii="宋体" w:hAnsi="宋体" w:cs="Times New Roman"/>
          <w:color w:val="000000"/>
          <w:szCs w:val="21"/>
        </w:rPr>
        <w:t>磋商报价表上应清楚地标明供应商拟提供</w:t>
      </w:r>
      <w:r>
        <w:rPr>
          <w:rFonts w:ascii="宋体" w:hAnsi="宋体" w:cs="Times New Roman"/>
          <w:color w:val="000000"/>
          <w:szCs w:val="21"/>
          <w:lang w:val="en-US" w:eastAsia="zh-CN"/>
        </w:rPr>
        <w:t>服务（货物）</w:t>
      </w:r>
      <w:r>
        <w:rPr>
          <w:rFonts w:ascii="宋体" w:hAnsi="宋体" w:cs="Times New Roman"/>
          <w:color w:val="000000"/>
          <w:szCs w:val="21"/>
        </w:rPr>
        <w:t>的名称、数量、单价和总价。</w:t>
      </w:r>
    </w:p>
    <w:p w14:paraId="55A79C6E">
      <w:pPr>
        <w:spacing w:line="440" w:lineRule="exact"/>
        <w:ind w:firstLine="420"/>
        <w:rPr>
          <w:rFonts w:ascii="宋体" w:hAnsi="宋体" w:eastAsia="宋体" w:cs="Times New Roman"/>
          <w:color w:val="000000"/>
          <w:szCs w:val="21"/>
          <w:highlight w:val="none"/>
          <w:lang w:eastAsia="zh-CN"/>
        </w:rPr>
      </w:pPr>
      <w:r>
        <w:rPr>
          <w:rFonts w:ascii="宋体" w:hAnsi="宋体" w:eastAsia="宋体" w:cs="Times New Roman"/>
          <w:color w:val="000000"/>
          <w:szCs w:val="21"/>
        </w:rPr>
        <w:t>22.3</w:t>
      </w:r>
      <w:r>
        <w:rPr>
          <w:rFonts w:ascii="宋体" w:hAnsi="宋体" w:cs="Times New Roman"/>
          <w:color w:val="000000"/>
          <w:szCs w:val="21"/>
        </w:rPr>
        <w:t>本项目报价为分次报价，供应商响应文件中的报价作为第一次报价；以最终磋商报价作为评审价</w:t>
      </w:r>
      <w:r>
        <w:rPr>
          <w:rFonts w:ascii="宋体" w:hAnsi="宋体" w:cs="Times New Roman"/>
          <w:color w:val="000000"/>
          <w:szCs w:val="21"/>
          <w:lang w:eastAsia="zh-CN"/>
        </w:rPr>
        <w:t>。</w:t>
      </w:r>
    </w:p>
    <w:p w14:paraId="5FB0CBDC">
      <w:pPr>
        <w:spacing w:line="440" w:lineRule="exact"/>
        <w:ind w:firstLine="420"/>
        <w:rPr>
          <w:rFonts w:ascii="宋体" w:hAnsi="宋体" w:eastAsia="宋体"/>
          <w:color w:val="000000"/>
          <w:szCs w:val="21"/>
          <w:highlight w:val="none"/>
          <w:lang w:eastAsia="zh-CN"/>
        </w:rPr>
      </w:pPr>
      <w:r>
        <w:rPr>
          <w:rFonts w:ascii="宋体" w:hAnsi="宋体" w:eastAsia="宋体" w:cs="Times New Roman"/>
          <w:color w:val="000000"/>
          <w:szCs w:val="21"/>
        </w:rPr>
        <w:t>22.4</w:t>
      </w:r>
      <w:r>
        <w:rPr>
          <w:rFonts w:ascii="宋体" w:hAnsi="宋体" w:cs="Times New Roman"/>
          <w:color w:val="000000"/>
          <w:szCs w:val="21"/>
        </w:rPr>
        <w:t>磋商报价应包括：货物及服务本身价格、人工费</w:t>
      </w:r>
      <w:r>
        <w:rPr>
          <w:rFonts w:ascii="宋体" w:hAnsi="宋体" w:cs="Times New Roman"/>
          <w:color w:val="000000"/>
          <w:szCs w:val="21"/>
          <w:lang w:eastAsia="zh-CN"/>
        </w:rPr>
        <w:t>、</w:t>
      </w:r>
      <w:r>
        <w:rPr>
          <w:rFonts w:ascii="宋体" w:hAnsi="宋体" w:cs="Times New Roman"/>
          <w:color w:val="000000"/>
          <w:szCs w:val="21"/>
        </w:rPr>
        <w:t>培训费</w:t>
      </w:r>
      <w:r>
        <w:rPr>
          <w:rFonts w:ascii="宋体" w:hAnsi="宋体" w:cs="Times New Roman"/>
          <w:color w:val="000000"/>
          <w:szCs w:val="21"/>
          <w:lang w:eastAsia="zh-CN"/>
        </w:rPr>
        <w:t>、</w:t>
      </w:r>
      <w:r>
        <w:rPr>
          <w:rFonts w:ascii="宋体" w:hAnsi="宋体" w:cs="Times New Roman"/>
          <w:color w:val="000000"/>
          <w:szCs w:val="21"/>
        </w:rPr>
        <w:t>保险费用、包装费、运输费用、二次搬运费、装卸费</w:t>
      </w:r>
      <w:r>
        <w:rPr>
          <w:rFonts w:ascii="宋体" w:hAnsi="宋体" w:cs="Times New Roman"/>
          <w:color w:val="000000"/>
          <w:szCs w:val="21"/>
          <w:lang w:eastAsia="zh-CN"/>
        </w:rPr>
        <w:t>、</w:t>
      </w:r>
      <w:r>
        <w:rPr>
          <w:rFonts w:ascii="宋体" w:hAnsi="宋体" w:cs="Times New Roman"/>
          <w:color w:val="000000"/>
          <w:szCs w:val="21"/>
        </w:rPr>
        <w:t>损耗、税金费用、自检费</w:t>
      </w:r>
      <w:r>
        <w:rPr>
          <w:rFonts w:ascii="宋体" w:hAnsi="宋体" w:cs="Times New Roman"/>
          <w:color w:val="000000"/>
          <w:szCs w:val="21"/>
          <w:lang w:eastAsia="zh-CN"/>
        </w:rPr>
        <w:t>、</w:t>
      </w:r>
      <w:r>
        <w:rPr>
          <w:rFonts w:ascii="宋体" w:hAnsi="宋体" w:cs="Times New Roman"/>
          <w:color w:val="000000"/>
          <w:szCs w:val="21"/>
        </w:rPr>
        <w:t>随产品备品备件费、专用工具费、随产品资料费、安装费、调试费、自检费及验收合格前和质保期内发生的一切费用、应当提供的伴随服务</w:t>
      </w:r>
      <w:r>
        <w:rPr>
          <w:rFonts w:ascii="宋体" w:hAnsi="宋体" w:eastAsia="宋体" w:cs="Times New Roman"/>
          <w:color w:val="000000"/>
          <w:szCs w:val="21"/>
        </w:rPr>
        <w:t>/</w:t>
      </w:r>
      <w:r>
        <w:rPr>
          <w:rFonts w:ascii="宋体" w:hAnsi="宋体" w:cs="Times New Roman"/>
          <w:color w:val="000000"/>
          <w:szCs w:val="21"/>
        </w:rPr>
        <w:t>售后服务费用</w:t>
      </w:r>
      <w:r>
        <w:rPr>
          <w:rFonts w:ascii="宋体" w:hAnsi="宋体" w:cs="Times New Roman"/>
          <w:color w:val="000000"/>
          <w:szCs w:val="21"/>
          <w:lang w:eastAsia="zh-CN"/>
        </w:rPr>
        <w:t>。</w:t>
      </w:r>
      <w:r>
        <w:rPr>
          <w:rFonts w:ascii="宋体" w:hAnsi="宋体" w:cs="Times New Roman"/>
          <w:color w:val="000000"/>
          <w:szCs w:val="21"/>
        </w:rPr>
        <w:t>完</w:t>
      </w:r>
      <w:r>
        <w:rPr>
          <w:rFonts w:ascii="宋体" w:hAnsi="宋体"/>
          <w:szCs w:val="21"/>
        </w:rPr>
        <w:t>成该项目的人工费、社保统筹费、保险费、材料费、机具使用费、管理费、利润、税金、风险费等所有费用</w:t>
      </w:r>
      <w:r>
        <w:rPr>
          <w:rFonts w:ascii="宋体" w:hAnsi="宋体"/>
          <w:szCs w:val="21"/>
          <w:lang w:eastAsia="zh-CN"/>
        </w:rPr>
        <w:t>，</w:t>
      </w:r>
      <w:r>
        <w:rPr>
          <w:rFonts w:ascii="宋体" w:hAnsi="宋体"/>
          <w:szCs w:val="21"/>
        </w:rPr>
        <w:t>以及供应商在服务管理过程中可能发生的各种费用均包括在磋商报价中。供应商应自行增加正常运行及使用所必需但磋商文件没有包含的所有部件、工具、版权、专利等一切费用，如果供应商在成交并签署合同后，在实施过程中有任何遗漏，均由成交供应商免费提供，买方将不再支付任何费用。</w:t>
      </w:r>
    </w:p>
    <w:p w14:paraId="769BE40C">
      <w:pPr>
        <w:spacing w:line="440" w:lineRule="exact"/>
        <w:ind w:firstLine="420"/>
        <w:rPr>
          <w:rFonts w:ascii="宋体" w:hAnsi="宋体"/>
          <w:color w:val="000000"/>
          <w:szCs w:val="21"/>
          <w:highlight w:val="none"/>
        </w:rPr>
      </w:pPr>
      <w:r>
        <w:rPr>
          <w:rFonts w:ascii="宋体" w:hAnsi="宋体"/>
          <w:color w:val="000000"/>
          <w:szCs w:val="21"/>
        </w:rPr>
        <w:t>22.5磋商报价的价格是货物交货地验收价格，其总价即为履行合同</w:t>
      </w:r>
      <w:r>
        <w:rPr>
          <w:rFonts w:ascii="宋体" w:hAnsi="宋体" w:cs="Times New Roman"/>
          <w:szCs w:val="21"/>
        </w:rPr>
        <w:t>的固定总价。</w:t>
      </w:r>
    </w:p>
    <w:p w14:paraId="4E615303">
      <w:pPr>
        <w:spacing w:line="440" w:lineRule="exact"/>
        <w:ind w:firstLine="420"/>
        <w:rPr>
          <w:rFonts w:ascii="宋体" w:hAnsi="宋体"/>
          <w:color w:val="000000"/>
          <w:szCs w:val="21"/>
          <w:highlight w:val="none"/>
        </w:rPr>
      </w:pPr>
      <w:r>
        <w:rPr>
          <w:rFonts w:ascii="宋体" w:hAnsi="宋体"/>
          <w:color w:val="000000"/>
          <w:szCs w:val="21"/>
        </w:rPr>
        <w:t>22.6技术要求中规定的安装、调试和培训费用应包括在响应报价中。响应文件报价为含税价，采购人不再为此次采购支付任何费用。</w:t>
      </w:r>
    </w:p>
    <w:p w14:paraId="52A469AE">
      <w:pPr>
        <w:spacing w:line="440" w:lineRule="exact"/>
        <w:ind w:firstLine="420"/>
        <w:rPr>
          <w:rFonts w:ascii="宋体" w:hAnsi="宋体"/>
          <w:color w:val="000000"/>
          <w:szCs w:val="21"/>
          <w:highlight w:val="none"/>
        </w:rPr>
      </w:pPr>
      <w:r>
        <w:rPr>
          <w:rFonts w:ascii="宋体" w:hAnsi="宋体"/>
          <w:color w:val="000000"/>
          <w:szCs w:val="21"/>
        </w:rPr>
        <w:t>22.7磋商报价应由法定代表人或被授权人签署。</w:t>
      </w:r>
    </w:p>
    <w:p w14:paraId="6B73896C">
      <w:pPr>
        <w:spacing w:line="440" w:lineRule="exact"/>
        <w:ind w:firstLine="420"/>
        <w:rPr>
          <w:rFonts w:ascii="宋体" w:hAnsi="宋体"/>
          <w:bCs/>
          <w:color w:val="000000"/>
          <w:szCs w:val="21"/>
          <w:highlight w:val="none"/>
        </w:rPr>
      </w:pPr>
      <w:r>
        <w:rPr>
          <w:rFonts w:ascii="宋体" w:hAnsi="宋体"/>
          <w:bCs/>
          <w:color w:val="000000"/>
          <w:szCs w:val="21"/>
        </w:rPr>
        <w:t>22.8</w:t>
      </w:r>
      <w:r>
        <w:rPr>
          <w:rFonts w:ascii="宋体" w:hAnsi="宋体" w:cs="宋体"/>
          <w:b/>
          <w:color w:val="000000"/>
          <w:szCs w:val="21"/>
        </w:rPr>
        <w:t>供应商磋商总报价，不得高于本次采购设置的最高限价，</w:t>
      </w:r>
      <w:r>
        <w:rPr>
          <w:rFonts w:ascii="宋体" w:hAnsi="宋体" w:cs="宋体"/>
          <w:b/>
          <w:bCs/>
          <w:color w:val="000000"/>
          <w:szCs w:val="21"/>
        </w:rPr>
        <w:t>否则将作为无效响应处理。</w:t>
      </w:r>
    </w:p>
    <w:p w14:paraId="322324AD">
      <w:pPr>
        <w:spacing w:line="440" w:lineRule="exact"/>
        <w:ind w:firstLine="420"/>
        <w:rPr>
          <w:rFonts w:ascii="宋体" w:hAnsi="宋体"/>
          <w:color w:val="000000"/>
          <w:szCs w:val="21"/>
          <w:highlight w:val="none"/>
        </w:rPr>
      </w:pPr>
      <w:r>
        <w:rPr>
          <w:rFonts w:ascii="宋体" w:hAnsi="宋体"/>
          <w:color w:val="000000"/>
          <w:szCs w:val="21"/>
        </w:rPr>
        <w:t>22.9如响应文件中未列明全面实现响应货物功能而必须配置的配套或辅助设施及相应技术措施的费用，这些费用将被视为已包含在总响应价中。</w:t>
      </w:r>
    </w:p>
    <w:p w14:paraId="0AB73F39">
      <w:pPr>
        <w:spacing w:line="440" w:lineRule="exact"/>
        <w:ind w:firstLine="420"/>
        <w:rPr>
          <w:rFonts w:ascii="宋体" w:hAnsi="宋体"/>
          <w:color w:val="000000"/>
          <w:szCs w:val="21"/>
          <w:highlight w:val="none"/>
        </w:rPr>
      </w:pPr>
      <w:r>
        <w:rPr>
          <w:rFonts w:ascii="宋体" w:hAnsi="宋体"/>
          <w:color w:val="000000"/>
          <w:szCs w:val="21"/>
        </w:rPr>
        <w:t>22.10总响应价中不得包含</w:t>
      </w:r>
      <w:r>
        <w:rPr>
          <w:rFonts w:ascii="宋体" w:hAnsi="宋体"/>
          <w:color w:val="000000"/>
          <w:szCs w:val="21"/>
          <w:lang w:eastAsia="zh-CN"/>
        </w:rPr>
        <w:t>采购文件</w:t>
      </w:r>
      <w:r>
        <w:rPr>
          <w:rFonts w:ascii="宋体" w:hAnsi="宋体"/>
          <w:color w:val="000000"/>
          <w:szCs w:val="21"/>
        </w:rPr>
        <w:t>要求以外的内容，否则，在评审时不予核减，但在授予合同时，采购人有权将这部分价格从其成交价格中扣除。</w:t>
      </w:r>
    </w:p>
    <w:p w14:paraId="5B381B27">
      <w:pPr>
        <w:spacing w:line="440" w:lineRule="exact"/>
        <w:ind w:firstLine="403"/>
        <w:rPr>
          <w:rFonts w:ascii="宋体" w:hAnsi="宋体" w:eastAsia="宋体"/>
          <w:color w:val="000000"/>
          <w:szCs w:val="21"/>
          <w:highlight w:val="none"/>
          <w:lang w:val="en-US" w:eastAsia="zh-CN"/>
        </w:rPr>
      </w:pPr>
      <w:r>
        <w:rPr>
          <w:rFonts w:ascii="宋体" w:hAnsi="宋体"/>
          <w:color w:val="000000"/>
          <w:szCs w:val="21"/>
        </w:rPr>
        <w:t>22.11总响应价中不得缺漏</w:t>
      </w:r>
      <w:r>
        <w:rPr>
          <w:rFonts w:ascii="宋体" w:hAnsi="宋体"/>
          <w:color w:val="000000"/>
          <w:szCs w:val="21"/>
          <w:lang w:eastAsia="zh-CN"/>
        </w:rPr>
        <w:t>采购文件</w:t>
      </w:r>
      <w:r>
        <w:rPr>
          <w:rFonts w:ascii="宋体" w:hAnsi="宋体"/>
          <w:color w:val="000000"/>
          <w:szCs w:val="21"/>
        </w:rPr>
        <w:t>所要求的内容，否则，评审时将有效响应中该项内容的最高价计入其评审总价，但在授予合同时，缺漏项目的报价视作已含在其他项目的报价中，这些项目将作为免费赠送而包含在合同内。</w:t>
      </w:r>
      <w:r>
        <w:rPr>
          <w:rFonts w:ascii="宋体" w:hAnsi="宋体"/>
          <w:color w:val="000000"/>
          <w:szCs w:val="21"/>
          <w:lang w:val="en-US" w:eastAsia="zh-CN"/>
        </w:rPr>
        <w:t xml:space="preserve">    </w:t>
      </w:r>
    </w:p>
    <w:p w14:paraId="55906D90">
      <w:pPr>
        <w:spacing w:line="440" w:lineRule="exact"/>
        <w:ind w:firstLine="403"/>
        <w:rPr>
          <w:rFonts w:ascii="宋体" w:hAnsi="宋体"/>
          <w:color w:val="000000"/>
          <w:szCs w:val="21"/>
          <w:highlight w:val="none"/>
        </w:rPr>
      </w:pPr>
      <w:r>
        <w:rPr>
          <w:rFonts w:ascii="宋体" w:hAnsi="宋体"/>
          <w:color w:val="000000"/>
          <w:szCs w:val="21"/>
        </w:rPr>
        <w:t>22.12供应商不得对从第三方采购货物的随机备品、备件另行收费，否则在计算评审价时这部分费用将不予扣除，在授予合同时将从成交价格中扣除该部分费用。</w:t>
      </w:r>
    </w:p>
    <w:p w14:paraId="03082D9F">
      <w:pPr>
        <w:spacing w:line="440" w:lineRule="exact"/>
        <w:ind w:firstLine="403"/>
        <w:rPr>
          <w:rFonts w:ascii="宋体" w:hAnsi="宋体"/>
          <w:color w:val="000000"/>
          <w:szCs w:val="21"/>
          <w:highlight w:val="none"/>
        </w:rPr>
      </w:pPr>
      <w:r>
        <w:rPr>
          <w:rFonts w:ascii="宋体" w:hAnsi="宋体"/>
          <w:color w:val="000000"/>
          <w:szCs w:val="21"/>
        </w:rPr>
        <w:t>22.13供应商应根据货物的技术状况列出随机备品备件的清单和数量，并将该备品备件价格计入总响应价，若所提供的产品无需备件，则应在响应文件中说明；无论供应商在报价中列明随机备品备件的数量及价格多少，在质保期内采购人均无需为维护维修保养所需的专用工具和备品备件另行支付费用。</w:t>
      </w:r>
    </w:p>
    <w:p w14:paraId="3A80D931">
      <w:pPr>
        <w:spacing w:line="440" w:lineRule="exact"/>
        <w:ind w:firstLine="420"/>
        <w:rPr>
          <w:rFonts w:ascii="宋体" w:hAnsi="宋体"/>
          <w:b/>
          <w:color w:val="000000"/>
          <w:szCs w:val="21"/>
          <w:highlight w:val="none"/>
        </w:rPr>
      </w:pPr>
      <w:r>
        <w:rPr>
          <w:rFonts w:ascii="宋体" w:hAnsi="宋体"/>
          <w:b/>
          <w:color w:val="000000"/>
          <w:szCs w:val="21"/>
        </w:rPr>
        <w:t>23. 磋商有效期</w:t>
      </w:r>
    </w:p>
    <w:p w14:paraId="4FE16AFB">
      <w:pPr>
        <w:spacing w:line="440" w:lineRule="exact"/>
        <w:ind w:firstLine="420"/>
        <w:rPr>
          <w:rFonts w:ascii="宋体" w:hAnsi="宋体"/>
          <w:color w:val="000000"/>
          <w:szCs w:val="21"/>
          <w:highlight w:val="none"/>
        </w:rPr>
      </w:pPr>
      <w:r>
        <w:rPr>
          <w:rFonts w:ascii="宋体" w:hAnsi="宋体"/>
          <w:color w:val="000000"/>
          <w:szCs w:val="21"/>
        </w:rPr>
        <w:t>23.1 除供应商须知前附表另有规定外</w:t>
      </w:r>
      <w:r>
        <w:rPr>
          <w:rFonts w:ascii="宋体" w:hAnsi="宋体" w:cs="Times New Roman"/>
          <w:color w:val="000000"/>
          <w:szCs w:val="21"/>
        </w:rPr>
        <w:t>，</w:t>
      </w:r>
      <w:r>
        <w:rPr>
          <w:rFonts w:ascii="宋体" w:hAnsi="宋体" w:cs="Times New Roman"/>
          <w:b/>
          <w:bCs/>
          <w:color w:val="000000"/>
          <w:szCs w:val="21"/>
          <w:u w:val="single"/>
        </w:rPr>
        <w:t>磋商有效期为</w:t>
      </w:r>
      <w:r>
        <w:rPr>
          <w:rFonts w:ascii="宋体" w:hAnsi="宋体" w:eastAsia="宋体" w:cs="Times New Roman"/>
          <w:b/>
          <w:bCs/>
          <w:color w:val="000000"/>
          <w:szCs w:val="21"/>
          <w:u w:val="single"/>
        </w:rPr>
        <w:t>60</w:t>
      </w:r>
      <w:r>
        <w:rPr>
          <w:rFonts w:ascii="宋体" w:hAnsi="宋体" w:cs="Times New Roman"/>
          <w:b/>
          <w:bCs/>
          <w:color w:val="000000"/>
          <w:szCs w:val="21"/>
          <w:u w:val="single"/>
        </w:rPr>
        <w:t>天</w:t>
      </w:r>
      <w:r>
        <w:rPr>
          <w:rFonts w:ascii="宋体" w:hAnsi="宋体" w:cs="Times New Roman"/>
          <w:color w:val="000000"/>
          <w:szCs w:val="21"/>
        </w:rPr>
        <w:t>。</w:t>
      </w:r>
    </w:p>
    <w:p w14:paraId="40EC465C">
      <w:pPr>
        <w:spacing w:line="440" w:lineRule="exact"/>
        <w:ind w:firstLine="420"/>
        <w:rPr>
          <w:rFonts w:ascii="宋体" w:hAnsi="宋体"/>
          <w:color w:val="000000"/>
          <w:szCs w:val="21"/>
          <w:highlight w:val="none"/>
        </w:rPr>
      </w:pPr>
      <w:r>
        <w:rPr>
          <w:rFonts w:ascii="宋体" w:hAnsi="宋体"/>
          <w:color w:val="000000"/>
          <w:szCs w:val="21"/>
        </w:rPr>
        <w:t>23.2在磋商有效期内，供应商撤销或修改其响应文件的，应承担</w:t>
      </w:r>
      <w:r>
        <w:rPr>
          <w:rFonts w:ascii="宋体" w:hAnsi="宋体"/>
          <w:color w:val="000000"/>
          <w:szCs w:val="21"/>
          <w:lang w:eastAsia="zh-CN"/>
        </w:rPr>
        <w:t>采购文件</w:t>
      </w:r>
      <w:r>
        <w:rPr>
          <w:rFonts w:ascii="宋体" w:hAnsi="宋体"/>
          <w:color w:val="000000"/>
          <w:szCs w:val="21"/>
        </w:rPr>
        <w:t>和法律规定的责任。</w:t>
      </w:r>
    </w:p>
    <w:p w14:paraId="0914C011">
      <w:pPr>
        <w:spacing w:line="440" w:lineRule="exact"/>
        <w:ind w:firstLine="420"/>
        <w:rPr>
          <w:rFonts w:ascii="宋体" w:hAnsi="宋体"/>
          <w:color w:val="000000"/>
          <w:szCs w:val="21"/>
          <w:highlight w:val="none"/>
        </w:rPr>
      </w:pPr>
      <w:r>
        <w:rPr>
          <w:rFonts w:ascii="宋体" w:hAnsi="宋体"/>
          <w:color w:val="000000"/>
          <w:szCs w:val="21"/>
        </w:rPr>
        <w:t>23.3出现特殊情况需要延长磋商有效期的，采购人以书面形式通知所有供应商延长磋商有效期。供应商同意延长的，应相应延长其磋商保证金的有效期，但不得要求或被允许修改或撤销其响应文件；供应商拒绝延长的，其响应失效，但供应商有权收回其磋商保证金。</w:t>
      </w:r>
    </w:p>
    <w:p w14:paraId="68CB4D6A">
      <w:pPr>
        <w:spacing w:line="440" w:lineRule="exact"/>
        <w:ind w:firstLine="403"/>
        <w:rPr>
          <w:rFonts w:ascii="宋体" w:hAnsi="宋体"/>
          <w:b/>
          <w:color w:val="000000"/>
          <w:szCs w:val="21"/>
          <w:highlight w:val="none"/>
        </w:rPr>
      </w:pPr>
      <w:r>
        <w:rPr>
          <w:rFonts w:ascii="宋体" w:hAnsi="宋体"/>
          <w:b/>
          <w:color w:val="000000"/>
          <w:szCs w:val="21"/>
        </w:rPr>
        <w:t>24. 磋商保证金</w:t>
      </w:r>
    </w:p>
    <w:p w14:paraId="3103BB32">
      <w:pPr>
        <w:spacing w:line="400" w:lineRule="exact"/>
        <w:ind w:firstLine="420"/>
        <w:rPr>
          <w:rFonts w:ascii="宋体" w:hAnsi="宋体"/>
          <w:color w:val="000000"/>
          <w:szCs w:val="21"/>
          <w:highlight w:val="none"/>
        </w:rPr>
      </w:pPr>
      <w:r>
        <w:rPr>
          <w:rFonts w:ascii="宋体" w:hAnsi="宋体"/>
          <w:color w:val="000000"/>
          <w:szCs w:val="21"/>
        </w:rPr>
        <w:t>24.1供应商须知前附表规定递交磋商保证金的，供应商在递交响应文件的同时，应按供应商须知前附表规定的金额、担保形式和第六章“响应文件格式”规定的磋商保证金格式递交磋商保证金，并作为其响应文件的组成部分。供应商不按要求提交磋商保证金的，磋商小组将否决其响应。</w:t>
      </w:r>
    </w:p>
    <w:p w14:paraId="00E09AC9">
      <w:pPr>
        <w:spacing w:line="400" w:lineRule="exact"/>
        <w:ind w:firstLine="420"/>
        <w:rPr>
          <w:rFonts w:ascii="宋体" w:hAnsi="宋体"/>
          <w:color w:val="000000"/>
          <w:szCs w:val="21"/>
          <w:highlight w:val="none"/>
        </w:rPr>
      </w:pPr>
      <w:r>
        <w:rPr>
          <w:rFonts w:ascii="宋体" w:hAnsi="宋体"/>
          <w:color w:val="000000"/>
          <w:szCs w:val="21"/>
        </w:rPr>
        <w:t>24.2自成交通知书发出之日起5个工作日内退还未成交供应商的磋商保证金，自政府采购合同签订之日起5个工作日内退还成交供应商的磋商保证金。</w:t>
      </w:r>
    </w:p>
    <w:p w14:paraId="25D2B488">
      <w:pPr>
        <w:spacing w:line="400" w:lineRule="exact"/>
        <w:ind w:firstLine="420"/>
        <w:rPr>
          <w:rFonts w:ascii="宋体" w:hAnsi="宋体"/>
          <w:color w:val="000000"/>
          <w:szCs w:val="21"/>
          <w:highlight w:val="none"/>
        </w:rPr>
      </w:pPr>
      <w:r>
        <w:rPr>
          <w:rFonts w:ascii="宋体" w:hAnsi="宋体"/>
          <w:color w:val="000000"/>
          <w:szCs w:val="21"/>
        </w:rPr>
        <w:t xml:space="preserve">24.3有下列情形之一的，磋商保证金将不予退还： </w:t>
      </w:r>
    </w:p>
    <w:p w14:paraId="0FA41F32">
      <w:pPr>
        <w:spacing w:line="400" w:lineRule="exact"/>
        <w:ind w:firstLine="420"/>
        <w:rPr>
          <w:rFonts w:ascii="宋体" w:hAnsi="宋体"/>
          <w:color w:val="000000"/>
          <w:szCs w:val="21"/>
          <w:highlight w:val="none"/>
        </w:rPr>
      </w:pPr>
      <w:r>
        <w:rPr>
          <w:rFonts w:ascii="宋体" w:hAnsi="宋体"/>
          <w:color w:val="000000"/>
          <w:szCs w:val="21"/>
        </w:rPr>
        <w:t>（1）供应商在规定的磋商有效期内撤回或修改其响应文件；</w:t>
      </w:r>
    </w:p>
    <w:p w14:paraId="2082BF2F">
      <w:pPr>
        <w:spacing w:line="400" w:lineRule="exact"/>
        <w:ind w:firstLine="420"/>
        <w:rPr>
          <w:rFonts w:ascii="宋体" w:hAnsi="宋体"/>
          <w:color w:val="000000"/>
          <w:szCs w:val="21"/>
          <w:highlight w:val="none"/>
        </w:rPr>
      </w:pPr>
      <w:r>
        <w:rPr>
          <w:rFonts w:ascii="宋体" w:hAnsi="宋体"/>
          <w:color w:val="000000"/>
          <w:szCs w:val="21"/>
        </w:rPr>
        <w:t>（2）</w:t>
      </w:r>
      <w:r>
        <w:rPr>
          <w:rFonts w:ascii="宋体" w:hAnsi="宋体"/>
          <w:color w:val="000000"/>
          <w:szCs w:val="21"/>
          <w:lang w:eastAsia="zh-CN"/>
        </w:rPr>
        <w:t>成交</w:t>
      </w:r>
      <w:r>
        <w:rPr>
          <w:rFonts w:ascii="宋体" w:hAnsi="宋体"/>
          <w:color w:val="000000"/>
          <w:szCs w:val="21"/>
        </w:rPr>
        <w:t>通知书发出后三十天内，成交供应商无正当理由拒签合同协议书或未按</w:t>
      </w:r>
      <w:r>
        <w:rPr>
          <w:rFonts w:ascii="宋体" w:hAnsi="宋体"/>
          <w:color w:val="000000"/>
          <w:szCs w:val="21"/>
          <w:lang w:eastAsia="zh-CN"/>
        </w:rPr>
        <w:t>采购文件</w:t>
      </w:r>
      <w:r>
        <w:rPr>
          <w:rFonts w:ascii="宋体" w:hAnsi="宋体"/>
          <w:color w:val="000000"/>
          <w:szCs w:val="21"/>
        </w:rPr>
        <w:t>规定提交履约担保。</w:t>
      </w:r>
    </w:p>
    <w:p w14:paraId="08FAA74E">
      <w:pPr>
        <w:spacing w:line="400" w:lineRule="exact"/>
        <w:ind w:firstLine="420"/>
        <w:rPr>
          <w:rFonts w:ascii="宋体" w:hAnsi="宋体"/>
          <w:color w:val="000000"/>
          <w:szCs w:val="21"/>
          <w:highlight w:val="none"/>
        </w:rPr>
      </w:pPr>
      <w:r>
        <w:rPr>
          <w:rFonts w:ascii="宋体" w:hAnsi="宋体"/>
          <w:color w:val="000000"/>
          <w:szCs w:val="21"/>
        </w:rPr>
        <w:t>（3）提供虚假材料谋取成交的；</w:t>
      </w:r>
    </w:p>
    <w:p w14:paraId="3FC78DD0">
      <w:pPr>
        <w:spacing w:line="400" w:lineRule="exact"/>
        <w:ind w:firstLine="420"/>
        <w:rPr>
          <w:rFonts w:ascii="宋体" w:hAnsi="宋体"/>
          <w:color w:val="000000"/>
          <w:szCs w:val="21"/>
          <w:highlight w:val="none"/>
        </w:rPr>
      </w:pPr>
      <w:r>
        <w:rPr>
          <w:rFonts w:ascii="宋体" w:hAnsi="宋体"/>
          <w:color w:val="000000"/>
          <w:szCs w:val="21"/>
        </w:rPr>
        <w:t>（4）经查实属于陪标、串通响应的等。</w:t>
      </w:r>
    </w:p>
    <w:p w14:paraId="16E7CD0C">
      <w:pPr>
        <w:spacing w:line="400" w:lineRule="exact"/>
        <w:ind w:firstLine="420"/>
        <w:rPr>
          <w:rFonts w:ascii="宋体" w:hAnsi="宋体"/>
          <w:color w:val="000000"/>
          <w:szCs w:val="21"/>
          <w:highlight w:val="none"/>
        </w:rPr>
      </w:pPr>
      <w:r>
        <w:rPr>
          <w:rFonts w:ascii="宋体" w:hAnsi="宋体"/>
          <w:color w:val="000000"/>
          <w:szCs w:val="21"/>
        </w:rPr>
        <w:t>24.4磋商保证金按</w:t>
      </w:r>
      <w:r>
        <w:rPr>
          <w:rFonts w:ascii="宋体" w:hAnsi="宋体"/>
          <w:color w:val="000000"/>
          <w:szCs w:val="21"/>
          <w:lang w:eastAsia="zh-CN"/>
        </w:rPr>
        <w:t>供应商须知前附表第</w:t>
      </w:r>
      <w:r>
        <w:rPr>
          <w:rFonts w:ascii="宋体" w:hAnsi="宋体"/>
          <w:color w:val="000000"/>
          <w:szCs w:val="21"/>
          <w:lang w:val="en-US" w:eastAsia="zh-CN"/>
        </w:rPr>
        <w:t>24条</w:t>
      </w:r>
      <w:r>
        <w:rPr>
          <w:rFonts w:ascii="宋体" w:hAnsi="宋体"/>
          <w:color w:val="000000"/>
          <w:szCs w:val="21"/>
        </w:rPr>
        <w:t>规定执行。</w:t>
      </w:r>
    </w:p>
    <w:p w14:paraId="12672B1C">
      <w:pPr>
        <w:pStyle w:val="2"/>
        <w:bidi w:val="0"/>
        <w:jc w:val="center"/>
        <w:rPr>
          <w:color w:val="000000"/>
          <w:sz w:val="28"/>
          <w:szCs w:val="28"/>
          <w:highlight w:val="none"/>
        </w:rPr>
      </w:pPr>
      <w:r>
        <w:rPr>
          <w:color w:val="000000"/>
          <w:sz w:val="28"/>
          <w:szCs w:val="28"/>
        </w:rPr>
        <w:t>（四）响应文件的制作、上传及递交要求</w:t>
      </w:r>
    </w:p>
    <w:p w14:paraId="58A5CEB5">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25.</w:t>
      </w:r>
      <w:r>
        <w:rPr>
          <w:rFonts w:ascii="宋体" w:hAnsi="宋体" w:cs="宋体"/>
          <w:b/>
          <w:bCs/>
          <w:color w:val="000000"/>
          <w:sz w:val="21"/>
          <w:szCs w:val="21"/>
        </w:rPr>
        <w:t>响应文件的制作要求</w:t>
      </w:r>
    </w:p>
    <w:p w14:paraId="1819DE87">
      <w:pPr>
        <w:pStyle w:val="47"/>
        <w:snapToGrid w:val="0"/>
        <w:spacing w:line="360" w:lineRule="auto"/>
        <w:rPr>
          <w:rFonts w:ascii="宋体" w:hAnsi="宋体" w:eastAsia="宋体" w:cs="宋体"/>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1</w:t>
      </w:r>
      <w:r>
        <w:rPr>
          <w:rFonts w:ascii="宋体" w:hAnsi="宋体" w:cs="宋体"/>
          <w:b w:val="0"/>
          <w:bCs/>
          <w:color w:val="000000"/>
          <w:sz w:val="21"/>
          <w:szCs w:val="21"/>
        </w:rPr>
        <w:t>）供应商应按照响应文件组成内容及项目采购需求和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政府采购云平台要求制作响应文件，不按采购文件和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政府采购云平台要求制作响应文件的将视情况处理（拒收等），由此产生的责任由供应商自行承担。</w:t>
      </w:r>
    </w:p>
    <w:p w14:paraId="463EF194">
      <w:pPr>
        <w:pStyle w:val="47"/>
        <w:snapToGrid w:val="0"/>
        <w:spacing w:line="360" w:lineRule="auto"/>
        <w:ind w:firstLine="420"/>
        <w:rPr>
          <w:rFonts w:ascii="宋体" w:hAnsi="宋体" w:eastAsia="宋体" w:cs="宋体"/>
          <w:b w:val="0"/>
          <w:color w:val="000000"/>
          <w:sz w:val="21"/>
          <w:szCs w:val="21"/>
          <w:highlight w:val="none"/>
        </w:rPr>
      </w:pPr>
      <w:r>
        <w:rPr>
          <w:rFonts w:ascii="宋体" w:hAnsi="宋体" w:cs="宋体"/>
          <w:bCs/>
          <w:color w:val="000000"/>
          <w:sz w:val="21"/>
          <w:szCs w:val="21"/>
        </w:rPr>
        <w:t>电子响应文件部分：供应商应根据“政采云供应商项目采购</w:t>
      </w:r>
      <w:r>
        <w:rPr>
          <w:rFonts w:ascii="宋体" w:hAnsi="宋体" w:eastAsia="宋体" w:cs="宋体"/>
          <w:bCs/>
          <w:color w:val="000000"/>
          <w:sz w:val="21"/>
          <w:szCs w:val="21"/>
        </w:rPr>
        <w:t>-</w:t>
      </w:r>
      <w:r>
        <w:rPr>
          <w:rFonts w:ascii="宋体" w:hAnsi="宋体" w:cs="宋体"/>
          <w:bCs/>
          <w:color w:val="000000"/>
          <w:sz w:val="21"/>
          <w:szCs w:val="21"/>
        </w:rPr>
        <w:t>电子招投标操作指南”及本采购文件规定的格式和顺序编制电子响应文件并进行关联定位。本文件《第六章 响应文件格式》中有提供格式的，供应商应按照格式进行编制（格式中要求提供相关证明材料的还需后附相关证明材料），并按格式要求在指定位置根据要求进行签章，否则视为未提供；本文件《第六章响应文件格式》未提供格式的，请供应商自行拟定格式，并加盖单位公章，否则视为未提供。</w:t>
      </w:r>
    </w:p>
    <w:p w14:paraId="6FF6E8DE">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）供应商应对所提供的全部资料的真实性、有效性承担法律责任，电子响应文件中所须加盖公章部分均采用</w:t>
      </w:r>
      <w:r>
        <w:rPr>
          <w:rFonts w:ascii="宋体" w:hAnsi="宋体" w:eastAsia="宋体" w:cs="宋体"/>
          <w:b w:val="0"/>
          <w:bCs/>
          <w:color w:val="000000"/>
          <w:sz w:val="21"/>
          <w:szCs w:val="21"/>
        </w:rPr>
        <w:t>CA</w:t>
      </w:r>
      <w:r>
        <w:rPr>
          <w:rFonts w:ascii="宋体" w:hAnsi="宋体" w:cs="宋体"/>
          <w:b w:val="0"/>
          <w:bCs/>
          <w:color w:val="000000"/>
          <w:sz w:val="21"/>
          <w:szCs w:val="21"/>
        </w:rPr>
        <w:t>签章。</w:t>
      </w:r>
    </w:p>
    <w:p w14:paraId="2DC1F60F">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）响应文件以及供应商与采购组织机构就有关响应事宜的所有来往函电，均应以中文汉语书写。除签字、盖章、专用名称等特殊情形外，以中文汉语以外的文字表述的响应文件视同未提供。</w:t>
      </w:r>
    </w:p>
    <w:p w14:paraId="376C28E3">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4</w:t>
      </w:r>
      <w:r>
        <w:rPr>
          <w:rFonts w:ascii="宋体" w:hAnsi="宋体" w:cs="宋体"/>
          <w:b w:val="0"/>
          <w:bCs/>
          <w:color w:val="000000"/>
          <w:sz w:val="21"/>
          <w:szCs w:val="21"/>
        </w:rPr>
        <w:t>）响应计量单位，采购文件已有明确规定的，使用采购文件规定的计量单位；采购文件没有规定的，应采用中华人民共和国法定计量单位（货币单位：人民币元）。</w:t>
      </w:r>
    </w:p>
    <w:p w14:paraId="7DF66CFE">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5</w:t>
      </w:r>
      <w:r>
        <w:rPr>
          <w:rFonts w:ascii="宋体" w:hAnsi="宋体" w:cs="宋体"/>
          <w:b w:val="0"/>
          <w:bCs/>
          <w:color w:val="000000"/>
          <w:sz w:val="21"/>
          <w:szCs w:val="21"/>
        </w:rPr>
        <w:t>）若供应商不按采购文件的要求提供资格审查材料，其风险由供应商自行承担。</w:t>
      </w:r>
    </w:p>
    <w:p w14:paraId="7AAE62A9">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6</w:t>
      </w:r>
      <w:r>
        <w:rPr>
          <w:rFonts w:ascii="宋体" w:hAnsi="宋体" w:cs="宋体"/>
          <w:b w:val="0"/>
          <w:bCs/>
          <w:color w:val="000000"/>
          <w:sz w:val="21"/>
          <w:szCs w:val="21"/>
        </w:rPr>
        <w:t>）与本次响应无关的内容请不要制作在内，确保响应文件有针对性、简洁明了。</w:t>
      </w:r>
    </w:p>
    <w:p w14:paraId="65F1BCBD">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26.</w:t>
      </w:r>
      <w:r>
        <w:rPr>
          <w:rFonts w:ascii="宋体" w:hAnsi="宋体" w:cs="宋体"/>
          <w:b/>
          <w:bCs/>
          <w:color w:val="000000"/>
          <w:sz w:val="21"/>
          <w:szCs w:val="21"/>
        </w:rPr>
        <w:t>响应文件的上传</w:t>
      </w:r>
    </w:p>
    <w:p w14:paraId="46F4E392">
      <w:pPr>
        <w:pStyle w:val="47"/>
        <w:snapToGrid w:val="0"/>
        <w:spacing w:line="360" w:lineRule="auto"/>
        <w:rPr>
          <w:rFonts w:ascii="宋体" w:hAnsi="宋体" w:eastAsia="宋体" w:cs="宋体"/>
          <w:b/>
          <w:bCs/>
          <w:color w:val="000000"/>
          <w:sz w:val="21"/>
          <w:szCs w:val="21"/>
          <w:highlight w:val="none"/>
        </w:rPr>
      </w:pPr>
      <w:r>
        <w:rPr>
          <w:rFonts w:ascii="宋体" w:hAnsi="宋体" w:cs="宋体"/>
          <w:b/>
          <w:bCs/>
          <w:color w:val="000000"/>
          <w:sz w:val="21"/>
          <w:szCs w:val="21"/>
        </w:rPr>
        <w:t>（</w:t>
      </w:r>
      <w:r>
        <w:rPr>
          <w:rFonts w:ascii="宋体" w:hAnsi="宋体" w:eastAsia="宋体" w:cs="宋体"/>
          <w:b/>
          <w:bCs/>
          <w:color w:val="000000"/>
          <w:sz w:val="21"/>
          <w:szCs w:val="21"/>
        </w:rPr>
        <w:t>1</w:t>
      </w:r>
      <w:r>
        <w:rPr>
          <w:rFonts w:ascii="宋体" w:hAnsi="宋体" w:cs="宋体"/>
          <w:b/>
          <w:bCs/>
          <w:color w:val="000000"/>
          <w:sz w:val="21"/>
          <w:szCs w:val="21"/>
        </w:rPr>
        <w:t>）</w:t>
      </w:r>
      <w:r>
        <w:rPr>
          <w:rFonts w:ascii="宋体" w:hAnsi="宋体" w:cs="宋体"/>
          <w:b/>
          <w:bCs/>
          <w:color w:val="000000"/>
          <w:sz w:val="21"/>
          <w:szCs w:val="21"/>
          <w:lang w:bidi="zh-CN"/>
        </w:rPr>
        <w:t>电子加密响应文件（“</w:t>
      </w:r>
      <w:r>
        <w:rPr>
          <w:rFonts w:ascii="宋体" w:hAnsi="宋体" w:eastAsia="宋体" w:cs="宋体"/>
          <w:b/>
          <w:bCs/>
          <w:color w:val="000000"/>
          <w:sz w:val="21"/>
          <w:szCs w:val="21"/>
          <w:lang w:bidi="zh-CN"/>
        </w:rPr>
        <w:t>.jmbs”</w:t>
      </w:r>
      <w:r>
        <w:rPr>
          <w:rFonts w:ascii="宋体" w:hAnsi="宋体" w:cs="宋体"/>
          <w:b/>
          <w:bCs/>
          <w:color w:val="000000"/>
          <w:sz w:val="21"/>
          <w:szCs w:val="21"/>
          <w:lang w:bidi="zh-CN"/>
        </w:rPr>
        <w:t>格式）</w:t>
      </w:r>
      <w:r>
        <w:rPr>
          <w:rFonts w:ascii="宋体" w:hAnsi="宋体" w:cs="宋体"/>
          <w:b/>
          <w:bCs/>
          <w:color w:val="000000"/>
          <w:sz w:val="21"/>
          <w:szCs w:val="21"/>
        </w:rPr>
        <w:t>：</w:t>
      </w:r>
    </w:p>
    <w:p w14:paraId="5F45DD1F">
      <w:pPr>
        <w:pStyle w:val="47"/>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a.</w:t>
      </w:r>
      <w:r>
        <w:rPr>
          <w:rFonts w:ascii="宋体" w:hAnsi="宋体" w:eastAsia="宋体" w:cs="宋体"/>
          <w:b w:val="0"/>
          <w:bCs/>
          <w:color w:val="000000"/>
          <w:kern w:val="0"/>
          <w:sz w:val="21"/>
          <w:szCs w:val="21"/>
        </w:rPr>
        <w:t xml:space="preserve"> </w:t>
      </w:r>
      <w:r>
        <w:rPr>
          <w:rFonts w:ascii="宋体" w:hAnsi="宋体" w:cs="宋体"/>
          <w:b w:val="0"/>
          <w:bCs/>
          <w:color w:val="000000"/>
          <w:sz w:val="21"/>
          <w:szCs w:val="21"/>
          <w:lang w:bidi="zh-CN"/>
        </w:rPr>
        <w:t>供应商应在响应文件递交截止时间前将电子加密响应文件成功上传递交至新疆政府采购云平台，否则响应无效；</w:t>
      </w:r>
    </w:p>
    <w:p w14:paraId="4BEE5118">
      <w:pPr>
        <w:pStyle w:val="47"/>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供应商成功上传电子加密响应文件后，可自行打印响应文件接收回执。</w:t>
      </w:r>
    </w:p>
    <w:p w14:paraId="58A9741E">
      <w:pPr>
        <w:pStyle w:val="47"/>
        <w:snapToGrid w:val="0"/>
        <w:spacing w:line="360" w:lineRule="auto"/>
        <w:rPr>
          <w:rFonts w:ascii="宋体" w:hAnsi="宋体" w:eastAsia="宋体" w:cs="宋体"/>
          <w:b/>
          <w:bCs/>
          <w:color w:val="000000"/>
          <w:sz w:val="21"/>
          <w:szCs w:val="21"/>
          <w:highlight w:val="none"/>
          <w:lang w:bidi="zh-CN"/>
        </w:rPr>
      </w:pPr>
      <w:r>
        <w:rPr>
          <w:rFonts w:ascii="宋体" w:hAnsi="宋体" w:cs="宋体"/>
          <w:b/>
          <w:bCs/>
          <w:color w:val="000000"/>
          <w:sz w:val="21"/>
          <w:szCs w:val="21"/>
        </w:rPr>
        <w:t>（</w:t>
      </w:r>
      <w:r>
        <w:rPr>
          <w:rFonts w:ascii="宋体" w:hAnsi="宋体" w:eastAsia="宋体" w:cs="宋体"/>
          <w:b/>
          <w:bCs/>
          <w:color w:val="000000"/>
          <w:sz w:val="21"/>
          <w:szCs w:val="21"/>
        </w:rPr>
        <w:t>2</w:t>
      </w:r>
      <w:r>
        <w:rPr>
          <w:rFonts w:ascii="宋体" w:hAnsi="宋体" w:cs="宋体"/>
          <w:b/>
          <w:bCs/>
          <w:color w:val="000000"/>
          <w:sz w:val="21"/>
          <w:szCs w:val="21"/>
        </w:rPr>
        <w:t>）</w:t>
      </w:r>
      <w:r>
        <w:rPr>
          <w:rFonts w:ascii="宋体" w:hAnsi="宋体" w:cs="宋体"/>
          <w:b/>
          <w:bCs/>
          <w:color w:val="000000"/>
          <w:sz w:val="21"/>
          <w:szCs w:val="21"/>
          <w:lang w:bidi="zh-CN"/>
        </w:rPr>
        <w:t>备份响应文件（“</w:t>
      </w:r>
      <w:r>
        <w:rPr>
          <w:rFonts w:ascii="宋体" w:hAnsi="宋体" w:eastAsia="宋体" w:cs="宋体"/>
          <w:b/>
          <w:bCs/>
          <w:color w:val="000000"/>
          <w:sz w:val="21"/>
          <w:szCs w:val="21"/>
          <w:lang w:bidi="zh-CN"/>
        </w:rPr>
        <w:t>.bfbs”</w:t>
      </w:r>
      <w:r>
        <w:rPr>
          <w:rFonts w:ascii="宋体" w:hAnsi="宋体" w:cs="宋体"/>
          <w:b/>
          <w:bCs/>
          <w:color w:val="000000"/>
          <w:sz w:val="21"/>
          <w:szCs w:val="21"/>
          <w:lang w:bidi="zh-CN"/>
        </w:rPr>
        <w:t>格式）：</w:t>
      </w:r>
    </w:p>
    <w:p w14:paraId="5E385622">
      <w:pPr>
        <w:pStyle w:val="47"/>
        <w:snapToGrid w:val="0"/>
        <w:spacing w:line="360" w:lineRule="auto"/>
        <w:ind w:firstLine="525"/>
        <w:rPr>
          <w:rFonts w:ascii="宋体" w:hAnsi="宋体" w:eastAsia="宋体" w:cs="宋体"/>
          <w:color w:val="000000"/>
          <w:sz w:val="21"/>
          <w:szCs w:val="21"/>
          <w:highlight w:val="none"/>
          <w:lang w:val="en-US" w:bidi="zh-CN"/>
        </w:rPr>
      </w:pPr>
      <w:r>
        <w:rPr>
          <w:rFonts w:ascii="宋体" w:hAnsi="宋体" w:eastAsia="宋体" w:cs="宋体"/>
          <w:b w:val="0"/>
          <w:bCs/>
          <w:color w:val="000000"/>
          <w:sz w:val="21"/>
          <w:szCs w:val="21"/>
          <w:lang w:bidi="zh-CN"/>
        </w:rPr>
        <w:t>a.</w:t>
      </w:r>
      <w:r>
        <w:rPr>
          <w:rFonts w:ascii="宋体" w:hAnsi="宋体" w:cs="宋体"/>
          <w:b w:val="0"/>
          <w:bCs/>
          <w:color w:val="000000"/>
          <w:sz w:val="21"/>
          <w:szCs w:val="21"/>
          <w:lang w:bidi="zh-CN"/>
        </w:rPr>
        <w:t>供应商可以将备份响应文件打包压缩并加密，压缩包命名为“</w:t>
      </w:r>
      <w:r>
        <w:rPr>
          <w:rFonts w:ascii="宋体" w:hAnsi="宋体" w:eastAsia="宋体" w:cs="宋体"/>
          <w:b w:val="0"/>
          <w:bCs/>
          <w:color w:val="000000"/>
          <w:sz w:val="21"/>
          <w:szCs w:val="21"/>
          <w:lang w:bidi="zh-CN"/>
        </w:rPr>
        <w:t>XX</w:t>
      </w:r>
      <w:r>
        <w:rPr>
          <w:rFonts w:ascii="宋体" w:hAnsi="宋体" w:cs="宋体"/>
          <w:b w:val="0"/>
          <w:bCs/>
          <w:color w:val="000000"/>
          <w:sz w:val="21"/>
          <w:szCs w:val="21"/>
          <w:lang w:bidi="zh-CN"/>
        </w:rPr>
        <w:t>单位备份响应文件”，加密密码由供应商自行保管；送达时间以采购代理机构实际接收时间为准。</w:t>
      </w:r>
      <w:r>
        <w:rPr>
          <w:rFonts w:ascii="宋体" w:hAnsi="宋体" w:cs="宋体"/>
          <w:color w:val="000000"/>
          <w:sz w:val="21"/>
          <w:szCs w:val="21"/>
          <w:lang w:bidi="zh-CN"/>
        </w:rPr>
        <w:t>“备份响应文件”以响应文件递交截止时间前指定接收邮箱最终收到的文件为准，逾期或未按要求提供的视为未提供，建议供应商提前</w:t>
      </w:r>
      <w:r>
        <w:rPr>
          <w:rFonts w:ascii="宋体" w:hAnsi="宋体" w:eastAsia="宋体" w:cs="宋体"/>
          <w:color w:val="000000"/>
          <w:sz w:val="21"/>
          <w:szCs w:val="21"/>
          <w:lang w:bidi="zh-CN"/>
        </w:rPr>
        <w:t>1</w:t>
      </w:r>
      <w:r>
        <w:rPr>
          <w:rFonts w:ascii="宋体" w:hAnsi="宋体" w:cs="宋体"/>
          <w:color w:val="000000"/>
          <w:sz w:val="21"/>
          <w:szCs w:val="21"/>
          <w:lang w:bidi="zh-CN"/>
        </w:rPr>
        <w:t>日办理邮件提供事宜</w:t>
      </w:r>
      <w:r>
        <w:rPr>
          <w:rFonts w:ascii="宋体" w:hAnsi="宋体" w:cs="宋体"/>
          <w:color w:val="000000"/>
          <w:sz w:val="21"/>
          <w:szCs w:val="21"/>
        </w:rPr>
        <w:t>（</w:t>
      </w:r>
      <w:r>
        <w:rPr>
          <w:rFonts w:ascii="宋体" w:hAnsi="宋体" w:cs="宋体"/>
          <w:b/>
          <w:bCs/>
          <w:color w:val="000000"/>
          <w:sz w:val="21"/>
          <w:szCs w:val="21"/>
          <w:lang w:val="en-US" w:eastAsia="zh-CN"/>
        </w:rPr>
        <w:t>接收人邮箱：1499247858@qq.com，</w:t>
      </w:r>
      <w:r>
        <w:rPr>
          <w:rFonts w:ascii="宋体" w:hAnsi="宋体" w:cs="宋体"/>
          <w:color w:val="000000"/>
          <w:sz w:val="21"/>
          <w:szCs w:val="21"/>
          <w:lang w:val="en-US" w:eastAsia="zh-CN" w:bidi="zh-CN"/>
        </w:rPr>
        <w:t>联系人：施女士   联系电话：19990496023</w:t>
      </w:r>
    </w:p>
    <w:p w14:paraId="0A3E7B65">
      <w:pPr>
        <w:pStyle w:val="47"/>
        <w:snapToGrid w:val="0"/>
        <w:spacing w:line="360" w:lineRule="auto"/>
        <w:ind w:firstLine="525"/>
      </w:pP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通过“新疆政府采购云平台”成功上传递交的“电子加密响应文件”已按时解密的，“备份响应文件”自动失效。响应文件递交截止时间前，供应商仅递交了“备份响应文件”而未将“电子加密响应文件”成功上传至“政府采购云平台”的，响应无效。</w:t>
      </w:r>
    </w:p>
    <w:p w14:paraId="1E9F745E">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27.</w:t>
      </w:r>
      <w:r>
        <w:rPr>
          <w:rFonts w:ascii="宋体" w:hAnsi="宋体" w:cs="宋体"/>
          <w:b/>
          <w:color w:val="000000"/>
          <w:sz w:val="21"/>
          <w:szCs w:val="21"/>
        </w:rPr>
        <w:t>响应文件的递交要求</w:t>
      </w:r>
    </w:p>
    <w:p w14:paraId="30ABE233">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）供应商须按照采购文件和政采云平台的要求编制并加密响应文件。在响应文件递交截止时间以前完成响应文件的传输递交，截止时间后递交的响应文件，将被拒收。</w:t>
      </w:r>
    </w:p>
    <w:p w14:paraId="24C94C96">
      <w:pPr>
        <w:tabs>
          <w:tab w:val="left" w:pos="1418"/>
        </w:tabs>
        <w:autoSpaceDE w:val="0"/>
        <w:snapToGrid w:val="0"/>
        <w:spacing w:line="360" w:lineRule="auto"/>
        <w:ind w:firstLine="420"/>
        <w:rPr>
          <w:rFonts w:ascii="宋体" w:hAnsi="宋体" w:cs="宋体"/>
          <w:color w:val="000000"/>
          <w:szCs w:val="21"/>
          <w:highlight w:val="none"/>
        </w:rPr>
      </w:pPr>
      <w:r>
        <w:rPr>
          <w:rFonts w:ascii="宋体" w:hAnsi="宋体" w:cs="宋体"/>
          <w:color w:val="000000"/>
          <w:sz w:val="21"/>
          <w:szCs w:val="21"/>
        </w:rPr>
        <w:t>（</w:t>
      </w:r>
      <w:r>
        <w:rPr>
          <w:rFonts w:ascii="宋体" w:hAnsi="宋体" w:eastAsia="宋体" w:cs="宋体"/>
          <w:color w:val="000000"/>
          <w:sz w:val="21"/>
          <w:szCs w:val="21"/>
          <w:lang w:val="en-US" w:eastAsia="zh-CN"/>
        </w:rPr>
        <w:t>2</w:t>
      </w:r>
      <w:r>
        <w:rPr>
          <w:rFonts w:ascii="宋体" w:hAnsi="宋体" w:cs="宋体"/>
          <w:color w:val="000000"/>
          <w:sz w:val="21"/>
          <w:szCs w:val="21"/>
        </w:rPr>
        <w:t>）如有特殊情况，采购组织机构延长截止时间和响应文件开启时间，采购组织机构和供应商的权利和义务将受到新的截止时间和响应文件开启时间的约束。</w:t>
      </w:r>
    </w:p>
    <w:p w14:paraId="33AB07A9">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28</w:t>
      </w:r>
      <w:r>
        <w:rPr>
          <w:rFonts w:ascii="宋体" w:hAnsi="宋体" w:cs="宋体"/>
          <w:b/>
          <w:bCs/>
          <w:color w:val="000000"/>
          <w:sz w:val="21"/>
          <w:szCs w:val="21"/>
          <w:lang w:val="en-US" w:eastAsia="zh-CN"/>
        </w:rPr>
        <w:t>．响应文件的补充、修改与撤回</w:t>
      </w:r>
    </w:p>
    <w:p w14:paraId="529E1BEE">
      <w:pPr>
        <w:tabs>
          <w:tab w:val="left" w:pos="960"/>
          <w:tab w:val="left" w:pos="1418"/>
        </w:tabs>
        <w:autoSpaceDE w:val="0"/>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供应商应当在响应文件递交截止时间前完成电子交易文件的传输递交，响应文件递交截止时间前可以补充、修改或者撤回电子交易文件。补充或者修改电子交易文件的，应当先行撤回原文件，补充、修改后重新传输递交。响应文件递交截止时间前未完成传输的，视为响应文件撤回。响应文件递交截止时间后传输递交的响应文件，“政府采购云平台”将予以拒收。响应文件递交截止时间后，供应商不得修改（补充）或撤回其响应文件。</w:t>
      </w:r>
    </w:p>
    <w:p w14:paraId="68637578">
      <w:pPr>
        <w:keepNext w:val="0"/>
        <w:keepLines w:val="0"/>
        <w:pageBreakBefore w:val="0"/>
        <w:widowControl w:val="0"/>
        <w:numPr>
          <w:ilvl w:val="0"/>
          <w:numId w:val="0"/>
        </w:numPr>
        <w:kinsoku/>
        <w:overflowPunct/>
        <w:autoSpaceDE/>
        <w:bidi w:val="0"/>
        <w:snapToGrid/>
        <w:spacing w:before="313" w:after="313" w:line="440" w:lineRule="exact"/>
        <w:jc w:val="center"/>
        <w:textAlignment w:val="auto"/>
        <w:outlineLvl w:val="2"/>
        <w:rPr>
          <w:rFonts w:ascii="黑体" w:hAnsi="黑体" w:eastAsia="黑体"/>
          <w:color w:val="000000"/>
          <w:sz w:val="28"/>
          <w:szCs w:val="28"/>
          <w:highlight w:val="none"/>
        </w:rPr>
      </w:pPr>
      <w:r>
        <w:rPr>
          <w:rFonts w:ascii="黑体" w:hAnsi="黑体" w:eastAsia="黑体"/>
          <w:color w:val="000000"/>
          <w:sz w:val="28"/>
          <w:szCs w:val="28"/>
        </w:rPr>
        <w:t>（五）开 标、评审和定标</w:t>
      </w:r>
    </w:p>
    <w:p w14:paraId="6BCD975B">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 xml:space="preserve">29. </w:t>
      </w:r>
      <w:r>
        <w:rPr>
          <w:rFonts w:ascii="宋体" w:hAnsi="宋体" w:cs="宋体"/>
          <w:b/>
          <w:bCs/>
          <w:color w:val="000000"/>
          <w:sz w:val="21"/>
          <w:szCs w:val="21"/>
          <w:lang w:val="en-US" w:eastAsia="zh-CN"/>
        </w:rPr>
        <w:t>开启响应文件</w:t>
      </w:r>
    </w:p>
    <w:p w14:paraId="2EF8E71E">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29.1</w:t>
      </w:r>
      <w:r>
        <w:rPr>
          <w:rFonts w:ascii="宋体" w:hAnsi="宋体" w:cs="宋体"/>
          <w:b/>
          <w:bCs/>
          <w:color w:val="000000"/>
          <w:sz w:val="21"/>
          <w:szCs w:val="21"/>
          <w:lang w:val="en-US" w:eastAsia="zh-CN"/>
        </w:rPr>
        <w:t>开启响应文件邀请</w:t>
      </w:r>
    </w:p>
    <w:p w14:paraId="04803760">
      <w:pPr>
        <w:pStyle w:val="50"/>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1</w:t>
      </w:r>
      <w:r>
        <w:rPr>
          <w:rFonts w:ascii="宋体" w:hAnsi="宋体" w:cs="宋体"/>
          <w:b w:val="0"/>
          <w:bCs/>
          <w:color w:val="000000"/>
          <w:sz w:val="21"/>
          <w:szCs w:val="21"/>
          <w:lang w:eastAsia="zh-CN"/>
        </w:rPr>
        <w:t>）</w:t>
      </w:r>
      <w:r>
        <w:rPr>
          <w:rFonts w:ascii="宋体" w:hAnsi="宋体" w:cs="宋体"/>
          <w:b w:val="0"/>
          <w:bCs/>
          <w:color w:val="000000"/>
          <w:sz w:val="21"/>
          <w:szCs w:val="21"/>
        </w:rPr>
        <w:t>开启响应文件准备：本项目开启响应文件的准备工作由采购组织机构负责落实，响应文件开启过程由采购组织机构负责记录；</w:t>
      </w:r>
    </w:p>
    <w:p w14:paraId="5F946CBA">
      <w:pPr>
        <w:pStyle w:val="50"/>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2</w:t>
      </w:r>
      <w:r>
        <w:rPr>
          <w:rFonts w:ascii="宋体" w:hAnsi="宋体" w:cs="宋体"/>
          <w:b w:val="0"/>
          <w:bCs/>
          <w:color w:val="000000"/>
          <w:sz w:val="21"/>
          <w:szCs w:val="21"/>
          <w:lang w:val="en-US" w:eastAsia="zh-CN"/>
        </w:rPr>
        <w:t>）</w:t>
      </w:r>
      <w:r>
        <w:rPr>
          <w:rFonts w:ascii="宋体" w:hAnsi="宋体" w:cs="宋体"/>
          <w:b w:val="0"/>
          <w:bCs/>
          <w:color w:val="000000"/>
          <w:sz w:val="21"/>
          <w:szCs w:val="21"/>
        </w:rPr>
        <w:t>开启响应文件主持：本项目开启响应文件由采购人或者采购代理机构主持；</w:t>
      </w:r>
    </w:p>
    <w:p w14:paraId="013CD35F">
      <w:pPr>
        <w:pStyle w:val="50"/>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3</w:t>
      </w:r>
      <w:r>
        <w:rPr>
          <w:rFonts w:ascii="宋体" w:hAnsi="宋体" w:cs="宋体"/>
          <w:b w:val="0"/>
          <w:color w:val="000000"/>
          <w:sz w:val="21"/>
          <w:szCs w:val="21"/>
          <w:lang w:eastAsia="zh-CN"/>
        </w:rPr>
        <w:t>）</w:t>
      </w:r>
      <w:r>
        <w:rPr>
          <w:rFonts w:ascii="宋体" w:hAnsi="宋体" w:cs="宋体"/>
          <w:b w:val="0"/>
          <w:color w:val="000000"/>
          <w:sz w:val="21"/>
          <w:szCs w:val="21"/>
        </w:rPr>
        <w:t>开启响应文件邀请：本项目采用电子交易，采购组织机构将按照采购文件规定的时间通过“</w:t>
      </w:r>
      <w:r>
        <w:rPr>
          <w:rFonts w:ascii="宋体" w:hAnsi="宋体" w:cs="宋体"/>
          <w:b w:val="0"/>
          <w:color w:val="000000"/>
          <w:sz w:val="21"/>
          <w:szCs w:val="21"/>
          <w:lang w:eastAsia="zh-CN"/>
        </w:rPr>
        <w:t>新疆</w:t>
      </w:r>
      <w:r>
        <w:rPr>
          <w:rFonts w:ascii="宋体" w:hAnsi="宋体" w:cs="宋体"/>
          <w:b w:val="0"/>
          <w:color w:val="000000"/>
          <w:sz w:val="21"/>
          <w:szCs w:val="21"/>
        </w:rPr>
        <w:t>政府采购云平台，网址：</w:t>
      </w:r>
      <w:r>
        <w:fldChar w:fldCharType="begin"/>
      </w:r>
      <w:r>
        <w:instrText xml:space="preserve"> HYPERLINK "http://www.zcygov.cn/" \h </w:instrText>
      </w:r>
      <w:r>
        <w:fldChar w:fldCharType="separate"/>
      </w:r>
      <w:r>
        <w:rPr>
          <w:rStyle w:val="25"/>
          <w:rFonts w:eastAsia="宋体" w:cs="宋体"/>
          <w:b w:val="0"/>
          <w:color w:val="000000"/>
          <w:sz w:val="21"/>
          <w:szCs w:val="21"/>
          <w:u w:val="none"/>
        </w:rPr>
        <w:t>www.zcygov.cn</w:t>
      </w:r>
      <w:r>
        <w:rPr>
          <w:rStyle w:val="25"/>
          <w:rFonts w:eastAsia="宋体" w:cs="宋体"/>
          <w:b w:val="0"/>
          <w:color w:val="000000"/>
          <w:sz w:val="21"/>
          <w:szCs w:val="21"/>
          <w:u w:val="none"/>
        </w:rPr>
        <w:fldChar w:fldCharType="end"/>
      </w:r>
      <w:r>
        <w:rPr>
          <w:rFonts w:eastAsia="宋体" w:cs="宋体"/>
          <w:b w:val="0"/>
          <w:color w:val="000000"/>
          <w:sz w:val="21"/>
          <w:szCs w:val="21"/>
        </w:rPr>
        <w:t>”</w:t>
      </w:r>
      <w:r>
        <w:rPr>
          <w:rFonts w:ascii="宋体" w:hAnsi="宋体" w:cs="宋体"/>
          <w:b w:val="0"/>
          <w:color w:val="000000"/>
          <w:sz w:val="21"/>
          <w:szCs w:val="21"/>
        </w:rPr>
        <w:t>组织开启响应文件、开启响应响应文件，所有供应商均应当准时在线参加。</w:t>
      </w:r>
    </w:p>
    <w:p w14:paraId="4E409E3A">
      <w:pPr>
        <w:pStyle w:val="50"/>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4</w:t>
      </w:r>
      <w:r>
        <w:rPr>
          <w:rFonts w:ascii="宋体" w:hAnsi="宋体" w:cs="宋体"/>
          <w:b w:val="0"/>
          <w:color w:val="000000"/>
          <w:sz w:val="21"/>
          <w:szCs w:val="21"/>
          <w:lang w:eastAsia="zh-CN"/>
        </w:rPr>
        <w:t>）</w:t>
      </w:r>
      <w:r>
        <w:rPr>
          <w:rFonts w:ascii="宋体" w:hAnsi="宋体" w:cs="宋体"/>
          <w:b w:val="0"/>
          <w:color w:val="000000"/>
          <w:sz w:val="21"/>
          <w:szCs w:val="21"/>
        </w:rPr>
        <w:t>供应商对响应文件开启过程和响应文件开启记录有疑义，以及认为采购人、采购代理机构相关工作人员有需要回避的情形的，应当场提出询问或回避申请。供应商未参加开启响应文件的视同认可开启响应文件结果，事后不得对采购相关人员、响应文件开启过程和开启响应文件结果提出异议，同时供应商因未在线参加开启响应文件而导致响应文件无法按时解密等一切后果由供应商自行承担。</w:t>
      </w:r>
    </w:p>
    <w:p w14:paraId="3C105E20">
      <w:pPr>
        <w:numPr>
          <w:ilvl w:val="0"/>
          <w:numId w:val="0"/>
        </w:numPr>
        <w:snapToGrid w:val="0"/>
        <w:spacing w:line="360" w:lineRule="auto"/>
        <w:ind w:firstLine="420"/>
        <w:outlineLvl w:val="2"/>
        <w:rPr>
          <w:rFonts w:ascii="宋体" w:hAnsi="宋体" w:eastAsia="宋体" w:cs="宋体"/>
          <w:b/>
          <w:color w:val="000000"/>
          <w:sz w:val="21"/>
          <w:szCs w:val="21"/>
          <w:highlight w:val="none"/>
        </w:rPr>
      </w:pPr>
      <w:r>
        <w:rPr>
          <w:rFonts w:ascii="宋体" w:hAnsi="宋体" w:eastAsia="宋体" w:cs="宋体"/>
          <w:b/>
          <w:color w:val="000000"/>
          <w:sz w:val="21"/>
          <w:szCs w:val="21"/>
          <w:lang w:val="en-US" w:eastAsia="zh-CN"/>
        </w:rPr>
        <w:t>29.2</w:t>
      </w:r>
      <w:r>
        <w:rPr>
          <w:rFonts w:ascii="宋体" w:hAnsi="宋体" w:cs="宋体"/>
          <w:b/>
          <w:bCs/>
          <w:color w:val="000000"/>
          <w:sz w:val="21"/>
          <w:szCs w:val="21"/>
        </w:rPr>
        <w:t>开启响应文件程序（先资格、商务技术后报价）</w:t>
      </w:r>
    </w:p>
    <w:p w14:paraId="6CA85455">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1</w:t>
      </w:r>
      <w:r>
        <w:rPr>
          <w:rFonts w:ascii="宋体" w:hAnsi="宋体" w:cs="宋体"/>
          <w:color w:val="000000"/>
          <w:sz w:val="21"/>
          <w:szCs w:val="21"/>
          <w:lang w:eastAsia="zh-CN"/>
        </w:rPr>
        <w:t>）</w:t>
      </w:r>
      <w:r>
        <w:rPr>
          <w:rFonts w:ascii="宋体" w:hAnsi="宋体" w:cs="宋体"/>
          <w:color w:val="000000"/>
          <w:sz w:val="21"/>
          <w:szCs w:val="21"/>
        </w:rPr>
        <w:t>响应文件开启时间到后，主持人宣布响应文件开启会议开始。</w:t>
      </w:r>
    </w:p>
    <w:p w14:paraId="5286C01E">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2</w:t>
      </w:r>
      <w:r>
        <w:rPr>
          <w:rFonts w:ascii="宋体" w:hAnsi="宋体" w:cs="宋体"/>
          <w:color w:val="000000"/>
          <w:sz w:val="21"/>
          <w:szCs w:val="21"/>
          <w:lang w:eastAsia="zh-CN"/>
        </w:rPr>
        <w:t>）</w:t>
      </w:r>
      <w:r>
        <w:rPr>
          <w:rFonts w:ascii="宋体" w:hAnsi="宋体" w:cs="宋体"/>
          <w:color w:val="000000"/>
          <w:kern w:val="0"/>
          <w:sz w:val="21"/>
          <w:szCs w:val="21"/>
        </w:rPr>
        <w:t>响应文件解密（</w:t>
      </w:r>
      <w:r>
        <w:rPr>
          <w:rFonts w:ascii="宋体" w:hAnsi="宋体" w:cs="宋体"/>
          <w:b/>
          <w:color w:val="000000"/>
          <w:kern w:val="0"/>
          <w:sz w:val="21"/>
          <w:szCs w:val="21"/>
        </w:rPr>
        <w:t>解密规定见《供应商须知前附表》</w:t>
      </w:r>
      <w:r>
        <w:rPr>
          <w:rFonts w:ascii="宋体" w:hAnsi="宋体" w:cs="宋体"/>
          <w:color w:val="000000"/>
          <w:kern w:val="0"/>
          <w:sz w:val="21"/>
          <w:szCs w:val="21"/>
        </w:rPr>
        <w:t>）</w:t>
      </w:r>
      <w:r>
        <w:rPr>
          <w:rFonts w:ascii="宋体" w:hAnsi="宋体" w:cs="宋体"/>
          <w:color w:val="000000"/>
          <w:sz w:val="21"/>
          <w:szCs w:val="21"/>
        </w:rPr>
        <w:t>。</w:t>
      </w:r>
    </w:p>
    <w:p w14:paraId="472EFC5C">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3</w:t>
      </w:r>
      <w:r>
        <w:rPr>
          <w:rFonts w:ascii="宋体" w:hAnsi="宋体" w:cs="宋体"/>
          <w:color w:val="000000"/>
          <w:sz w:val="21"/>
          <w:szCs w:val="21"/>
          <w:lang w:eastAsia="zh-CN"/>
        </w:rPr>
        <w:t>）</w:t>
      </w:r>
      <w:r>
        <w:rPr>
          <w:rFonts w:ascii="宋体" w:hAnsi="宋体" w:cs="宋体"/>
          <w:color w:val="000000"/>
          <w:kern w:val="0"/>
          <w:sz w:val="21"/>
          <w:szCs w:val="21"/>
        </w:rPr>
        <w:t>响应文件解密异常情况处理（</w:t>
      </w:r>
      <w:r>
        <w:rPr>
          <w:rFonts w:ascii="宋体" w:hAnsi="宋体" w:cs="宋体"/>
          <w:b/>
          <w:color w:val="000000"/>
          <w:kern w:val="0"/>
          <w:sz w:val="21"/>
          <w:szCs w:val="21"/>
        </w:rPr>
        <w:t>处理办法见《供应商须知前附表》</w:t>
      </w:r>
      <w:r>
        <w:rPr>
          <w:rFonts w:ascii="宋体" w:hAnsi="宋体" w:cs="宋体"/>
          <w:color w:val="000000"/>
          <w:kern w:val="0"/>
          <w:sz w:val="21"/>
          <w:szCs w:val="21"/>
        </w:rPr>
        <w:t>）</w:t>
      </w:r>
      <w:r>
        <w:rPr>
          <w:rFonts w:ascii="宋体" w:hAnsi="宋体" w:cs="宋体"/>
          <w:color w:val="000000"/>
          <w:sz w:val="21"/>
          <w:szCs w:val="21"/>
        </w:rPr>
        <w:t>。</w:t>
      </w:r>
    </w:p>
    <w:p w14:paraId="5963EA85">
      <w:pPr>
        <w:snapToGrid w:val="0"/>
        <w:spacing w:line="360" w:lineRule="auto"/>
        <w:ind w:firstLine="420"/>
        <w:rPr>
          <w:rFonts w:ascii="宋体" w:hAnsi="宋体" w:eastAsia="宋体" w:cs="宋体"/>
          <w:color w:val="000000"/>
          <w:kern w:val="0"/>
          <w:sz w:val="21"/>
          <w:szCs w:val="21"/>
          <w:highlight w:val="none"/>
          <w:lang w:eastAsia="zh-CN"/>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4</w:t>
      </w:r>
      <w:r>
        <w:rPr>
          <w:rFonts w:ascii="宋体" w:hAnsi="宋体" w:cs="宋体"/>
          <w:color w:val="000000"/>
          <w:kern w:val="0"/>
          <w:sz w:val="21"/>
          <w:szCs w:val="21"/>
          <w:lang w:eastAsia="zh-CN"/>
        </w:rPr>
        <w:t>）</w:t>
      </w:r>
      <w:r>
        <w:rPr>
          <w:rFonts w:ascii="宋体" w:hAnsi="宋体" w:cs="宋体"/>
          <w:color w:val="000000"/>
          <w:kern w:val="0"/>
          <w:sz w:val="21"/>
          <w:szCs w:val="21"/>
        </w:rPr>
        <w:t>公布响应文件解密情况（响应文件成功解密的供应商名单等信息）</w:t>
      </w:r>
      <w:r>
        <w:rPr>
          <w:rFonts w:ascii="宋体" w:hAnsi="宋体" w:cs="宋体"/>
          <w:color w:val="000000"/>
          <w:kern w:val="0"/>
          <w:sz w:val="21"/>
          <w:szCs w:val="21"/>
          <w:lang w:eastAsia="zh-CN"/>
        </w:rPr>
        <w:t>。</w:t>
      </w:r>
    </w:p>
    <w:p w14:paraId="7BE38BC0">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5</w:t>
      </w:r>
      <w:r>
        <w:rPr>
          <w:rFonts w:ascii="宋体" w:hAnsi="宋体" w:cs="宋体"/>
          <w:color w:val="000000"/>
          <w:kern w:val="0"/>
          <w:sz w:val="21"/>
          <w:szCs w:val="21"/>
          <w:lang w:eastAsia="zh-CN"/>
        </w:rPr>
        <w:t>）</w:t>
      </w:r>
      <w:r>
        <w:rPr>
          <w:rFonts w:ascii="宋体" w:hAnsi="宋体" w:cs="宋体"/>
          <w:color w:val="000000"/>
          <w:kern w:val="0"/>
          <w:sz w:val="21"/>
          <w:szCs w:val="21"/>
        </w:rPr>
        <w:t>开启标书信息（资格</w:t>
      </w:r>
      <w:r>
        <w:rPr>
          <w:rFonts w:ascii="宋体" w:hAnsi="宋体" w:cs="宋体"/>
          <w:color w:val="000000"/>
          <w:kern w:val="0"/>
          <w:sz w:val="21"/>
          <w:szCs w:val="21"/>
          <w:lang w:eastAsia="zh-CN"/>
        </w:rPr>
        <w:t>证明</w:t>
      </w:r>
      <w:r>
        <w:rPr>
          <w:rFonts w:ascii="宋体" w:hAnsi="宋体" w:cs="宋体"/>
          <w:color w:val="000000"/>
          <w:kern w:val="0"/>
          <w:sz w:val="21"/>
          <w:szCs w:val="21"/>
        </w:rPr>
        <w:t>文件、商务技术文件）。标书信息开启后，首先由采购人或采购代理机构</w:t>
      </w:r>
      <w:r>
        <w:rPr>
          <w:rFonts w:ascii="宋体" w:hAnsi="宋体" w:cs="宋体"/>
          <w:color w:val="000000"/>
          <w:kern w:val="0"/>
          <w:sz w:val="21"/>
          <w:szCs w:val="21"/>
          <w:lang w:eastAsia="zh-CN"/>
        </w:rPr>
        <w:t>或评审小组</w:t>
      </w:r>
      <w:r>
        <w:rPr>
          <w:rFonts w:ascii="宋体" w:hAnsi="宋体" w:cs="宋体"/>
          <w:color w:val="000000"/>
          <w:kern w:val="0"/>
          <w:sz w:val="21"/>
          <w:szCs w:val="21"/>
        </w:rPr>
        <w:t>依法对供应商的资格</w:t>
      </w:r>
      <w:r>
        <w:rPr>
          <w:rFonts w:ascii="宋体" w:hAnsi="宋体" w:cs="宋体"/>
          <w:color w:val="000000"/>
          <w:kern w:val="0"/>
          <w:sz w:val="21"/>
          <w:szCs w:val="21"/>
          <w:lang w:eastAsia="zh-CN"/>
        </w:rPr>
        <w:t>证明</w:t>
      </w:r>
      <w:r>
        <w:rPr>
          <w:rFonts w:ascii="宋体" w:hAnsi="宋体" w:cs="宋体"/>
          <w:color w:val="000000"/>
          <w:kern w:val="0"/>
          <w:sz w:val="21"/>
          <w:szCs w:val="21"/>
        </w:rPr>
        <w:t>文件进行审查（具体见本章“</w:t>
      </w:r>
      <w:r>
        <w:rPr>
          <w:rFonts w:ascii="宋体" w:hAnsi="宋体" w:eastAsia="宋体" w:cs="宋体"/>
          <w:color w:val="000000"/>
          <w:kern w:val="0"/>
          <w:sz w:val="21"/>
          <w:szCs w:val="21"/>
          <w:lang w:val="en-US" w:eastAsia="zh-CN"/>
        </w:rPr>
        <w:t>29.3</w:t>
      </w:r>
      <w:r>
        <w:rPr>
          <w:rFonts w:ascii="宋体" w:hAnsi="宋体" w:eastAsia="宋体" w:cs="宋体"/>
          <w:color w:val="000000"/>
          <w:kern w:val="0"/>
          <w:sz w:val="21"/>
          <w:szCs w:val="21"/>
        </w:rPr>
        <w:t xml:space="preserve"> </w:t>
      </w:r>
      <w:r>
        <w:rPr>
          <w:rFonts w:ascii="宋体" w:hAnsi="宋体" w:cs="宋体"/>
          <w:color w:val="000000"/>
          <w:kern w:val="0"/>
          <w:sz w:val="21"/>
          <w:szCs w:val="21"/>
        </w:rPr>
        <w:t>供应商资格审查”）， 审查结束公布供应商的资格符合情况。资格审查未获通过的供应商，其商务技术文件及报价文件不再进入评审。</w:t>
      </w:r>
    </w:p>
    <w:p w14:paraId="0B467D17">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6</w:t>
      </w:r>
      <w:r>
        <w:rPr>
          <w:rFonts w:ascii="宋体" w:hAnsi="宋体" w:cs="宋体"/>
          <w:color w:val="000000"/>
          <w:kern w:val="0"/>
          <w:sz w:val="21"/>
          <w:szCs w:val="21"/>
          <w:lang w:eastAsia="zh-CN"/>
        </w:rPr>
        <w:t>）</w:t>
      </w:r>
      <w:r>
        <w:rPr>
          <w:rFonts w:ascii="宋体" w:hAnsi="宋体" w:cs="宋体"/>
          <w:color w:val="000000"/>
          <w:kern w:val="0"/>
          <w:sz w:val="21"/>
          <w:szCs w:val="21"/>
        </w:rPr>
        <w:t>商务技术评审结束后，主持人公布商务技术评审无效供应商名单和商务技术评审有效供应商名单及其商务技术得分情况</w:t>
      </w:r>
      <w:r>
        <w:rPr>
          <w:rFonts w:ascii="宋体" w:hAnsi="宋体" w:cs="宋体"/>
          <w:color w:val="000000"/>
          <w:sz w:val="21"/>
          <w:szCs w:val="21"/>
        </w:rPr>
        <w:t>。</w:t>
      </w:r>
      <w:r>
        <w:rPr>
          <w:rFonts w:ascii="宋体" w:hAnsi="宋体" w:cs="宋体"/>
          <w:color w:val="000000"/>
          <w:kern w:val="0"/>
          <w:sz w:val="21"/>
          <w:szCs w:val="21"/>
        </w:rPr>
        <w:t>商务技术评审无效的供应商，其报价不再进入评审。</w:t>
      </w:r>
    </w:p>
    <w:p w14:paraId="79ECFB71">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7</w:t>
      </w:r>
      <w:r>
        <w:rPr>
          <w:rFonts w:ascii="宋体" w:hAnsi="宋体" w:cs="宋体"/>
          <w:color w:val="000000"/>
          <w:kern w:val="0"/>
          <w:sz w:val="21"/>
          <w:szCs w:val="21"/>
          <w:lang w:eastAsia="zh-CN"/>
        </w:rPr>
        <w:t>）</w:t>
      </w:r>
      <w:r>
        <w:rPr>
          <w:rFonts w:ascii="宋体" w:hAnsi="宋体" w:cs="宋体"/>
          <w:color w:val="000000"/>
          <w:kern w:val="0"/>
          <w:sz w:val="21"/>
          <w:szCs w:val="21"/>
        </w:rPr>
        <w:t>开启有效供应商的报价，公布报价一览表有关内容，</w:t>
      </w:r>
      <w:r>
        <w:rPr>
          <w:rFonts w:ascii="宋体" w:hAnsi="宋体" w:cs="宋体"/>
          <w:color w:val="000000"/>
          <w:sz w:val="21"/>
          <w:szCs w:val="21"/>
          <w:lang w:bidi="zh-CN"/>
        </w:rPr>
        <w:t>并【开启签字时段】，供应商对开启响应文件纪录进行在线签字确认（不予确认的应说明理由，否则视为无异议）</w:t>
      </w:r>
      <w:r>
        <w:rPr>
          <w:rFonts w:ascii="宋体" w:hAnsi="宋体" w:cs="宋体"/>
          <w:color w:val="000000"/>
          <w:kern w:val="0"/>
          <w:sz w:val="21"/>
          <w:szCs w:val="21"/>
        </w:rPr>
        <w:t>。开启响应文件结束后，由磋商小组对报价的合理性、准确性等进行审查核实</w:t>
      </w:r>
      <w:r>
        <w:rPr>
          <w:rFonts w:ascii="宋体" w:hAnsi="宋体" w:cs="宋体"/>
          <w:color w:val="000000"/>
          <w:sz w:val="21"/>
          <w:szCs w:val="21"/>
        </w:rPr>
        <w:t>。</w:t>
      </w:r>
    </w:p>
    <w:p w14:paraId="1EBA1D5B">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8</w:t>
      </w:r>
      <w:r>
        <w:rPr>
          <w:rFonts w:ascii="宋体" w:hAnsi="宋体" w:cs="宋体"/>
          <w:color w:val="000000"/>
          <w:sz w:val="21"/>
          <w:szCs w:val="21"/>
          <w:lang w:eastAsia="zh-CN"/>
        </w:rPr>
        <w:t>）</w:t>
      </w:r>
      <w:r>
        <w:rPr>
          <w:rFonts w:ascii="宋体" w:hAnsi="宋体" w:cs="宋体"/>
          <w:color w:val="000000"/>
          <w:kern w:val="0"/>
          <w:sz w:val="21"/>
          <w:szCs w:val="21"/>
        </w:rPr>
        <w:t>评审结束后，采购代理机构在系统上公布评审结果。</w:t>
      </w:r>
    </w:p>
    <w:p w14:paraId="3CCDF85D">
      <w:pPr>
        <w:snapToGrid w:val="0"/>
        <w:spacing w:line="360" w:lineRule="auto"/>
        <w:ind w:left="480" w:firstLine="0"/>
        <w:rPr>
          <w:rFonts w:ascii="宋体" w:hAnsi="宋体" w:eastAsia="宋体" w:cs="宋体"/>
          <w:b/>
          <w:color w:val="000000"/>
          <w:sz w:val="21"/>
          <w:szCs w:val="21"/>
          <w:highlight w:val="none"/>
        </w:rPr>
      </w:pPr>
      <w:r>
        <w:rPr>
          <w:rFonts w:ascii="宋体" w:hAnsi="宋体" w:cs="宋体"/>
          <w:b/>
          <w:color w:val="000000"/>
          <w:sz w:val="21"/>
          <w:szCs w:val="21"/>
        </w:rPr>
        <w:t>特别情况说明：</w:t>
      </w:r>
    </w:p>
    <w:p w14:paraId="7DBAC648">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1</w:t>
      </w:r>
      <w:r>
        <w:rPr>
          <w:rFonts w:ascii="宋体" w:hAnsi="宋体" w:cs="宋体"/>
          <w:b/>
          <w:color w:val="000000"/>
          <w:kern w:val="0"/>
          <w:sz w:val="21"/>
          <w:szCs w:val="21"/>
        </w:rPr>
        <w:t>）本项目采用电子交易，如遇“</w:t>
      </w:r>
      <w:r>
        <w:rPr>
          <w:rFonts w:ascii="宋体" w:hAnsi="宋体" w:cs="宋体"/>
          <w:b/>
          <w:color w:val="000000"/>
          <w:kern w:val="0"/>
          <w:sz w:val="21"/>
          <w:szCs w:val="21"/>
          <w:lang w:eastAsia="zh-CN"/>
        </w:rPr>
        <w:t>新疆</w:t>
      </w:r>
      <w:r>
        <w:rPr>
          <w:rFonts w:ascii="宋体" w:hAnsi="宋体" w:cs="宋体"/>
          <w:b/>
          <w:color w:val="000000"/>
          <w:kern w:val="0"/>
          <w:sz w:val="21"/>
          <w:szCs w:val="21"/>
        </w:rPr>
        <w:t>政府采购云平台”电子化开启响应文件或评审程序调整的，按调整后程序执行。</w:t>
      </w:r>
    </w:p>
    <w:p w14:paraId="6F3A21B6">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2</w:t>
      </w:r>
      <w:r>
        <w:rPr>
          <w:rFonts w:ascii="宋体" w:hAnsi="宋体" w:cs="宋体"/>
          <w:b/>
          <w:color w:val="000000"/>
          <w:kern w:val="0"/>
          <w:sz w:val="21"/>
          <w:szCs w:val="21"/>
        </w:rPr>
        <w:t>）响应文件开启过程中需要相关当事人进行签字或盖章确认的材料将通过“政府采购云平台”进行，若因“政府采购云平台”技术问题无法进行签字或盖章确认的，采购组织机构将通过电子邮件等形式予以确认，</w:t>
      </w:r>
      <w:r>
        <w:rPr>
          <w:rFonts w:ascii="宋体" w:hAnsi="宋体" w:cs="宋体"/>
          <w:b/>
          <w:color w:val="000000"/>
          <w:kern w:val="0"/>
          <w:sz w:val="21"/>
          <w:szCs w:val="21"/>
          <w:u w:val="single"/>
        </w:rPr>
        <w:t>请供应商保证办理响应事宜人员电话畅通、网络在线，签字或盖章确认的时间为</w:t>
      </w:r>
      <w:r>
        <w:rPr>
          <w:rFonts w:ascii="宋体" w:hAnsi="宋体" w:eastAsia="宋体" w:cs="宋体"/>
          <w:b/>
          <w:color w:val="000000"/>
          <w:kern w:val="0"/>
          <w:sz w:val="21"/>
          <w:szCs w:val="21"/>
          <w:u w:val="single"/>
        </w:rPr>
        <w:t>20</w:t>
      </w:r>
      <w:r>
        <w:rPr>
          <w:rFonts w:ascii="宋体" w:hAnsi="宋体" w:cs="宋体"/>
          <w:b/>
          <w:color w:val="000000"/>
          <w:kern w:val="0"/>
          <w:sz w:val="21"/>
          <w:szCs w:val="21"/>
          <w:u w:val="single"/>
        </w:rPr>
        <w:t>分钟。如未及时签字或盖章确认的，视为无异议</w:t>
      </w:r>
      <w:r>
        <w:rPr>
          <w:rFonts w:ascii="宋体" w:hAnsi="宋体" w:cs="宋体"/>
          <w:b/>
          <w:color w:val="000000"/>
          <w:kern w:val="0"/>
          <w:sz w:val="21"/>
          <w:szCs w:val="21"/>
        </w:rPr>
        <w:t>。</w:t>
      </w:r>
    </w:p>
    <w:p w14:paraId="22847093">
      <w:pPr>
        <w:snapToGrid w:val="0"/>
        <w:spacing w:line="360" w:lineRule="auto"/>
        <w:ind w:firstLine="420"/>
        <w:rPr>
          <w:rFonts w:ascii="宋体" w:hAnsi="宋体" w:eastAsia="宋体" w:cs="宋体"/>
          <w:b/>
          <w:color w:val="000000"/>
          <w:kern w:val="0"/>
          <w:sz w:val="21"/>
          <w:szCs w:val="21"/>
          <w:highlight w:val="none"/>
        </w:rPr>
      </w:pPr>
      <w:r>
        <w:rPr>
          <w:rFonts w:ascii="宋体" w:hAnsi="宋体" w:eastAsia="宋体" w:cs="宋体"/>
          <w:b/>
          <w:color w:val="000000"/>
          <w:kern w:val="0"/>
          <w:sz w:val="21"/>
          <w:szCs w:val="21"/>
          <w:lang w:val="en-US" w:eastAsia="zh-CN"/>
        </w:rPr>
        <w:t>29.3</w:t>
      </w:r>
      <w:r>
        <w:rPr>
          <w:rFonts w:ascii="宋体" w:hAnsi="宋体" w:eastAsia="宋体" w:cs="宋体"/>
          <w:b/>
          <w:color w:val="000000"/>
          <w:kern w:val="0"/>
          <w:sz w:val="21"/>
          <w:szCs w:val="21"/>
        </w:rPr>
        <w:t xml:space="preserve"> </w:t>
      </w:r>
      <w:r>
        <w:rPr>
          <w:rFonts w:ascii="宋体" w:hAnsi="宋体" w:cs="宋体"/>
          <w:b/>
          <w:color w:val="000000"/>
          <w:kern w:val="0"/>
          <w:sz w:val="21"/>
          <w:szCs w:val="21"/>
        </w:rPr>
        <w:t>供应商资格审查：</w:t>
      </w:r>
    </w:p>
    <w:p w14:paraId="2EEC3FB8">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bCs/>
          <w:color w:val="000000"/>
          <w:kern w:val="0"/>
          <w:sz w:val="21"/>
          <w:szCs w:val="21"/>
        </w:rPr>
        <w:t>开启响应文件（标书信息开启）后，采购人或采购代理机构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bCs/>
          <w:color w:val="000000"/>
          <w:kern w:val="0"/>
          <w:sz w:val="21"/>
          <w:szCs w:val="21"/>
        </w:rPr>
        <w:t>首先依法对供应商的资格文件进行审查，审查各供应商的资格符合情况。</w:t>
      </w:r>
      <w:r>
        <w:rPr>
          <w:rFonts w:ascii="宋体" w:hAnsi="宋体" w:cs="宋体"/>
          <w:color w:val="000000"/>
          <w:sz w:val="21"/>
          <w:szCs w:val="21"/>
        </w:rPr>
        <w:t>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color w:val="000000"/>
          <w:sz w:val="21"/>
          <w:szCs w:val="21"/>
        </w:rPr>
        <w:t>对供应商所提交的资格证明材料仅负审核的责任。如发现供应商所提交的资格证明材料不合法或与事实不符，采购人可取消其成交资格并追究供应商的法律责任。</w:t>
      </w:r>
    </w:p>
    <w:p w14:paraId="7A5A9688">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）供应商提交的资格证明材料无法证明其符合采购文件规定的“供应商资格要求”的，采购人或采购代理机构将对其作“资格审查不合格”处理（无效响应），并不再将其响应提交磋商小组进行后续评审。</w:t>
      </w:r>
    </w:p>
    <w:p w14:paraId="5D4C733C">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w:t>
      </w:r>
      <w:r>
        <w:rPr>
          <w:rFonts w:ascii="宋体" w:hAnsi="宋体" w:cs="宋体"/>
          <w:b w:val="0"/>
          <w:bCs/>
          <w:color w:val="000000"/>
          <w:kern w:val="0"/>
          <w:sz w:val="21"/>
          <w:szCs w:val="21"/>
        </w:rPr>
        <w:t>供应商</w:t>
      </w:r>
      <w:r>
        <w:rPr>
          <w:rFonts w:ascii="宋体" w:hAnsi="宋体" w:cs="宋体"/>
          <w:b w:val="0"/>
          <w:bCs/>
          <w:color w:val="000000"/>
          <w:sz w:val="21"/>
          <w:szCs w:val="21"/>
        </w:rPr>
        <w:t>信用记录查询与使用：</w:t>
      </w:r>
      <w:r>
        <w:rPr>
          <w:rFonts w:ascii="宋体" w:hAnsi="宋体" w:cs="宋体"/>
          <w:b w:val="0"/>
          <w:bCs/>
          <w:color w:val="000000"/>
          <w:kern w:val="0"/>
          <w:sz w:val="21"/>
          <w:szCs w:val="21"/>
        </w:rPr>
        <w:t>见《供应商须知前附表》。</w:t>
      </w:r>
    </w:p>
    <w:p w14:paraId="29A2B5F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30.</w:t>
      </w:r>
      <w:r>
        <w:rPr>
          <w:rFonts w:ascii="宋体" w:hAnsi="宋体"/>
          <w:color w:val="000000"/>
          <w:szCs w:val="21"/>
        </w:rPr>
        <w:t>评审工作的组织</w:t>
      </w:r>
    </w:p>
    <w:p w14:paraId="7464733D">
      <w:pPr>
        <w:widowControl/>
        <w:spacing w:line="440" w:lineRule="exact"/>
        <w:ind w:firstLine="630"/>
        <w:rPr>
          <w:rFonts w:ascii="宋体" w:hAnsi="宋体"/>
          <w:color w:val="000000"/>
          <w:szCs w:val="21"/>
          <w:highlight w:val="none"/>
        </w:rPr>
      </w:pPr>
      <w:r>
        <w:rPr>
          <w:rFonts w:ascii="宋体" w:hAnsi="宋体"/>
          <w:color w:val="000000"/>
          <w:szCs w:val="21"/>
        </w:rPr>
        <w:t>采购人或采购代理机构负责组织本项目的评审工作，并依据《政府采购货物和服务招标投标管理办法（财政部第87号令）》第四十五条的相关规定履行职责。</w:t>
      </w:r>
    </w:p>
    <w:p w14:paraId="397B3CC6">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 磋商小组的组建</w:t>
      </w:r>
    </w:p>
    <w:p w14:paraId="6234286C">
      <w:pPr>
        <w:widowControl/>
        <w:spacing w:line="440" w:lineRule="exact"/>
        <w:ind w:firstLine="210"/>
        <w:rPr>
          <w:rFonts w:ascii="宋体" w:hAnsi="宋体" w:eastAsia="宋体" w:cs="Times New Roman"/>
          <w:b/>
          <w:bCs/>
          <w:color w:val="000000"/>
          <w:szCs w:val="21"/>
          <w:highlight w:val="none"/>
        </w:rPr>
      </w:pPr>
      <w:r>
        <w:rPr>
          <w:rFonts w:ascii="宋体" w:hAnsi="宋体"/>
          <w:color w:val="000000"/>
          <w:szCs w:val="21"/>
          <w:lang w:val="en-US" w:eastAsia="zh-CN"/>
        </w:rPr>
        <w:t>31</w:t>
      </w:r>
      <w:r>
        <w:rPr>
          <w:rFonts w:ascii="宋体" w:hAnsi="宋体"/>
          <w:color w:val="000000"/>
          <w:szCs w:val="21"/>
        </w:rPr>
        <w:t>.1磋商小组由采购人或采购代理机构依法组建，成员由采购人代表和评审专家组成，</w:t>
      </w:r>
      <w:r>
        <w:rPr>
          <w:rFonts w:ascii="宋体" w:hAnsi="宋体"/>
          <w:b/>
          <w:bCs/>
          <w:color w:val="000000"/>
          <w:szCs w:val="21"/>
        </w:rPr>
        <w:t>成员人数为</w:t>
      </w:r>
      <w:r>
        <w:rPr>
          <w:rFonts w:ascii="宋体" w:hAnsi="宋体"/>
          <w:b/>
          <w:bCs/>
          <w:color w:val="000000"/>
          <w:szCs w:val="21"/>
          <w:lang w:val="en-US" w:eastAsia="zh-CN"/>
        </w:rPr>
        <w:t>5</w:t>
      </w:r>
      <w:r>
        <w:rPr>
          <w:rFonts w:ascii="宋体" w:hAnsi="宋体"/>
          <w:b/>
          <w:bCs/>
          <w:color w:val="000000"/>
          <w:szCs w:val="21"/>
        </w:rPr>
        <w:t>人单数，其中评审专家不少于成员总数的三分之二。</w:t>
      </w:r>
    </w:p>
    <w:p w14:paraId="5119EC3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.2评审专家从</w:t>
      </w:r>
      <w:r>
        <w:rPr>
          <w:rFonts w:ascii="宋体" w:hAnsi="宋体"/>
          <w:color w:val="000000"/>
          <w:szCs w:val="21"/>
          <w:lang w:eastAsia="zh-CN"/>
        </w:rPr>
        <w:t>新疆</w:t>
      </w:r>
      <w:r>
        <w:rPr>
          <w:rFonts w:ascii="宋体" w:hAnsi="宋体"/>
          <w:color w:val="000000"/>
          <w:szCs w:val="21"/>
        </w:rPr>
        <w:t>政府采购云平台专家库中通过随机方式抽取产生。磋商小组成员名单在采购结果公告前保密。</w:t>
      </w:r>
    </w:p>
    <w:p w14:paraId="778A1ED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.磋商小组的职责</w:t>
      </w:r>
    </w:p>
    <w:p w14:paraId="29DBD8D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.1审查、评价响应文件是否符合采购文件的商务、技术等实质性要求。</w:t>
      </w:r>
    </w:p>
    <w:p w14:paraId="689B5135">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.2要求供应商对响应文件有关事项作出澄清或者说明。</w:t>
      </w:r>
    </w:p>
    <w:p w14:paraId="172F57D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.3对响应文件进行比较和评价。</w:t>
      </w:r>
    </w:p>
    <w:p w14:paraId="519A99A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.4确定成交候选人名单，以及根据采购人委托直接确定成交供应商。</w:t>
      </w:r>
    </w:p>
    <w:p w14:paraId="40DFCD0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.5向采购人、采购代理机构或者有关部门报告评审中发现的违法行为。</w:t>
      </w:r>
    </w:p>
    <w:p w14:paraId="20F6084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评审原则</w:t>
      </w:r>
    </w:p>
    <w:p w14:paraId="6861C6B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.1磋商小组将遵循公平、公正、科学的原则，对供应商提交的响应文件进行综合评审，磋商小组按照采购文件规定的评审细则进行评分。</w:t>
      </w:r>
    </w:p>
    <w:p w14:paraId="64C18771">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xml:space="preserve">.2客观公正对待所有供应商，对所有响应评价均采用相同的程序和标准。 </w:t>
      </w:r>
    </w:p>
    <w:p w14:paraId="1D1F361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.3磋商小组成员对需要共同认定的事项存在争议的，按照少数服从多数的原则作出结论。持不同意见的磋商小组成员应当在评审报告上签署不同意见及理由，否则视为同意评审报告。</w:t>
      </w:r>
    </w:p>
    <w:p w14:paraId="2552283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0969DAC7">
      <w:pPr>
        <w:widowControl/>
        <w:spacing w:line="440" w:lineRule="exact"/>
        <w:ind w:firstLine="420"/>
        <w:rPr>
          <w:rFonts w:ascii="宋体" w:hAnsi="宋体"/>
          <w:color w:val="000000"/>
          <w:szCs w:val="21"/>
          <w:highlight w:val="none"/>
        </w:rPr>
      </w:pPr>
      <w:r>
        <w:rPr>
          <w:rFonts w:ascii="宋体" w:hAnsi="宋体"/>
          <w:color w:val="000000"/>
          <w:szCs w:val="21"/>
        </w:rPr>
        <w:t xml:space="preserve">非单一产品采购项目，采购人应当根据采购项目技术构成、产品价格比重等合理确定核心产品，并在采购文件中载明。多家供应商提供的核心产品品牌相同的，按前款规定处理。      </w:t>
      </w:r>
    </w:p>
    <w:p w14:paraId="5F86B07D">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34</w:t>
      </w:r>
      <w:r>
        <w:rPr>
          <w:rFonts w:ascii="宋体" w:hAnsi="宋体"/>
          <w:color w:val="000000"/>
          <w:szCs w:val="21"/>
        </w:rPr>
        <w:t>. 磋商小组成员纪律</w:t>
      </w:r>
    </w:p>
    <w:p w14:paraId="69E18CB8">
      <w:pPr>
        <w:widowControl/>
        <w:spacing w:line="440" w:lineRule="exact"/>
        <w:ind w:firstLine="420"/>
        <w:rPr>
          <w:rFonts w:ascii="宋体" w:hAnsi="宋体"/>
          <w:color w:val="000000"/>
          <w:szCs w:val="21"/>
          <w:highlight w:val="none"/>
        </w:rPr>
      </w:pPr>
      <w:r>
        <w:rPr>
          <w:rFonts w:ascii="宋体" w:hAnsi="宋体"/>
          <w:color w:val="000000"/>
          <w:szCs w:val="21"/>
        </w:rPr>
        <w:t>磋商小组成员必须严格遵守保密规定，不得泄露评审的有关情况，任何单位和个人不得干扰、影响评审的正常进行，磋商小组成员不得私下与供应商接触，不得出现政府采购活动现场组织管理办法中规定的其他禁止行为。</w:t>
      </w:r>
    </w:p>
    <w:p w14:paraId="4E5C8CF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评审程序</w:t>
      </w:r>
    </w:p>
    <w:p w14:paraId="11C99933">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 在评审专家中推选磋商小组组长，采购人代表不得担任磋商小组组长。</w:t>
      </w:r>
    </w:p>
    <w:p w14:paraId="31DB813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2 磋商小组组长召集成员认真阅读采购文件以及相关补充、质疑、答复文件、项目书面说明等材料，熟悉采购项目的基本概况，采购项目的质量要求、数量、主要技术标准或服务需求，采购合同主要条款，响应文件无效情形，评审方法、评审依据、评审标准等。</w:t>
      </w:r>
    </w:p>
    <w:p w14:paraId="5658C5C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3 评审人员对符合资格的供应商的响应文件的有效性、符合性、完整性和响应程度进行审查，确定是否对采购文件作出实质性响应。</w:t>
      </w:r>
    </w:p>
    <w:p w14:paraId="3DF754C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4 评审人员按采购文件规定的评审方法和评审标准，依法独立对供应商响应文件进行评估、比较，并给予评价或打分，不受任何单位和个人的干预。</w:t>
      </w:r>
    </w:p>
    <w:p w14:paraId="75945EAF">
      <w:pPr>
        <w:widowControl/>
        <w:spacing w:line="440" w:lineRule="exact"/>
        <w:ind w:firstLine="420"/>
        <w:rPr>
          <w:rFonts w:ascii="宋体" w:hAnsi="宋体" w:eastAsia="宋体" w:cs="宋体"/>
          <w:color w:val="000000"/>
          <w:kern w:val="0"/>
          <w:szCs w:val="21"/>
          <w:highlight w:val="none"/>
        </w:rPr>
      </w:pPr>
      <w:r>
        <w:rPr>
          <w:rFonts w:ascii="宋体" w:hAnsi="宋体" w:cs="宋体"/>
          <w:b/>
          <w:bCs/>
          <w:color w:val="000000"/>
          <w:kern w:val="0"/>
          <w:szCs w:val="21"/>
        </w:rPr>
        <w:t>综合评分法</w:t>
      </w:r>
      <w:r>
        <w:rPr>
          <w:rFonts w:ascii="宋体" w:hAnsi="宋体" w:cs="宋体"/>
          <w:b/>
          <w:bCs/>
          <w:color w:val="000000"/>
          <w:kern w:val="0"/>
          <w:szCs w:val="21"/>
          <w:lang w:val="en-US" w:eastAsia="zh-CN"/>
        </w:rPr>
        <w:t>服务</w:t>
      </w:r>
      <w:r>
        <w:rPr>
          <w:rFonts w:ascii="宋体" w:hAnsi="宋体" w:cs="宋体"/>
          <w:b/>
          <w:bCs/>
          <w:color w:val="000000"/>
          <w:kern w:val="0"/>
          <w:szCs w:val="21"/>
        </w:rPr>
        <w:t>项目的价格分值占总分值的比重</w:t>
      </w:r>
      <w:r>
        <w:rPr>
          <w:rFonts w:ascii="宋体" w:hAnsi="宋体" w:eastAsia="宋体" w:cs="宋体"/>
          <w:b/>
          <w:bCs/>
          <w:color w:val="000000"/>
          <w:kern w:val="0"/>
          <w:szCs w:val="21"/>
        </w:rPr>
        <w:t>(</w:t>
      </w:r>
      <w:r>
        <w:rPr>
          <w:rFonts w:ascii="宋体" w:hAnsi="宋体" w:cs="宋体"/>
          <w:b/>
          <w:bCs/>
          <w:color w:val="000000"/>
          <w:kern w:val="0"/>
          <w:szCs w:val="21"/>
        </w:rPr>
        <w:t>即权值</w:t>
      </w:r>
      <w:r>
        <w:rPr>
          <w:rFonts w:ascii="宋体" w:hAnsi="宋体" w:eastAsia="宋体" w:cs="宋体"/>
          <w:b/>
          <w:bCs/>
          <w:color w:val="000000"/>
          <w:kern w:val="0"/>
          <w:szCs w:val="21"/>
        </w:rPr>
        <w:t>)</w:t>
      </w:r>
      <w:r>
        <w:rPr>
          <w:rFonts w:ascii="宋体" w:hAnsi="宋体" w:cs="宋体"/>
          <w:b/>
          <w:bCs/>
          <w:color w:val="000000"/>
          <w:kern w:val="0"/>
          <w:szCs w:val="21"/>
        </w:rPr>
        <w:t>为</w:t>
      </w:r>
      <w:r>
        <w:rPr>
          <w:rFonts w:ascii="宋体" w:hAnsi="宋体" w:eastAsia="宋体" w:cs="宋体"/>
          <w:b/>
          <w:bCs/>
          <w:color w:val="FF0000"/>
          <w:kern w:val="0"/>
          <w:szCs w:val="21"/>
          <w:lang w:val="en-US" w:eastAsia="zh-CN"/>
        </w:rPr>
        <w:t>10</w:t>
      </w:r>
      <w:r>
        <w:rPr>
          <w:rFonts w:ascii="宋体" w:hAnsi="宋体" w:cs="宋体"/>
          <w:b/>
          <w:bCs/>
          <w:color w:val="FF0000"/>
          <w:kern w:val="0"/>
          <w:szCs w:val="21"/>
          <w:lang w:val="en-US" w:eastAsia="zh-CN"/>
        </w:rPr>
        <w:t>％</w:t>
      </w:r>
      <w:r>
        <w:rPr>
          <w:rFonts w:ascii="宋体" w:hAnsi="宋体" w:cs="宋体"/>
          <w:b/>
          <w:bCs/>
          <w:color w:val="000000"/>
          <w:kern w:val="0"/>
          <w:szCs w:val="21"/>
        </w:rPr>
        <w:t>，</w:t>
      </w:r>
      <w:r>
        <w:rPr>
          <w:rFonts w:ascii="宋体" w:hAnsi="宋体" w:cs="宋体"/>
          <w:color w:val="000000"/>
          <w:kern w:val="0"/>
          <w:szCs w:val="21"/>
        </w:rPr>
        <w:t>采购项目中含不同采购对象的，以占项目资金比例最高的采购对象确定其项目属性。其价格不列为评分因素，有特殊情况需要在上述规定范围外设定价格分权重的。</w:t>
      </w:r>
    </w:p>
    <w:p w14:paraId="1F6B35C9">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rPr>
        <w:t>综合评分法中的价格分统一采用低价优先法计算，即满足</w:t>
      </w:r>
      <w:r>
        <w:rPr>
          <w:rFonts w:ascii="宋体" w:hAnsi="宋体" w:cs="宋体"/>
          <w:color w:val="000000"/>
          <w:kern w:val="0"/>
          <w:szCs w:val="21"/>
          <w:lang w:eastAsia="zh-CN"/>
        </w:rPr>
        <w:t>磋商文件</w:t>
      </w:r>
      <w:r>
        <w:rPr>
          <w:rFonts w:ascii="宋体" w:hAnsi="宋体" w:cs="宋体"/>
          <w:color w:val="000000"/>
          <w:kern w:val="0"/>
          <w:szCs w:val="21"/>
        </w:rPr>
        <w:t>要求且最后报价最低的供应商的价格为</w:t>
      </w:r>
      <w:r>
        <w:rPr>
          <w:rFonts w:ascii="宋体" w:hAnsi="宋体" w:cs="宋体"/>
          <w:color w:val="000000"/>
          <w:kern w:val="0"/>
          <w:szCs w:val="21"/>
          <w:lang w:eastAsia="zh-CN"/>
        </w:rPr>
        <w:t>采购</w:t>
      </w:r>
      <w:r>
        <w:rPr>
          <w:rFonts w:ascii="宋体" w:hAnsi="宋体" w:cs="宋体"/>
          <w:color w:val="000000"/>
          <w:kern w:val="0"/>
          <w:szCs w:val="21"/>
        </w:rPr>
        <w:t>基准价，其价格分为满分。其他供应商的价格分统一按照下列公式计算：</w:t>
      </w:r>
    </w:p>
    <w:p w14:paraId="7E3ED2D1">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lang w:eastAsia="zh-CN"/>
        </w:rPr>
        <w:t>响应</w:t>
      </w:r>
      <w:r>
        <w:rPr>
          <w:rFonts w:ascii="宋体" w:hAnsi="宋体" w:cs="宋体"/>
          <w:color w:val="000000"/>
          <w:kern w:val="0"/>
          <w:szCs w:val="21"/>
        </w:rPr>
        <w:t>报价得分</w:t>
      </w:r>
      <w:r>
        <w:rPr>
          <w:rFonts w:ascii="宋体" w:hAnsi="宋体" w:eastAsia="宋体" w:cs="宋体"/>
          <w:color w:val="000000"/>
          <w:kern w:val="0"/>
          <w:szCs w:val="21"/>
        </w:rPr>
        <w:t>=</w:t>
      </w:r>
      <w:r>
        <w:rPr>
          <w:rFonts w:ascii="宋体" w:hAnsi="宋体" w:cs="宋体"/>
          <w:color w:val="000000"/>
          <w:kern w:val="0"/>
          <w:szCs w:val="21"/>
        </w:rPr>
        <w:t>（基准价</w:t>
      </w:r>
      <w:r>
        <w:rPr>
          <w:rFonts w:ascii="宋体" w:hAnsi="宋体" w:eastAsia="宋体" w:cs="宋体"/>
          <w:color w:val="000000"/>
          <w:kern w:val="0"/>
          <w:szCs w:val="21"/>
        </w:rPr>
        <w:t>/</w:t>
      </w:r>
      <w:r>
        <w:rPr>
          <w:rFonts w:ascii="宋体" w:hAnsi="宋体" w:cs="宋体"/>
          <w:color w:val="000000"/>
          <w:kern w:val="0"/>
          <w:szCs w:val="21"/>
          <w:lang w:eastAsia="zh-CN"/>
        </w:rPr>
        <w:t>响应</w:t>
      </w:r>
      <w:r>
        <w:rPr>
          <w:rFonts w:ascii="宋体" w:hAnsi="宋体" w:cs="宋体"/>
          <w:color w:val="000000"/>
          <w:kern w:val="0"/>
          <w:szCs w:val="21"/>
        </w:rPr>
        <w:t>报价）</w:t>
      </w:r>
      <w:r>
        <w:rPr>
          <w:rFonts w:ascii="宋体" w:hAnsi="宋体" w:eastAsia="宋体" w:cs="宋体"/>
          <w:color w:val="000000"/>
          <w:kern w:val="0"/>
          <w:szCs w:val="21"/>
        </w:rPr>
        <w:t>×</w:t>
      </w:r>
      <w:r>
        <w:rPr>
          <w:rFonts w:ascii="宋体" w:hAnsi="宋体" w:cs="宋体"/>
          <w:color w:val="000000"/>
          <w:kern w:val="0"/>
          <w:szCs w:val="21"/>
        </w:rPr>
        <w:t>价格权值</w:t>
      </w:r>
      <w:r>
        <w:rPr>
          <w:rFonts w:ascii="宋体" w:hAnsi="宋体" w:eastAsia="宋体" w:cs="宋体"/>
          <w:color w:val="000000"/>
          <w:kern w:val="0"/>
          <w:szCs w:val="21"/>
        </w:rPr>
        <w:t>×100</w:t>
      </w:r>
    </w:p>
    <w:p w14:paraId="0DCB5A38">
      <w:pPr>
        <w:widowControl/>
        <w:spacing w:line="440" w:lineRule="exact"/>
        <w:ind w:firstLine="480"/>
        <w:rPr>
          <w:rFonts w:ascii="宋体" w:hAnsi="宋体"/>
          <w:color w:val="000000"/>
          <w:szCs w:val="21"/>
          <w:highlight w:val="none"/>
          <w:lang w:val="en-US" w:eastAsia="zh-CN"/>
        </w:rPr>
      </w:pPr>
      <w:r>
        <w:rPr>
          <w:rFonts w:ascii="宋体" w:hAnsi="宋体" w:cs="宋体"/>
          <w:color w:val="000000"/>
          <w:kern w:val="0"/>
          <w:szCs w:val="21"/>
        </w:rPr>
        <w:t>项目评审过程中，不得去掉最后报价中的最高报价和最低报价。</w:t>
      </w:r>
    </w:p>
    <w:p w14:paraId="2962671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5 评审人员对各供应商响应文件非实质性内容有疑议或异议，或者审查发现明显的文字或计算错误等，及时向磋商小组组长提出。经磋商小组商议认为需要供应商作出必要澄清、说明或者补正的，应当以在线询标形式要求供应商作出必要的澄清、说明或者补正。澄清、说明或者补正的内容应作为政府采购项目档案归档留存。</w:t>
      </w:r>
    </w:p>
    <w:p w14:paraId="40861A0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30%以上的）情形的，应由相关人员当场改正或作出书面说明；拒不改正又不作书面说明的，由现场监督员如实记载后存入项目档案资料。</w:t>
      </w:r>
    </w:p>
    <w:p w14:paraId="5DADCCD7">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7 磋商小组根据评审汇总情况和采购文件规定确定成交候选供应商排序名单。</w:t>
      </w:r>
    </w:p>
    <w:p w14:paraId="193F9F5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 xml:space="preserve">8 起草评审报告，所有评审人员须在评审报告上签字确认，对自己的评审意见承担法律责任。 </w:t>
      </w:r>
    </w:p>
    <w:p w14:paraId="6599DA0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9 采购组织机构对磋商小组评审专家进行评价。</w:t>
      </w:r>
    </w:p>
    <w:p w14:paraId="5440FD70">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10 修改评审结果</w:t>
      </w:r>
    </w:p>
    <w:p w14:paraId="6397F4B1">
      <w:pPr>
        <w:widowControl/>
        <w:spacing w:line="440" w:lineRule="exact"/>
        <w:ind w:firstLine="210"/>
        <w:rPr>
          <w:rFonts w:ascii="宋体" w:hAnsi="宋体"/>
          <w:color w:val="000000"/>
          <w:szCs w:val="21"/>
          <w:highlight w:val="none"/>
        </w:rPr>
      </w:pPr>
      <w:r>
        <w:rPr>
          <w:rFonts w:ascii="宋体" w:hAnsi="宋体"/>
          <w:color w:val="000000"/>
          <w:szCs w:val="21"/>
        </w:rPr>
        <w:t>评审结果汇总完成后，除下列情形外，任何人不得修改评审结果：</w:t>
      </w:r>
    </w:p>
    <w:p w14:paraId="56FCB089">
      <w:pPr>
        <w:widowControl/>
        <w:spacing w:line="440" w:lineRule="exact"/>
        <w:ind w:firstLine="210"/>
        <w:rPr>
          <w:rFonts w:ascii="宋体" w:hAnsi="宋体"/>
          <w:color w:val="000000"/>
          <w:szCs w:val="21"/>
          <w:highlight w:val="none"/>
        </w:rPr>
      </w:pPr>
      <w:r>
        <w:rPr>
          <w:rFonts w:ascii="宋体" w:hAnsi="宋体"/>
          <w:color w:val="000000"/>
          <w:szCs w:val="21"/>
        </w:rPr>
        <w:t>（1）分值汇总计算错误的；</w:t>
      </w:r>
    </w:p>
    <w:p w14:paraId="38633A80">
      <w:pPr>
        <w:widowControl/>
        <w:spacing w:line="440" w:lineRule="exact"/>
        <w:ind w:firstLine="210"/>
        <w:rPr>
          <w:rFonts w:ascii="宋体" w:hAnsi="宋体"/>
          <w:color w:val="000000"/>
          <w:szCs w:val="21"/>
          <w:highlight w:val="none"/>
        </w:rPr>
      </w:pPr>
      <w:r>
        <w:rPr>
          <w:rFonts w:ascii="宋体" w:hAnsi="宋体"/>
          <w:color w:val="000000"/>
          <w:szCs w:val="21"/>
        </w:rPr>
        <w:t>（2）分项评分超出评分标准范围的；</w:t>
      </w:r>
    </w:p>
    <w:p w14:paraId="0A3623FD">
      <w:pPr>
        <w:widowControl/>
        <w:spacing w:line="440" w:lineRule="exact"/>
        <w:ind w:firstLine="210"/>
        <w:rPr>
          <w:rFonts w:ascii="宋体" w:hAnsi="宋体"/>
          <w:color w:val="000000"/>
          <w:szCs w:val="21"/>
          <w:highlight w:val="none"/>
        </w:rPr>
      </w:pPr>
      <w:r>
        <w:rPr>
          <w:rFonts w:ascii="宋体" w:hAnsi="宋体"/>
          <w:color w:val="000000"/>
          <w:szCs w:val="21"/>
        </w:rPr>
        <w:t>（3）磋商小组成员对客观评审因素评分不一致的；</w:t>
      </w:r>
    </w:p>
    <w:p w14:paraId="12ADD769">
      <w:pPr>
        <w:widowControl/>
        <w:spacing w:line="440" w:lineRule="exact"/>
        <w:ind w:firstLine="210"/>
        <w:rPr>
          <w:rFonts w:ascii="宋体" w:hAnsi="宋体"/>
          <w:color w:val="000000"/>
          <w:szCs w:val="21"/>
          <w:highlight w:val="none"/>
        </w:rPr>
      </w:pPr>
      <w:r>
        <w:rPr>
          <w:rFonts w:ascii="宋体" w:hAnsi="宋体"/>
          <w:color w:val="000000"/>
          <w:szCs w:val="21"/>
        </w:rPr>
        <w:t>（4）经磋商小组认定评分畸高、畸低的。</w:t>
      </w:r>
    </w:p>
    <w:p w14:paraId="1E8CEC38">
      <w:pPr>
        <w:widowControl/>
        <w:spacing w:line="440" w:lineRule="exact"/>
        <w:ind w:firstLine="210"/>
        <w:rPr>
          <w:rFonts w:ascii="宋体" w:hAnsi="宋体"/>
          <w:color w:val="000000"/>
          <w:szCs w:val="21"/>
          <w:highlight w:val="none"/>
        </w:rPr>
      </w:pPr>
      <w:r>
        <w:rPr>
          <w:rFonts w:ascii="宋体" w:hAnsi="宋体"/>
          <w:color w:val="000000"/>
          <w:szCs w:val="21"/>
        </w:rPr>
        <w:t>评审报告签署前，经复核发现存在以上情形之一的，磋商小组应当当场修改评审结果，并在评审报告中记载；评审报告签署后，采购人或者采购代理机构发现存在以上情形之一的，应当组织原磋商小组进行重新评审，重新评审改变评审结果的，书面报告本级财政部门。</w:t>
      </w:r>
    </w:p>
    <w:p w14:paraId="5B2AEF4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36．澄清、说明或补正的形式</w:t>
      </w:r>
    </w:p>
    <w:p w14:paraId="46FD187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36.1对于响应文件中含义不明确、同类问题表述不一致或者有明显文字和计算错误的内容，磋商小组将通过“政府采购云平台”在线询标的方式要求供应商在规定的时间内作出必要的澄清、说明或者补正，</w:t>
      </w:r>
      <w:r>
        <w:rPr>
          <w:rFonts w:ascii="宋体" w:hAnsi="宋体"/>
          <w:b/>
          <w:bCs/>
          <w:color w:val="000000"/>
          <w:szCs w:val="21"/>
          <w:lang w:val="en-US" w:eastAsia="zh-CN"/>
        </w:rPr>
        <w:t>供应商澄清、说明或补正时间为20分钟</w:t>
      </w:r>
      <w:r>
        <w:rPr>
          <w:rFonts w:ascii="宋体" w:hAnsi="宋体"/>
          <w:b w:val="0"/>
          <w:bCs w:val="0"/>
          <w:color w:val="000000"/>
          <w:szCs w:val="21"/>
          <w:lang w:val="en-US" w:eastAsia="zh-CN"/>
        </w:rPr>
        <w:t>。</w:t>
      </w:r>
    </w:p>
    <w:p w14:paraId="4F51247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6E3F63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0C87FB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37．错误修正的原则</w:t>
      </w:r>
    </w:p>
    <w:p w14:paraId="6AA581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79EC950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70ED9F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37.1 响应函中表述的内容与报价表中不一致的，以报价表为准；报价表中的内容与报价明细表不一致的，以报价表为准；</w:t>
      </w:r>
    </w:p>
    <w:p w14:paraId="304E2C6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37.2 响应文件中的大写金额和小写金额不一致的，以大写金额为准；</w:t>
      </w:r>
    </w:p>
    <w:p w14:paraId="52681A1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37.3 单价金额小数点或者百分比有明显错位的，以报价一览表的总价为准，并修改单价；</w:t>
      </w:r>
    </w:p>
    <w:p w14:paraId="77363C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37.4 总价金额与按单价汇总金额不一致的，以单价金额计算结果为准；</w:t>
      </w:r>
    </w:p>
    <w:p w14:paraId="1C4972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37.5 若用文字表示的数值与用数字表示的数值不一致，以文字表示的数值为准；</w:t>
      </w:r>
    </w:p>
    <w:p w14:paraId="72AD22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37.6 如有多报（指数量超出采购文件需求）、重报（指同一货物重复报价），其磋商总价在评审过程中不予调整，如其成交，其合同价按其响应单价予以调整；</w:t>
      </w:r>
    </w:p>
    <w:p w14:paraId="1A8F35E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37.7 对不同文字文本响应文件的解释发生异议的，以中文文本为准；</w:t>
      </w:r>
    </w:p>
    <w:p w14:paraId="2A7EE8CA">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w:t>
      </w:r>
      <w:r>
        <w:rPr>
          <w:rFonts w:ascii="宋体" w:hAnsi="宋体"/>
          <w:b/>
          <w:bCs/>
          <w:color w:val="000000"/>
          <w:szCs w:val="21"/>
          <w:lang w:val="en-US" w:eastAsia="zh-CN"/>
        </w:rPr>
        <w:t>修正应当采用电子询标的形式，并加盖公章（电子印章）。</w:t>
      </w:r>
    </w:p>
    <w:p w14:paraId="7EC02BF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38．无效响应文件</w:t>
      </w:r>
    </w:p>
    <w:p w14:paraId="4B313E6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有下列情形之一的，响应文件按无效响应处理：</w:t>
      </w:r>
    </w:p>
    <w:p w14:paraId="0DDD587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 报名的供应商与参加磋商的供应商发生实质性变更的且未提供有效证明的；</w:t>
      </w:r>
    </w:p>
    <w:p w14:paraId="07D7EB8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38.2供应商提交两份或两份以上内容不同的响应文件，未声明哪一份有效的；</w:t>
      </w:r>
    </w:p>
    <w:p w14:paraId="5A9607D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38.3 响应文件非供应商法定代表人签署的，未提供或提供无效的法定代表人授权书；</w:t>
      </w:r>
    </w:p>
    <w:p w14:paraId="387C7CD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38.4 未按磋商文件规定装订；</w:t>
      </w:r>
    </w:p>
    <w:p w14:paraId="69E8B5C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38.5 响应文件内容未按磋商文件规定签字或盖章的；</w:t>
      </w:r>
    </w:p>
    <w:p w14:paraId="72810E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38.6 响应文件组成漏项或未按规定的格式编制或响应文件正、副本份数不足或内容不全或内容字迹模糊辨认不清的等而导致评审活动无法正常进行；</w:t>
      </w:r>
    </w:p>
    <w:p w14:paraId="4812FCC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38.7 供应商未按磋商文件变更通知更改响应文件的；</w:t>
      </w:r>
    </w:p>
    <w:p w14:paraId="5102B0D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38.8 《报价一览表</w:t>
      </w:r>
      <w:r>
        <w:rPr>
          <w:rFonts w:ascii="宋体" w:hAnsi="宋体" w:cs="Times New Roman"/>
          <w:b w:val="0"/>
          <w:bCs w:val="0"/>
          <w:color w:val="000000"/>
          <w:szCs w:val="21"/>
          <w:lang w:val="en-US" w:eastAsia="zh-CN"/>
        </w:rPr>
        <w:t>》和《响应分项报价表》内容不完</w:t>
      </w:r>
      <w:r>
        <w:rPr>
          <w:rFonts w:ascii="宋体" w:hAnsi="宋体"/>
          <w:b w:val="0"/>
          <w:bCs w:val="0"/>
          <w:color w:val="000000"/>
          <w:szCs w:val="21"/>
          <w:lang w:val="en-US" w:eastAsia="zh-CN"/>
        </w:rPr>
        <w:t>整且不接受修正意见或字迹不能辨认的或未提供；</w:t>
      </w:r>
    </w:p>
    <w:p w14:paraId="3B8196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38.9 标项磋商报价超过磋商文件规定的预算金额或最高限价</w:t>
      </w:r>
    </w:p>
    <w:p w14:paraId="74E9BA6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38.10 因供应商原因编制错误造成经磋商小组修正后的报价达到或超过磋商报价的0.5%；</w:t>
      </w:r>
    </w:p>
    <w:p w14:paraId="08C0214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38.11 供应商的报价明显低于其他通过符合性审查供应商的报价，有可能影响产品质量或者不能诚信履约的，且在规定时间内不能合理说明原因并提供证明材料的；</w:t>
      </w:r>
    </w:p>
    <w:p w14:paraId="54B57E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38.12 未实质性响应磋商文件中条款要求的响应文件；</w:t>
      </w:r>
    </w:p>
    <w:p w14:paraId="27F17F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38.13 不符合采购范围、技术规格、技术标准的要求无法满足采购人使用要求；</w:t>
      </w:r>
    </w:p>
    <w:p w14:paraId="3D13AF6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38.14 响应文件附有采购人不能接受的条款；</w:t>
      </w:r>
    </w:p>
    <w:p w14:paraId="30B58E8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38.15 响应文件中提供了赠品或者与本项目采购无关的其他商品、服务；</w:t>
      </w:r>
    </w:p>
    <w:p w14:paraId="11651A1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38.16 响应文件中承诺的磋商有效期少于磋商文件中载明的磋商有效期；</w:t>
      </w:r>
    </w:p>
    <w:p w14:paraId="60D48BA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38.17供应商串通响应，妨碍其他供应商的竞争行为，损害采购人或者其他供应商的合法权益；</w:t>
      </w:r>
    </w:p>
    <w:p w14:paraId="37C5B08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38.18违反国家及政府部门相关法律、法规、文件规定或经磋商小组认定的其他属于重大偏离；</w:t>
      </w:r>
    </w:p>
    <w:p w14:paraId="019277A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39．无效响应</w:t>
      </w:r>
    </w:p>
    <w:p w14:paraId="7491E94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39.1 符合磋商文件规定无效响应情形的；</w:t>
      </w:r>
    </w:p>
    <w:p w14:paraId="467659D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39.2 出现影响采购公正的违法、违规行为的；</w:t>
      </w:r>
    </w:p>
    <w:p w14:paraId="5FD063C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39.3 供应商的报价均超过最高限价，采购人不能支付的;</w:t>
      </w:r>
    </w:p>
    <w:p w14:paraId="52216A2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39.4 因重大变故，采购任务取消的。</w:t>
      </w:r>
    </w:p>
    <w:p w14:paraId="47251B4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40．突发情况处理</w:t>
      </w:r>
    </w:p>
    <w:p w14:paraId="1B1229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40.1 采购过程中出现以下情形，导致电子交易平台无法正常运行，或者无法保证电子交易的公平、公正和安全时，采购组织机构可中止电子交易活动：</w:t>
      </w:r>
    </w:p>
    <w:p w14:paraId="240E33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（1）电子交易平台发生故障而无法登录访问的； </w:t>
      </w:r>
    </w:p>
    <w:p w14:paraId="7459738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（2）电子交易平台应用或数据库出现错误，不能进行正常操作的；</w:t>
      </w:r>
    </w:p>
    <w:p w14:paraId="52707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（3）电子交易平台发现严重安全漏洞，有潜在泄密危险的；</w:t>
      </w:r>
    </w:p>
    <w:p w14:paraId="23DC859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（4）病毒发作导致不能进行正常操作的； </w:t>
      </w:r>
    </w:p>
    <w:p w14:paraId="503B617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（5）其他无法保证电子交易的公平、公正和安全的情况。</w:t>
      </w:r>
    </w:p>
    <w:p w14:paraId="10CD4A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63CFFF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40.2 采购代理机构或评审小组因不可抗力（不可抗力包括但不限于自然灾害、断电、传播疫病等）原因造成电子交易活动无法正常运行的，将采取以下措施：</w:t>
      </w:r>
    </w:p>
    <w:p w14:paraId="66501E6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（1）短时间内能消除不可抗力因素的，采购代理机构或评审小组在消除不可抗力因素后继续组织电子交易活动； </w:t>
      </w:r>
    </w:p>
    <w:p w14:paraId="4F234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（2）长时间内无法消除不可抗力因素的，采购代理机构或评审小组将中止电子交易活动。中止电子交易活动的，采购人应当重新组织政府采购活动。</w:t>
      </w:r>
    </w:p>
    <w:p w14:paraId="57DEC72E">
      <w:pPr>
        <w:snapToGrid w:val="0"/>
        <w:spacing w:line="360" w:lineRule="exact"/>
        <w:ind w:firstLine="421"/>
        <w:rPr>
          <w:rFonts w:ascii="宋体" w:hAnsi="宋体"/>
          <w:b/>
          <w:color w:val="000000"/>
          <w:szCs w:val="21"/>
          <w:highlight w:val="none"/>
        </w:rPr>
      </w:pPr>
      <w:r>
        <w:rPr>
          <w:rFonts w:ascii="宋体" w:hAnsi="宋体"/>
          <w:b/>
          <w:color w:val="000000"/>
          <w:szCs w:val="21"/>
          <w:lang w:val="en-US" w:eastAsia="zh-CN"/>
        </w:rPr>
        <w:t>41</w:t>
      </w:r>
      <w:r>
        <w:rPr>
          <w:rFonts w:ascii="宋体" w:hAnsi="宋体"/>
          <w:b/>
          <w:color w:val="000000"/>
          <w:szCs w:val="21"/>
        </w:rPr>
        <w:t>. 定标</w:t>
      </w:r>
    </w:p>
    <w:p w14:paraId="31A04F17">
      <w:pPr>
        <w:spacing w:line="440" w:lineRule="exact"/>
        <w:ind w:firstLine="210"/>
        <w:jc w:val="left"/>
        <w:rPr>
          <w:rFonts w:ascii="宋体" w:hAnsi="宋体"/>
          <w:b w:val="0"/>
          <w:bCs w:val="0"/>
          <w:color w:val="000000"/>
          <w:szCs w:val="21"/>
          <w:highlight w:val="none"/>
          <w:lang w:val="en-US" w:eastAsia="zh-CN"/>
        </w:rPr>
      </w:pPr>
      <w:r>
        <w:rPr>
          <w:rFonts w:ascii="宋体" w:hAnsi="宋体" w:cs="宋体"/>
          <w:color w:val="000000"/>
          <w:szCs w:val="21"/>
        </w:rPr>
        <w:t xml:space="preserve">   </w:t>
      </w:r>
      <w:r>
        <w:rPr>
          <w:rFonts w:ascii="宋体" w:hAnsi="宋体" w:cs="宋体"/>
          <w:b w:val="0"/>
          <w:bCs w:val="0"/>
          <w:color w:val="000000"/>
          <w:szCs w:val="21"/>
          <w:lang w:val="en-US" w:eastAsia="zh-CN"/>
        </w:rPr>
        <w:t xml:space="preserve"> </w:t>
      </w:r>
      <w:r>
        <w:rPr>
          <w:rFonts w:ascii="宋体" w:hAnsi="宋体"/>
          <w:b w:val="0"/>
          <w:bCs w:val="0"/>
          <w:color w:val="000000"/>
          <w:szCs w:val="21"/>
          <w:lang w:val="en-US" w:eastAsia="zh-CN"/>
        </w:rPr>
        <w:t>41.1采购结果确认（确定成交供应商）</w:t>
      </w:r>
    </w:p>
    <w:p w14:paraId="26D96B6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采购结果确认（确定成交供应商）：本项目由采购人根据磋商小组提交的《评审报告》，通过“政府采购云平台”依法确认采购结果、确定成交供应商。具体流程如下：</w:t>
      </w:r>
    </w:p>
    <w:p w14:paraId="3F35699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（1）采购代理机构将在评审结束后2个工作日内将评审报告送采购人。</w:t>
      </w:r>
    </w:p>
    <w:p w14:paraId="409B847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（2）采购人将在收到评审报告之日起5个工作日内，在评审报告推荐的成交候选供应商名单中按顺序确定成交供应商，并将确认意见以书面形式回复采购代理机构。 </w:t>
      </w:r>
    </w:p>
    <w:p w14:paraId="08AFD103">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41.2采购结果经采购人确认后2个工作日内，采购代理机构将在</w:t>
      </w:r>
      <w:r>
        <w:rPr>
          <w:rFonts w:ascii="宋体" w:hAnsi="宋体" w:cs="Times New Roman"/>
          <w:b/>
          <w:bCs/>
          <w:color w:val="000000"/>
          <w:szCs w:val="21"/>
          <w:lang w:val="en-US" w:eastAsia="zh-CN"/>
        </w:rPr>
        <w:t>新疆政府采购网（</w:t>
      </w:r>
      <w:r>
        <w:rPr>
          <w:rFonts w:ascii="宋体" w:hAnsi="宋体" w:eastAsia="宋体" w:cs="Times New Roman"/>
          <w:b/>
          <w:bCs/>
          <w:color w:val="000000"/>
          <w:szCs w:val="21"/>
          <w:lang w:val="en-US" w:eastAsia="zh-CN"/>
        </w:rPr>
        <w:t>www.zjzfcg.gov.cn</w:t>
      </w:r>
      <w:r>
        <w:rPr>
          <w:rFonts w:ascii="宋体" w:hAnsi="宋体" w:cs="Times New Roman"/>
          <w:b/>
          <w:bCs/>
          <w:color w:val="000000"/>
          <w:szCs w:val="21"/>
          <w:lang w:val="en-US" w:eastAsia="zh-CN"/>
        </w:rPr>
        <w:t>）、</w:t>
      </w:r>
      <w:r>
        <w:rPr>
          <w:rFonts w:ascii="宋体" w:hAnsi="宋体"/>
          <w:b/>
          <w:bCs/>
          <w:color w:val="000000"/>
          <w:szCs w:val="21"/>
          <w:lang w:val="en-US" w:eastAsia="zh-CN"/>
        </w:rPr>
        <w:t>克州公共资源交易网</w:t>
      </w:r>
      <w:r>
        <w:rPr>
          <w:rFonts w:ascii="宋体" w:hAnsi="宋体" w:cs="Times New Roman"/>
          <w:b/>
          <w:bCs/>
          <w:color w:val="000000"/>
          <w:szCs w:val="21"/>
          <w:lang w:val="en-US" w:eastAsia="zh-CN"/>
        </w:rPr>
        <w:t>上公告采购结果，成交结果公告期限为</w:t>
      </w:r>
      <w:r>
        <w:rPr>
          <w:rFonts w:ascii="宋体" w:hAnsi="宋体" w:eastAsia="宋体" w:cs="Times New Roman"/>
          <w:b/>
          <w:bCs/>
          <w:color w:val="000000"/>
          <w:szCs w:val="21"/>
          <w:lang w:val="en-US" w:eastAsia="zh-CN"/>
        </w:rPr>
        <w:t>1</w:t>
      </w:r>
      <w:r>
        <w:rPr>
          <w:rFonts w:ascii="宋体" w:hAnsi="宋体" w:cs="Times New Roman"/>
          <w:b/>
          <w:bCs/>
          <w:color w:val="000000"/>
          <w:szCs w:val="21"/>
          <w:lang w:val="en-US" w:eastAsia="zh-CN"/>
        </w:rPr>
        <w:t>个工作日。</w:t>
      </w:r>
    </w:p>
    <w:p w14:paraId="4092E2A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 成交通知书</w:t>
      </w:r>
    </w:p>
    <w:p w14:paraId="6382903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42.1</w:t>
      </w:r>
      <w:r>
        <w:rPr>
          <w:rFonts w:ascii="宋体" w:hAnsi="宋体" w:cs="宋体"/>
          <w:color w:val="000000"/>
          <w:szCs w:val="21"/>
        </w:rPr>
        <w:t>在</w:t>
      </w:r>
      <w:r>
        <w:rPr>
          <w:rFonts w:ascii="宋体" w:hAnsi="宋体" w:cs="宋体"/>
          <w:color w:val="000000"/>
          <w:szCs w:val="21"/>
          <w:lang w:eastAsia="zh-CN"/>
        </w:rPr>
        <w:t>成交</w:t>
      </w:r>
      <w:r>
        <w:rPr>
          <w:rFonts w:ascii="宋体" w:hAnsi="宋体" w:cs="宋体"/>
          <w:color w:val="000000"/>
          <w:szCs w:val="21"/>
        </w:rPr>
        <w:t>通知书发出前，采购人将</w:t>
      </w:r>
      <w:r>
        <w:rPr>
          <w:rFonts w:ascii="宋体" w:hAnsi="宋体" w:cs="宋体"/>
          <w:color w:val="000000"/>
          <w:szCs w:val="21"/>
          <w:lang w:eastAsia="zh-CN"/>
        </w:rPr>
        <w:t>成交</w:t>
      </w:r>
      <w:r>
        <w:rPr>
          <w:rFonts w:ascii="宋体" w:hAnsi="宋体" w:cs="宋体"/>
          <w:color w:val="000000"/>
          <w:szCs w:val="21"/>
        </w:rPr>
        <w:t>侯选人的情况在</w:t>
      </w:r>
      <w:r>
        <w:rPr>
          <w:rFonts w:ascii="宋体" w:hAnsi="宋体" w:cs="宋体"/>
          <w:color w:val="000000"/>
          <w:szCs w:val="21"/>
          <w:lang w:val="en-US" w:eastAsia="zh-CN"/>
        </w:rPr>
        <w:t>克州公共资源交易网、</w:t>
      </w:r>
      <w:r>
        <w:rPr>
          <w:rFonts w:ascii="宋体" w:hAnsi="宋体" w:cs="宋体"/>
          <w:color w:val="000000"/>
          <w:szCs w:val="21"/>
          <w:lang w:eastAsia="zh-CN"/>
        </w:rPr>
        <w:t>新疆政府采购网</w:t>
      </w:r>
      <w:r>
        <w:rPr>
          <w:rFonts w:ascii="宋体" w:hAnsi="宋体" w:cs="宋体"/>
          <w:color w:val="000000"/>
          <w:szCs w:val="21"/>
        </w:rPr>
        <w:t>予以公示，</w:t>
      </w:r>
      <w:r>
        <w:rPr>
          <w:rFonts w:ascii="宋体" w:hAnsi="宋体" w:cs="宋体"/>
          <w:b/>
          <w:bCs/>
          <w:color w:val="000000"/>
          <w:szCs w:val="21"/>
        </w:rPr>
        <w:t>公示期为</w:t>
      </w:r>
      <w:r>
        <w:rPr>
          <w:rFonts w:ascii="宋体" w:hAnsi="宋体" w:cs="宋体"/>
          <w:b/>
          <w:bCs/>
          <w:color w:val="000000"/>
          <w:szCs w:val="21"/>
          <w:lang w:eastAsia="zh-CN"/>
        </w:rPr>
        <w:t>一</w:t>
      </w:r>
      <w:r>
        <w:rPr>
          <w:rFonts w:ascii="宋体" w:hAnsi="宋体" w:cs="宋体"/>
          <w:b/>
          <w:bCs/>
          <w:color w:val="000000"/>
          <w:szCs w:val="21"/>
        </w:rPr>
        <w:t>个工作日。</w:t>
      </w:r>
      <w:r>
        <w:rPr>
          <w:rFonts w:ascii="宋体" w:hAnsi="宋体" w:cs="宋体"/>
          <w:b/>
          <w:bCs/>
          <w:color w:val="000000"/>
          <w:szCs w:val="21"/>
          <w:lang w:eastAsia="zh-CN"/>
        </w:rPr>
        <w:t>待公示期结束后，</w:t>
      </w:r>
      <w:r>
        <w:rPr>
          <w:rFonts w:ascii="宋体" w:hAnsi="宋体"/>
          <w:b w:val="0"/>
          <w:bCs w:val="0"/>
          <w:color w:val="000000"/>
          <w:szCs w:val="21"/>
          <w:lang w:val="en-US" w:eastAsia="zh-CN"/>
        </w:rPr>
        <w:t>采购组织机构向成交供应商发出成交通知书。</w:t>
      </w:r>
    </w:p>
    <w:p w14:paraId="04502D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5A8D9D01">
      <w:pPr>
        <w:numPr>
          <w:ilvl w:val="0"/>
          <w:numId w:val="0"/>
        </w:numPr>
        <w:spacing w:before="156" w:after="0" w:line="440" w:lineRule="exact"/>
        <w:jc w:val="center"/>
        <w:outlineLvl w:val="2"/>
        <w:rPr>
          <w:rFonts w:ascii="黑体" w:hAnsi="黑体" w:eastAsia="黑体"/>
          <w:color w:val="000000"/>
          <w:sz w:val="24"/>
          <w:highlight w:val="none"/>
        </w:rPr>
      </w:pPr>
      <w:r>
        <w:rPr>
          <w:rFonts w:ascii="黑体" w:hAnsi="黑体" w:eastAsia="黑体"/>
          <w:color w:val="000000"/>
          <w:sz w:val="28"/>
          <w:szCs w:val="28"/>
        </w:rPr>
        <w:t>（六）合同的授予</w:t>
      </w:r>
    </w:p>
    <w:p w14:paraId="19F62D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43．履约保证金</w:t>
      </w:r>
    </w:p>
    <w:p w14:paraId="6F9729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43.1 成</w:t>
      </w:r>
      <w:r>
        <w:rPr>
          <w:rFonts w:ascii="宋体" w:hAnsi="宋体" w:cs="Times New Roman"/>
          <w:b w:val="0"/>
          <w:bCs w:val="0"/>
          <w:color w:val="000000"/>
          <w:szCs w:val="21"/>
          <w:lang w:val="en-US" w:eastAsia="zh-CN"/>
        </w:rPr>
        <w:t>交供应商在收到成交通知书</w:t>
      </w:r>
      <w:r>
        <w:rPr>
          <w:rFonts w:ascii="宋体" w:hAnsi="宋体" w:eastAsia="宋体" w:cs="Times New Roman"/>
          <w:b w:val="0"/>
          <w:bCs w:val="0"/>
          <w:color w:val="000000"/>
          <w:szCs w:val="21"/>
          <w:lang w:val="en-US" w:eastAsia="zh-CN"/>
        </w:rPr>
        <w:t>7</w:t>
      </w:r>
      <w:r>
        <w:rPr>
          <w:rFonts w:ascii="宋体" w:hAnsi="宋体" w:cs="Times New Roman"/>
          <w:b w:val="0"/>
          <w:bCs w:val="0"/>
          <w:color w:val="000000"/>
          <w:szCs w:val="21"/>
          <w:lang w:val="en-US" w:eastAsia="zh-CN"/>
        </w:rPr>
        <w:t>日内向采购人交纳</w:t>
      </w:r>
      <w:r>
        <w:rPr>
          <w:rFonts w:ascii="宋体" w:hAnsi="宋体" w:cs="Times New Roman"/>
          <w:b w:val="0"/>
          <w:bCs w:val="0"/>
          <w:color w:val="FF0000"/>
          <w:szCs w:val="21"/>
          <w:lang w:val="en-US" w:eastAsia="zh-CN"/>
        </w:rPr>
        <w:t>成交价</w:t>
      </w:r>
      <w:r>
        <w:rPr>
          <w:rFonts w:ascii="宋体" w:hAnsi="宋体" w:eastAsia="宋体" w:cs="Times New Roman"/>
          <w:b w:val="0"/>
          <w:bCs w:val="0"/>
          <w:color w:val="FF0000"/>
          <w:szCs w:val="21"/>
          <w:lang w:val="en-US" w:eastAsia="zh-CN"/>
        </w:rPr>
        <w:t>5%</w:t>
      </w:r>
      <w:r>
        <w:rPr>
          <w:rFonts w:ascii="宋体" w:hAnsi="宋体" w:cs="Times New Roman"/>
          <w:b w:val="0"/>
          <w:bCs w:val="0"/>
          <w:color w:val="FF0000"/>
          <w:szCs w:val="21"/>
          <w:lang w:val="en-US" w:eastAsia="zh-CN"/>
        </w:rPr>
        <w:t>的履约保证金</w:t>
      </w:r>
      <w:r>
        <w:rPr>
          <w:rFonts w:ascii="宋体" w:hAnsi="宋体" w:cs="Times New Roman"/>
          <w:b w:val="0"/>
          <w:bCs w:val="0"/>
          <w:color w:val="000000"/>
          <w:szCs w:val="21"/>
          <w:lang w:val="en-US" w:eastAsia="zh-CN"/>
        </w:rPr>
        <w:t>（</w:t>
      </w:r>
      <w:r>
        <w:rPr>
          <w:rFonts w:ascii="宋体" w:hAnsi="宋体"/>
          <w:b w:val="0"/>
          <w:bCs w:val="0"/>
          <w:color w:val="000000"/>
          <w:szCs w:val="21"/>
          <w:lang w:val="en-US" w:eastAsia="zh-CN"/>
        </w:rPr>
        <w:t>鼓励以银行、保险公司出具的履约保函形式提交；若以电汇、银行转账方式提交的，必须转到采购人的指定账户）。</w:t>
      </w:r>
    </w:p>
    <w:p w14:paraId="6FD063F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43.2 签订合同后，如成交供应商不按合同约定履约的，履约保证金不予退还，履约保证金不足以赔偿损失的，按实际损失赔偿。</w:t>
      </w:r>
    </w:p>
    <w:p w14:paraId="56BE682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43.3 如果成交供应商在建设期内没有涉及采购人的应付而未付金额或违约行为，采购人在项目验收合格后或提前终止合同后全额无息退还履约保证金。</w:t>
      </w:r>
    </w:p>
    <w:p w14:paraId="260090F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44．签订合同及公告</w:t>
      </w:r>
    </w:p>
    <w:p w14:paraId="76B2F34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44.1采购人在成交通知书发出之日起30日内与成交供应商签订合同。</w:t>
      </w:r>
    </w:p>
    <w:p w14:paraId="4E2C52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44.2成交供应商拖延、拒签合同的,取消成交资格。</w:t>
      </w:r>
    </w:p>
    <w:p w14:paraId="6CD363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44.3 采购文件、成交供应商的响应文件及评审过程中有关澄清文件等均作为签订合同的依据。所签订的合同不得对采购文件和成交供应商的响应文件的内容作实质性修改。</w:t>
      </w:r>
    </w:p>
    <w:p w14:paraId="7578DB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44.4采购人应当自政府采购合同签订之日起2个工作日内，在省级以上财政部门指定的政府采购信息发布媒体及相关网站上公告。</w:t>
      </w:r>
    </w:p>
    <w:p w14:paraId="49CA66B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44.5采购人应当自政府采购合同签订之日起7个工作日内，将政府采购合同副本报同级人民政府财政部门备案以及采购代理机构存档。</w:t>
      </w:r>
    </w:p>
    <w:p w14:paraId="14B87252">
      <w:pPr>
        <w:numPr>
          <w:ilvl w:val="0"/>
          <w:numId w:val="0"/>
        </w:numPr>
        <w:snapToGrid w:val="0"/>
        <w:spacing w:line="440" w:lineRule="exact"/>
        <w:jc w:val="center"/>
        <w:outlineLvl w:val="2"/>
        <w:rPr>
          <w:rFonts w:ascii="黑体" w:hAnsi="黑体" w:eastAsia="黑体"/>
          <w:color w:val="000000"/>
          <w:sz w:val="28"/>
          <w:szCs w:val="28"/>
          <w:highlight w:val="none"/>
        </w:rPr>
      </w:pPr>
      <w:r>
        <w:rPr>
          <w:rFonts w:ascii="黑体" w:hAnsi="黑体" w:eastAsia="黑体"/>
          <w:color w:val="000000"/>
          <w:sz w:val="28"/>
          <w:szCs w:val="28"/>
        </w:rPr>
        <w:t>（七）纪律和监督</w:t>
      </w:r>
    </w:p>
    <w:p w14:paraId="28B7F6D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45</w:t>
      </w:r>
      <w:r>
        <w:rPr>
          <w:rFonts w:ascii="宋体" w:hAnsi="宋体"/>
          <w:b/>
          <w:color w:val="000000"/>
          <w:szCs w:val="21"/>
        </w:rPr>
        <w:t xml:space="preserve">. 对采购人的纪律要求 </w:t>
      </w:r>
    </w:p>
    <w:p w14:paraId="01D7548C">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45</w:t>
      </w:r>
      <w:r>
        <w:rPr>
          <w:rFonts w:ascii="宋体" w:hAnsi="宋体"/>
          <w:color w:val="000000"/>
          <w:kern w:val="2"/>
          <w:szCs w:val="21"/>
        </w:rPr>
        <w:t xml:space="preserve">.1采购人不得泄漏采购活动中应当保密的情况和资料，不得与供应商串通损害国家利益，社会公共利益或者他人合法权益。 </w:t>
      </w:r>
    </w:p>
    <w:p w14:paraId="7BB75A1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46</w:t>
      </w:r>
      <w:r>
        <w:rPr>
          <w:rFonts w:ascii="宋体" w:hAnsi="宋体"/>
          <w:b/>
          <w:color w:val="000000"/>
          <w:szCs w:val="21"/>
        </w:rPr>
        <w:t xml:space="preserve">. 对供应商的纪律要求 </w:t>
      </w:r>
    </w:p>
    <w:p w14:paraId="1B4ABD28">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46</w:t>
      </w:r>
      <w:r>
        <w:rPr>
          <w:rFonts w:ascii="宋体" w:hAnsi="宋体"/>
          <w:color w:val="000000"/>
          <w:kern w:val="2"/>
          <w:szCs w:val="21"/>
        </w:rPr>
        <w:t>.1供应商不得相互串通响应或者与采购人串通响应，不得向采购人或者磋商小组成员行贿谋取成交，不得以他人名义响应或者以其他方式弄虚作假骗取成交；供应商不得以任何方式干扰、影响评审工作。</w:t>
      </w:r>
    </w:p>
    <w:p w14:paraId="1FCDAD38">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47</w:t>
      </w:r>
      <w:r>
        <w:rPr>
          <w:rFonts w:ascii="宋体" w:hAnsi="宋体"/>
          <w:b/>
          <w:color w:val="000000"/>
          <w:szCs w:val="21"/>
        </w:rPr>
        <w:t xml:space="preserve">. 对磋商小组成员的纪律要求 </w:t>
      </w:r>
    </w:p>
    <w:p w14:paraId="7C543CC0">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.1磋商小组成员不得收受他人的财物或者其他好处，不得向他人透漏对响应文件的评审和比较、成交候选人的推荐情况以及评审有关的其他情况。</w:t>
      </w:r>
    </w:p>
    <w:p w14:paraId="6602AB65">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 xml:space="preserve">.2在评审活动中，磋商小组成员不得擅离职守，影响评审程序正常进行，不得使用第三章“评审办法”没有规定的评审因素和标准进行评审。 </w:t>
      </w:r>
    </w:p>
    <w:p w14:paraId="11D856B5">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48</w:t>
      </w:r>
      <w:r>
        <w:rPr>
          <w:rFonts w:ascii="宋体" w:hAnsi="宋体"/>
          <w:b/>
          <w:color w:val="000000"/>
          <w:szCs w:val="21"/>
        </w:rPr>
        <w:t xml:space="preserve">. 对与评审活动有关的工作人员的纪律要求 </w:t>
      </w:r>
    </w:p>
    <w:p w14:paraId="4B77BCC8">
      <w:pPr>
        <w:snapToGrid w:val="0"/>
        <w:spacing w:line="440" w:lineRule="exact"/>
        <w:ind w:firstLine="315"/>
        <w:rPr>
          <w:rFonts w:ascii="宋体" w:hAnsi="宋体"/>
          <w:color w:val="000000"/>
          <w:kern w:val="2"/>
          <w:szCs w:val="21"/>
          <w:highlight w:val="none"/>
        </w:rPr>
      </w:pPr>
      <w:r>
        <w:rPr>
          <w:rFonts w:ascii="宋体" w:hAnsi="宋体"/>
          <w:color w:val="000000"/>
          <w:kern w:val="2"/>
          <w:szCs w:val="21"/>
        </w:rPr>
        <w:t>4</w:t>
      </w:r>
      <w:r>
        <w:rPr>
          <w:rFonts w:ascii="宋体" w:hAnsi="宋体"/>
          <w:color w:val="000000"/>
          <w:kern w:val="2"/>
          <w:szCs w:val="21"/>
          <w:lang w:val="en-US" w:eastAsia="zh-CN"/>
        </w:rPr>
        <w:t>8</w:t>
      </w:r>
      <w:r>
        <w:rPr>
          <w:rFonts w:ascii="宋体" w:hAnsi="宋体"/>
          <w:color w:val="000000"/>
          <w:kern w:val="2"/>
          <w:szCs w:val="21"/>
        </w:rPr>
        <w:t>.1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66E78DB9">
      <w:pPr>
        <w:spacing w:before="156" w:after="156" w:line="500" w:lineRule="exact"/>
        <w:jc w:val="both"/>
        <w:rPr>
          <w:rFonts w:ascii="黑体" w:hAnsi="黑体" w:eastAsia="黑体"/>
          <w:color w:val="000000"/>
          <w:kern w:val="2"/>
          <w:sz w:val="28"/>
          <w:szCs w:val="28"/>
          <w:highlight w:val="none"/>
        </w:rPr>
      </w:pPr>
    </w:p>
    <w:p w14:paraId="3802B1B3">
      <w:pPr>
        <w:pStyle w:val="8"/>
        <w:rPr>
          <w:rFonts w:ascii="黑体" w:hAnsi="黑体" w:eastAsia="黑体"/>
          <w:color w:val="000000"/>
          <w:sz w:val="28"/>
          <w:szCs w:val="28"/>
          <w:highlight w:val="none"/>
        </w:rPr>
      </w:pPr>
    </w:p>
    <w:p w14:paraId="565721FC">
      <w:pPr>
        <w:spacing w:before="156" w:after="156" w:line="500" w:lineRule="exact"/>
        <w:jc w:val="center"/>
        <w:rPr>
          <w:rFonts w:ascii="黑体" w:hAnsi="黑体" w:eastAsia="黑体" w:cs="宋体"/>
          <w:color w:val="000000"/>
          <w:sz w:val="28"/>
          <w:szCs w:val="28"/>
          <w:highlight w:val="none"/>
        </w:rPr>
      </w:pPr>
      <w:r>
        <w:rPr>
          <w:rFonts w:ascii="黑体" w:hAnsi="黑体" w:eastAsia="黑体"/>
          <w:color w:val="000000"/>
          <w:sz w:val="28"/>
          <w:szCs w:val="28"/>
        </w:rPr>
        <w:t>（八）</w:t>
      </w:r>
      <w:r>
        <w:rPr>
          <w:rFonts w:ascii="黑体" w:hAnsi="黑体" w:eastAsia="黑体" w:cs="宋体"/>
          <w:color w:val="000000"/>
          <w:sz w:val="28"/>
          <w:szCs w:val="28"/>
        </w:rPr>
        <w:t>质疑与投诉</w:t>
      </w:r>
    </w:p>
    <w:p w14:paraId="7761BCB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49．质疑和投诉</w:t>
      </w:r>
    </w:p>
    <w:p w14:paraId="37D4470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49.1.供应商认为采购文件、采购过程和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1722D2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（一）对可以质疑的采购文件提出质疑的，为收到采购文件之日或者采购文件公告期限届满之日；</w:t>
      </w:r>
    </w:p>
    <w:p w14:paraId="29A0EA9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（二）对采购过程提出质疑的，为各采购程序环节结束之日；</w:t>
      </w:r>
    </w:p>
    <w:p w14:paraId="2366E5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（三）对成交或者成交结果提出质疑的，为成交或者成交结果公告期限届满之日。</w:t>
      </w:r>
    </w:p>
    <w:p w14:paraId="74B299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7ABCF31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供应商为自然人的，应当由本人签字；供应商为法人或者其他组织的，应当由法定代表人、主要负责人，或者其授权代表签字或者盖章，并加盖公章。</w:t>
      </w:r>
    </w:p>
    <w:p w14:paraId="047F255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49.3供应商质疑、投诉应当有明确的请求和必要的证明材料。供应商投诉的事项不得超出已质疑事项的范围。采购人及采购代理机构按《政府采购质疑和投诉办法》进行处理供应商质疑事项。</w:t>
      </w:r>
    </w:p>
    <w:p w14:paraId="4E3295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49.4质疑供应商对采购人、采购代理机构的质疑答复不满意，或者采购人、采购代理机构未在规定期限内作出答复的，供应商可以在答复期满后15个工作日内向同级财政部门提起投诉。</w:t>
      </w:r>
    </w:p>
    <w:p w14:paraId="53E429D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49.5供应商有下列情形之一的，将其列入不良行为记录名单：</w:t>
      </w:r>
    </w:p>
    <w:p w14:paraId="47B39A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（一）一年内三次以上质疑均查无实据的；</w:t>
      </w:r>
    </w:p>
    <w:p w14:paraId="0B7F43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（二）捏造事实或者提供虚假质疑材料的。</w:t>
      </w:r>
    </w:p>
    <w:p w14:paraId="1BF32E1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（三）以非法手段取得证明材料。证据来源的合法性存在明显疑问，质疑人无法证明其取得方式合法的，视为以非法手段取得证明材料。</w:t>
      </w:r>
    </w:p>
    <w:p w14:paraId="0DD909EE">
      <w:pPr>
        <w:pStyle w:val="67"/>
        <w:rPr>
          <w:rFonts w:ascii="宋体" w:hAnsi="宋体"/>
          <w:b w:val="0"/>
          <w:bCs w:val="0"/>
          <w:color w:val="000000"/>
          <w:szCs w:val="21"/>
          <w:highlight w:val="none"/>
          <w:lang w:val="en-US" w:eastAsia="zh-CN"/>
        </w:rPr>
      </w:pPr>
    </w:p>
    <w:p w14:paraId="143E59D3">
      <w:pPr>
        <w:pStyle w:val="8"/>
        <w:rPr>
          <w:rFonts w:ascii="宋体" w:hAnsi="宋体" w:eastAsia="宋体" w:cs="宋体"/>
          <w:b/>
          <w:bCs/>
          <w:color w:val="000000"/>
          <w:sz w:val="21"/>
          <w:szCs w:val="21"/>
          <w:highlight w:val="none"/>
          <w:lang w:eastAsia="zh-CN"/>
        </w:rPr>
      </w:pPr>
    </w:p>
    <w:p w14:paraId="6323ECD5">
      <w:pPr>
        <w:pStyle w:val="57"/>
        <w:rPr>
          <w:rFonts w:ascii="宋体" w:hAnsi="宋体" w:eastAsia="宋体" w:cs="宋体"/>
          <w:b/>
          <w:bCs/>
          <w:color w:val="000000"/>
          <w:sz w:val="21"/>
          <w:szCs w:val="21"/>
          <w:highlight w:val="none"/>
          <w:lang w:eastAsia="zh-CN"/>
        </w:rPr>
      </w:pPr>
    </w:p>
    <w:p w14:paraId="39E6FBC6">
      <w:pPr>
        <w:rPr>
          <w:rFonts w:ascii="宋体" w:hAnsi="宋体" w:eastAsia="宋体" w:cs="宋体"/>
          <w:b/>
          <w:bCs/>
          <w:color w:val="000000"/>
          <w:sz w:val="21"/>
          <w:szCs w:val="21"/>
          <w:highlight w:val="none"/>
          <w:lang w:eastAsia="zh-CN"/>
        </w:rPr>
      </w:pPr>
    </w:p>
    <w:p w14:paraId="3EFD10B1">
      <w:pPr>
        <w:pStyle w:val="67"/>
        <w:rPr>
          <w:rFonts w:ascii="宋体" w:hAnsi="宋体" w:eastAsia="宋体" w:cs="宋体"/>
          <w:b/>
          <w:bCs/>
          <w:color w:val="000000"/>
          <w:sz w:val="21"/>
          <w:szCs w:val="21"/>
          <w:highlight w:val="none"/>
          <w:lang w:eastAsia="zh-CN"/>
        </w:rPr>
      </w:pPr>
    </w:p>
    <w:p w14:paraId="5F6CE6CD">
      <w:pPr>
        <w:pStyle w:val="67"/>
        <w:rPr>
          <w:lang w:eastAsia="zh-CN"/>
        </w:rPr>
      </w:pPr>
    </w:p>
    <w:p w14:paraId="4CD87BE3">
      <w:pPr>
        <w:pStyle w:val="67"/>
        <w:rPr>
          <w:lang w:eastAsia="zh-CN"/>
        </w:rPr>
      </w:pPr>
    </w:p>
    <w:p w14:paraId="3F4EA408">
      <w:pPr>
        <w:pStyle w:val="67"/>
        <w:rPr>
          <w:lang w:eastAsia="zh-CN"/>
        </w:rPr>
      </w:pPr>
    </w:p>
    <w:p w14:paraId="3BA4B0FE">
      <w:pPr>
        <w:pStyle w:val="67"/>
        <w:rPr>
          <w:lang w:eastAsia="zh-CN"/>
        </w:rPr>
      </w:pPr>
    </w:p>
    <w:p w14:paraId="661CAEF2">
      <w:pPr>
        <w:pStyle w:val="67"/>
        <w:rPr>
          <w:lang w:eastAsia="zh-CN"/>
        </w:rPr>
      </w:pPr>
    </w:p>
    <w:p w14:paraId="7355A9F1">
      <w:pPr>
        <w:pStyle w:val="67"/>
        <w:rPr>
          <w:lang w:eastAsia="zh-CN"/>
        </w:rPr>
      </w:pPr>
    </w:p>
    <w:p w14:paraId="1083162D">
      <w:pPr>
        <w:pStyle w:val="67"/>
        <w:rPr>
          <w:lang w:eastAsia="zh-CN"/>
        </w:rPr>
      </w:pPr>
    </w:p>
    <w:p w14:paraId="79D172B5">
      <w:pPr>
        <w:pStyle w:val="67"/>
        <w:rPr>
          <w:lang w:eastAsia="zh-CN"/>
        </w:rPr>
      </w:pPr>
    </w:p>
    <w:p w14:paraId="24BD6AB7">
      <w:pPr>
        <w:numPr>
          <w:ilvl w:val="0"/>
          <w:numId w:val="0"/>
        </w:numPr>
        <w:spacing w:line="360" w:lineRule="auto"/>
        <w:jc w:val="both"/>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附件：</w:t>
      </w:r>
    </w:p>
    <w:p w14:paraId="42CAE965">
      <w:pPr>
        <w:numPr>
          <w:ilvl w:val="0"/>
          <w:numId w:val="0"/>
        </w:numPr>
        <w:spacing w:line="360" w:lineRule="auto"/>
        <w:jc w:val="center"/>
        <w:outlineLvl w:val="0"/>
        <w:rPr>
          <w:rFonts w:ascii="宋体" w:hAnsi="宋体" w:eastAsia="宋体" w:cs="宋体"/>
          <w:color w:val="000000"/>
          <w:sz w:val="21"/>
          <w:szCs w:val="21"/>
          <w:highlight w:val="none"/>
        </w:rPr>
      </w:pPr>
      <w:r>
        <w:rPr>
          <w:rFonts w:ascii="宋体" w:hAnsi="宋体" w:cs="宋体"/>
          <w:b/>
          <w:bCs/>
          <w:color w:val="000000"/>
          <w:sz w:val="28"/>
          <w:szCs w:val="28"/>
          <w:lang w:eastAsia="zh-CN"/>
        </w:rPr>
        <w:t>政府采购投诉书（范本）、质疑函范本</w:t>
      </w:r>
    </w:p>
    <w:p w14:paraId="4F3DAA57">
      <w:pPr>
        <w:keepNext w:val="0"/>
        <w:keepLines w:val="0"/>
        <w:pageBreakBefore w:val="0"/>
        <w:widowControl/>
        <w:kinsoku/>
        <w:overflowPunct/>
        <w:autoSpaceDE/>
        <w:bidi w:val="0"/>
        <w:snapToGrid/>
        <w:spacing w:line="360" w:lineRule="auto"/>
        <w:ind w:firstLine="420"/>
        <w:jc w:val="center"/>
        <w:textAlignment w:val="auto"/>
        <w:rPr>
          <w:rFonts w:ascii="宋体" w:hAnsi="宋体" w:eastAsia="宋体" w:cs="宋体"/>
          <w:b/>
          <w:bCs/>
          <w:color w:val="000000"/>
          <w:sz w:val="22"/>
          <w:szCs w:val="22"/>
          <w:highlight w:val="none"/>
          <w:lang w:val="en-US" w:eastAsia="zh-CN"/>
        </w:rPr>
      </w:pPr>
      <w:r>
        <w:rPr>
          <w:rFonts w:ascii="宋体" w:hAnsi="宋体" w:cs="宋体"/>
          <w:b/>
          <w:bCs/>
          <w:color w:val="000000"/>
          <w:sz w:val="22"/>
          <w:szCs w:val="22"/>
          <w:lang w:val="en-US" w:eastAsia="zh-CN"/>
        </w:rPr>
        <w:t>投 诉 书</w:t>
      </w:r>
    </w:p>
    <w:p w14:paraId="4C1C751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一、投诉相关主体基本情况</w:t>
      </w:r>
    </w:p>
    <w:p w14:paraId="7A027A5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投诉人：                           </w:t>
      </w:r>
    </w:p>
    <w:p w14:paraId="1325B57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0CBE3A5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法定代表人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 xml:space="preserve">主要负责人：                             </w:t>
      </w:r>
    </w:p>
    <w:p w14:paraId="4C55F7D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04E0FD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E0F193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授权代表（如有）：                         </w:t>
      </w:r>
    </w:p>
    <w:p w14:paraId="3B5C923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56A52F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F71989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 xml:space="preserve">：                                </w:t>
      </w:r>
    </w:p>
    <w:p w14:paraId="07D82CF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6B34538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64F9965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 xml:space="preserve">：                                           </w:t>
      </w:r>
    </w:p>
    <w:p w14:paraId="414C1BC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相关供应商（如有）：                                       </w:t>
      </w:r>
    </w:p>
    <w:p w14:paraId="4BD1857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邮编：                 </w:t>
      </w:r>
    </w:p>
    <w:p w14:paraId="56D413C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0112379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二、投诉项目基本情况</w:t>
      </w:r>
    </w:p>
    <w:p w14:paraId="0399112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采购项目名称：</w:t>
      </w:r>
    </w:p>
    <w:p w14:paraId="771CC04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采购项目编号：        包号：</w:t>
      </w:r>
    </w:p>
    <w:p w14:paraId="4545FCC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采购人名称：</w:t>
      </w:r>
    </w:p>
    <w:p w14:paraId="05215C3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代理机构名称：</w:t>
      </w:r>
    </w:p>
    <w:p w14:paraId="40CD843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采购文件公告：是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610AD15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采购结果公告：是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41FA842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三、质疑基本情况</w:t>
      </w:r>
    </w:p>
    <w:p w14:paraId="693B49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投诉人于    年  月  日，向       提出质疑，</w:t>
      </w:r>
    </w:p>
    <w:p w14:paraId="68672C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质疑事项为：</w:t>
      </w:r>
    </w:p>
    <w:p w14:paraId="734A52C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代理机构于    年  月  日，就质疑事项做出了答复</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没有在法定期限内做出答复。</w:t>
      </w:r>
    </w:p>
    <w:p w14:paraId="3C6D71E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四、投诉事项具体内容</w:t>
      </w:r>
    </w:p>
    <w:p w14:paraId="15FD16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08661F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事实依据：</w:t>
      </w:r>
    </w:p>
    <w:p w14:paraId="77B2E8E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1693486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798E4D1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1BFDD7E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w:t>
      </w:r>
    </w:p>
    <w:p w14:paraId="13FD79A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五、与投诉事项相关的投诉请求</w:t>
      </w:r>
    </w:p>
    <w:p w14:paraId="4FAC054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请求：</w:t>
      </w:r>
    </w:p>
    <w:p w14:paraId="6D52065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p>
    <w:p w14:paraId="7CD970C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签字（签章）（法人代表或负责人、代理人）：       </w:t>
      </w:r>
    </w:p>
    <w:p w14:paraId="623492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公章（单位）：               </w:t>
      </w:r>
    </w:p>
    <w:p w14:paraId="63F3821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日期：</w:t>
      </w:r>
    </w:p>
    <w:p w14:paraId="77EB34E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附件：质疑及答复材料</w:t>
      </w:r>
    </w:p>
    <w:p w14:paraId="37D5D9E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投诉书制作说明：</w:t>
      </w:r>
    </w:p>
    <w:p w14:paraId="3622960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投诉人应当按照《政府采购质疑和投诉办法》（财政部令第</w:t>
      </w:r>
      <w:r>
        <w:rPr>
          <w:rFonts w:ascii="宋体" w:hAnsi="宋体" w:eastAsia="宋体" w:cs="宋体"/>
          <w:color w:val="000000"/>
          <w:sz w:val="21"/>
          <w:szCs w:val="21"/>
          <w:lang w:val="en-US" w:eastAsia="zh-CN"/>
        </w:rPr>
        <w:t>94</w:t>
      </w:r>
      <w:r>
        <w:rPr>
          <w:rFonts w:ascii="宋体" w:hAnsi="宋体" w:cs="宋体"/>
          <w:color w:val="000000"/>
          <w:sz w:val="21"/>
          <w:szCs w:val="21"/>
          <w:lang w:val="en-US" w:eastAsia="zh-CN"/>
        </w:rPr>
        <w:t>号）规定提起投诉。</w:t>
      </w:r>
    </w:p>
    <w:p w14:paraId="34DE59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投诉人提起投诉时，应当提交投诉书和必要的证明材料，并按照被投诉人和与投诉事项有关的供应商数量提供投诉书副本。</w:t>
      </w:r>
    </w:p>
    <w:p w14:paraId="2CAC14B0">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3.</w:t>
      </w:r>
      <w:r>
        <w:rPr>
          <w:rFonts w:ascii="宋体" w:hAnsi="宋体" w:cs="宋体"/>
          <w:color w:val="000000"/>
          <w:sz w:val="21"/>
          <w:szCs w:val="21"/>
          <w:lang w:val="en-US" w:eastAsia="zh-CN"/>
        </w:rPr>
        <w:t>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42111A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4.</w:t>
      </w:r>
      <w:r>
        <w:rPr>
          <w:rFonts w:ascii="宋体" w:hAnsi="宋体" w:cs="宋体"/>
          <w:color w:val="000000"/>
          <w:sz w:val="21"/>
          <w:szCs w:val="21"/>
          <w:lang w:val="en-US" w:eastAsia="zh-CN"/>
        </w:rPr>
        <w:t>投诉人若对项目的某一分包进行投诉，投诉书应列明具体分包号。</w:t>
      </w:r>
    </w:p>
    <w:p w14:paraId="13CB4CA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5.</w:t>
      </w:r>
      <w:r>
        <w:rPr>
          <w:rFonts w:ascii="宋体" w:hAnsi="宋体" w:cs="宋体"/>
          <w:color w:val="000000"/>
          <w:sz w:val="21"/>
          <w:szCs w:val="21"/>
          <w:lang w:val="en-US" w:eastAsia="zh-CN"/>
        </w:rPr>
        <w:t>投诉书应简要列明质疑事项，质疑函、质疑答复等作为附件材料提供。</w:t>
      </w:r>
    </w:p>
    <w:p w14:paraId="0C72AE5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6.</w:t>
      </w:r>
      <w:r>
        <w:rPr>
          <w:rFonts w:ascii="宋体" w:hAnsi="宋体" w:cs="宋体"/>
          <w:color w:val="000000"/>
          <w:sz w:val="21"/>
          <w:szCs w:val="21"/>
          <w:lang w:val="en-US" w:eastAsia="zh-CN"/>
        </w:rPr>
        <w:t>投诉书的投诉事项应具体、明确，并由必要的事实依据和法律依据。</w:t>
      </w:r>
    </w:p>
    <w:p w14:paraId="43A4A00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7.</w:t>
      </w:r>
      <w:r>
        <w:rPr>
          <w:rFonts w:ascii="宋体" w:hAnsi="宋体" w:cs="宋体"/>
          <w:color w:val="000000"/>
          <w:sz w:val="21"/>
          <w:szCs w:val="21"/>
          <w:lang w:val="en-US" w:eastAsia="zh-CN"/>
        </w:rPr>
        <w:t>投诉书的投诉请求应与投诉事项相关。</w:t>
      </w:r>
    </w:p>
    <w:p w14:paraId="477692B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b/>
          <w:bCs/>
          <w:color w:val="000000"/>
          <w:sz w:val="32"/>
          <w:szCs w:val="32"/>
          <w:highlight w:val="none"/>
        </w:rPr>
      </w:pPr>
      <w:r>
        <w:rPr>
          <w:rFonts w:ascii="宋体" w:hAnsi="宋体" w:eastAsia="宋体" w:cs="宋体"/>
          <w:color w:val="000000"/>
          <w:sz w:val="21"/>
          <w:szCs w:val="21"/>
          <w:lang w:val="en-US" w:eastAsia="zh-CN"/>
        </w:rPr>
        <w:t>8.</w:t>
      </w:r>
      <w:r>
        <w:rPr>
          <w:rFonts w:ascii="宋体" w:hAnsi="宋体" w:cs="宋体"/>
          <w:color w:val="000000"/>
          <w:sz w:val="21"/>
          <w:szCs w:val="21"/>
          <w:lang w:val="en-US" w:eastAsia="zh-CN"/>
        </w:rPr>
        <w:t>投诉人为自然人的，投诉书应当由本人签字；投诉书应当由法定代表人、主要负责人，或者其授权代表签字或者盖章，并加盖公章。</w:t>
      </w:r>
    </w:p>
    <w:p w14:paraId="37A55AC1">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36314E03">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5F185791">
      <w:pPr>
        <w:numPr>
          <w:ilvl w:val="0"/>
          <w:numId w:val="0"/>
        </w:numPr>
        <w:spacing w:line="360" w:lineRule="auto"/>
        <w:jc w:val="center"/>
        <w:outlineLvl w:val="0"/>
        <w:rPr>
          <w:rFonts w:ascii="宋体" w:hAnsi="宋体" w:cs="宋体"/>
          <w:b/>
          <w:bCs/>
          <w:color w:val="000000"/>
          <w:sz w:val="28"/>
          <w:szCs w:val="28"/>
          <w:lang w:eastAsia="zh-CN"/>
        </w:rPr>
      </w:pPr>
    </w:p>
    <w:p w14:paraId="4F819603">
      <w:pPr>
        <w:numPr>
          <w:ilvl w:val="0"/>
          <w:numId w:val="0"/>
        </w:numPr>
        <w:spacing w:line="360" w:lineRule="auto"/>
        <w:jc w:val="center"/>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投诉相关说明</w:t>
      </w:r>
    </w:p>
    <w:p w14:paraId="02BCF46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cs="宋体"/>
          <w:color w:val="000000"/>
          <w:sz w:val="21"/>
          <w:szCs w:val="21"/>
        </w:rPr>
        <w:t>投诉人应当满足《政府采购法》、《政府采购法实施条例》和《政府采购供应商投诉处理办法》的相关规定。</w:t>
      </w:r>
    </w:p>
    <w:p w14:paraId="22EF3B40">
      <w:pPr>
        <w:keepNext w:val="0"/>
        <w:keepLines w:val="0"/>
        <w:pageBreakBefore w:val="0"/>
        <w:numPr>
          <w:ilvl w:val="0"/>
          <w:numId w:val="6"/>
        </w:numPr>
        <w:kinsoku/>
        <w:overflowPunct/>
        <w:autoSpaceDE/>
        <w:bidi w:val="0"/>
        <w:snapToGrid/>
        <w:spacing w:line="360" w:lineRule="auto"/>
        <w:ind w:left="3998" w:hanging="3360"/>
        <w:textAlignment w:val="auto"/>
        <w:outlineLvl w:val="0"/>
        <w:rPr>
          <w:rFonts w:ascii="宋体" w:hAnsi="宋体" w:eastAsia="宋体" w:cs="宋体"/>
          <w:b/>
          <w:bCs/>
          <w:color w:val="000000"/>
          <w:sz w:val="21"/>
          <w:szCs w:val="21"/>
          <w:highlight w:val="none"/>
        </w:rPr>
      </w:pPr>
      <w:r>
        <w:rPr>
          <w:rFonts w:ascii="宋体" w:hAnsi="宋体" w:cs="宋体"/>
          <w:b/>
          <w:bCs/>
          <w:color w:val="000000"/>
          <w:sz w:val="21"/>
          <w:szCs w:val="21"/>
        </w:rPr>
        <w:t>质疑前置及时间要求</w:t>
      </w:r>
    </w:p>
    <w:p w14:paraId="0EED241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cs="宋体"/>
          <w:color w:val="000000"/>
          <w:sz w:val="21"/>
          <w:szCs w:val="21"/>
        </w:rPr>
        <w:t>《中华人民共和国政府采购法》</w:t>
      </w:r>
      <w:r>
        <w:rPr>
          <w:rFonts w:ascii="宋体" w:hAnsi="宋体" w:cs="宋体"/>
          <w:color w:val="000000"/>
          <w:kern w:val="0"/>
          <w:sz w:val="21"/>
          <w:szCs w:val="21"/>
          <w:shd w:val="clear" w:fill="FFFFFF"/>
        </w:rPr>
        <w:t>第五十一条：供应商对政府采购活动事项有疑问的，可以向采购人提出询问，采购人应当及时作出答复，但答复的内容不得涉及商业秘密。</w:t>
      </w:r>
    </w:p>
    <w:p w14:paraId="40EB63B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第五十二条：供应商认为采购文件、采购过程和</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结果使自己的权益受到损害的，可以在知道或者应知其权益受到损害之日起七个工作日内，以书面形式向采购人提出质疑。</w:t>
      </w:r>
    </w:p>
    <w:p w14:paraId="2417179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第五十三条：采购人应当在收到供应商的书面质疑后七个工作日内作出答复，并以书面形式通知质疑供应商和其他有关供应商，但答复的内容不得涉及商业秘密。</w:t>
      </w:r>
    </w:p>
    <w:p w14:paraId="074C3F7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第五十五条</w:t>
      </w:r>
      <w:r>
        <w:rPr>
          <w:rFonts w:ascii="宋体" w:hAnsi="宋体" w:eastAsia="宋体" w:cs="宋体"/>
          <w:color w:val="000000"/>
          <w:kern w:val="0"/>
          <w:sz w:val="21"/>
          <w:szCs w:val="21"/>
          <w:shd w:val="clear" w:fill="FFFFFF"/>
        </w:rPr>
        <w:t>:</w:t>
      </w:r>
      <w:r>
        <w:rPr>
          <w:rFonts w:ascii="宋体" w:hAnsi="宋体" w:cs="宋体"/>
          <w:color w:val="000000"/>
          <w:kern w:val="0"/>
          <w:sz w:val="21"/>
          <w:szCs w:val="21"/>
          <w:shd w:val="clear" w:fill="FFFFFF"/>
        </w:rPr>
        <w:t>质疑供应商对采购人、采购代理机构的答复不满意或者采购人、采购代理机构未在规定的时间内作出答复的，可以在答复期满后十五个工作日内向同级政府采购监督管理部门投诉。</w:t>
      </w:r>
    </w:p>
    <w:p w14:paraId="7DFA76B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《政府采购实施条例》第五十五条：供应商质疑、投诉应当有明确的请求和必要的证明材料。供应商投诉的事项不得超出质疑事项的范围。</w:t>
      </w:r>
    </w:p>
    <w:p w14:paraId="0D26A300">
      <w:pPr>
        <w:keepNext w:val="0"/>
        <w:keepLines w:val="0"/>
        <w:pageBreakBefore w:val="0"/>
        <w:kinsoku/>
        <w:overflowPunct/>
        <w:autoSpaceDE/>
        <w:bidi w:val="0"/>
        <w:snapToGrid/>
        <w:spacing w:line="360" w:lineRule="auto"/>
        <w:textAlignment w:val="auto"/>
        <w:rPr>
          <w:rFonts w:ascii="宋体" w:hAnsi="宋体" w:eastAsia="宋体" w:cs="宋体"/>
          <w:color w:val="000000"/>
          <w:kern w:val="0"/>
          <w:sz w:val="21"/>
          <w:szCs w:val="21"/>
          <w:highlight w:val="none"/>
          <w:shd w:val="clear" w:fill="FFFFFF"/>
        </w:rPr>
      </w:pPr>
    </w:p>
    <w:p w14:paraId="1F0A00B6">
      <w:pPr>
        <w:keepNext w:val="0"/>
        <w:keepLines w:val="0"/>
        <w:pageBreakBefore w:val="0"/>
        <w:numPr>
          <w:ilvl w:val="0"/>
          <w:numId w:val="0"/>
        </w:numPr>
        <w:kinsoku/>
        <w:overflowPunct/>
        <w:autoSpaceDE/>
        <w:bidi w:val="0"/>
        <w:snapToGrid/>
        <w:spacing w:line="360" w:lineRule="auto"/>
        <w:textAlignment w:val="auto"/>
        <w:outlineLvl w:val="0"/>
        <w:rPr>
          <w:rFonts w:ascii="宋体" w:hAnsi="宋体" w:eastAsia="宋体" w:cs="宋体"/>
          <w:color w:val="000000"/>
          <w:sz w:val="21"/>
          <w:szCs w:val="21"/>
          <w:highlight w:val="none"/>
        </w:rPr>
      </w:pPr>
      <w:r>
        <w:rPr>
          <w:rFonts w:ascii="宋体" w:hAnsi="宋体" w:cs="宋体"/>
          <w:b/>
          <w:bCs/>
          <w:color w:val="000000"/>
          <w:sz w:val="21"/>
          <w:szCs w:val="21"/>
        </w:rPr>
        <w:t>二、书面方式</w:t>
      </w:r>
    </w:p>
    <w:p w14:paraId="6904204B">
      <w:pPr>
        <w:keepNext w:val="0"/>
        <w:keepLines w:val="0"/>
        <w:pageBreakBefore w:val="0"/>
        <w:kinsoku/>
        <w:overflowPunct/>
        <w:autoSpaceDE/>
        <w:bidi w:val="0"/>
        <w:snapToGrid/>
        <w:spacing w:line="360" w:lineRule="auto"/>
        <w:textAlignment w:val="auto"/>
        <w:rPr>
          <w:rFonts w:ascii="宋体" w:hAnsi="宋体" w:cs="宋体"/>
          <w:color w:val="000000"/>
          <w:sz w:val="21"/>
          <w:szCs w:val="21"/>
        </w:rPr>
      </w:pPr>
      <w:r>
        <w:rPr>
          <w:rFonts w:ascii="宋体" w:hAnsi="宋体" w:cs="宋体"/>
          <w:color w:val="000000"/>
          <w:sz w:val="21"/>
          <w:szCs w:val="21"/>
        </w:rPr>
        <w:t>《政府采购供应商投诉处理办法》第八条：投诉人投诉时，应当提交投诉书，并按照被投诉人以及与投诉事项有关的供应商数量提供投诉书的副本。</w:t>
      </w:r>
    </w:p>
    <w:p w14:paraId="2B6C74B6">
      <w:pPr>
        <w:keepNext w:val="0"/>
        <w:keepLines w:val="0"/>
        <w:pageBreakBefore w:val="0"/>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投诉书应当包括下列主要内容：</w:t>
      </w:r>
    </w:p>
    <w:p w14:paraId="0CD06C57">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投诉人和被投诉人的名称、地址、电话等；</w:t>
      </w:r>
    </w:p>
    <w:p w14:paraId="7C6493D1">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具体的投诉事项及事实依据；</w:t>
      </w:r>
    </w:p>
    <w:p w14:paraId="2D65CE3F">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质疑和质疑答复情况及相关证明材料；</w:t>
      </w:r>
    </w:p>
    <w:p w14:paraId="597E3B41">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提起投诉的日期。</w:t>
      </w:r>
    </w:p>
    <w:p w14:paraId="38C60849">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投诉书应当署名。投诉人为自然人，应当由本人签字；投诉人为法人或者其他组织的，应当由法定代表人或者主要负责人签字并加盖公章。</w:t>
      </w:r>
    </w:p>
    <w:p w14:paraId="6CEF882F">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729AD45">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《政府采购供应商投诉处理办法》第十条：投诉人提起投诉应当符合下列条件：</w:t>
      </w:r>
    </w:p>
    <w:p w14:paraId="692ECBAC">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投诉人是参与所投诉政府采购活动的供应商；</w:t>
      </w:r>
    </w:p>
    <w:p w14:paraId="4D7660C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提起投诉诉前已依法进行质疑；</w:t>
      </w:r>
    </w:p>
    <w:p w14:paraId="3E5D971D">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投诉书内容符合本办法的规定；</w:t>
      </w:r>
    </w:p>
    <w:p w14:paraId="6A50472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在投诉有效期内提起投诉；</w:t>
      </w:r>
    </w:p>
    <w:p w14:paraId="0DBCC3A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属于本级财政部门管辖；</w:t>
      </w:r>
    </w:p>
    <w:p w14:paraId="54F076E5">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同一投诉事项未经财政部门投诉处理；</w:t>
      </w:r>
    </w:p>
    <w:p w14:paraId="1FAB76C4">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国务院财政部门规定的其他条件。</w:t>
      </w:r>
    </w:p>
    <w:p w14:paraId="7B176791">
      <w:pPr>
        <w:keepNext w:val="0"/>
        <w:keepLines w:val="0"/>
        <w:pageBreakBefore w:val="0"/>
        <w:kinsoku/>
        <w:overflowPunct/>
        <w:autoSpaceDE/>
        <w:bidi w:val="0"/>
        <w:snapToGrid/>
        <w:spacing w:line="360" w:lineRule="auto"/>
        <w:ind w:left="5760" w:hanging="378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p>
    <w:p w14:paraId="08E1E505">
      <w:pPr>
        <w:numPr>
          <w:ilvl w:val="0"/>
          <w:numId w:val="0"/>
        </w:numPr>
        <w:spacing w:line="360" w:lineRule="auto"/>
        <w:outlineLvl w:val="0"/>
        <w:rPr>
          <w:color w:val="000000"/>
          <w:sz w:val="21"/>
          <w:szCs w:val="21"/>
          <w:highlight w:val="none"/>
        </w:rPr>
      </w:pPr>
      <w:r>
        <w:rPr>
          <w:rFonts w:eastAsia="Times New Roman"/>
          <w:color w:val="000000"/>
          <w:sz w:val="21"/>
          <w:szCs w:val="21"/>
        </w:rPr>
        <w:t xml:space="preserve"> </w:t>
      </w:r>
      <w:r>
        <w:rPr>
          <w:rFonts w:ascii="宋体" w:hAnsi="宋体" w:eastAsia="宋体" w:cs="宋体"/>
          <w:b/>
          <w:bCs/>
          <w:color w:val="000000"/>
          <w:sz w:val="21"/>
          <w:szCs w:val="21"/>
        </w:rPr>
        <w:t xml:space="preserve">   </w:t>
      </w:r>
      <w:r>
        <w:rPr>
          <w:rFonts w:ascii="宋体" w:hAnsi="宋体" w:cs="宋体"/>
          <w:b/>
          <w:bCs/>
          <w:color w:val="000000"/>
          <w:sz w:val="21"/>
          <w:szCs w:val="21"/>
        </w:rPr>
        <w:t>三、虚假、恶意投诉法律责任</w:t>
      </w:r>
    </w:p>
    <w:p w14:paraId="500418C7">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第七十三条：供应商捏造实施、提供虚假材料或者以非法手段取得证明材料进行投诉的，由财政部门列入不良行为记录名单，禁止其</w:t>
      </w:r>
      <w:r>
        <w:rPr>
          <w:rFonts w:ascii="宋体" w:hAnsi="宋体" w:eastAsia="宋体" w:cs="宋体"/>
          <w:color w:val="000000"/>
          <w:sz w:val="21"/>
          <w:szCs w:val="21"/>
        </w:rPr>
        <w:t>1</w:t>
      </w:r>
      <w:r>
        <w:rPr>
          <w:rFonts w:ascii="宋体" w:hAnsi="宋体" w:cs="宋体"/>
          <w:color w:val="000000"/>
          <w:sz w:val="21"/>
          <w:szCs w:val="21"/>
        </w:rPr>
        <w:t>至</w:t>
      </w:r>
      <w:r>
        <w:rPr>
          <w:rFonts w:ascii="宋体" w:hAnsi="宋体" w:eastAsia="宋体" w:cs="宋体"/>
          <w:color w:val="000000"/>
          <w:sz w:val="21"/>
          <w:szCs w:val="21"/>
        </w:rPr>
        <w:t>3</w:t>
      </w:r>
      <w:r>
        <w:rPr>
          <w:rFonts w:ascii="宋体" w:hAnsi="宋体" w:cs="宋体"/>
          <w:color w:val="000000"/>
          <w:sz w:val="21"/>
          <w:szCs w:val="21"/>
        </w:rPr>
        <w:t>年内参加政府采购活动。</w:t>
      </w:r>
    </w:p>
    <w:p w14:paraId="04F2C6C5">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《政府采购供应商投诉处理办法》第二十六条：投诉人有下列情形之一的，属于虚假、恶意投诉，财政部门应当驳回投诉，将其列入不良行为记录名单，并依法予以处罚：</w:t>
      </w:r>
    </w:p>
    <w:p w14:paraId="2CDA624D">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（一）</w:t>
      </w:r>
      <w:r>
        <w:rPr>
          <w:rFonts w:ascii="宋体" w:hAnsi="宋体" w:eastAsia="宋体" w:cs="宋体"/>
          <w:color w:val="000000"/>
          <w:sz w:val="21"/>
          <w:szCs w:val="21"/>
        </w:rPr>
        <w:t>1</w:t>
      </w:r>
      <w:r>
        <w:rPr>
          <w:rFonts w:ascii="宋体" w:hAnsi="宋体" w:cs="宋体"/>
          <w:color w:val="000000"/>
          <w:sz w:val="21"/>
          <w:szCs w:val="21"/>
        </w:rPr>
        <w:t>年内</w:t>
      </w:r>
      <w:r>
        <w:rPr>
          <w:rFonts w:ascii="宋体" w:hAnsi="宋体" w:eastAsia="宋体" w:cs="宋体"/>
          <w:color w:val="000000"/>
          <w:sz w:val="21"/>
          <w:szCs w:val="21"/>
        </w:rPr>
        <w:t>3</w:t>
      </w:r>
      <w:r>
        <w:rPr>
          <w:rFonts w:ascii="宋体" w:hAnsi="宋体" w:cs="宋体"/>
          <w:color w:val="000000"/>
          <w:sz w:val="21"/>
          <w:szCs w:val="21"/>
        </w:rPr>
        <w:t>次以上投诉均查无实据的；</w:t>
      </w:r>
    </w:p>
    <w:p w14:paraId="68808A04">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（二）捏造事实或者提供虚假投诉材料的。</w:t>
      </w:r>
    </w:p>
    <w:p w14:paraId="4822EFB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77ACD51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3BD15149">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递交投诉书地址：</w:t>
      </w:r>
      <w:r>
        <w:rPr>
          <w:rFonts w:ascii="宋体" w:hAnsi="宋体" w:cs="宋体"/>
          <w:color w:val="000000"/>
          <w:sz w:val="21"/>
          <w:szCs w:val="21"/>
          <w:lang w:val="en-US" w:eastAsia="zh-CN"/>
        </w:rPr>
        <w:t>阿图什市财政局政府采购办</w:t>
      </w:r>
      <w:r>
        <w:rPr>
          <w:rFonts w:ascii="宋体" w:hAnsi="宋体" w:cs="宋体"/>
          <w:color w:val="000000"/>
          <w:sz w:val="21"/>
          <w:szCs w:val="21"/>
        </w:rPr>
        <w:t>监管办公室</w:t>
      </w:r>
    </w:p>
    <w:p w14:paraId="19FFDAA8">
      <w:pPr>
        <w:pStyle w:val="8"/>
        <w:rPr>
          <w:rFonts w:ascii="宋体" w:hAnsi="宋体" w:eastAsia="宋体" w:cs="宋体"/>
          <w:color w:val="000000"/>
          <w:sz w:val="21"/>
          <w:szCs w:val="21"/>
          <w:highlight w:val="none"/>
          <w:lang w:val="en-US" w:eastAsia="zh-CN"/>
        </w:rPr>
      </w:pPr>
    </w:p>
    <w:p w14:paraId="0E71C3DE">
      <w:pPr>
        <w:jc w:val="right"/>
        <w:rPr>
          <w:rFonts w:ascii="宋体" w:hAnsi="宋体" w:eastAsia="宋体" w:cs="宋体"/>
          <w:color w:val="000000"/>
          <w:sz w:val="32"/>
          <w:szCs w:val="32"/>
          <w:highlight w:val="none"/>
          <w:lang w:val="en-US" w:eastAsia="zh-CN"/>
        </w:rPr>
      </w:pPr>
    </w:p>
    <w:p w14:paraId="7C69B9D5">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516ADC4">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ABE060D">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2689C9E">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BAC474E">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FDF55E8">
      <w:pPr>
        <w:pStyle w:val="67"/>
        <w:rPr>
          <w:rFonts w:ascii="宋体" w:hAnsi="宋体" w:eastAsia="宋体" w:cs="宋体"/>
          <w:b/>
          <w:bCs/>
          <w:color w:val="000000"/>
          <w:sz w:val="32"/>
          <w:szCs w:val="32"/>
          <w:highlight w:val="none"/>
        </w:rPr>
      </w:pPr>
    </w:p>
    <w:p w14:paraId="602E634A">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A338DA7">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678D6CB9">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083C8895">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5A8EAE4">
      <w:pPr>
        <w:keepNext w:val="0"/>
        <w:keepLines w:val="0"/>
        <w:pageBreakBefore w:val="0"/>
        <w:widowControl w:val="0"/>
        <w:numPr>
          <w:ilvl w:val="0"/>
          <w:numId w:val="0"/>
        </w:numPr>
        <w:kinsoku/>
        <w:overflowPunct/>
        <w:autoSpaceDE/>
        <w:bidi w:val="0"/>
        <w:spacing w:line="360" w:lineRule="auto"/>
        <w:jc w:val="center"/>
        <w:textAlignment w:val="auto"/>
        <w:outlineLvl w:val="0"/>
        <w:rPr>
          <w:rFonts w:ascii="宋体" w:hAnsi="宋体" w:eastAsia="宋体" w:cs="宋体"/>
          <w:b/>
          <w:bCs/>
          <w:color w:val="000000"/>
          <w:sz w:val="32"/>
          <w:szCs w:val="32"/>
          <w:highlight w:val="none"/>
        </w:rPr>
      </w:pPr>
      <w:r>
        <w:rPr>
          <w:rFonts w:ascii="宋体" w:hAnsi="宋体" w:cs="宋体"/>
          <w:b/>
          <w:bCs/>
          <w:color w:val="000000"/>
          <w:sz w:val="32"/>
          <w:szCs w:val="32"/>
        </w:rPr>
        <w:t>质疑函范本</w:t>
      </w:r>
    </w:p>
    <w:p w14:paraId="4990C1FA">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一、质疑供应商基本信息</w:t>
      </w:r>
    </w:p>
    <w:p w14:paraId="54D6281D">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质疑供应商：</w:t>
      </w:r>
      <w:r>
        <w:rPr>
          <w:rFonts w:ascii="宋体" w:hAnsi="宋体" w:cs="宋体"/>
          <w:color w:val="000000"/>
          <w:sz w:val="21"/>
          <w:szCs w:val="21"/>
          <w:u w:val="dotted"/>
        </w:rPr>
        <w:t xml:space="preserve">                         </w:t>
      </w:r>
    </w:p>
    <w:p w14:paraId="4139FF1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地址：</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61E47F08">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联系人：</w:t>
      </w:r>
      <w:r>
        <w:rPr>
          <w:rFonts w:ascii="宋体" w:hAnsi="宋体" w:cs="宋体"/>
          <w:color w:val="000000"/>
          <w:sz w:val="21"/>
          <w:szCs w:val="21"/>
          <w:u w:val="dotted"/>
        </w:rPr>
        <w:t xml:space="preserve">                      </w:t>
      </w:r>
      <w:r>
        <w:rPr>
          <w:rFonts w:ascii="宋体" w:hAnsi="宋体" w:cs="宋体"/>
          <w:color w:val="000000"/>
          <w:sz w:val="21"/>
          <w:szCs w:val="21"/>
        </w:rPr>
        <w:t>联系电话：</w:t>
      </w:r>
      <w:r>
        <w:rPr>
          <w:rFonts w:ascii="宋体" w:hAnsi="宋体" w:cs="宋体"/>
          <w:color w:val="000000"/>
          <w:sz w:val="21"/>
          <w:szCs w:val="21"/>
          <w:u w:val="dotted"/>
        </w:rPr>
        <w:t xml:space="preserve">            </w:t>
      </w:r>
    </w:p>
    <w:p w14:paraId="7EC8711E">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授权代表：</w:t>
      </w:r>
      <w:r>
        <w:rPr>
          <w:rFonts w:ascii="宋体" w:hAnsi="宋体" w:cs="宋体"/>
          <w:color w:val="000000"/>
          <w:sz w:val="21"/>
          <w:szCs w:val="21"/>
          <w:u w:val="dotted"/>
        </w:rPr>
        <w:t xml:space="preserve">                                          </w:t>
      </w:r>
    </w:p>
    <w:p w14:paraId="635C81C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联系电话：</w:t>
      </w:r>
      <w:r>
        <w:rPr>
          <w:rFonts w:ascii="宋体" w:hAnsi="宋体" w:cs="宋体"/>
          <w:color w:val="000000"/>
          <w:sz w:val="21"/>
          <w:szCs w:val="21"/>
          <w:u w:val="dotted"/>
        </w:rPr>
        <w:t xml:space="preserve">                                          </w:t>
      </w:r>
    </w:p>
    <w:p w14:paraId="2947CF53">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 xml:space="preserve">地址： </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119B931C">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二、质疑项目基本情况</w:t>
      </w:r>
    </w:p>
    <w:p w14:paraId="21C8E1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质疑项目的名称：</w:t>
      </w:r>
      <w:r>
        <w:rPr>
          <w:rFonts w:ascii="宋体" w:hAnsi="宋体" w:cs="宋体"/>
          <w:color w:val="000000"/>
          <w:sz w:val="21"/>
          <w:szCs w:val="21"/>
          <w:u w:val="dotted"/>
        </w:rPr>
        <w:t xml:space="preserve">                                     </w:t>
      </w:r>
    </w:p>
    <w:p w14:paraId="318D3B3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质疑项目的编号：</w:t>
      </w:r>
      <w:r>
        <w:rPr>
          <w:rFonts w:ascii="宋体" w:hAnsi="宋体" w:cs="宋体"/>
          <w:color w:val="000000"/>
          <w:sz w:val="21"/>
          <w:szCs w:val="21"/>
          <w:u w:val="dotted"/>
        </w:rPr>
        <w:t xml:space="preserve">               </w:t>
      </w:r>
      <w:r>
        <w:rPr>
          <w:rFonts w:ascii="宋体" w:hAnsi="宋体" w:cs="宋体"/>
          <w:color w:val="000000"/>
          <w:sz w:val="21"/>
          <w:szCs w:val="21"/>
        </w:rPr>
        <w:t>包号：</w:t>
      </w:r>
      <w:r>
        <w:rPr>
          <w:rFonts w:ascii="宋体" w:hAnsi="宋体" w:cs="宋体"/>
          <w:color w:val="000000"/>
          <w:sz w:val="21"/>
          <w:szCs w:val="21"/>
          <w:u w:val="dotted"/>
        </w:rPr>
        <w:t xml:space="preserve">                </w:t>
      </w:r>
    </w:p>
    <w:p w14:paraId="3F535660">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采购人名称：</w:t>
      </w:r>
      <w:r>
        <w:rPr>
          <w:rFonts w:ascii="宋体" w:hAnsi="宋体" w:cs="宋体"/>
          <w:color w:val="000000"/>
          <w:sz w:val="21"/>
          <w:szCs w:val="21"/>
          <w:u w:val="dotted"/>
        </w:rPr>
        <w:t xml:space="preserve">                                         </w:t>
      </w:r>
    </w:p>
    <w:p w14:paraId="4A7C86C5">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采购文件获取日期：</w:t>
      </w:r>
      <w:r>
        <w:rPr>
          <w:rFonts w:ascii="宋体" w:hAnsi="宋体" w:cs="宋体"/>
          <w:color w:val="000000"/>
          <w:sz w:val="21"/>
          <w:szCs w:val="21"/>
          <w:u w:val="dotted"/>
        </w:rPr>
        <w:t xml:space="preserve">                                   </w:t>
      </w:r>
    </w:p>
    <w:p w14:paraId="12F96AF6">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三、质疑事项具体内容</w:t>
      </w:r>
    </w:p>
    <w:p w14:paraId="72201A8B">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color w:val="000000"/>
          <w:sz w:val="21"/>
          <w:szCs w:val="21"/>
          <w:u w:val="dotted"/>
        </w:rPr>
        <w:t xml:space="preserve">                                         </w:t>
      </w:r>
    </w:p>
    <w:p w14:paraId="1564E2CC">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事实依据：</w:t>
      </w:r>
      <w:r>
        <w:rPr>
          <w:rFonts w:ascii="宋体" w:hAnsi="宋体" w:cs="宋体"/>
          <w:color w:val="000000"/>
          <w:sz w:val="21"/>
          <w:szCs w:val="21"/>
          <w:u w:val="dotted"/>
        </w:rPr>
        <w:t xml:space="preserve">                                           </w:t>
      </w:r>
    </w:p>
    <w:p w14:paraId="097E822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法律依据：</w:t>
      </w:r>
      <w:r>
        <w:rPr>
          <w:rFonts w:ascii="宋体" w:hAnsi="宋体" w:cs="宋体"/>
          <w:color w:val="000000"/>
          <w:sz w:val="21"/>
          <w:szCs w:val="21"/>
          <w:u w:val="dotted"/>
        </w:rPr>
        <w:t xml:space="preserve">                                           </w:t>
      </w:r>
    </w:p>
    <w:p w14:paraId="7D9003B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2</w:t>
      </w:r>
    </w:p>
    <w:p w14:paraId="64E7EF2A">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w:t>
      </w:r>
    </w:p>
    <w:p w14:paraId="746E0C24">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四、与质疑事项相关的质疑请求</w:t>
      </w:r>
    </w:p>
    <w:p w14:paraId="7D741E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请求：</w:t>
      </w:r>
      <w:r>
        <w:rPr>
          <w:rFonts w:ascii="宋体" w:hAnsi="宋体" w:cs="宋体"/>
          <w:color w:val="000000"/>
          <w:sz w:val="21"/>
          <w:szCs w:val="21"/>
          <w:u w:val="dotted"/>
        </w:rPr>
        <w:t xml:space="preserve">                                               </w:t>
      </w:r>
    </w:p>
    <w:p w14:paraId="79600862">
      <w:pPr>
        <w:keepNext w:val="0"/>
        <w:keepLines w:val="0"/>
        <w:pageBreakBefore w:val="0"/>
        <w:widowControl w:val="0"/>
        <w:kinsoku/>
        <w:overflowPunct/>
        <w:autoSpaceDE/>
        <w:bidi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签字</w:t>
      </w:r>
      <w:r>
        <w:rPr>
          <w:rFonts w:ascii="宋体" w:hAnsi="宋体" w:eastAsia="宋体" w:cs="宋体"/>
          <w:color w:val="000000"/>
          <w:sz w:val="21"/>
          <w:szCs w:val="21"/>
        </w:rPr>
        <w:t>(</w:t>
      </w:r>
      <w:r>
        <w:rPr>
          <w:rFonts w:ascii="宋体" w:hAnsi="宋体" w:cs="宋体"/>
          <w:color w:val="000000"/>
          <w:sz w:val="21"/>
          <w:szCs w:val="21"/>
        </w:rPr>
        <w:t>签章</w:t>
      </w:r>
      <w:r>
        <w:rPr>
          <w:rFonts w:ascii="宋体" w:hAnsi="宋体" w:eastAsia="宋体" w:cs="宋体"/>
          <w:color w:val="000000"/>
          <w:sz w:val="21"/>
          <w:szCs w:val="21"/>
        </w:rPr>
        <w:t>)</w:t>
      </w:r>
      <w:r>
        <w:rPr>
          <w:rFonts w:ascii="宋体" w:hAnsi="宋体" w:cs="宋体"/>
          <w:color w:val="000000"/>
          <w:sz w:val="21"/>
          <w:szCs w:val="21"/>
        </w:rPr>
        <w:t xml:space="preserve">：                   公章：                      </w:t>
      </w:r>
    </w:p>
    <w:p w14:paraId="1699D658">
      <w:pPr>
        <w:keepNext w:val="0"/>
        <w:keepLines w:val="0"/>
        <w:pageBreakBefore w:val="0"/>
        <w:widowControl w:val="0"/>
        <w:kinsoku/>
        <w:overflowPunct/>
        <w:autoSpaceDE/>
        <w:bidi w:val="0"/>
        <w:spacing w:line="360" w:lineRule="auto"/>
        <w:ind w:firstLine="420"/>
        <w:textAlignment w:val="auto"/>
        <w:rPr>
          <w:rFonts w:ascii="宋体" w:hAnsi="宋体" w:eastAsia="宋体" w:cs="宋体"/>
          <w:b/>
          <w:bCs/>
          <w:color w:val="000000"/>
          <w:sz w:val="21"/>
          <w:szCs w:val="21"/>
          <w:highlight w:val="none"/>
        </w:rPr>
      </w:pPr>
      <w:r>
        <w:rPr>
          <w:rFonts w:ascii="宋体" w:hAnsi="宋体" w:cs="宋体"/>
          <w:color w:val="000000"/>
          <w:sz w:val="21"/>
          <w:szCs w:val="21"/>
        </w:rPr>
        <w:t xml:space="preserve">日期：    </w:t>
      </w:r>
      <w:r>
        <w:br w:type="page"/>
      </w:r>
    </w:p>
    <w:p w14:paraId="74FCF486">
      <w:pPr>
        <w:numPr>
          <w:ilvl w:val="0"/>
          <w:numId w:val="0"/>
        </w:numPr>
        <w:spacing w:line="440" w:lineRule="exact"/>
        <w:jc w:val="center"/>
        <w:outlineLvl w:val="0"/>
        <w:rPr>
          <w:rFonts w:ascii="黑体" w:hAnsi="黑体" w:eastAsia="黑体"/>
          <w:color w:val="000000"/>
          <w:sz w:val="30"/>
          <w:szCs w:val="30"/>
          <w:highlight w:val="none"/>
        </w:rPr>
      </w:pPr>
      <w:bookmarkStart w:id="4" w:name="__RefHeading___Toc469495731"/>
      <w:r>
        <w:rPr>
          <w:rFonts w:ascii="黑体" w:hAnsi="黑体" w:eastAsia="黑体"/>
          <w:color w:val="000000"/>
          <w:sz w:val="30"/>
          <w:szCs w:val="30"/>
        </w:rPr>
        <w:t>第三章  评审办法</w:t>
      </w:r>
      <w:bookmarkEnd w:id="4"/>
    </w:p>
    <w:p w14:paraId="11C2A2E0">
      <w:pPr>
        <w:numPr>
          <w:ilvl w:val="0"/>
          <w:numId w:val="0"/>
        </w:numPr>
        <w:jc w:val="center"/>
        <w:outlineLvl w:val="1"/>
        <w:rPr>
          <w:rFonts w:ascii="宋体" w:hAnsi="宋体" w:eastAsia="宋体" w:cs="Times New Roman"/>
          <w:b/>
          <w:color w:val="000000"/>
          <w:sz w:val="28"/>
          <w:szCs w:val="28"/>
          <w:highlight w:val="none"/>
        </w:rPr>
      </w:pPr>
      <w:r>
        <w:rPr>
          <w:rFonts w:ascii="宋体" w:hAnsi="宋体" w:cs="Times New Roman"/>
          <w:b/>
          <w:color w:val="000000"/>
          <w:sz w:val="28"/>
          <w:szCs w:val="28"/>
        </w:rPr>
        <w:t>一</w:t>
      </w:r>
      <w:r>
        <w:rPr>
          <w:rFonts w:ascii="宋体" w:hAnsi="宋体" w:cs="Times New Roman"/>
          <w:b/>
          <w:color w:val="000000"/>
          <w:sz w:val="28"/>
          <w:szCs w:val="28"/>
          <w:lang w:val="en-US" w:eastAsia="zh-CN"/>
        </w:rPr>
        <w:t xml:space="preserve">  </w:t>
      </w:r>
      <w:r>
        <w:rPr>
          <w:rFonts w:ascii="宋体" w:hAnsi="宋体" w:cs="Times New Roman"/>
          <w:b/>
          <w:color w:val="000000"/>
          <w:sz w:val="28"/>
          <w:szCs w:val="28"/>
        </w:rPr>
        <w:t>总  则</w:t>
      </w:r>
    </w:p>
    <w:p w14:paraId="4E5C48F7">
      <w:pPr>
        <w:tabs>
          <w:tab w:val="left" w:pos="567"/>
          <w:tab w:val="left" w:pos="600"/>
        </w:tabs>
        <w:spacing w:line="440" w:lineRule="exact"/>
        <w:ind w:firstLine="535"/>
        <w:rPr>
          <w:rFonts w:ascii="宋体" w:hAnsi="宋体" w:cs="宋体"/>
          <w:szCs w:val="21"/>
        </w:rPr>
      </w:pPr>
      <w:r>
        <w:rPr>
          <w:rFonts w:ascii="宋体" w:hAnsi="宋体" w:cs="宋体"/>
          <w:szCs w:val="21"/>
        </w:rPr>
        <w:t>1、一般规定</w:t>
      </w:r>
    </w:p>
    <w:p w14:paraId="11402D8C">
      <w:pPr>
        <w:spacing w:line="440" w:lineRule="exact"/>
        <w:ind w:firstLine="535"/>
        <w:rPr>
          <w:rFonts w:ascii="宋体" w:hAnsi="宋体" w:cs="宋体"/>
          <w:szCs w:val="21"/>
        </w:rPr>
      </w:pPr>
      <w:r>
        <w:rPr>
          <w:rFonts w:ascii="宋体" w:hAnsi="宋体" w:cs="宋体"/>
          <w:szCs w:val="21"/>
        </w:rPr>
        <w:t>1.1本项目的采购按照《中华人民共和国政府采购法》、《政府采购竞争性磋商采购方式管理暂行办法》及政府采购的有关规定进行。</w:t>
      </w:r>
    </w:p>
    <w:p w14:paraId="0553E8F1">
      <w:pPr>
        <w:spacing w:line="440" w:lineRule="exact"/>
        <w:ind w:firstLine="535"/>
        <w:rPr>
          <w:rFonts w:ascii="宋体" w:hAnsi="宋体" w:cs="宋体"/>
          <w:szCs w:val="21"/>
        </w:rPr>
      </w:pPr>
      <w:r>
        <w:rPr>
          <w:rFonts w:ascii="宋体" w:hAnsi="宋体" w:cs="宋体"/>
          <w:szCs w:val="21"/>
        </w:rPr>
        <w:t>1.2评审必须遵循公开、公平、公正、诚实信用的原则。</w:t>
      </w:r>
    </w:p>
    <w:p w14:paraId="70F04235">
      <w:pPr>
        <w:spacing w:line="440" w:lineRule="exact"/>
        <w:ind w:firstLine="535"/>
        <w:rPr>
          <w:rFonts w:ascii="宋体" w:hAnsi="宋体" w:cs="宋体"/>
          <w:szCs w:val="21"/>
        </w:rPr>
      </w:pPr>
      <w:r>
        <w:rPr>
          <w:rFonts w:ascii="宋体" w:hAnsi="宋体" w:cs="宋体"/>
          <w:szCs w:val="21"/>
        </w:rPr>
        <w:t>1.3采购代理机构组织采购、开启响应文件、评审工作，全过程接受政府采购有关部门的监督、管理和指导。</w:t>
      </w:r>
    </w:p>
    <w:p w14:paraId="1EC534D9">
      <w:pPr>
        <w:spacing w:line="440" w:lineRule="exact"/>
        <w:ind w:firstLine="535"/>
        <w:rPr>
          <w:rFonts w:ascii="宋体" w:hAnsi="宋体" w:cs="宋体"/>
          <w:szCs w:val="21"/>
        </w:rPr>
      </w:pPr>
      <w:r>
        <w:rPr>
          <w:rFonts w:ascii="宋体" w:hAnsi="宋体" w:cs="宋体"/>
          <w:szCs w:val="21"/>
        </w:rPr>
        <w:t>1.4评审按照磋商文件规定的内容进行，采取综合比较和分项打分相结合的评审方法（综合评分法），避免纯技术或纯经济的倾向。</w:t>
      </w:r>
    </w:p>
    <w:p w14:paraId="77A2E18D">
      <w:pPr>
        <w:spacing w:line="440" w:lineRule="exact"/>
        <w:ind w:firstLine="535"/>
        <w:rPr>
          <w:rFonts w:ascii="宋体" w:hAnsi="宋体" w:cs="宋体"/>
          <w:szCs w:val="21"/>
        </w:rPr>
      </w:pPr>
      <w:r>
        <w:rPr>
          <w:rFonts w:ascii="宋体" w:hAnsi="宋体" w:cs="宋体"/>
          <w:szCs w:val="21"/>
        </w:rPr>
        <w:t>1.5本办法的评审对象是指供应商按照磋商文件要求提供的有效响应文件，包括供应商应磋商小组要求对原响应文件作出的正式书面澄清文件。</w:t>
      </w:r>
    </w:p>
    <w:p w14:paraId="06F28CE7">
      <w:pPr>
        <w:tabs>
          <w:tab w:val="left" w:pos="567"/>
          <w:tab w:val="left" w:pos="600"/>
        </w:tabs>
        <w:spacing w:line="440" w:lineRule="exact"/>
        <w:ind w:firstLine="535"/>
        <w:rPr>
          <w:rFonts w:ascii="宋体" w:hAnsi="宋体" w:cs="宋体"/>
          <w:szCs w:val="21"/>
        </w:rPr>
      </w:pPr>
      <w:r>
        <w:rPr>
          <w:rFonts w:ascii="宋体" w:hAnsi="宋体" w:cs="宋体"/>
          <w:szCs w:val="21"/>
        </w:rPr>
        <w:t>2、磋商组织机构的组成</w:t>
      </w:r>
    </w:p>
    <w:p w14:paraId="4CC5CA07">
      <w:pPr>
        <w:tabs>
          <w:tab w:val="left" w:pos="567"/>
          <w:tab w:val="left" w:pos="1145"/>
        </w:tabs>
        <w:spacing w:line="440" w:lineRule="exact"/>
        <w:ind w:firstLine="535"/>
        <w:rPr>
          <w:rFonts w:ascii="宋体" w:hAnsi="宋体" w:cs="宋体"/>
          <w:szCs w:val="21"/>
        </w:rPr>
      </w:pPr>
      <w:r>
        <w:rPr>
          <w:rFonts w:ascii="宋体" w:hAnsi="宋体" w:cs="宋体"/>
          <w:szCs w:val="21"/>
        </w:rPr>
        <w:t>2.1</w:t>
      </w:r>
      <w:r>
        <w:rPr>
          <w:rFonts w:ascii="宋体" w:hAnsi="宋体" w:cs="宋体"/>
          <w:b/>
          <w:bCs/>
          <w:szCs w:val="21"/>
        </w:rPr>
        <w:t>磋商小组成员由采购人的代表和随机抽取的有关方面的</w:t>
      </w:r>
      <w:r>
        <w:rPr>
          <w:rFonts w:ascii="宋体" w:hAnsi="宋体" w:cs="宋体"/>
          <w:b/>
          <w:bCs/>
          <w:szCs w:val="21"/>
          <w:lang w:val="en-US" w:eastAsia="zh-CN"/>
        </w:rPr>
        <w:t>专家5名或以上组成</w:t>
      </w:r>
      <w:r>
        <w:rPr>
          <w:rFonts w:ascii="宋体" w:hAnsi="宋体" w:cs="宋体"/>
          <w:b/>
          <w:bCs/>
          <w:szCs w:val="21"/>
        </w:rPr>
        <w:t>，磋商小组的成员在评审过程中</w:t>
      </w:r>
      <w:r>
        <w:rPr>
          <w:rFonts w:ascii="宋体" w:hAnsi="宋体" w:cs="宋体"/>
          <w:b/>
          <w:bCs/>
          <w:szCs w:val="21"/>
          <w:lang w:val="zh-CN"/>
        </w:rPr>
        <w:t>必须严格遵守政府采购的有关规定</w:t>
      </w:r>
      <w:r>
        <w:rPr>
          <w:rFonts w:ascii="宋体" w:hAnsi="宋体" w:cs="宋体"/>
          <w:b/>
          <w:bCs/>
          <w:szCs w:val="21"/>
        </w:rPr>
        <w:t>。专家从当地专家库中随机抽取产生。</w:t>
      </w:r>
    </w:p>
    <w:p w14:paraId="371A15F9">
      <w:pPr>
        <w:tabs>
          <w:tab w:val="left" w:pos="567"/>
          <w:tab w:val="left" w:pos="1145"/>
        </w:tabs>
        <w:spacing w:line="440" w:lineRule="exact"/>
        <w:ind w:firstLine="535"/>
        <w:rPr>
          <w:rFonts w:ascii="宋体" w:hAnsi="宋体" w:cs="宋体"/>
          <w:szCs w:val="21"/>
        </w:rPr>
      </w:pPr>
      <w:r>
        <w:rPr>
          <w:rFonts w:ascii="宋体" w:hAnsi="宋体" w:cs="宋体"/>
          <w:szCs w:val="21"/>
        </w:rPr>
        <w:t>2.2磋商小组由采购人及有关专家组成，由磋商小组确认，并接受其领导。</w:t>
      </w:r>
    </w:p>
    <w:p w14:paraId="555CC0A3">
      <w:pPr>
        <w:tabs>
          <w:tab w:val="left" w:pos="567"/>
          <w:tab w:val="left" w:pos="1145"/>
        </w:tabs>
        <w:spacing w:line="440" w:lineRule="exact"/>
        <w:ind w:firstLine="535"/>
        <w:rPr>
          <w:rFonts w:ascii="宋体" w:hAnsi="宋体" w:cs="宋体"/>
          <w:szCs w:val="21"/>
        </w:rPr>
      </w:pPr>
      <w:r>
        <w:rPr>
          <w:rFonts w:ascii="宋体" w:hAnsi="宋体" w:cs="宋体"/>
          <w:szCs w:val="21"/>
        </w:rPr>
        <w:t>2.3磋商小组应相对独立工作，负责评审、撰写技术、商务评审报告。采购代理机构负责评审过程中资料的保管、发放、回收，整理、汇总评审资料。</w:t>
      </w:r>
    </w:p>
    <w:p w14:paraId="522B9717">
      <w:pPr>
        <w:tabs>
          <w:tab w:val="left" w:pos="567"/>
          <w:tab w:val="left" w:pos="600"/>
        </w:tabs>
        <w:spacing w:line="440" w:lineRule="exact"/>
        <w:ind w:firstLine="535"/>
        <w:rPr>
          <w:rFonts w:ascii="宋体" w:hAnsi="宋体" w:cs="宋体"/>
          <w:szCs w:val="21"/>
        </w:rPr>
      </w:pPr>
      <w:r>
        <w:rPr>
          <w:rFonts w:ascii="宋体" w:hAnsi="宋体" w:cs="宋体"/>
          <w:szCs w:val="21"/>
        </w:rPr>
        <w:t>3、磋商小组职责</w:t>
      </w:r>
    </w:p>
    <w:p w14:paraId="65083ED3">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3.1审查供应商提交的响应文件是否符合磋商文件要求，并作出评价；</w:t>
      </w:r>
    </w:p>
    <w:p w14:paraId="302BD021">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3.2要求供应商对磋商文件有关事项作出解释或者澄清；</w:t>
      </w:r>
    </w:p>
    <w:p w14:paraId="0922B007">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3.3推荐成交候选人名单；</w:t>
      </w:r>
    </w:p>
    <w:p w14:paraId="56A75DAF">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3.4向采购人、采购代理机构或者有关部门报告非法干预评审工作的行为。</w:t>
      </w:r>
    </w:p>
    <w:p w14:paraId="212ABBF0">
      <w:pPr>
        <w:tabs>
          <w:tab w:val="left" w:pos="567"/>
          <w:tab w:val="left" w:pos="600"/>
        </w:tabs>
        <w:spacing w:line="440" w:lineRule="exact"/>
        <w:ind w:firstLine="535"/>
        <w:rPr>
          <w:rFonts w:ascii="宋体" w:hAnsi="宋体" w:cs="宋体"/>
          <w:szCs w:val="21"/>
        </w:rPr>
      </w:pPr>
      <w:r>
        <w:rPr>
          <w:rFonts w:ascii="宋体" w:hAnsi="宋体" w:cs="宋体"/>
          <w:szCs w:val="21"/>
        </w:rPr>
        <w:t>4、磋商小组义务</w:t>
      </w:r>
    </w:p>
    <w:p w14:paraId="5F43EC44">
      <w:pPr>
        <w:tabs>
          <w:tab w:val="left" w:pos="567"/>
          <w:tab w:val="left" w:pos="600"/>
        </w:tabs>
        <w:spacing w:line="440" w:lineRule="exact"/>
        <w:ind w:firstLine="535"/>
        <w:rPr>
          <w:rFonts w:ascii="宋体" w:hAnsi="宋体" w:cs="宋体"/>
          <w:szCs w:val="21"/>
        </w:rPr>
      </w:pPr>
      <w:r>
        <w:rPr>
          <w:rFonts w:ascii="宋体" w:hAnsi="宋体" w:cs="宋体"/>
          <w:szCs w:val="21"/>
        </w:rPr>
        <w:t>4.1遵纪守法，客观、公正、廉洁地履行职责；</w:t>
      </w:r>
    </w:p>
    <w:p w14:paraId="0A7E7D10">
      <w:pPr>
        <w:tabs>
          <w:tab w:val="left" w:pos="567"/>
          <w:tab w:val="left" w:pos="600"/>
        </w:tabs>
        <w:spacing w:line="440" w:lineRule="exact"/>
        <w:ind w:firstLine="535"/>
        <w:rPr>
          <w:rFonts w:ascii="宋体" w:hAnsi="宋体" w:cs="宋体"/>
          <w:szCs w:val="21"/>
        </w:rPr>
      </w:pPr>
      <w:r>
        <w:rPr>
          <w:rFonts w:ascii="宋体" w:hAnsi="宋体" w:cs="宋体"/>
          <w:szCs w:val="21"/>
        </w:rPr>
        <w:t>4.2按照磋商文件规定的评审方法和评审标准进行评审，对评审意见承担个人责任；</w:t>
      </w:r>
    </w:p>
    <w:p w14:paraId="6EDAB07B">
      <w:pPr>
        <w:tabs>
          <w:tab w:val="left" w:pos="567"/>
          <w:tab w:val="left" w:pos="600"/>
        </w:tabs>
        <w:spacing w:line="440" w:lineRule="exact"/>
        <w:ind w:firstLine="535"/>
        <w:rPr>
          <w:rFonts w:ascii="宋体" w:hAnsi="宋体" w:cs="宋体"/>
          <w:szCs w:val="21"/>
        </w:rPr>
      </w:pPr>
      <w:r>
        <w:rPr>
          <w:rFonts w:ascii="宋体" w:hAnsi="宋体" w:cs="宋体"/>
          <w:szCs w:val="21"/>
        </w:rPr>
        <w:t>4.3对评审过程和结果，以及供应商的商业秘密保密；</w:t>
      </w:r>
    </w:p>
    <w:p w14:paraId="0BEBA76E">
      <w:pPr>
        <w:tabs>
          <w:tab w:val="left" w:pos="567"/>
          <w:tab w:val="left" w:pos="600"/>
        </w:tabs>
        <w:spacing w:line="440" w:lineRule="exact"/>
        <w:ind w:firstLine="535"/>
        <w:rPr>
          <w:rFonts w:ascii="宋体" w:hAnsi="宋体" w:cs="宋体"/>
          <w:szCs w:val="21"/>
        </w:rPr>
      </w:pPr>
      <w:r>
        <w:rPr>
          <w:rFonts w:ascii="宋体" w:hAnsi="宋体" w:cs="宋体"/>
          <w:szCs w:val="21"/>
        </w:rPr>
        <w:t>4.4参与评审报告的起草；</w:t>
      </w:r>
    </w:p>
    <w:p w14:paraId="4C36B022">
      <w:pPr>
        <w:tabs>
          <w:tab w:val="left" w:pos="567"/>
          <w:tab w:val="left" w:pos="600"/>
        </w:tabs>
        <w:spacing w:line="440" w:lineRule="exact"/>
        <w:ind w:firstLine="535"/>
        <w:rPr>
          <w:rFonts w:ascii="宋体" w:hAnsi="宋体" w:cs="宋体"/>
          <w:szCs w:val="21"/>
        </w:rPr>
      </w:pPr>
      <w:r>
        <w:rPr>
          <w:rFonts w:ascii="宋体" w:hAnsi="宋体" w:cs="宋体"/>
          <w:szCs w:val="21"/>
        </w:rPr>
        <w:t>4.5配合有关部门的投诉处理工作；</w:t>
      </w:r>
    </w:p>
    <w:p w14:paraId="02942833">
      <w:pPr>
        <w:tabs>
          <w:tab w:val="left" w:pos="567"/>
          <w:tab w:val="left" w:pos="600"/>
        </w:tabs>
        <w:spacing w:line="440" w:lineRule="exact"/>
        <w:ind w:firstLine="535"/>
        <w:rPr>
          <w:rFonts w:ascii="宋体" w:hAnsi="宋体" w:cs="宋体"/>
          <w:szCs w:val="21"/>
        </w:rPr>
      </w:pPr>
      <w:r>
        <w:rPr>
          <w:rFonts w:ascii="宋体" w:hAnsi="宋体" w:cs="宋体"/>
          <w:szCs w:val="21"/>
        </w:rPr>
        <w:t>4.6配合采购人、采购代理机构答复磋商供应商提出的质疑。</w:t>
      </w:r>
    </w:p>
    <w:p w14:paraId="1A3B893B">
      <w:pPr>
        <w:tabs>
          <w:tab w:val="left" w:pos="1547"/>
        </w:tabs>
        <w:spacing w:line="440" w:lineRule="exact"/>
        <w:ind w:firstLine="535"/>
        <w:rPr>
          <w:rFonts w:ascii="宋体" w:hAnsi="宋体" w:cs="宋体"/>
          <w:szCs w:val="21"/>
        </w:rPr>
      </w:pPr>
      <w:r>
        <w:rPr>
          <w:rFonts w:ascii="宋体" w:hAnsi="宋体" w:cs="宋体"/>
          <w:szCs w:val="21"/>
        </w:rPr>
        <w:t>5、 评审程序</w:t>
      </w:r>
    </w:p>
    <w:p w14:paraId="7F7F916B">
      <w:pPr>
        <w:pStyle w:val="54"/>
        <w:tabs>
          <w:tab w:val="left" w:pos="720"/>
        </w:tabs>
        <w:spacing w:line="440" w:lineRule="exact"/>
        <w:ind w:firstLine="535"/>
        <w:rPr>
          <w:rFonts w:ascii="宋体" w:hAnsi="宋体" w:cs="宋体"/>
          <w:bCs/>
          <w:color w:val="000000"/>
          <w:szCs w:val="21"/>
        </w:rPr>
      </w:pPr>
      <w:r>
        <w:rPr>
          <w:rFonts w:ascii="宋体" w:hAnsi="宋体" w:cs="宋体"/>
          <w:bCs/>
          <w:color w:val="000000"/>
          <w:szCs w:val="21"/>
        </w:rPr>
        <w:t>5.1本次评审首先由磋商小组对供应商的响应文件进行初审，对未能通过初审的响应文件作无效响应处理；</w:t>
      </w:r>
    </w:p>
    <w:p w14:paraId="7C9B4006">
      <w:pPr>
        <w:tabs>
          <w:tab w:val="left" w:pos="720"/>
        </w:tabs>
        <w:spacing w:line="440" w:lineRule="exact"/>
        <w:ind w:firstLine="535"/>
        <w:rPr>
          <w:rFonts w:ascii="宋体" w:hAnsi="宋体" w:eastAsia="宋体" w:cs="宋体"/>
          <w:szCs w:val="21"/>
        </w:rPr>
      </w:pPr>
      <w:r>
        <w:rPr>
          <w:rFonts w:ascii="宋体" w:hAnsi="宋体" w:eastAsia="宋体" w:cs="宋体"/>
          <w:szCs w:val="21"/>
        </w:rPr>
        <w:t>5.2</w:t>
      </w:r>
      <w:r>
        <w:rPr>
          <w:rFonts w:ascii="宋体" w:hAnsi="宋体" w:cs="宋体"/>
          <w:szCs w:val="21"/>
        </w:rPr>
        <w:t>对通过初审的供应商的响应文件进行详细的比较和评价。如需要，进行必要的澄清工作；</w:t>
      </w:r>
    </w:p>
    <w:p w14:paraId="226D9C93">
      <w:pPr>
        <w:tabs>
          <w:tab w:val="left" w:pos="720"/>
        </w:tabs>
        <w:spacing w:line="440" w:lineRule="exact"/>
        <w:ind w:firstLine="420"/>
        <w:rPr>
          <w:rFonts w:ascii="宋体" w:hAnsi="宋体" w:eastAsia="宋体" w:cs="宋体"/>
          <w:szCs w:val="21"/>
        </w:rPr>
      </w:pPr>
      <w:r>
        <w:rPr>
          <w:rFonts w:ascii="宋体" w:hAnsi="宋体" w:eastAsia="宋体" w:cs="宋体"/>
          <w:szCs w:val="21"/>
        </w:rPr>
        <w:t xml:space="preserve"> 5.3</w:t>
      </w:r>
      <w:r>
        <w:rPr>
          <w:rFonts w:ascii="宋体" w:hAnsi="宋体" w:cs="宋体"/>
          <w:szCs w:val="21"/>
        </w:rPr>
        <w:t>评审报告与推荐成交候选人</w:t>
      </w:r>
    </w:p>
    <w:p w14:paraId="2522478C">
      <w:pPr>
        <w:tabs>
          <w:tab w:val="left" w:pos="720"/>
        </w:tabs>
        <w:spacing w:line="440" w:lineRule="exact"/>
        <w:ind w:firstLine="535"/>
        <w:rPr>
          <w:rFonts w:ascii="宋体" w:hAnsi="宋体" w:eastAsia="宋体" w:cs="宋体"/>
          <w:szCs w:val="21"/>
        </w:rPr>
      </w:pPr>
      <w:r>
        <w:rPr>
          <w:rFonts w:ascii="宋体" w:hAnsi="宋体" w:eastAsia="宋体" w:cs="宋体"/>
          <w:szCs w:val="21"/>
        </w:rPr>
        <w:t>5.</w:t>
      </w:r>
      <w:r>
        <w:rPr>
          <w:rFonts w:ascii="宋体" w:hAnsi="宋体" w:eastAsia="宋体" w:cs="宋体"/>
          <w:szCs w:val="21"/>
          <w:lang w:val="en-US" w:eastAsia="zh-CN"/>
        </w:rPr>
        <w:t>4</w:t>
      </w:r>
      <w:r>
        <w:rPr>
          <w:rFonts w:ascii="宋体" w:hAnsi="宋体" w:cs="宋体"/>
          <w:szCs w:val="21"/>
        </w:rPr>
        <w:t>磋商小组各成员应当独立对每个有效响应的文件进行评价、打分，然后汇总每个供应商每项评分因素的得分。</w:t>
      </w:r>
    </w:p>
    <w:p w14:paraId="2CEBDC59">
      <w:pPr>
        <w:widowControl/>
        <w:spacing w:line="440" w:lineRule="exact"/>
        <w:ind w:firstLine="480"/>
        <w:rPr>
          <w:rFonts w:ascii="宋体" w:hAnsi="宋体" w:cs="宋体"/>
          <w:kern w:val="0"/>
          <w:szCs w:val="21"/>
        </w:rPr>
      </w:pPr>
      <w:r>
        <w:rPr>
          <w:rFonts w:ascii="宋体" w:hAnsi="宋体" w:cs="宋体"/>
          <w:kern w:val="0"/>
          <w:szCs w:val="21"/>
        </w:rPr>
        <w:t>　</w:t>
      </w:r>
      <w:r>
        <w:rPr>
          <w:rFonts w:ascii="宋体" w:hAnsi="宋体" w:cs="宋体"/>
          <w:b/>
          <w:bCs/>
          <w:kern w:val="0"/>
          <w:szCs w:val="21"/>
        </w:rPr>
        <w:t>综合评分法服务项目的价格分值占总分</w:t>
      </w:r>
      <w:r>
        <w:rPr>
          <w:rFonts w:ascii="宋体" w:hAnsi="宋体" w:cs="宋体"/>
          <w:b/>
          <w:bCs/>
          <w:color w:val="000000"/>
          <w:kern w:val="0"/>
          <w:szCs w:val="21"/>
        </w:rPr>
        <w:t>值的比重(即权值)为</w:t>
      </w:r>
      <w:r>
        <w:rPr>
          <w:rFonts w:ascii="宋体" w:hAnsi="宋体" w:cs="宋体"/>
          <w:b/>
          <w:bCs/>
          <w:color w:val="FF0000"/>
          <w:kern w:val="0"/>
          <w:szCs w:val="21"/>
          <w:lang w:val="en-US" w:eastAsia="zh-CN"/>
        </w:rPr>
        <w:t>10％</w:t>
      </w:r>
      <w:r>
        <w:rPr>
          <w:rFonts w:ascii="宋体" w:hAnsi="宋体" w:cs="宋体"/>
          <w:b/>
          <w:bCs/>
          <w:color w:val="000000"/>
          <w:kern w:val="0"/>
          <w:szCs w:val="21"/>
        </w:rPr>
        <w:t>，</w:t>
      </w:r>
      <w:r>
        <w:rPr>
          <w:rFonts w:ascii="宋体" w:hAnsi="宋体" w:cs="宋体"/>
          <w:color w:val="000000"/>
          <w:kern w:val="0"/>
          <w:szCs w:val="21"/>
        </w:rPr>
        <w:t>采</w:t>
      </w:r>
      <w:r>
        <w:rPr>
          <w:rFonts w:ascii="宋体" w:hAnsi="宋体" w:cs="宋体"/>
          <w:kern w:val="0"/>
          <w:szCs w:val="21"/>
        </w:rPr>
        <w:t>购项目中含不同采购对象的，以占项目资金比例最高的采购对象确定其项目属性。其价格不列为评分因素，有特殊情况需要在上述规定范围外设定价格分权重的。</w:t>
      </w:r>
    </w:p>
    <w:p w14:paraId="5D98744D">
      <w:pPr>
        <w:widowControl/>
        <w:spacing w:line="440" w:lineRule="exact"/>
        <w:ind w:firstLine="480"/>
        <w:rPr>
          <w:rFonts w:ascii="宋体" w:hAnsi="宋体" w:cs="宋体"/>
          <w:kern w:val="0"/>
          <w:szCs w:val="21"/>
        </w:rPr>
      </w:pPr>
      <w:r>
        <w:rPr>
          <w:rFonts w:ascii="宋体" w:hAnsi="宋体" w:cs="宋体"/>
          <w:kern w:val="0"/>
          <w:szCs w:val="21"/>
        </w:rPr>
        <w:t>　综合评分法中的价格分统一采用低价优先法计算，即满足磋商文件要求且最后报价最低的供应商的价格为磋商基准价，其价格分为满分。其他供应商的价格分统一按照下列公式计算：</w:t>
      </w:r>
    </w:p>
    <w:p w14:paraId="71B6C08E">
      <w:pPr>
        <w:widowControl/>
        <w:spacing w:line="440" w:lineRule="exact"/>
        <w:ind w:firstLine="480"/>
        <w:rPr>
          <w:rFonts w:ascii="宋体" w:hAnsi="宋体" w:cs="宋体"/>
          <w:kern w:val="0"/>
          <w:szCs w:val="21"/>
        </w:rPr>
      </w:pPr>
      <w:r>
        <w:rPr>
          <w:rFonts w:ascii="宋体" w:hAnsi="宋体" w:cs="宋体"/>
          <w:kern w:val="0"/>
          <w:szCs w:val="21"/>
        </w:rPr>
        <w:t>　磋商报价得分=（磋商基准价/最后磋商报价）×价格权值×100</w:t>
      </w:r>
    </w:p>
    <w:p w14:paraId="2C20112C">
      <w:pPr>
        <w:widowControl/>
        <w:spacing w:line="440" w:lineRule="exact"/>
        <w:ind w:firstLine="480"/>
        <w:rPr>
          <w:rFonts w:ascii="宋体" w:hAnsi="宋体" w:eastAsia="宋体" w:cs="宋体"/>
          <w:kern w:val="0"/>
          <w:szCs w:val="21"/>
        </w:rPr>
      </w:pPr>
      <w:r>
        <w:rPr>
          <w:rFonts w:ascii="宋体" w:hAnsi="宋体" w:cs="宋体"/>
          <w:kern w:val="0"/>
          <w:szCs w:val="21"/>
        </w:rPr>
        <w:t>　项目评审过程中，不得去掉最后报价中的最高报价和最低报价。</w:t>
      </w:r>
    </w:p>
    <w:p w14:paraId="23CEB065">
      <w:pPr>
        <w:widowControl/>
        <w:spacing w:line="440" w:lineRule="exact"/>
        <w:ind w:firstLine="480"/>
        <w:rPr>
          <w:rFonts w:ascii="宋体" w:hAnsi="宋体" w:eastAsia="宋体" w:cs="宋体"/>
          <w:kern w:val="0"/>
          <w:szCs w:val="21"/>
        </w:rPr>
      </w:pPr>
      <w:r>
        <w:rPr>
          <w:rFonts w:ascii="宋体" w:hAnsi="宋体" w:cs="宋体"/>
          <w:kern w:val="0"/>
          <w:szCs w:val="21"/>
          <w:lang w:val="en-US" w:eastAsia="zh-CN"/>
        </w:rPr>
        <w:t>按照</w:t>
      </w:r>
      <w:r>
        <w:rPr>
          <w:rFonts w:ascii="宋体" w:hAnsi="宋体" w:cs="宋体"/>
          <w:kern w:val="0"/>
          <w:szCs w:val="21"/>
        </w:rPr>
        <w:t>《政府采购竞争性磋商采购方式管理暂行办法》法第二十五条</w:t>
      </w:r>
      <w:r>
        <w:rPr>
          <w:rFonts w:ascii="宋体" w:hAnsi="宋体" w:cs="宋体"/>
          <w:kern w:val="0"/>
          <w:szCs w:val="21"/>
          <w:lang w:eastAsia="zh-CN"/>
        </w:rPr>
        <w:t>，</w:t>
      </w:r>
      <w:r>
        <w:rPr>
          <w:rFonts w:ascii="宋体" w:hAnsi="宋体" w:cs="宋体"/>
          <w:kern w:val="0"/>
          <w:szCs w:val="21"/>
        </w:rPr>
        <w:t>磋商小组应当根据综合评分情况，按照评审得分由高到低顺序推荐</w:t>
      </w:r>
      <w:r>
        <w:rPr>
          <w:rFonts w:ascii="宋体" w:hAnsi="宋体" w:eastAsia="宋体" w:cs="宋体"/>
          <w:kern w:val="0"/>
          <w:szCs w:val="21"/>
        </w:rPr>
        <w:t>3</w:t>
      </w:r>
      <w:r>
        <w:rPr>
          <w:rFonts w:ascii="宋体" w:hAnsi="宋体" w:cs="宋体"/>
          <w:kern w:val="0"/>
          <w:szCs w:val="21"/>
        </w:rPr>
        <w:t>名以上成交候选供应商，并编写评审报告。符合本办法第二十一条第三款情形的，可以推荐</w:t>
      </w:r>
      <w:r>
        <w:rPr>
          <w:rFonts w:ascii="宋体" w:hAnsi="宋体" w:eastAsia="宋体" w:cs="宋体"/>
          <w:kern w:val="0"/>
          <w:szCs w:val="21"/>
        </w:rPr>
        <w:t>2</w:t>
      </w:r>
      <w:r>
        <w:rPr>
          <w:rFonts w:ascii="宋体" w:hAnsi="宋体" w:cs="宋体"/>
          <w:kern w:val="0"/>
          <w:szCs w:val="21"/>
        </w:rPr>
        <w:t>家成交候选供应商。评审得分相同的，按照最后报价由低到高的顺序推荐。评审得分且最后报价相同的，按照技术指标优劣顺序推荐。</w:t>
      </w:r>
    </w:p>
    <w:p w14:paraId="0F8F6E6A">
      <w:pPr>
        <w:widowControl/>
        <w:spacing w:line="440" w:lineRule="exact"/>
        <w:ind w:firstLine="480"/>
        <w:rPr>
          <w:rFonts w:ascii="宋体" w:hAnsi="宋体" w:eastAsia="宋体" w:cs="宋体"/>
          <w:kern w:val="0"/>
          <w:szCs w:val="21"/>
        </w:rPr>
      </w:pPr>
    </w:p>
    <w:p w14:paraId="57F7CE5E">
      <w:pPr>
        <w:widowControl/>
        <w:spacing w:line="440" w:lineRule="exact"/>
        <w:ind w:firstLine="480"/>
        <w:rPr>
          <w:rFonts w:ascii="宋体" w:hAnsi="宋体" w:eastAsia="宋体" w:cs="宋体"/>
          <w:kern w:val="0"/>
          <w:szCs w:val="21"/>
        </w:rPr>
      </w:pPr>
    </w:p>
    <w:p w14:paraId="6D9C6272">
      <w:pPr>
        <w:numPr>
          <w:ilvl w:val="0"/>
          <w:numId w:val="0"/>
        </w:numPr>
        <w:jc w:val="center"/>
        <w:outlineLvl w:val="1"/>
        <w:rPr>
          <w:rFonts w:ascii="宋体" w:hAnsi="宋体" w:eastAsia="宋体" w:cs="宋体"/>
          <w:b/>
          <w:color w:val="000000"/>
          <w:kern w:val="0"/>
          <w:sz w:val="28"/>
          <w:szCs w:val="28"/>
          <w:highlight w:val="none"/>
        </w:rPr>
      </w:pPr>
    </w:p>
    <w:p w14:paraId="4B4017F9">
      <w:pPr>
        <w:numPr>
          <w:ilvl w:val="0"/>
          <w:numId w:val="0"/>
        </w:numPr>
        <w:jc w:val="center"/>
        <w:outlineLvl w:val="1"/>
        <w:rPr>
          <w:rFonts w:ascii="宋体" w:hAnsi="宋体"/>
          <w:b/>
          <w:color w:val="000000"/>
          <w:sz w:val="28"/>
          <w:szCs w:val="28"/>
          <w:highlight w:val="none"/>
        </w:rPr>
      </w:pPr>
    </w:p>
    <w:p w14:paraId="44B32263">
      <w:pPr>
        <w:numPr>
          <w:ilvl w:val="0"/>
          <w:numId w:val="0"/>
        </w:numPr>
        <w:jc w:val="center"/>
        <w:outlineLvl w:val="1"/>
        <w:rPr>
          <w:rFonts w:ascii="宋体" w:hAnsi="宋体"/>
          <w:b/>
          <w:color w:val="000000"/>
          <w:sz w:val="28"/>
          <w:szCs w:val="28"/>
          <w:highlight w:val="none"/>
        </w:rPr>
      </w:pPr>
    </w:p>
    <w:p w14:paraId="16A3AF9A">
      <w:pPr>
        <w:numPr>
          <w:ilvl w:val="0"/>
          <w:numId w:val="0"/>
        </w:numPr>
        <w:jc w:val="center"/>
        <w:outlineLvl w:val="1"/>
        <w:rPr>
          <w:rFonts w:ascii="宋体" w:hAnsi="宋体"/>
          <w:b/>
          <w:color w:val="000000"/>
          <w:sz w:val="28"/>
          <w:szCs w:val="28"/>
          <w:highlight w:val="none"/>
        </w:rPr>
      </w:pPr>
    </w:p>
    <w:p w14:paraId="67C57DF0">
      <w:pPr>
        <w:numPr>
          <w:ilvl w:val="0"/>
          <w:numId w:val="0"/>
        </w:numPr>
        <w:jc w:val="center"/>
        <w:outlineLvl w:val="1"/>
        <w:rPr>
          <w:rFonts w:ascii="宋体" w:hAnsi="宋体"/>
          <w:b/>
          <w:color w:val="000000"/>
          <w:sz w:val="28"/>
          <w:szCs w:val="28"/>
          <w:highlight w:val="none"/>
        </w:rPr>
      </w:pPr>
    </w:p>
    <w:p w14:paraId="6B9AD588">
      <w:pPr>
        <w:numPr>
          <w:ilvl w:val="0"/>
          <w:numId w:val="0"/>
        </w:numPr>
        <w:jc w:val="center"/>
        <w:outlineLvl w:val="1"/>
        <w:rPr>
          <w:rFonts w:ascii="宋体" w:hAnsi="宋体"/>
          <w:b/>
          <w:color w:val="000000"/>
          <w:sz w:val="28"/>
          <w:szCs w:val="28"/>
          <w:highlight w:val="none"/>
        </w:rPr>
      </w:pPr>
    </w:p>
    <w:p w14:paraId="1495ED18">
      <w:pPr>
        <w:numPr>
          <w:ilvl w:val="0"/>
          <w:numId w:val="0"/>
        </w:numPr>
        <w:jc w:val="center"/>
        <w:outlineLvl w:val="1"/>
        <w:rPr>
          <w:rFonts w:ascii="宋体" w:hAnsi="宋体"/>
          <w:b/>
          <w:color w:val="000000"/>
          <w:sz w:val="28"/>
          <w:szCs w:val="28"/>
          <w:highlight w:val="none"/>
        </w:rPr>
      </w:pPr>
    </w:p>
    <w:p w14:paraId="70413E23">
      <w:pPr>
        <w:numPr>
          <w:ilvl w:val="0"/>
          <w:numId w:val="0"/>
        </w:numPr>
        <w:jc w:val="center"/>
        <w:outlineLvl w:val="1"/>
        <w:rPr>
          <w:rFonts w:ascii="宋体" w:hAnsi="宋体"/>
          <w:b/>
          <w:color w:val="000000"/>
          <w:sz w:val="28"/>
          <w:szCs w:val="28"/>
          <w:highlight w:val="none"/>
        </w:rPr>
      </w:pPr>
    </w:p>
    <w:p w14:paraId="76A1CB3B">
      <w:pPr>
        <w:numPr>
          <w:ilvl w:val="0"/>
          <w:numId w:val="0"/>
        </w:numPr>
        <w:jc w:val="center"/>
        <w:outlineLvl w:val="1"/>
        <w:rPr>
          <w:rFonts w:ascii="宋体" w:hAnsi="宋体"/>
          <w:b/>
          <w:color w:val="000000"/>
          <w:sz w:val="28"/>
          <w:szCs w:val="28"/>
          <w:highlight w:val="none"/>
        </w:rPr>
      </w:pPr>
    </w:p>
    <w:p w14:paraId="5B106E1D">
      <w:pPr>
        <w:numPr>
          <w:ilvl w:val="0"/>
          <w:numId w:val="0"/>
        </w:numPr>
        <w:jc w:val="center"/>
        <w:outlineLvl w:val="1"/>
        <w:rPr>
          <w:rFonts w:ascii="宋体" w:hAnsi="宋体"/>
          <w:b/>
          <w:color w:val="000000"/>
          <w:sz w:val="28"/>
          <w:szCs w:val="28"/>
          <w:highlight w:val="none"/>
        </w:rPr>
      </w:pPr>
    </w:p>
    <w:p w14:paraId="319197A6">
      <w:pPr>
        <w:numPr>
          <w:ilvl w:val="0"/>
          <w:numId w:val="0"/>
        </w:numPr>
        <w:jc w:val="both"/>
        <w:outlineLvl w:val="1"/>
        <w:rPr>
          <w:rFonts w:ascii="宋体" w:hAnsi="宋体"/>
          <w:b/>
          <w:color w:val="000000"/>
          <w:sz w:val="28"/>
          <w:szCs w:val="28"/>
          <w:highlight w:val="none"/>
        </w:rPr>
      </w:pPr>
    </w:p>
    <w:p w14:paraId="72ACF7AF">
      <w:pPr>
        <w:numPr>
          <w:ilvl w:val="0"/>
          <w:numId w:val="0"/>
        </w:numPr>
        <w:jc w:val="center"/>
        <w:outlineLvl w:val="1"/>
        <w:rPr>
          <w:rFonts w:ascii="宋体" w:hAnsi="宋体"/>
          <w:b/>
          <w:color w:val="000000"/>
          <w:sz w:val="28"/>
          <w:szCs w:val="28"/>
          <w:highlight w:val="none"/>
        </w:rPr>
      </w:pPr>
      <w:bookmarkStart w:id="5" w:name="__RefHeading___Toc469495733"/>
      <w:r>
        <w:rPr>
          <w:rFonts w:ascii="宋体" w:hAnsi="宋体"/>
          <w:b/>
          <w:color w:val="000000"/>
          <w:sz w:val="28"/>
          <w:szCs w:val="28"/>
        </w:rPr>
        <w:t>二  响应文件初审</w:t>
      </w:r>
      <w:bookmarkEnd w:id="5"/>
    </w:p>
    <w:p w14:paraId="54447B6B">
      <w:pPr>
        <w:spacing w:line="400" w:lineRule="exact"/>
        <w:ind w:firstLine="308"/>
        <w:rPr>
          <w:rFonts w:ascii="宋体" w:hAnsi="宋体"/>
          <w:b/>
          <w:color w:val="000000"/>
          <w:szCs w:val="21"/>
          <w:highlight w:val="none"/>
        </w:rPr>
      </w:pPr>
      <w:r>
        <w:rPr>
          <w:rFonts w:ascii="宋体" w:hAnsi="宋体"/>
          <w:b/>
          <w:color w:val="000000"/>
          <w:szCs w:val="21"/>
          <w:lang w:val="en-US" w:eastAsia="zh-CN"/>
        </w:rPr>
        <w:t>6</w:t>
      </w:r>
      <w:r>
        <w:rPr>
          <w:rFonts w:ascii="宋体" w:hAnsi="宋体"/>
          <w:b/>
          <w:color w:val="000000"/>
          <w:szCs w:val="21"/>
        </w:rPr>
        <w:t>.资格性审查:</w:t>
      </w:r>
    </w:p>
    <w:p w14:paraId="7612273A">
      <w:pPr>
        <w:spacing w:line="400" w:lineRule="exact"/>
        <w:ind w:firstLine="308"/>
        <w:rPr>
          <w:color w:val="000000"/>
          <w:szCs w:val="21"/>
          <w:highlight w:val="none"/>
        </w:rPr>
      </w:pPr>
      <w:r>
        <w:rPr>
          <w:rFonts w:ascii="宋体" w:hAnsi="宋体"/>
          <w:color w:val="000000"/>
          <w:szCs w:val="21"/>
          <w:lang w:val="en-US" w:eastAsia="zh-CN"/>
        </w:rPr>
        <w:t>6</w:t>
      </w:r>
      <w:r>
        <w:rPr>
          <w:rFonts w:ascii="宋体" w:hAnsi="宋体"/>
          <w:color w:val="000000"/>
          <w:szCs w:val="21"/>
        </w:rPr>
        <w:t>.1</w:t>
      </w:r>
      <w:r>
        <w:rPr>
          <w:color w:val="000000"/>
          <w:szCs w:val="21"/>
        </w:rPr>
        <w:t>评审细则</w:t>
      </w:r>
    </w:p>
    <w:tbl>
      <w:tblPr>
        <w:tblStyle w:val="19"/>
        <w:tblW w:w="9286" w:type="dxa"/>
        <w:jc w:val="center"/>
        <w:tblLayout w:type="fixed"/>
        <w:tblCellMar>
          <w:top w:w="0" w:type="dxa"/>
          <w:left w:w="108" w:type="dxa"/>
          <w:bottom w:w="0" w:type="dxa"/>
          <w:right w:w="108" w:type="dxa"/>
        </w:tblCellMar>
      </w:tblPr>
      <w:tblGrid>
        <w:gridCol w:w="881"/>
        <w:gridCol w:w="547"/>
        <w:gridCol w:w="6649"/>
        <w:gridCol w:w="555"/>
        <w:gridCol w:w="654"/>
      </w:tblGrid>
      <w:tr w14:paraId="60E1C0B0">
        <w:tblPrEx>
          <w:tblCellMar>
            <w:top w:w="0" w:type="dxa"/>
            <w:left w:w="108" w:type="dxa"/>
            <w:bottom w:w="0" w:type="dxa"/>
            <w:right w:w="108" w:type="dxa"/>
          </w:tblCellMar>
        </w:tblPrEx>
        <w:trPr>
          <w:trHeight w:val="216"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28354E33">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项目</w:t>
            </w:r>
          </w:p>
        </w:tc>
        <w:tc>
          <w:tcPr>
            <w:tcW w:w="719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D9483C8">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评审内容</w:t>
            </w:r>
          </w:p>
        </w:tc>
        <w:tc>
          <w:tcPr>
            <w:tcW w:w="1209" w:type="dxa"/>
            <w:gridSpan w:val="2"/>
            <w:tcBorders>
              <w:top w:val="single" w:color="000000" w:sz="4" w:space="0"/>
              <w:left w:val="single" w:color="000000" w:sz="4" w:space="0"/>
              <w:bottom w:val="single" w:color="000000" w:sz="4" w:space="0"/>
              <w:right w:val="single" w:color="000000" w:sz="4" w:space="0"/>
            </w:tcBorders>
            <w:vAlign w:val="center"/>
          </w:tcPr>
          <w:p w14:paraId="7C7478ED">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评审意见</w:t>
            </w:r>
          </w:p>
        </w:tc>
      </w:tr>
      <w:tr w14:paraId="1DD489CC">
        <w:tblPrEx>
          <w:tblCellMar>
            <w:top w:w="0" w:type="dxa"/>
            <w:left w:w="108" w:type="dxa"/>
            <w:bottom w:w="0" w:type="dxa"/>
            <w:right w:w="108" w:type="dxa"/>
          </w:tblCellMar>
        </w:tblPrEx>
        <w:trPr>
          <w:trHeight w:val="135"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F8422EC">
            <w:pPr>
              <w:snapToGrid w:val="0"/>
              <w:spacing w:line="360" w:lineRule="auto"/>
              <w:rPr>
                <w:rFonts w:ascii="宋体" w:hAnsi="宋体" w:eastAsia="宋体" w:cs="宋体"/>
                <w:b/>
                <w:color w:val="000000"/>
                <w:sz w:val="20"/>
                <w:szCs w:val="22"/>
                <w:highlight w:val="none"/>
              </w:rPr>
            </w:pPr>
          </w:p>
        </w:tc>
        <w:tc>
          <w:tcPr>
            <w:tcW w:w="71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668C659">
            <w:pPr>
              <w:snapToGrid w:val="0"/>
              <w:spacing w:line="360" w:lineRule="auto"/>
              <w:rPr>
                <w:rFonts w:ascii="宋体" w:hAnsi="宋体" w:eastAsia="宋体" w:cs="宋体"/>
                <w:color w:val="000000"/>
                <w:sz w:val="20"/>
                <w:szCs w:val="22"/>
                <w:highlight w:val="none"/>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7F72EBD0">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是</w:t>
            </w:r>
          </w:p>
        </w:tc>
        <w:tc>
          <w:tcPr>
            <w:tcW w:w="654" w:type="dxa"/>
            <w:tcBorders>
              <w:top w:val="single" w:color="000000" w:sz="4" w:space="0"/>
              <w:left w:val="single" w:color="000000" w:sz="4" w:space="0"/>
              <w:bottom w:val="single" w:color="000000" w:sz="4" w:space="0"/>
              <w:right w:val="single" w:color="000000" w:sz="4" w:space="0"/>
            </w:tcBorders>
            <w:vAlign w:val="center"/>
          </w:tcPr>
          <w:p w14:paraId="4F7E7302">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否</w:t>
            </w:r>
          </w:p>
        </w:tc>
      </w:tr>
      <w:tr w14:paraId="0C1D5699">
        <w:tblPrEx>
          <w:tblCellMar>
            <w:top w:w="0" w:type="dxa"/>
            <w:left w:w="108" w:type="dxa"/>
            <w:bottom w:w="0" w:type="dxa"/>
            <w:right w:w="108" w:type="dxa"/>
          </w:tblCellMar>
        </w:tblPrEx>
        <w:trPr>
          <w:trHeight w:val="249"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54E6747F">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p>
          <w:p w14:paraId="204426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查</w:t>
            </w:r>
          </w:p>
          <w:p w14:paraId="2610F41B">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标</w:t>
            </w:r>
          </w:p>
          <w:p w14:paraId="66C77E2A">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准</w:t>
            </w:r>
          </w:p>
          <w:p w14:paraId="6A275B6F">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w:t>
            </w:r>
            <w:r>
              <w:rPr>
                <w:rFonts w:ascii="宋体" w:hAnsi="宋体" w:cs="宋体"/>
                <w:color w:val="000000"/>
                <w:sz w:val="22"/>
                <w:szCs w:val="22"/>
              </w:rPr>
              <w:t>适</w:t>
            </w:r>
          </w:p>
          <w:p w14:paraId="3B1831C1">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用</w:t>
            </w:r>
          </w:p>
          <w:p w14:paraId="60655DC0">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于</w:t>
            </w:r>
          </w:p>
          <w:p w14:paraId="2D6BC3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资</w:t>
            </w:r>
          </w:p>
          <w:p w14:paraId="3EEC974C">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格</w:t>
            </w:r>
          </w:p>
          <w:p w14:paraId="2D804263">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后</w:t>
            </w:r>
          </w:p>
          <w:p w14:paraId="75A866F4">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r>
              <w:rPr>
                <w:rFonts w:ascii="宋体" w:hAnsi="宋体" w:eastAsia="宋体" w:cs="宋体"/>
                <w:color w:val="000000"/>
                <w:sz w:val="22"/>
                <w:szCs w:val="22"/>
              </w:rPr>
              <w:t>)</w:t>
            </w:r>
          </w:p>
        </w:tc>
        <w:tc>
          <w:tcPr>
            <w:tcW w:w="547" w:type="dxa"/>
            <w:tcBorders>
              <w:top w:val="single" w:color="000000" w:sz="4" w:space="0"/>
              <w:left w:val="single" w:color="000000" w:sz="4" w:space="0"/>
              <w:bottom w:val="single" w:color="000000" w:sz="4" w:space="0"/>
              <w:right w:val="single" w:color="000000" w:sz="4" w:space="0"/>
            </w:tcBorders>
            <w:vAlign w:val="center"/>
          </w:tcPr>
          <w:p w14:paraId="7DD50B21">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1</w:t>
            </w:r>
          </w:p>
        </w:tc>
        <w:tc>
          <w:tcPr>
            <w:tcW w:w="6649" w:type="dxa"/>
            <w:tcBorders>
              <w:top w:val="single" w:color="000000" w:sz="4" w:space="0"/>
              <w:left w:val="single" w:color="000000" w:sz="4" w:space="0"/>
              <w:bottom w:val="single" w:color="000000" w:sz="4" w:space="0"/>
              <w:right w:val="single" w:color="000000" w:sz="4" w:space="0"/>
            </w:tcBorders>
            <w:vAlign w:val="center"/>
          </w:tcPr>
          <w:p w14:paraId="3E2CE60B">
            <w:pPr>
              <w:widowControl/>
              <w:spacing w:line="360" w:lineRule="auto"/>
              <w:jc w:val="left"/>
              <w:textAlignment w:val="center"/>
              <w:rPr>
                <w:rFonts w:ascii="宋体" w:hAnsi="宋体" w:eastAsia="宋体" w:cs="宋体"/>
                <w:color w:val="000000"/>
                <w:sz w:val="21"/>
                <w:szCs w:val="21"/>
                <w:highlight w:val="none"/>
              </w:rPr>
            </w:pPr>
            <w:r>
              <w:rPr>
                <w:rFonts w:ascii="宋体" w:hAnsi="宋体" w:cs="宋体"/>
                <w:color w:val="000000"/>
                <w:sz w:val="21"/>
                <w:szCs w:val="21"/>
              </w:rPr>
              <w:t>具备三证合一营业执照副本；</w:t>
            </w:r>
          </w:p>
        </w:tc>
        <w:tc>
          <w:tcPr>
            <w:tcW w:w="555" w:type="dxa"/>
            <w:tcBorders>
              <w:top w:val="single" w:color="000000" w:sz="4" w:space="0"/>
              <w:left w:val="single" w:color="000000" w:sz="4" w:space="0"/>
              <w:bottom w:val="single" w:color="000000" w:sz="4" w:space="0"/>
              <w:right w:val="single" w:color="000000" w:sz="4" w:space="0"/>
            </w:tcBorders>
          </w:tcPr>
          <w:p w14:paraId="3A6A045B">
            <w:pPr>
              <w:snapToGrid w:val="0"/>
              <w:spacing w:line="360" w:lineRule="auto"/>
              <w:rPr>
                <w:rFonts w:ascii="宋体" w:hAnsi="宋体" w:eastAsia="宋体" w:cs="宋体"/>
                <w:color w:val="000000"/>
                <w:sz w:val="22"/>
                <w:szCs w:val="22"/>
                <w:highlight w:val="none"/>
              </w:rPr>
            </w:pPr>
          </w:p>
        </w:tc>
        <w:tc>
          <w:tcPr>
            <w:tcW w:w="654" w:type="dxa"/>
            <w:tcBorders>
              <w:top w:val="single" w:color="000000" w:sz="4" w:space="0"/>
              <w:left w:val="single" w:color="000000" w:sz="4" w:space="0"/>
              <w:bottom w:val="single" w:color="000000" w:sz="4" w:space="0"/>
              <w:right w:val="single" w:color="000000" w:sz="4" w:space="0"/>
            </w:tcBorders>
          </w:tcPr>
          <w:p w14:paraId="7218D334">
            <w:pPr>
              <w:snapToGrid w:val="0"/>
              <w:spacing w:line="360" w:lineRule="auto"/>
              <w:rPr>
                <w:rFonts w:ascii="宋体" w:hAnsi="宋体" w:eastAsia="宋体" w:cs="宋体"/>
                <w:color w:val="000000"/>
                <w:sz w:val="22"/>
                <w:szCs w:val="22"/>
                <w:highlight w:val="none"/>
              </w:rPr>
            </w:pPr>
          </w:p>
        </w:tc>
      </w:tr>
      <w:tr w14:paraId="44303280">
        <w:tblPrEx>
          <w:tblCellMar>
            <w:top w:w="0" w:type="dxa"/>
            <w:left w:w="108" w:type="dxa"/>
            <w:bottom w:w="0" w:type="dxa"/>
            <w:right w:w="108" w:type="dxa"/>
          </w:tblCellMar>
        </w:tblPrEx>
        <w:trPr>
          <w:trHeight w:val="31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5292122F">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8F4222C">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2</w:t>
            </w:r>
          </w:p>
        </w:tc>
        <w:tc>
          <w:tcPr>
            <w:tcW w:w="6649" w:type="dxa"/>
            <w:tcBorders>
              <w:top w:val="single" w:color="000000" w:sz="4" w:space="0"/>
              <w:left w:val="single" w:color="000000" w:sz="4" w:space="0"/>
              <w:bottom w:val="single" w:color="000000" w:sz="4" w:space="0"/>
              <w:right w:val="single" w:color="000000" w:sz="4" w:space="0"/>
            </w:tcBorders>
            <w:vAlign w:val="center"/>
          </w:tcPr>
          <w:p w14:paraId="7B2483E7">
            <w:pPr>
              <w:spacing w:line="360" w:lineRule="auto"/>
              <w:jc w:val="left"/>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法定代表人响应需提供法定代表人资格证明书，委托代理人响应需提供法定代表人授权委托书；</w:t>
            </w:r>
          </w:p>
        </w:tc>
        <w:tc>
          <w:tcPr>
            <w:tcW w:w="555" w:type="dxa"/>
            <w:tcBorders>
              <w:top w:val="single" w:color="000000" w:sz="4" w:space="0"/>
              <w:left w:val="single" w:color="000000" w:sz="4" w:space="0"/>
              <w:bottom w:val="single" w:color="000000" w:sz="4" w:space="0"/>
              <w:right w:val="single" w:color="000000" w:sz="4" w:space="0"/>
            </w:tcBorders>
          </w:tcPr>
          <w:p w14:paraId="6D5B78A3">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EF13A15">
            <w:pPr>
              <w:snapToGrid w:val="0"/>
              <w:spacing w:line="360" w:lineRule="auto"/>
              <w:rPr>
                <w:rFonts w:ascii="宋体" w:hAnsi="宋体" w:eastAsia="宋体" w:cs="宋体"/>
                <w:color w:val="000000"/>
                <w:sz w:val="22"/>
                <w:szCs w:val="22"/>
                <w:highlight w:val="none"/>
              </w:rPr>
            </w:pPr>
          </w:p>
        </w:tc>
      </w:tr>
      <w:tr w14:paraId="2CA5095C">
        <w:tblPrEx>
          <w:tblCellMar>
            <w:top w:w="0" w:type="dxa"/>
            <w:left w:w="108" w:type="dxa"/>
            <w:bottom w:w="0" w:type="dxa"/>
            <w:right w:w="108" w:type="dxa"/>
          </w:tblCellMar>
        </w:tblPrEx>
        <w:trPr>
          <w:trHeight w:val="112"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2843D429">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028DC19">
            <w:pPr>
              <w:spacing w:line="360" w:lineRule="auto"/>
              <w:jc w:val="center"/>
              <w:rPr>
                <w:rFonts w:ascii="宋体" w:hAnsi="宋体" w:eastAsia="宋体" w:cs="宋体"/>
                <w:color w:val="000000"/>
                <w:sz w:val="22"/>
                <w:szCs w:val="22"/>
                <w:highlight w:val="none"/>
                <w:lang w:eastAsia="zh-CN"/>
              </w:rPr>
            </w:pPr>
            <w:r>
              <w:rPr>
                <w:rFonts w:ascii="宋体" w:hAnsi="宋体" w:eastAsia="宋体" w:cs="宋体"/>
                <w:color w:val="000000"/>
                <w:sz w:val="22"/>
                <w:szCs w:val="22"/>
                <w:lang w:val="en-US" w:eastAsia="zh-CN"/>
              </w:rPr>
              <w:t>3</w:t>
            </w:r>
          </w:p>
        </w:tc>
        <w:tc>
          <w:tcPr>
            <w:tcW w:w="6649" w:type="dxa"/>
            <w:tcBorders>
              <w:top w:val="single" w:color="000000" w:sz="4" w:space="0"/>
              <w:left w:val="single" w:color="000000" w:sz="4" w:space="0"/>
              <w:bottom w:val="single" w:color="000000" w:sz="4" w:space="0"/>
              <w:right w:val="single" w:color="000000" w:sz="4" w:space="0"/>
            </w:tcBorders>
            <w:vAlign w:val="center"/>
          </w:tcPr>
          <w:p w14:paraId="024E01AE">
            <w:pPr>
              <w:widowControl/>
              <w:spacing w:line="360" w:lineRule="auto"/>
              <w:jc w:val="left"/>
              <w:textAlignment w:val="center"/>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 xml:space="preserve">供应商须提供供应商（被授权在职人员）近 </w:t>
            </w:r>
            <w:r>
              <w:rPr>
                <w:rFonts w:ascii="宋体" w:hAnsi="宋体" w:eastAsia="宋体" w:cs="宋体"/>
                <w:color w:val="000000"/>
                <w:kern w:val="0"/>
                <w:sz w:val="21"/>
                <w:szCs w:val="21"/>
                <w:lang w:eastAsia="zh-CN" w:bidi="ar"/>
              </w:rPr>
              <w:t xml:space="preserve">6 </w:t>
            </w:r>
            <w:r>
              <w:rPr>
                <w:rFonts w:ascii="宋体" w:hAnsi="宋体" w:cs="宋体"/>
                <w:color w:val="000000"/>
                <w:kern w:val="0"/>
                <w:sz w:val="21"/>
                <w:szCs w:val="21"/>
                <w:lang w:eastAsia="zh-CN" w:bidi="ar"/>
              </w:rPr>
              <w:t>个月内任意一个月有效的社保证明；</w:t>
            </w:r>
          </w:p>
        </w:tc>
        <w:tc>
          <w:tcPr>
            <w:tcW w:w="555" w:type="dxa"/>
            <w:tcBorders>
              <w:top w:val="single" w:color="000000" w:sz="4" w:space="0"/>
              <w:left w:val="single" w:color="000000" w:sz="4" w:space="0"/>
              <w:bottom w:val="single" w:color="000000" w:sz="4" w:space="0"/>
              <w:right w:val="single" w:color="000000" w:sz="4" w:space="0"/>
            </w:tcBorders>
          </w:tcPr>
          <w:p w14:paraId="406A8959">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2E10FC46">
            <w:pPr>
              <w:snapToGrid w:val="0"/>
              <w:spacing w:line="360" w:lineRule="auto"/>
              <w:rPr>
                <w:rFonts w:ascii="宋体" w:hAnsi="宋体" w:eastAsia="宋体" w:cs="宋体"/>
                <w:color w:val="000000"/>
                <w:sz w:val="22"/>
                <w:szCs w:val="22"/>
                <w:highlight w:val="none"/>
              </w:rPr>
            </w:pPr>
          </w:p>
        </w:tc>
      </w:tr>
      <w:tr w14:paraId="1266E347">
        <w:tblPrEx>
          <w:tblCellMar>
            <w:top w:w="0" w:type="dxa"/>
            <w:left w:w="108" w:type="dxa"/>
            <w:bottom w:w="0" w:type="dxa"/>
            <w:right w:w="108" w:type="dxa"/>
          </w:tblCellMar>
        </w:tblPrEx>
        <w:trPr>
          <w:trHeight w:val="4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0A1A7B8E">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0E0CDBC">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4</w:t>
            </w:r>
          </w:p>
        </w:tc>
        <w:tc>
          <w:tcPr>
            <w:tcW w:w="6649" w:type="dxa"/>
            <w:tcBorders>
              <w:top w:val="single" w:color="000000" w:sz="4" w:space="0"/>
              <w:left w:val="single" w:color="000000" w:sz="4" w:space="0"/>
              <w:bottom w:val="single" w:color="000000" w:sz="4" w:space="0"/>
              <w:right w:val="single" w:color="000000" w:sz="4" w:space="0"/>
            </w:tcBorders>
          </w:tcPr>
          <w:p w14:paraId="6F377196">
            <w:pPr>
              <w:spacing w:line="360" w:lineRule="auto"/>
              <w:jc w:val="left"/>
              <w:rPr>
                <w:rFonts w:ascii="宋体" w:hAnsi="宋体" w:eastAsia="宋体" w:cs="宋体"/>
                <w:color w:val="000000"/>
                <w:sz w:val="22"/>
                <w:szCs w:val="22"/>
                <w:highlight w:val="none"/>
                <w:lang w:val="en-US" w:eastAsia="zh-CN"/>
              </w:rPr>
            </w:pPr>
            <w:r>
              <w:rPr>
                <w:rFonts w:ascii="宋体" w:hAnsi="宋体" w:cs="宋体"/>
                <w:color w:val="000000"/>
                <w:sz w:val="22"/>
                <w:szCs w:val="22"/>
                <w:lang w:val="en-US" w:eastAsia="zh-CN"/>
              </w:rPr>
              <w:t>未被“信用中国 ”（</w:t>
            </w:r>
            <w:r>
              <w:rPr>
                <w:rFonts w:ascii="宋体" w:hAnsi="宋体" w:eastAsia="宋体" w:cs="宋体"/>
                <w:color w:val="000000"/>
                <w:sz w:val="22"/>
                <w:szCs w:val="22"/>
                <w:lang w:val="en-US" w:eastAsia="zh-CN"/>
              </w:rPr>
              <w:t>www.creditchina.gov.cn</w:t>
            </w:r>
            <w:r>
              <w:rPr>
                <w:rFonts w:ascii="宋体" w:hAnsi="宋体" w:cs="宋体"/>
                <w:color w:val="000000"/>
                <w:sz w:val="22"/>
                <w:szCs w:val="22"/>
                <w:lang w:val="en-US" w:eastAsia="zh-CN"/>
              </w:rPr>
              <w:t>）、中国政府采购网（</w:t>
            </w:r>
            <w:r>
              <w:rPr>
                <w:rFonts w:ascii="宋体" w:hAnsi="宋体" w:eastAsia="宋体" w:cs="宋体"/>
                <w:color w:val="000000"/>
                <w:sz w:val="22"/>
                <w:szCs w:val="22"/>
                <w:lang w:val="en-US" w:eastAsia="zh-CN"/>
              </w:rPr>
              <w:t>www.ccgp.gov.cn</w:t>
            </w:r>
            <w:r>
              <w:rPr>
                <w:rFonts w:ascii="宋体" w:hAnsi="宋体" w:cs="宋体"/>
                <w:color w:val="000000"/>
                <w:sz w:val="22"/>
                <w:szCs w:val="22"/>
                <w:lang w:val="en-US" w:eastAsia="zh-CN"/>
              </w:rPr>
              <w:t>） 列入失信被执行人、重大税收违法案件当事人名单、政府采购严重违法失信行为记录名单（提供查询结果网页截图并加盖供应商公章）；</w:t>
            </w:r>
          </w:p>
        </w:tc>
        <w:tc>
          <w:tcPr>
            <w:tcW w:w="555" w:type="dxa"/>
            <w:tcBorders>
              <w:top w:val="single" w:color="000000" w:sz="4" w:space="0"/>
              <w:left w:val="single" w:color="000000" w:sz="4" w:space="0"/>
              <w:bottom w:val="single" w:color="000000" w:sz="4" w:space="0"/>
              <w:right w:val="single" w:color="000000" w:sz="4" w:space="0"/>
            </w:tcBorders>
          </w:tcPr>
          <w:p w14:paraId="5E32698C">
            <w:pPr>
              <w:snapToGrid w:val="0"/>
              <w:spacing w:line="360" w:lineRule="auto"/>
              <w:rPr>
                <w:rFonts w:ascii="宋体" w:hAnsi="宋体" w:eastAsia="宋体" w:cs="宋体"/>
                <w:color w:val="000000"/>
                <w:sz w:val="22"/>
                <w:szCs w:val="22"/>
                <w:highlight w:val="none"/>
                <w:lang w:val="en-US" w:eastAsia="zh-CN"/>
              </w:rPr>
            </w:pPr>
          </w:p>
        </w:tc>
        <w:tc>
          <w:tcPr>
            <w:tcW w:w="654" w:type="dxa"/>
            <w:tcBorders>
              <w:top w:val="single" w:color="000000" w:sz="4" w:space="0"/>
              <w:left w:val="single" w:color="000000" w:sz="4" w:space="0"/>
              <w:bottom w:val="single" w:color="000000" w:sz="4" w:space="0"/>
              <w:right w:val="single" w:color="000000" w:sz="4" w:space="0"/>
            </w:tcBorders>
          </w:tcPr>
          <w:p w14:paraId="050FB7D6">
            <w:pPr>
              <w:snapToGrid w:val="0"/>
              <w:spacing w:line="360" w:lineRule="auto"/>
              <w:rPr>
                <w:rFonts w:ascii="宋体" w:hAnsi="宋体" w:eastAsia="宋体" w:cs="宋体"/>
                <w:color w:val="000000"/>
                <w:sz w:val="22"/>
                <w:szCs w:val="22"/>
                <w:highlight w:val="none"/>
              </w:rPr>
            </w:pPr>
          </w:p>
        </w:tc>
      </w:tr>
      <w:tr w14:paraId="27E0396F">
        <w:tblPrEx>
          <w:tblCellMar>
            <w:top w:w="0" w:type="dxa"/>
            <w:left w:w="108" w:type="dxa"/>
            <w:bottom w:w="0" w:type="dxa"/>
            <w:right w:w="108" w:type="dxa"/>
          </w:tblCellMar>
        </w:tblPrEx>
        <w:trPr>
          <w:trHeight w:val="9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6018CB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16D365B4">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5</w:t>
            </w:r>
          </w:p>
        </w:tc>
        <w:tc>
          <w:tcPr>
            <w:tcW w:w="6649" w:type="dxa"/>
            <w:tcBorders>
              <w:top w:val="single" w:color="000000" w:sz="4" w:space="0"/>
              <w:left w:val="single" w:color="000000" w:sz="4" w:space="0"/>
              <w:bottom w:val="single" w:color="000000" w:sz="4" w:space="0"/>
              <w:right w:val="single" w:color="000000" w:sz="4" w:space="0"/>
            </w:tcBorders>
          </w:tcPr>
          <w:p w14:paraId="63E9DBF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w:t>
            </w:r>
            <w:r>
              <w:rPr>
                <w:rFonts w:ascii="宋体" w:hAnsi="宋体" w:eastAsia="宋体" w:cs="宋体"/>
                <w:color w:val="000000"/>
                <w:kern w:val="0"/>
                <w:sz w:val="21"/>
                <w:szCs w:val="21"/>
                <w:lang w:val="en-US" w:eastAsia="zh-CN" w:bidi="ar"/>
              </w:rPr>
              <w:t>5</w:t>
            </w:r>
            <w:r>
              <w:rPr>
                <w:rFonts w:ascii="宋体" w:hAnsi="宋体" w:cs="宋体"/>
                <w:color w:val="000000"/>
                <w:kern w:val="0"/>
                <w:sz w:val="21"/>
                <w:szCs w:val="21"/>
                <w:lang w:val="en-US" w:eastAsia="zh-CN" w:bidi="ar"/>
              </w:rPr>
              <w:t>）供应商须具备建筑工程施工总承包二级（含）以上资质等级、有效的安全生产许可证；项目负责人具备建筑工程专业二级（含）以上注册建造师执业资格且具有有效的安全生产考核证；</w:t>
            </w:r>
          </w:p>
        </w:tc>
        <w:tc>
          <w:tcPr>
            <w:tcW w:w="555" w:type="dxa"/>
            <w:tcBorders>
              <w:top w:val="single" w:color="000000" w:sz="4" w:space="0"/>
              <w:left w:val="single" w:color="000000" w:sz="4" w:space="0"/>
              <w:bottom w:val="single" w:color="000000" w:sz="4" w:space="0"/>
              <w:right w:val="single" w:color="000000" w:sz="4" w:space="0"/>
            </w:tcBorders>
          </w:tcPr>
          <w:p w14:paraId="146FC3DD">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1E09CFE9">
            <w:pPr>
              <w:snapToGrid w:val="0"/>
              <w:spacing w:line="360" w:lineRule="auto"/>
              <w:rPr>
                <w:rFonts w:ascii="宋体" w:hAnsi="宋体" w:eastAsia="宋体" w:cs="宋体"/>
                <w:color w:val="000000"/>
                <w:sz w:val="22"/>
                <w:szCs w:val="22"/>
                <w:highlight w:val="none"/>
              </w:rPr>
            </w:pPr>
          </w:p>
        </w:tc>
      </w:tr>
      <w:tr w14:paraId="70935DEC">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8C114E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B340FB6">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6</w:t>
            </w:r>
          </w:p>
        </w:tc>
        <w:tc>
          <w:tcPr>
            <w:tcW w:w="6649" w:type="dxa"/>
            <w:tcBorders>
              <w:top w:val="single" w:color="000000" w:sz="4" w:space="0"/>
              <w:left w:val="single" w:color="000000" w:sz="4" w:space="0"/>
              <w:bottom w:val="single" w:color="000000" w:sz="4" w:space="0"/>
              <w:right w:val="single" w:color="000000" w:sz="4" w:space="0"/>
            </w:tcBorders>
          </w:tcPr>
          <w:p w14:paraId="0F418757">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磋商保证金汇款凭证或保函等保证金交纳证明材料；</w:t>
            </w:r>
          </w:p>
        </w:tc>
        <w:tc>
          <w:tcPr>
            <w:tcW w:w="555" w:type="dxa"/>
            <w:tcBorders>
              <w:top w:val="single" w:color="000000" w:sz="4" w:space="0"/>
              <w:left w:val="single" w:color="000000" w:sz="4" w:space="0"/>
              <w:bottom w:val="single" w:color="000000" w:sz="4" w:space="0"/>
              <w:right w:val="single" w:color="000000" w:sz="4" w:space="0"/>
            </w:tcBorders>
          </w:tcPr>
          <w:p w14:paraId="42878EF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54016AF4">
            <w:pPr>
              <w:snapToGrid w:val="0"/>
              <w:spacing w:line="360" w:lineRule="auto"/>
              <w:rPr>
                <w:rFonts w:ascii="宋体" w:hAnsi="宋体" w:eastAsia="宋体" w:cs="宋体"/>
                <w:color w:val="000000"/>
                <w:sz w:val="22"/>
                <w:szCs w:val="22"/>
                <w:highlight w:val="none"/>
              </w:rPr>
            </w:pPr>
          </w:p>
        </w:tc>
      </w:tr>
      <w:tr w14:paraId="2986943D">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61CA486A">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3FDE2FB">
            <w:pPr>
              <w:widowControl/>
              <w:spacing w:line="360" w:lineRule="auto"/>
              <w:jc w:val="center"/>
              <w:textAlignment w:val="center"/>
              <w:rPr>
                <w:rFonts w:ascii="宋体" w:hAnsi="宋体" w:eastAsia="宋体" w:cs="宋体"/>
                <w:color w:val="000000"/>
                <w:kern w:val="0"/>
                <w:sz w:val="21"/>
                <w:szCs w:val="21"/>
                <w:highlight w:val="none"/>
                <w:lang w:val="en-US" w:eastAsia="zh-CN" w:bidi="ar"/>
              </w:rPr>
            </w:pPr>
            <w:r>
              <w:rPr>
                <w:rFonts w:ascii="宋体" w:hAnsi="宋体" w:eastAsia="宋体" w:cs="宋体"/>
                <w:color w:val="000000"/>
                <w:kern w:val="0"/>
                <w:sz w:val="21"/>
                <w:szCs w:val="21"/>
                <w:lang w:val="en-US" w:eastAsia="zh-CN" w:bidi="ar"/>
              </w:rPr>
              <w:t>7</w:t>
            </w:r>
          </w:p>
        </w:tc>
        <w:tc>
          <w:tcPr>
            <w:tcW w:w="6649" w:type="dxa"/>
            <w:tcBorders>
              <w:top w:val="single" w:color="000000" w:sz="4" w:space="0"/>
              <w:left w:val="single" w:color="000000" w:sz="4" w:space="0"/>
              <w:bottom w:val="single" w:color="000000" w:sz="4" w:space="0"/>
              <w:right w:val="single" w:color="000000" w:sz="4" w:space="0"/>
            </w:tcBorders>
          </w:tcPr>
          <w:p w14:paraId="40E0C090">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提供承建商为中小企业的《中小企业声明函》；</w:t>
            </w:r>
          </w:p>
        </w:tc>
        <w:tc>
          <w:tcPr>
            <w:tcW w:w="555" w:type="dxa"/>
            <w:tcBorders>
              <w:top w:val="single" w:color="000000" w:sz="4" w:space="0"/>
              <w:left w:val="single" w:color="000000" w:sz="4" w:space="0"/>
              <w:bottom w:val="single" w:color="000000" w:sz="4" w:space="0"/>
              <w:right w:val="single" w:color="000000" w:sz="4" w:space="0"/>
            </w:tcBorders>
          </w:tcPr>
          <w:p w14:paraId="27194B8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877582B">
            <w:pPr>
              <w:snapToGrid w:val="0"/>
              <w:spacing w:line="360" w:lineRule="auto"/>
              <w:rPr>
                <w:rFonts w:ascii="宋体" w:hAnsi="宋体" w:eastAsia="宋体" w:cs="宋体"/>
                <w:color w:val="000000"/>
                <w:sz w:val="22"/>
                <w:szCs w:val="22"/>
                <w:highlight w:val="none"/>
              </w:rPr>
            </w:pPr>
          </w:p>
        </w:tc>
      </w:tr>
      <w:tr w14:paraId="69C179A6">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24406E5">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ED28F2B">
            <w:pPr>
              <w:snapToGrid w:val="0"/>
              <w:spacing w:line="360" w:lineRule="auto"/>
              <w:jc w:val="left"/>
              <w:rPr>
                <w:rFonts w:ascii="ˎ̥;Times New Roman" w:hAnsi="ˎ̥;Times New Roman" w:eastAsia="宋体" w:cs="Times New Roman"/>
                <w:color w:val="000000"/>
                <w:sz w:val="22"/>
                <w:szCs w:val="22"/>
                <w:highlight w:val="none"/>
                <w:lang w:val="en-US" w:eastAsia="zh-CN"/>
              </w:rPr>
            </w:pPr>
          </w:p>
        </w:tc>
        <w:tc>
          <w:tcPr>
            <w:tcW w:w="6649" w:type="dxa"/>
            <w:tcBorders>
              <w:top w:val="single" w:color="000000" w:sz="4" w:space="0"/>
              <w:left w:val="single" w:color="000000" w:sz="4" w:space="0"/>
              <w:bottom w:val="single" w:color="000000" w:sz="4" w:space="0"/>
              <w:right w:val="single" w:color="000000" w:sz="4" w:space="0"/>
            </w:tcBorders>
          </w:tcPr>
          <w:p w14:paraId="751E7FC8">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结论：是否通过评审（须填写通过或不通过）</w:t>
            </w:r>
          </w:p>
          <w:p w14:paraId="67A8A43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注：如有一项不合格，作无效响应处理。</w:t>
            </w:r>
          </w:p>
        </w:tc>
        <w:tc>
          <w:tcPr>
            <w:tcW w:w="1209" w:type="dxa"/>
            <w:gridSpan w:val="2"/>
            <w:tcBorders>
              <w:top w:val="single" w:color="000000" w:sz="4" w:space="0"/>
              <w:left w:val="single" w:color="000000" w:sz="4" w:space="0"/>
              <w:bottom w:val="single" w:color="000000" w:sz="4" w:space="0"/>
              <w:right w:val="single" w:color="000000" w:sz="4" w:space="0"/>
            </w:tcBorders>
          </w:tcPr>
          <w:p w14:paraId="55BD2ECF">
            <w:pPr>
              <w:snapToGrid w:val="0"/>
              <w:spacing w:line="360" w:lineRule="auto"/>
              <w:rPr>
                <w:rFonts w:ascii="宋体" w:hAnsi="宋体" w:eastAsia="宋体" w:cs="宋体"/>
                <w:color w:val="000000"/>
                <w:kern w:val="0"/>
                <w:sz w:val="22"/>
                <w:szCs w:val="22"/>
                <w:highlight w:val="none"/>
                <w:lang w:val="en-US" w:eastAsia="zh-CN" w:bidi="ar"/>
              </w:rPr>
            </w:pPr>
          </w:p>
        </w:tc>
      </w:tr>
    </w:tbl>
    <w:p w14:paraId="53D57A8A">
      <w:pPr>
        <w:spacing w:before="156" w:after="0" w:line="440" w:lineRule="exact"/>
        <w:ind w:firstLine="280"/>
        <w:rPr>
          <w:rFonts w:ascii="宋体" w:hAnsi="宋体" w:eastAsia="宋体" w:cs="宋体"/>
          <w:b/>
          <w:color w:val="0000FF"/>
          <w:sz w:val="28"/>
          <w:szCs w:val="28"/>
          <w:highlight w:val="yellow"/>
        </w:rPr>
      </w:pPr>
      <w:r>
        <w:rPr>
          <w:rFonts w:ascii="宋体" w:hAnsi="宋体" w:eastAsia="宋体" w:cs="宋体"/>
          <w:b/>
          <w:color w:val="0000FF"/>
          <w:sz w:val="28"/>
          <w:szCs w:val="28"/>
          <w:highlight w:val="yellow"/>
          <w:lang w:val="en-US" w:eastAsia="zh-CN"/>
        </w:rPr>
        <w:t>6.2</w:t>
      </w:r>
      <w:r>
        <w:rPr>
          <w:rFonts w:ascii="宋体" w:hAnsi="宋体" w:cs="宋体"/>
          <w:b/>
          <w:color w:val="0000FF"/>
          <w:sz w:val="28"/>
          <w:szCs w:val="28"/>
          <w:highlight w:val="yellow"/>
          <w:lang w:val="en-US" w:eastAsia="zh-CN"/>
        </w:rPr>
        <w:t>资格证明文件上传过程中，请供应商按照上述要求逐一上传资格性证明文件，</w:t>
      </w:r>
      <w:r>
        <w:rPr>
          <w:rFonts w:ascii="宋体" w:hAnsi="宋体" w:cs="宋体"/>
          <w:b/>
          <w:color w:val="0000FF"/>
          <w:sz w:val="28"/>
          <w:szCs w:val="28"/>
          <w:highlight w:val="yellow"/>
        </w:rPr>
        <w:t>如</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在检验电子标书</w:t>
      </w:r>
      <w:r>
        <w:rPr>
          <w:rFonts w:ascii="宋体" w:hAnsi="宋体" w:cs="宋体"/>
          <w:b/>
          <w:color w:val="0000FF"/>
          <w:sz w:val="28"/>
          <w:szCs w:val="28"/>
          <w:highlight w:val="yellow"/>
          <w:lang w:eastAsia="zh-CN"/>
        </w:rPr>
        <w:t>（</w:t>
      </w:r>
      <w:r>
        <w:rPr>
          <w:rFonts w:ascii="宋体" w:hAnsi="宋体" w:cs="宋体"/>
          <w:b/>
          <w:color w:val="0000FF"/>
          <w:sz w:val="28"/>
          <w:szCs w:val="28"/>
          <w:highlight w:val="yellow"/>
          <w:lang w:val="en-US" w:eastAsia="zh-CN"/>
        </w:rPr>
        <w:t>资格性审查</w:t>
      </w:r>
      <w:r>
        <w:rPr>
          <w:rFonts w:ascii="宋体" w:hAnsi="宋体" w:cs="宋体"/>
          <w:b/>
          <w:color w:val="0000FF"/>
          <w:sz w:val="28"/>
          <w:szCs w:val="28"/>
          <w:highlight w:val="yellow"/>
          <w:lang w:eastAsia="zh-CN"/>
        </w:rPr>
        <w:t>）</w:t>
      </w:r>
      <w:r>
        <w:rPr>
          <w:rFonts w:ascii="宋体" w:hAnsi="宋体" w:cs="宋体"/>
          <w:b/>
          <w:color w:val="0000FF"/>
          <w:sz w:val="28"/>
          <w:szCs w:val="28"/>
          <w:highlight w:val="yellow"/>
        </w:rPr>
        <w:t>过程中，由于供应商自身原因导致</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无法查看并检验电子标书中以上相关资料的，否决其响应。</w:t>
      </w:r>
    </w:p>
    <w:p w14:paraId="760416B5">
      <w:pPr>
        <w:pStyle w:val="8"/>
        <w:rPr>
          <w:rFonts w:ascii="宋体" w:hAnsi="宋体" w:eastAsia="宋体" w:cs="宋体"/>
          <w:b/>
          <w:color w:val="0000FF"/>
          <w:sz w:val="28"/>
          <w:szCs w:val="28"/>
          <w:highlight w:val="yellow"/>
        </w:rPr>
      </w:pPr>
    </w:p>
    <w:p w14:paraId="60FE90F7">
      <w:pPr>
        <w:rPr>
          <w:rFonts w:ascii="宋体" w:hAnsi="宋体" w:eastAsia="宋体" w:cs="宋体"/>
          <w:b/>
          <w:color w:val="0000FF"/>
          <w:sz w:val="28"/>
          <w:szCs w:val="28"/>
          <w:highlight w:val="yellow"/>
        </w:rPr>
      </w:pPr>
    </w:p>
    <w:p w14:paraId="311ED367">
      <w:pPr>
        <w:pStyle w:val="8"/>
        <w:rPr>
          <w:rFonts w:ascii="宋体" w:hAnsi="宋体" w:eastAsia="宋体" w:cs="宋体"/>
          <w:b/>
          <w:color w:val="0000FF"/>
          <w:sz w:val="28"/>
          <w:szCs w:val="28"/>
          <w:highlight w:val="yellow"/>
        </w:rPr>
      </w:pPr>
    </w:p>
    <w:p w14:paraId="2F6BF1A9">
      <w:pPr>
        <w:rPr>
          <w:rFonts w:ascii="宋体" w:hAnsi="宋体" w:eastAsia="宋体" w:cs="宋体"/>
          <w:b/>
          <w:color w:val="0000FF"/>
          <w:sz w:val="28"/>
          <w:szCs w:val="28"/>
          <w:highlight w:val="yellow"/>
        </w:rPr>
      </w:pPr>
    </w:p>
    <w:p w14:paraId="5A012845">
      <w:pPr>
        <w:spacing w:before="156" w:after="0" w:line="440" w:lineRule="exact"/>
        <w:ind w:firstLine="308"/>
        <w:rPr>
          <w:rFonts w:ascii="宋体" w:hAnsi="宋体"/>
          <w:b/>
          <w:color w:val="000000"/>
          <w:szCs w:val="21"/>
          <w:highlight w:val="none"/>
        </w:rPr>
      </w:pPr>
      <w:r>
        <w:rPr>
          <w:rFonts w:ascii="宋体" w:hAnsi="宋体"/>
          <w:b/>
          <w:color w:val="000000"/>
          <w:szCs w:val="21"/>
          <w:lang w:val="en-US" w:eastAsia="zh-CN"/>
        </w:rPr>
        <w:t>7</w:t>
      </w:r>
      <w:r>
        <w:rPr>
          <w:rFonts w:ascii="宋体" w:hAnsi="宋体"/>
          <w:b/>
          <w:color w:val="000000"/>
          <w:szCs w:val="21"/>
        </w:rPr>
        <w:t>.符合性审查</w:t>
      </w:r>
    </w:p>
    <w:p w14:paraId="77A81784">
      <w:pPr>
        <w:spacing w:line="440" w:lineRule="exact"/>
        <w:ind w:firstLine="31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．1评审细则</w:t>
      </w:r>
    </w:p>
    <w:tbl>
      <w:tblPr>
        <w:tblStyle w:val="19"/>
        <w:tblW w:w="9435" w:type="dxa"/>
        <w:tblInd w:w="210" w:type="dxa"/>
        <w:tblLayout w:type="fixed"/>
        <w:tblCellMar>
          <w:top w:w="0" w:type="dxa"/>
          <w:left w:w="108" w:type="dxa"/>
          <w:bottom w:w="0" w:type="dxa"/>
          <w:right w:w="108" w:type="dxa"/>
        </w:tblCellMar>
      </w:tblPr>
      <w:tblGrid>
        <w:gridCol w:w="977"/>
        <w:gridCol w:w="528"/>
        <w:gridCol w:w="6564"/>
        <w:gridCol w:w="744"/>
        <w:gridCol w:w="622"/>
      </w:tblGrid>
      <w:tr w14:paraId="3DCC985E">
        <w:tblPrEx>
          <w:tblCellMar>
            <w:top w:w="0" w:type="dxa"/>
            <w:left w:w="108" w:type="dxa"/>
            <w:bottom w:w="0" w:type="dxa"/>
            <w:right w:w="108" w:type="dxa"/>
          </w:tblCellMar>
        </w:tblPrEx>
        <w:trPr>
          <w:trHeight w:val="180" w:hRule="atLeast"/>
        </w:trPr>
        <w:tc>
          <w:tcPr>
            <w:tcW w:w="977" w:type="dxa"/>
            <w:tcBorders>
              <w:top w:val="single" w:color="000000" w:sz="4" w:space="0"/>
              <w:left w:val="single" w:color="000000" w:sz="4" w:space="0"/>
              <w:bottom w:val="single" w:color="000000" w:sz="6" w:space="0"/>
              <w:right w:val="single" w:color="000000" w:sz="6" w:space="0"/>
            </w:tcBorders>
            <w:vAlign w:val="center"/>
          </w:tcPr>
          <w:p w14:paraId="72E1CD9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项目</w:t>
            </w:r>
          </w:p>
        </w:tc>
        <w:tc>
          <w:tcPr>
            <w:tcW w:w="7092" w:type="dxa"/>
            <w:gridSpan w:val="2"/>
            <w:tcBorders>
              <w:top w:val="single" w:color="000000" w:sz="4" w:space="0"/>
              <w:left w:val="single" w:color="000000" w:sz="6" w:space="0"/>
              <w:bottom w:val="single" w:color="000000" w:sz="6" w:space="0"/>
              <w:right w:val="single" w:color="000000" w:sz="6" w:space="0"/>
            </w:tcBorders>
            <w:vAlign w:val="center"/>
          </w:tcPr>
          <w:p w14:paraId="0522D23C">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评审内容</w:t>
            </w:r>
          </w:p>
        </w:tc>
        <w:tc>
          <w:tcPr>
            <w:tcW w:w="1366" w:type="dxa"/>
            <w:gridSpan w:val="2"/>
            <w:tcBorders>
              <w:top w:val="single" w:color="000000" w:sz="4" w:space="0"/>
              <w:left w:val="single" w:color="000000" w:sz="6" w:space="0"/>
              <w:bottom w:val="single" w:color="000000" w:sz="6" w:space="0"/>
              <w:right w:val="single" w:color="000000" w:sz="4" w:space="0"/>
            </w:tcBorders>
            <w:vAlign w:val="center"/>
          </w:tcPr>
          <w:p w14:paraId="0F38B9C6">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评审意见</w:t>
            </w:r>
          </w:p>
        </w:tc>
      </w:tr>
      <w:tr w14:paraId="477B507A">
        <w:tblPrEx>
          <w:tblCellMar>
            <w:top w:w="0" w:type="dxa"/>
            <w:left w:w="108" w:type="dxa"/>
            <w:bottom w:w="0" w:type="dxa"/>
            <w:right w:w="108" w:type="dxa"/>
          </w:tblCellMar>
        </w:tblPrEx>
        <w:trPr>
          <w:trHeight w:val="90" w:hRule="atLeast"/>
        </w:trPr>
        <w:tc>
          <w:tcPr>
            <w:tcW w:w="977" w:type="dxa"/>
            <w:tcBorders>
              <w:top w:val="single" w:color="000000" w:sz="6" w:space="0"/>
              <w:left w:val="single" w:color="000000" w:sz="4" w:space="0"/>
              <w:bottom w:val="single" w:color="000000" w:sz="4" w:space="0"/>
              <w:right w:val="single" w:color="000000" w:sz="6" w:space="0"/>
            </w:tcBorders>
            <w:vAlign w:val="center"/>
          </w:tcPr>
          <w:p w14:paraId="57382A30">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092" w:type="dxa"/>
            <w:gridSpan w:val="2"/>
            <w:tcBorders>
              <w:top w:val="single" w:color="000000" w:sz="6" w:space="0"/>
              <w:left w:val="single" w:color="000000" w:sz="6" w:space="0"/>
              <w:bottom w:val="single" w:color="000000" w:sz="4" w:space="0"/>
              <w:right w:val="single" w:color="000000" w:sz="6" w:space="0"/>
            </w:tcBorders>
          </w:tcPr>
          <w:p w14:paraId="7C3380A9">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44" w:type="dxa"/>
            <w:tcBorders>
              <w:top w:val="single" w:color="000000" w:sz="6" w:space="0"/>
              <w:left w:val="single" w:color="000000" w:sz="6" w:space="0"/>
              <w:bottom w:val="single" w:color="000000" w:sz="6" w:space="0"/>
              <w:right w:val="single" w:color="000000" w:sz="6" w:space="0"/>
            </w:tcBorders>
            <w:vAlign w:val="center"/>
          </w:tcPr>
          <w:p w14:paraId="215467A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是</w:t>
            </w:r>
          </w:p>
        </w:tc>
        <w:tc>
          <w:tcPr>
            <w:tcW w:w="622" w:type="dxa"/>
            <w:tcBorders>
              <w:top w:val="single" w:color="000000" w:sz="6" w:space="0"/>
              <w:left w:val="single" w:color="000000" w:sz="6" w:space="0"/>
              <w:bottom w:val="single" w:color="000000" w:sz="6" w:space="0"/>
              <w:right w:val="single" w:color="000000" w:sz="4" w:space="0"/>
            </w:tcBorders>
            <w:vAlign w:val="center"/>
          </w:tcPr>
          <w:p w14:paraId="5AC6705F">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否</w:t>
            </w:r>
          </w:p>
        </w:tc>
      </w:tr>
      <w:tr w14:paraId="2FABAA66">
        <w:tblPrEx>
          <w:tblCellMar>
            <w:top w:w="0" w:type="dxa"/>
            <w:left w:w="108" w:type="dxa"/>
            <w:bottom w:w="0" w:type="dxa"/>
            <w:right w:w="108" w:type="dxa"/>
          </w:tblCellMar>
        </w:tblPrEx>
        <w:trPr>
          <w:trHeight w:val="230" w:hRule="atLeast"/>
        </w:trPr>
        <w:tc>
          <w:tcPr>
            <w:tcW w:w="977" w:type="dxa"/>
            <w:vMerge w:val="restart"/>
            <w:tcBorders>
              <w:top w:val="single" w:color="000000" w:sz="4" w:space="0"/>
              <w:left w:val="single" w:color="000000" w:sz="4" w:space="0"/>
              <w:bottom w:val="single" w:color="000000" w:sz="6" w:space="0"/>
              <w:right w:val="single" w:color="000000" w:sz="4" w:space="0"/>
            </w:tcBorders>
            <w:vAlign w:val="center"/>
          </w:tcPr>
          <w:p w14:paraId="6786EA69">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审</w:t>
            </w:r>
          </w:p>
          <w:p w14:paraId="36621567">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查</w:t>
            </w:r>
          </w:p>
          <w:p w14:paraId="0631D9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标</w:t>
            </w:r>
          </w:p>
          <w:p w14:paraId="6D216F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准</w:t>
            </w:r>
          </w:p>
        </w:tc>
        <w:tc>
          <w:tcPr>
            <w:tcW w:w="528" w:type="dxa"/>
            <w:tcBorders>
              <w:top w:val="single" w:color="000000" w:sz="4" w:space="0"/>
              <w:left w:val="single" w:color="000000" w:sz="4" w:space="0"/>
              <w:bottom w:val="single" w:color="000000" w:sz="6" w:space="0"/>
              <w:right w:val="single" w:color="000000" w:sz="4" w:space="0"/>
            </w:tcBorders>
            <w:vAlign w:val="center"/>
          </w:tcPr>
          <w:p w14:paraId="50A962C6">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1</w:t>
            </w:r>
          </w:p>
        </w:tc>
        <w:tc>
          <w:tcPr>
            <w:tcW w:w="6564" w:type="dxa"/>
            <w:tcBorders>
              <w:top w:val="single" w:color="000000" w:sz="4" w:space="0"/>
              <w:left w:val="single" w:color="000000" w:sz="4" w:space="0"/>
              <w:bottom w:val="single" w:color="000000" w:sz="6" w:space="0"/>
              <w:right w:val="single" w:color="000000" w:sz="4" w:space="0"/>
            </w:tcBorders>
            <w:vAlign w:val="center"/>
          </w:tcPr>
          <w:p w14:paraId="1BF8BC4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由政府立项核准、审批的采购项目</w:t>
            </w:r>
            <w:r>
              <w:rPr>
                <w:rFonts w:ascii="宋体" w:hAnsi="宋体" w:eastAsia="宋体" w:cs="宋体"/>
                <w:b w:val="0"/>
                <w:bCs/>
                <w:color w:val="000000"/>
                <w:kern w:val="0"/>
                <w:sz w:val="21"/>
                <w:szCs w:val="21"/>
                <w:lang w:bidi="ar"/>
              </w:rPr>
              <w:t xml:space="preserve">, </w:t>
            </w:r>
            <w:r>
              <w:rPr>
                <w:rFonts w:ascii="宋体" w:hAnsi="宋体" w:cs="宋体"/>
                <w:b w:val="0"/>
                <w:bCs/>
                <w:color w:val="000000"/>
                <w:kern w:val="0"/>
                <w:sz w:val="21"/>
                <w:szCs w:val="21"/>
                <w:lang w:bidi="ar"/>
              </w:rPr>
              <w:t>报价</w:t>
            </w:r>
            <w:r>
              <w:rPr>
                <w:rFonts w:ascii="宋体" w:hAnsi="宋体" w:cs="宋体"/>
                <w:b w:val="0"/>
                <w:bCs/>
                <w:color w:val="000000"/>
                <w:kern w:val="0"/>
                <w:sz w:val="21"/>
                <w:szCs w:val="21"/>
                <w:lang w:val="en-US" w:eastAsia="zh-CN" w:bidi="ar"/>
              </w:rPr>
              <w:t>未</w:t>
            </w:r>
            <w:r>
              <w:rPr>
                <w:rFonts w:ascii="宋体" w:hAnsi="宋体" w:cs="宋体"/>
                <w:b w:val="0"/>
                <w:bCs/>
                <w:color w:val="000000"/>
                <w:kern w:val="0"/>
                <w:sz w:val="21"/>
                <w:szCs w:val="21"/>
                <w:lang w:bidi="ar"/>
              </w:rPr>
              <w:t>高于设定的采购</w:t>
            </w:r>
            <w:r>
              <w:rPr>
                <w:rFonts w:ascii="宋体" w:hAnsi="宋体" w:cs="宋体"/>
                <w:b w:val="0"/>
                <w:bCs/>
                <w:color w:val="000000"/>
                <w:kern w:val="0"/>
                <w:sz w:val="21"/>
                <w:szCs w:val="21"/>
                <w:lang w:val="en-US" w:eastAsia="zh-CN" w:bidi="ar"/>
              </w:rPr>
              <w:t>限</w:t>
            </w:r>
            <w:r>
              <w:rPr>
                <w:rFonts w:ascii="宋体" w:hAnsi="宋体" w:cs="宋体"/>
                <w:b w:val="0"/>
                <w:bCs/>
                <w:color w:val="000000"/>
                <w:kern w:val="0"/>
                <w:sz w:val="21"/>
                <w:szCs w:val="21"/>
                <w:lang w:bidi="ar"/>
              </w:rPr>
              <w:t>价的；</w:t>
            </w:r>
          </w:p>
        </w:tc>
        <w:tc>
          <w:tcPr>
            <w:tcW w:w="744" w:type="dxa"/>
            <w:tcBorders>
              <w:top w:val="single" w:color="000000" w:sz="6" w:space="0"/>
              <w:left w:val="single" w:color="000000" w:sz="4" w:space="0"/>
              <w:bottom w:val="single" w:color="000000" w:sz="6" w:space="0"/>
              <w:right w:val="single" w:color="000000" w:sz="4" w:space="0"/>
            </w:tcBorders>
          </w:tcPr>
          <w:p w14:paraId="133B5B54">
            <w:pPr>
              <w:snapToGrid w:val="0"/>
              <w:spacing w:line="360" w:lineRule="auto"/>
              <w:jc w:val="center"/>
              <w:rPr>
                <w:rFonts w:ascii="宋体" w:hAnsi="宋体" w:eastAsia="宋体" w:cs="宋体"/>
                <w:b w:val="0"/>
                <w:bCs/>
                <w:color w:val="000000"/>
                <w:sz w:val="22"/>
                <w:szCs w:val="22"/>
                <w:highlight w:val="none"/>
              </w:rPr>
            </w:pPr>
          </w:p>
        </w:tc>
        <w:tc>
          <w:tcPr>
            <w:tcW w:w="622" w:type="dxa"/>
            <w:tcBorders>
              <w:top w:val="single" w:color="000000" w:sz="6" w:space="0"/>
              <w:left w:val="single" w:color="000000" w:sz="4" w:space="0"/>
              <w:bottom w:val="single" w:color="000000" w:sz="6" w:space="0"/>
              <w:right w:val="single" w:color="000000" w:sz="4" w:space="0"/>
            </w:tcBorders>
          </w:tcPr>
          <w:p w14:paraId="18E9B98E">
            <w:pPr>
              <w:snapToGrid w:val="0"/>
              <w:spacing w:line="360" w:lineRule="auto"/>
              <w:jc w:val="center"/>
              <w:rPr>
                <w:rFonts w:ascii="宋体" w:hAnsi="宋体" w:eastAsia="宋体" w:cs="宋体"/>
                <w:b w:val="0"/>
                <w:bCs/>
                <w:color w:val="000000"/>
                <w:sz w:val="22"/>
                <w:szCs w:val="22"/>
                <w:highlight w:val="none"/>
              </w:rPr>
            </w:pPr>
          </w:p>
        </w:tc>
      </w:tr>
      <w:tr w14:paraId="3649925D">
        <w:tblPrEx>
          <w:tblCellMar>
            <w:top w:w="0" w:type="dxa"/>
            <w:left w:w="108" w:type="dxa"/>
            <w:bottom w:w="0" w:type="dxa"/>
            <w:right w:w="108" w:type="dxa"/>
          </w:tblCellMar>
        </w:tblPrEx>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2FC59E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204B400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2</w:t>
            </w:r>
          </w:p>
        </w:tc>
        <w:tc>
          <w:tcPr>
            <w:tcW w:w="6564" w:type="dxa"/>
            <w:tcBorders>
              <w:top w:val="single" w:color="000000" w:sz="4" w:space="0"/>
              <w:left w:val="single" w:color="000000" w:sz="4" w:space="0"/>
              <w:bottom w:val="single" w:color="000000" w:sz="4" w:space="0"/>
              <w:right w:val="single" w:color="000000" w:sz="4" w:space="0"/>
            </w:tcBorders>
            <w:vAlign w:val="center"/>
          </w:tcPr>
          <w:p w14:paraId="11650FF4">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法定代表人身份证明</w:t>
            </w:r>
            <w:r>
              <w:rPr>
                <w:rFonts w:ascii="宋体" w:hAnsi="宋体" w:cs="宋体"/>
                <w:b w:val="0"/>
                <w:bCs/>
                <w:color w:val="000000"/>
                <w:kern w:val="0"/>
                <w:sz w:val="21"/>
                <w:szCs w:val="21"/>
                <w:lang w:val="en-US" w:eastAsia="zh-CN" w:bidi="ar"/>
              </w:rPr>
              <w:t>或</w:t>
            </w:r>
            <w:r>
              <w:rPr>
                <w:rFonts w:ascii="宋体" w:hAnsi="宋体" w:cs="宋体"/>
                <w:b w:val="0"/>
                <w:bCs/>
                <w:color w:val="000000"/>
                <w:kern w:val="0"/>
                <w:sz w:val="21"/>
                <w:szCs w:val="21"/>
                <w:lang w:bidi="ar"/>
              </w:rPr>
              <w:t>授权委托书有效，且符合</w:t>
            </w:r>
            <w:r>
              <w:rPr>
                <w:rFonts w:ascii="宋体" w:hAnsi="宋体" w:cs="宋体"/>
                <w:b w:val="0"/>
                <w:bCs/>
                <w:color w:val="000000"/>
                <w:kern w:val="0"/>
                <w:sz w:val="21"/>
                <w:szCs w:val="21"/>
                <w:lang w:eastAsia="zh-CN" w:bidi="ar"/>
              </w:rPr>
              <w:t>磋商文件</w:t>
            </w:r>
            <w:r>
              <w:rPr>
                <w:rFonts w:ascii="宋体" w:hAnsi="宋体" w:cs="宋体"/>
                <w:b w:val="0"/>
                <w:bCs/>
                <w:color w:val="000000"/>
                <w:kern w:val="0"/>
                <w:sz w:val="21"/>
                <w:szCs w:val="21"/>
                <w:lang w:bidi="ar"/>
              </w:rPr>
              <w:t>规定的格式。</w:t>
            </w:r>
          </w:p>
        </w:tc>
        <w:tc>
          <w:tcPr>
            <w:tcW w:w="744" w:type="dxa"/>
            <w:tcBorders>
              <w:top w:val="single" w:color="000000" w:sz="6" w:space="0"/>
              <w:left w:val="single" w:color="000000" w:sz="4" w:space="0"/>
              <w:bottom w:val="single" w:color="000000" w:sz="6" w:space="0"/>
              <w:right w:val="single" w:color="000000" w:sz="6" w:space="0"/>
            </w:tcBorders>
          </w:tcPr>
          <w:p w14:paraId="1EA45562">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5AFBB05">
            <w:pPr>
              <w:snapToGrid w:val="0"/>
              <w:spacing w:line="360" w:lineRule="auto"/>
              <w:rPr>
                <w:rFonts w:ascii="宋体" w:hAnsi="宋体" w:eastAsia="宋体" w:cs="宋体"/>
                <w:b w:val="0"/>
                <w:bCs/>
                <w:color w:val="000000"/>
                <w:sz w:val="22"/>
                <w:szCs w:val="22"/>
                <w:highlight w:val="none"/>
              </w:rPr>
            </w:pPr>
          </w:p>
        </w:tc>
      </w:tr>
      <w:tr w14:paraId="332C030B">
        <w:tblPrEx>
          <w:tblCellMar>
            <w:top w:w="0" w:type="dxa"/>
            <w:left w:w="108" w:type="dxa"/>
            <w:bottom w:w="0" w:type="dxa"/>
            <w:right w:w="108" w:type="dxa"/>
          </w:tblCellMar>
        </w:tblPrEx>
        <w:trPr>
          <w:trHeight w:val="204"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75E42475">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4" w:space="0"/>
            </w:tcBorders>
            <w:vAlign w:val="center"/>
          </w:tcPr>
          <w:p w14:paraId="57511DDD">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3</w:t>
            </w:r>
          </w:p>
        </w:tc>
        <w:tc>
          <w:tcPr>
            <w:tcW w:w="6564" w:type="dxa"/>
            <w:tcBorders>
              <w:top w:val="single" w:color="000000" w:sz="4" w:space="0"/>
              <w:left w:val="single" w:color="000000" w:sz="4" w:space="0"/>
              <w:bottom w:val="single" w:color="000000" w:sz="6" w:space="0"/>
              <w:right w:val="single" w:color="000000" w:sz="4" w:space="0"/>
            </w:tcBorders>
            <w:vAlign w:val="center"/>
          </w:tcPr>
          <w:p w14:paraId="08A81346">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只有一个方案响应。</w:t>
            </w:r>
          </w:p>
        </w:tc>
        <w:tc>
          <w:tcPr>
            <w:tcW w:w="744" w:type="dxa"/>
            <w:tcBorders>
              <w:top w:val="single" w:color="000000" w:sz="6" w:space="0"/>
              <w:left w:val="single" w:color="000000" w:sz="4" w:space="0"/>
              <w:bottom w:val="single" w:color="000000" w:sz="6" w:space="0"/>
              <w:right w:val="single" w:color="000000" w:sz="6" w:space="0"/>
            </w:tcBorders>
          </w:tcPr>
          <w:p w14:paraId="61D1226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49A611D">
            <w:pPr>
              <w:snapToGrid w:val="0"/>
              <w:spacing w:line="360" w:lineRule="auto"/>
              <w:rPr>
                <w:rFonts w:ascii="宋体" w:hAnsi="宋体" w:eastAsia="宋体" w:cs="宋体"/>
                <w:b w:val="0"/>
                <w:bCs/>
                <w:color w:val="000000"/>
                <w:sz w:val="22"/>
                <w:szCs w:val="22"/>
                <w:highlight w:val="none"/>
              </w:rPr>
            </w:pPr>
          </w:p>
        </w:tc>
      </w:tr>
      <w:tr w14:paraId="07F244A7">
        <w:tblPrEx>
          <w:tblCellMar>
            <w:top w:w="0" w:type="dxa"/>
            <w:left w:w="108" w:type="dxa"/>
            <w:bottom w:w="0" w:type="dxa"/>
            <w:right w:w="108" w:type="dxa"/>
          </w:tblCellMar>
        </w:tblPrEx>
        <w:trPr>
          <w:trHeight w:val="96"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D37738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003828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lang w:val="en-US" w:eastAsia="zh-CN"/>
              </w:rPr>
              <w:t>4</w:t>
            </w:r>
          </w:p>
        </w:tc>
        <w:tc>
          <w:tcPr>
            <w:tcW w:w="6564" w:type="dxa"/>
            <w:tcBorders>
              <w:top w:val="single" w:color="000000" w:sz="6" w:space="0"/>
              <w:left w:val="single" w:color="000000" w:sz="6" w:space="0"/>
              <w:bottom w:val="single" w:color="000000" w:sz="6" w:space="0"/>
              <w:right w:val="single" w:color="000000" w:sz="4" w:space="0"/>
            </w:tcBorders>
            <w:vAlign w:val="center"/>
          </w:tcPr>
          <w:p w14:paraId="0456369F">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响应文件内容齐全、无遗漏。</w:t>
            </w:r>
          </w:p>
        </w:tc>
        <w:tc>
          <w:tcPr>
            <w:tcW w:w="744" w:type="dxa"/>
            <w:tcBorders>
              <w:top w:val="single" w:color="000000" w:sz="6" w:space="0"/>
              <w:left w:val="single" w:color="000000" w:sz="4" w:space="0"/>
              <w:bottom w:val="single" w:color="000000" w:sz="6" w:space="0"/>
              <w:right w:val="single" w:color="000000" w:sz="6" w:space="0"/>
            </w:tcBorders>
          </w:tcPr>
          <w:p w14:paraId="25E2EF58">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59C9F8F0">
            <w:pPr>
              <w:snapToGrid w:val="0"/>
              <w:spacing w:line="360" w:lineRule="auto"/>
              <w:rPr>
                <w:rFonts w:ascii="宋体" w:hAnsi="宋体" w:eastAsia="宋体" w:cs="宋体"/>
                <w:b w:val="0"/>
                <w:bCs/>
                <w:color w:val="000000"/>
                <w:sz w:val="22"/>
                <w:szCs w:val="22"/>
                <w:highlight w:val="none"/>
              </w:rPr>
            </w:pPr>
          </w:p>
        </w:tc>
      </w:tr>
      <w:tr w14:paraId="270F74B8">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BFF7AB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4" w:space="0"/>
              <w:right w:val="single" w:color="000000" w:sz="6" w:space="0"/>
            </w:tcBorders>
            <w:vAlign w:val="center"/>
          </w:tcPr>
          <w:p w14:paraId="20E94DF0">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5</w:t>
            </w:r>
          </w:p>
        </w:tc>
        <w:tc>
          <w:tcPr>
            <w:tcW w:w="6564" w:type="dxa"/>
            <w:tcBorders>
              <w:top w:val="single" w:color="000000" w:sz="6" w:space="0"/>
              <w:left w:val="single" w:color="000000" w:sz="6" w:space="0"/>
              <w:bottom w:val="single" w:color="000000" w:sz="4" w:space="0"/>
              <w:right w:val="single" w:color="000000" w:sz="4" w:space="0"/>
            </w:tcBorders>
            <w:vAlign w:val="center"/>
          </w:tcPr>
          <w:p w14:paraId="2AC8384B">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对</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文件规定的采购内容全部作出响应。</w:t>
            </w:r>
          </w:p>
        </w:tc>
        <w:tc>
          <w:tcPr>
            <w:tcW w:w="744" w:type="dxa"/>
            <w:tcBorders>
              <w:top w:val="single" w:color="000000" w:sz="6" w:space="0"/>
              <w:left w:val="single" w:color="000000" w:sz="4" w:space="0"/>
              <w:bottom w:val="single" w:color="000000" w:sz="4" w:space="0"/>
              <w:right w:val="single" w:color="000000" w:sz="6" w:space="0"/>
            </w:tcBorders>
          </w:tcPr>
          <w:p w14:paraId="763EB351">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4" w:space="0"/>
              <w:right w:val="single" w:color="000000" w:sz="4" w:space="0"/>
            </w:tcBorders>
          </w:tcPr>
          <w:p w14:paraId="0B2E2CF4">
            <w:pPr>
              <w:snapToGrid w:val="0"/>
              <w:spacing w:line="360" w:lineRule="auto"/>
              <w:rPr>
                <w:rFonts w:ascii="宋体" w:hAnsi="宋体" w:eastAsia="宋体" w:cs="宋体"/>
                <w:b w:val="0"/>
                <w:bCs/>
                <w:color w:val="000000"/>
                <w:sz w:val="22"/>
                <w:szCs w:val="22"/>
                <w:highlight w:val="none"/>
              </w:rPr>
            </w:pPr>
          </w:p>
        </w:tc>
      </w:tr>
      <w:tr w14:paraId="2B46A8C8">
        <w:tblPrEx>
          <w:tblCellMar>
            <w:top w:w="0" w:type="dxa"/>
            <w:left w:w="108" w:type="dxa"/>
            <w:bottom w:w="0" w:type="dxa"/>
            <w:right w:w="108" w:type="dxa"/>
          </w:tblCellMar>
        </w:tblPrEx>
        <w:trPr>
          <w:trHeight w:val="158"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48C788E">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14209BF2">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6</w:t>
            </w:r>
          </w:p>
        </w:tc>
        <w:tc>
          <w:tcPr>
            <w:tcW w:w="6564" w:type="dxa"/>
            <w:tcBorders>
              <w:top w:val="single" w:color="000000" w:sz="4" w:space="0"/>
              <w:left w:val="single" w:color="000000" w:sz="4" w:space="0"/>
              <w:bottom w:val="single" w:color="000000" w:sz="4" w:space="0"/>
              <w:right w:val="single" w:color="000000" w:sz="4" w:space="0"/>
            </w:tcBorders>
            <w:vAlign w:val="center"/>
          </w:tcPr>
          <w:p w14:paraId="6C5DDF3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文件提出的技术和质量要求。</w:t>
            </w:r>
          </w:p>
        </w:tc>
        <w:tc>
          <w:tcPr>
            <w:tcW w:w="744" w:type="dxa"/>
            <w:tcBorders>
              <w:top w:val="single" w:color="000000" w:sz="4" w:space="0"/>
              <w:left w:val="single" w:color="000000" w:sz="4" w:space="0"/>
              <w:bottom w:val="single" w:color="000000" w:sz="4" w:space="0"/>
              <w:right w:val="single" w:color="000000" w:sz="4" w:space="0"/>
            </w:tcBorders>
          </w:tcPr>
          <w:p w14:paraId="4077FB36">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4" w:space="0"/>
              <w:bottom w:val="single" w:color="000000" w:sz="4" w:space="0"/>
              <w:right w:val="single" w:color="000000" w:sz="4" w:space="0"/>
            </w:tcBorders>
          </w:tcPr>
          <w:p w14:paraId="281581AD">
            <w:pPr>
              <w:snapToGrid w:val="0"/>
              <w:spacing w:line="360" w:lineRule="auto"/>
              <w:rPr>
                <w:rFonts w:ascii="宋体" w:hAnsi="宋体" w:eastAsia="宋体" w:cs="宋体"/>
                <w:b w:val="0"/>
                <w:bCs/>
                <w:color w:val="000000"/>
                <w:sz w:val="22"/>
                <w:szCs w:val="22"/>
                <w:highlight w:val="none"/>
              </w:rPr>
            </w:pPr>
          </w:p>
        </w:tc>
      </w:tr>
      <w:tr w14:paraId="0B7387F8">
        <w:tblPrEx>
          <w:tblCellMar>
            <w:top w:w="0" w:type="dxa"/>
            <w:left w:w="108" w:type="dxa"/>
            <w:bottom w:w="0" w:type="dxa"/>
            <w:right w:w="108" w:type="dxa"/>
          </w:tblCellMar>
        </w:tblPrEx>
        <w:trPr>
          <w:trHeight w:val="261"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F4D9C5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6" w:space="0"/>
            </w:tcBorders>
            <w:vAlign w:val="center"/>
          </w:tcPr>
          <w:p w14:paraId="0806FFEF">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7</w:t>
            </w:r>
          </w:p>
        </w:tc>
        <w:tc>
          <w:tcPr>
            <w:tcW w:w="6564" w:type="dxa"/>
            <w:tcBorders>
              <w:top w:val="single" w:color="000000" w:sz="4" w:space="0"/>
              <w:left w:val="single" w:color="000000" w:sz="6" w:space="0"/>
              <w:bottom w:val="single" w:color="000000" w:sz="6" w:space="0"/>
              <w:right w:val="single" w:color="000000" w:sz="4" w:space="0"/>
            </w:tcBorders>
            <w:vAlign w:val="center"/>
          </w:tcPr>
          <w:p w14:paraId="234D880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完成期限满足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4" w:space="0"/>
              <w:left w:val="single" w:color="000000" w:sz="4" w:space="0"/>
              <w:bottom w:val="single" w:color="000000" w:sz="6" w:space="0"/>
              <w:right w:val="single" w:color="000000" w:sz="6" w:space="0"/>
            </w:tcBorders>
          </w:tcPr>
          <w:p w14:paraId="59B4E7F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6" w:space="0"/>
              <w:bottom w:val="single" w:color="000000" w:sz="6" w:space="0"/>
              <w:right w:val="single" w:color="000000" w:sz="4" w:space="0"/>
            </w:tcBorders>
          </w:tcPr>
          <w:p w14:paraId="7264C49E">
            <w:pPr>
              <w:snapToGrid w:val="0"/>
              <w:spacing w:line="360" w:lineRule="auto"/>
              <w:rPr>
                <w:rFonts w:ascii="宋体" w:hAnsi="宋体" w:eastAsia="宋体" w:cs="宋体"/>
                <w:b w:val="0"/>
                <w:bCs/>
                <w:color w:val="000000"/>
                <w:sz w:val="22"/>
                <w:szCs w:val="22"/>
                <w:highlight w:val="none"/>
              </w:rPr>
            </w:pPr>
          </w:p>
        </w:tc>
      </w:tr>
      <w:tr w14:paraId="0795386F">
        <w:tblPrEx>
          <w:tblCellMar>
            <w:top w:w="0" w:type="dxa"/>
            <w:left w:w="108" w:type="dxa"/>
            <w:bottom w:w="0" w:type="dxa"/>
            <w:right w:w="108" w:type="dxa"/>
          </w:tblCellMar>
        </w:tblPrEx>
        <w:trPr>
          <w:trHeight w:val="208"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5EA4A55D">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120C099E">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8</w:t>
            </w:r>
          </w:p>
        </w:tc>
        <w:tc>
          <w:tcPr>
            <w:tcW w:w="6564" w:type="dxa"/>
            <w:tcBorders>
              <w:top w:val="single" w:color="000000" w:sz="6" w:space="0"/>
              <w:left w:val="single" w:color="000000" w:sz="6" w:space="0"/>
              <w:bottom w:val="single" w:color="000000" w:sz="6" w:space="0"/>
              <w:right w:val="single" w:color="000000" w:sz="4" w:space="0"/>
            </w:tcBorders>
            <w:vAlign w:val="center"/>
          </w:tcPr>
          <w:p w14:paraId="30A07FD7">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售后服务满足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6" w:space="0"/>
              <w:left w:val="single" w:color="000000" w:sz="4" w:space="0"/>
              <w:bottom w:val="single" w:color="000000" w:sz="6" w:space="0"/>
              <w:right w:val="single" w:color="000000" w:sz="6" w:space="0"/>
            </w:tcBorders>
          </w:tcPr>
          <w:p w14:paraId="1E6F4105">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5BA7A46B">
            <w:pPr>
              <w:snapToGrid w:val="0"/>
              <w:spacing w:line="360" w:lineRule="auto"/>
              <w:rPr>
                <w:rFonts w:ascii="宋体" w:hAnsi="宋体" w:eastAsia="宋体" w:cs="宋体"/>
                <w:b w:val="0"/>
                <w:bCs/>
                <w:color w:val="000000"/>
                <w:sz w:val="22"/>
                <w:szCs w:val="22"/>
                <w:highlight w:val="none"/>
              </w:rPr>
            </w:pPr>
          </w:p>
        </w:tc>
      </w:tr>
      <w:tr w14:paraId="4C13FAD0">
        <w:tblPrEx>
          <w:tblCellMar>
            <w:top w:w="0" w:type="dxa"/>
            <w:left w:w="108" w:type="dxa"/>
            <w:bottom w:w="0" w:type="dxa"/>
            <w:right w:w="108" w:type="dxa"/>
          </w:tblCellMar>
        </w:tblPrEx>
        <w:trPr>
          <w:trHeight w:val="272"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592BA0F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EE0444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9</w:t>
            </w:r>
          </w:p>
        </w:tc>
        <w:tc>
          <w:tcPr>
            <w:tcW w:w="6564" w:type="dxa"/>
            <w:tcBorders>
              <w:top w:val="single" w:color="000000" w:sz="6" w:space="0"/>
              <w:left w:val="single" w:color="000000" w:sz="6" w:space="0"/>
              <w:bottom w:val="single" w:color="000000" w:sz="6" w:space="0"/>
              <w:right w:val="single" w:color="000000" w:sz="4" w:space="0"/>
            </w:tcBorders>
            <w:vAlign w:val="center"/>
          </w:tcPr>
          <w:p w14:paraId="06E9E55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磋商有效期满足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6" w:space="0"/>
              <w:left w:val="single" w:color="000000" w:sz="4" w:space="0"/>
              <w:bottom w:val="single" w:color="000000" w:sz="6" w:space="0"/>
              <w:right w:val="single" w:color="000000" w:sz="6" w:space="0"/>
            </w:tcBorders>
          </w:tcPr>
          <w:p w14:paraId="2A2352E0">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62B045AA">
            <w:pPr>
              <w:snapToGrid w:val="0"/>
              <w:spacing w:line="360" w:lineRule="auto"/>
              <w:rPr>
                <w:rFonts w:ascii="宋体" w:hAnsi="宋体" w:eastAsia="宋体" w:cs="宋体"/>
                <w:b w:val="0"/>
                <w:bCs/>
                <w:color w:val="000000"/>
                <w:sz w:val="22"/>
                <w:szCs w:val="22"/>
                <w:highlight w:val="none"/>
              </w:rPr>
            </w:pPr>
          </w:p>
        </w:tc>
      </w:tr>
      <w:tr w14:paraId="7D89067F">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6CFB0CF7">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34224653">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10</w:t>
            </w:r>
          </w:p>
        </w:tc>
        <w:tc>
          <w:tcPr>
            <w:tcW w:w="6564" w:type="dxa"/>
            <w:tcBorders>
              <w:top w:val="single" w:color="000000" w:sz="6" w:space="0"/>
              <w:left w:val="single" w:color="000000" w:sz="6" w:space="0"/>
              <w:bottom w:val="single" w:color="000000" w:sz="6" w:space="0"/>
              <w:right w:val="single" w:color="000000" w:sz="4" w:space="0"/>
            </w:tcBorders>
            <w:vAlign w:val="center"/>
          </w:tcPr>
          <w:p w14:paraId="205D9A9C">
            <w:pPr>
              <w:widowControl/>
              <w:spacing w:line="360" w:lineRule="auto"/>
              <w:jc w:val="left"/>
              <w:textAlignment w:val="center"/>
              <w:rPr>
                <w:rFonts w:ascii="宋体" w:hAnsi="宋体" w:eastAsia="宋体" w:cs="宋体"/>
                <w:b w:val="0"/>
                <w:bCs/>
                <w:color w:val="000000"/>
                <w:sz w:val="21"/>
                <w:szCs w:val="21"/>
                <w:highlight w:val="none"/>
                <w:lang w:eastAsia="zh-CN"/>
              </w:rPr>
            </w:pPr>
            <w:r>
              <w:rPr>
                <w:rFonts w:ascii="宋体" w:hAnsi="宋体" w:cs="宋体"/>
                <w:b w:val="0"/>
                <w:bCs/>
                <w:color w:val="000000"/>
                <w:kern w:val="0"/>
                <w:sz w:val="21"/>
                <w:szCs w:val="21"/>
                <w:lang w:val="en-US" w:eastAsia="zh-CN" w:bidi="ar"/>
              </w:rPr>
              <w:t>有</w:t>
            </w:r>
            <w:r>
              <w:rPr>
                <w:rFonts w:ascii="宋体" w:hAnsi="宋体" w:cs="宋体"/>
                <w:b w:val="0"/>
                <w:bCs/>
                <w:color w:val="000000"/>
                <w:kern w:val="0"/>
                <w:sz w:val="21"/>
                <w:szCs w:val="21"/>
                <w:lang w:bidi="ar"/>
              </w:rPr>
              <w:t>供应商详细地址、联系人、电话</w:t>
            </w:r>
            <w:r>
              <w:rPr>
                <w:rFonts w:ascii="宋体" w:hAnsi="宋体" w:cs="宋体"/>
                <w:b w:val="0"/>
                <w:bCs/>
                <w:color w:val="000000"/>
                <w:kern w:val="0"/>
                <w:sz w:val="21"/>
                <w:szCs w:val="21"/>
                <w:lang w:eastAsia="zh-CN" w:bidi="ar"/>
              </w:rPr>
              <w:t>。</w:t>
            </w:r>
          </w:p>
        </w:tc>
        <w:tc>
          <w:tcPr>
            <w:tcW w:w="744" w:type="dxa"/>
            <w:tcBorders>
              <w:top w:val="single" w:color="000000" w:sz="6" w:space="0"/>
              <w:left w:val="single" w:color="000000" w:sz="4" w:space="0"/>
              <w:bottom w:val="single" w:color="000000" w:sz="6" w:space="0"/>
              <w:right w:val="single" w:color="000000" w:sz="6" w:space="0"/>
            </w:tcBorders>
          </w:tcPr>
          <w:p w14:paraId="43A4B747">
            <w:pPr>
              <w:snapToGrid w:val="0"/>
              <w:spacing w:line="360" w:lineRule="auto"/>
              <w:rPr>
                <w:rFonts w:ascii="宋体" w:hAnsi="宋体" w:eastAsia="宋体" w:cs="宋体"/>
                <w:b w:val="0"/>
                <w:bCs/>
                <w:color w:val="000000"/>
                <w:sz w:val="22"/>
                <w:szCs w:val="22"/>
                <w:highlight w:val="none"/>
                <w:lang w:eastAsia="zh-CN"/>
              </w:rPr>
            </w:pPr>
          </w:p>
        </w:tc>
        <w:tc>
          <w:tcPr>
            <w:tcW w:w="622" w:type="dxa"/>
            <w:tcBorders>
              <w:top w:val="single" w:color="000000" w:sz="6" w:space="0"/>
              <w:left w:val="single" w:color="000000" w:sz="6" w:space="0"/>
              <w:bottom w:val="single" w:color="000000" w:sz="6" w:space="0"/>
              <w:right w:val="single" w:color="000000" w:sz="4" w:space="0"/>
            </w:tcBorders>
          </w:tcPr>
          <w:p w14:paraId="62232CA5">
            <w:pPr>
              <w:snapToGrid w:val="0"/>
              <w:spacing w:line="360" w:lineRule="auto"/>
              <w:rPr>
                <w:rFonts w:ascii="宋体" w:hAnsi="宋体" w:eastAsia="宋体" w:cs="宋体"/>
                <w:b w:val="0"/>
                <w:bCs/>
                <w:color w:val="000000"/>
                <w:sz w:val="22"/>
                <w:szCs w:val="22"/>
                <w:highlight w:val="none"/>
              </w:rPr>
            </w:pPr>
          </w:p>
        </w:tc>
      </w:tr>
      <w:tr w14:paraId="2A8162C1">
        <w:tblPrEx>
          <w:tblCellMar>
            <w:top w:w="0" w:type="dxa"/>
            <w:left w:w="108" w:type="dxa"/>
            <w:bottom w:w="0" w:type="dxa"/>
            <w:right w:w="108" w:type="dxa"/>
          </w:tblCellMar>
        </w:tblPrEx>
        <w:trPr>
          <w:trHeight w:val="299" w:hRule="atLeast"/>
        </w:trPr>
        <w:tc>
          <w:tcPr>
            <w:tcW w:w="977" w:type="dxa"/>
            <w:tcBorders>
              <w:top w:val="single" w:color="000000" w:sz="6" w:space="0"/>
              <w:left w:val="single" w:color="000000" w:sz="4" w:space="0"/>
              <w:bottom w:val="single" w:color="000000" w:sz="4" w:space="0"/>
              <w:right w:val="single" w:color="000000" w:sz="4" w:space="0"/>
            </w:tcBorders>
            <w:vAlign w:val="center"/>
          </w:tcPr>
          <w:p w14:paraId="13EF073C">
            <w:pPr>
              <w:snapToGrid w:val="0"/>
              <w:spacing w:line="360" w:lineRule="auto"/>
              <w:jc w:val="center"/>
              <w:rPr>
                <w:rFonts w:ascii="宋体" w:hAnsi="宋体" w:eastAsia="宋体" w:cs="宋体"/>
                <w:b w:val="0"/>
                <w:bCs/>
                <w:color w:val="000000"/>
                <w:sz w:val="22"/>
                <w:szCs w:val="22"/>
                <w:highlight w:val="none"/>
              </w:rPr>
            </w:pPr>
          </w:p>
        </w:tc>
        <w:tc>
          <w:tcPr>
            <w:tcW w:w="7092" w:type="dxa"/>
            <w:gridSpan w:val="2"/>
            <w:tcBorders>
              <w:top w:val="single" w:color="000000" w:sz="6" w:space="0"/>
              <w:left w:val="single" w:color="000000" w:sz="4" w:space="0"/>
              <w:bottom w:val="single" w:color="000000" w:sz="4" w:space="0"/>
              <w:right w:val="single" w:color="000000" w:sz="4" w:space="0"/>
            </w:tcBorders>
          </w:tcPr>
          <w:p w14:paraId="72FF70D8">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结论：是否通过评审（须填写通过或不通过）</w:t>
            </w:r>
          </w:p>
          <w:p w14:paraId="4A4C0031">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注：如有一项不合格，作无效响应处理。</w:t>
            </w:r>
          </w:p>
        </w:tc>
        <w:tc>
          <w:tcPr>
            <w:tcW w:w="1366" w:type="dxa"/>
            <w:gridSpan w:val="2"/>
            <w:tcBorders>
              <w:top w:val="single" w:color="000000" w:sz="6" w:space="0"/>
              <w:left w:val="single" w:color="000000" w:sz="4" w:space="0"/>
              <w:bottom w:val="single" w:color="000000" w:sz="4" w:space="0"/>
              <w:right w:val="single" w:color="000000" w:sz="4" w:space="0"/>
            </w:tcBorders>
          </w:tcPr>
          <w:p w14:paraId="1D472388">
            <w:pPr>
              <w:snapToGrid w:val="0"/>
              <w:spacing w:line="360" w:lineRule="auto"/>
              <w:rPr>
                <w:rFonts w:ascii="宋体" w:hAnsi="宋体" w:eastAsia="宋体" w:cs="宋体"/>
                <w:b w:val="0"/>
                <w:bCs/>
                <w:color w:val="000000"/>
                <w:sz w:val="22"/>
                <w:szCs w:val="22"/>
                <w:highlight w:val="none"/>
              </w:rPr>
            </w:pPr>
          </w:p>
        </w:tc>
      </w:tr>
    </w:tbl>
    <w:p w14:paraId="1642A2BC">
      <w:pPr>
        <w:bidi w:val="0"/>
        <w:rPr>
          <w:color w:val="000000"/>
          <w:highlight w:val="none"/>
        </w:rPr>
      </w:pPr>
    </w:p>
    <w:p w14:paraId="5FFE8A0F">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.2磋商小组成员会判定响应文件的响应性只根据响应文件本身的内容，而不寻求外部的证据，但响应有不真实不正确的内容时除外。</w:t>
      </w:r>
    </w:p>
    <w:p w14:paraId="40D50620">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.3如果响应文件实质上没有响应</w:t>
      </w:r>
      <w:r>
        <w:rPr>
          <w:rFonts w:ascii="宋体" w:hAnsi="宋体"/>
          <w:color w:val="000000"/>
          <w:szCs w:val="21"/>
          <w:lang w:eastAsia="zh-CN"/>
        </w:rPr>
        <w:t>采购文件</w:t>
      </w:r>
      <w:r>
        <w:rPr>
          <w:rFonts w:ascii="宋体" w:hAnsi="宋体"/>
          <w:color w:val="000000"/>
          <w:szCs w:val="21"/>
        </w:rPr>
        <w:t>的要求，磋商小组成员会将</w:t>
      </w:r>
      <w:r>
        <w:rPr>
          <w:rFonts w:hint="eastAsia" w:ascii="宋体" w:hAnsi="宋体"/>
          <w:color w:val="000000"/>
          <w:szCs w:val="21"/>
          <w:lang w:val="en-US" w:eastAsia="zh-CN"/>
        </w:rPr>
        <w:t>否决投标</w:t>
      </w:r>
      <w:bookmarkStart w:id="196" w:name="_GoBack"/>
      <w:bookmarkEnd w:id="196"/>
      <w:r>
        <w:rPr>
          <w:rFonts w:ascii="宋体" w:hAnsi="宋体"/>
          <w:color w:val="000000"/>
          <w:szCs w:val="21"/>
        </w:rPr>
        <w:t>，供应商不得通过修正或撤销不符合要求的偏离或保留，而使其响应成为实质上响应的响应。</w:t>
      </w:r>
    </w:p>
    <w:p w14:paraId="419D2991">
      <w:pPr>
        <w:spacing w:line="400" w:lineRule="exact"/>
        <w:ind w:firstLine="420"/>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lang w:val="en-US" w:eastAsia="zh-CN"/>
        </w:rPr>
        <w:t>7</w:t>
      </w:r>
      <w:r>
        <w:rPr>
          <w:rFonts w:ascii="宋体" w:hAnsi="宋体"/>
          <w:color w:val="000000"/>
          <w:szCs w:val="21"/>
        </w:rPr>
        <w:t>.4供应商可在现场20分钟内对磋商小组的评审结论提出异议，磋商小组根据</w:t>
      </w:r>
      <w:r>
        <w:rPr>
          <w:rFonts w:ascii="宋体" w:hAnsi="宋体"/>
          <w:color w:val="000000"/>
          <w:szCs w:val="21"/>
          <w:lang w:eastAsia="zh-CN"/>
        </w:rPr>
        <w:t>采购文件</w:t>
      </w:r>
      <w:r>
        <w:rPr>
          <w:rFonts w:ascii="宋体" w:hAnsi="宋体"/>
          <w:color w:val="000000"/>
          <w:szCs w:val="21"/>
        </w:rPr>
        <w:t>及有关规定对供应商的异议进行复议</w:t>
      </w:r>
    </w:p>
    <w:p w14:paraId="7C109E18">
      <w:pPr>
        <w:spacing w:line="400" w:lineRule="exact"/>
        <w:ind w:firstLine="52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.5只有通过初审的供应商才能进入下一步评审程序。</w:t>
      </w:r>
    </w:p>
    <w:p w14:paraId="56CD793F">
      <w:pPr>
        <w:spacing w:line="400" w:lineRule="exact"/>
        <w:ind w:firstLine="420"/>
        <w:rPr>
          <w:rFonts w:ascii="宋体" w:hAnsi="宋体"/>
          <w:color w:val="000000"/>
          <w:szCs w:val="21"/>
          <w:highlight w:val="none"/>
        </w:rPr>
      </w:pPr>
      <w:r>
        <w:rPr>
          <w:rFonts w:ascii="宋体" w:hAnsi="宋体" w:cs="宋体"/>
          <w:b/>
          <w:color w:val="000000"/>
          <w:szCs w:val="21"/>
        </w:rPr>
        <w:t>温馨提示：响应文件资格审查资料请精心准备,如评审专家在检验电子标书过程中，如果由于供应商自身原因导致评审专家无法查看并检验电子标书中以上相关资料的，按无效响应处理。即使供应商将原件携带至现场的，同样按无效响应处理。</w:t>
      </w:r>
    </w:p>
    <w:p w14:paraId="33AC783E">
      <w:pPr>
        <w:numPr>
          <w:ilvl w:val="0"/>
          <w:numId w:val="0"/>
        </w:numPr>
        <w:spacing w:before="156" w:after="0" w:line="400" w:lineRule="exact"/>
        <w:jc w:val="center"/>
        <w:outlineLvl w:val="1"/>
        <w:rPr>
          <w:rFonts w:ascii="宋体" w:hAnsi="宋体"/>
          <w:b/>
          <w:color w:val="000000"/>
          <w:sz w:val="24"/>
          <w:highlight w:val="none"/>
        </w:rPr>
      </w:pPr>
      <w:bookmarkStart w:id="6" w:name="__RefHeading___Toc469495734"/>
      <w:bookmarkEnd w:id="6"/>
      <w:r>
        <w:rPr>
          <w:rFonts w:ascii="宋体" w:hAnsi="宋体"/>
          <w:b/>
          <w:color w:val="000000"/>
          <w:sz w:val="28"/>
          <w:szCs w:val="28"/>
        </w:rPr>
        <w:t xml:space="preserve">三  </w:t>
      </w:r>
      <w:r>
        <w:rPr>
          <w:rFonts w:ascii="宋体" w:hAnsi="宋体"/>
          <w:b/>
          <w:color w:val="000000"/>
          <w:sz w:val="24"/>
        </w:rPr>
        <w:t>响应文件的澄清和补正</w:t>
      </w:r>
    </w:p>
    <w:p w14:paraId="31F2BB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8．澄清、说明或补正的形式</w:t>
      </w:r>
    </w:p>
    <w:p w14:paraId="007D5DD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8.1对于响应文件中含义不明确、同类问题表述不一致或者有明显文字和计算错误的内容，磋商小组将通过“政府采购云平台”在线询标的方式要求供应商在规定的时间内作出必要的澄清、说明或者补正，供应商澄清、说明或补正时间为20分钟。</w:t>
      </w:r>
    </w:p>
    <w:p w14:paraId="7A2B75D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7FF3C0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5C0BA74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9．错误修正的原则</w:t>
      </w:r>
    </w:p>
    <w:p w14:paraId="49FB38F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53EA63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467C0C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9.1 响应函中表述的内容与报价表中不一致的，以报价表为准；报价表中的内容与报价明细表不一致的，以报价表为准；</w:t>
      </w:r>
    </w:p>
    <w:p w14:paraId="5F6295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9.2 响应文件中的大写金额和小写金额不一致的，以大写金额为准；</w:t>
      </w:r>
    </w:p>
    <w:p w14:paraId="3ED637E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9.3 单价金额小数点或者百分比有明显错位的，以报价一览表的总价为准，并修改单价；</w:t>
      </w:r>
    </w:p>
    <w:p w14:paraId="64FCCF3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9.4 总价金额与按单价汇总金额不一致的，以单价金额计算结果为准；</w:t>
      </w:r>
    </w:p>
    <w:p w14:paraId="2244D6F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9.5 若用文字表示的数值与用数字表示的数值不一致，以文字表示的数值为准；</w:t>
      </w:r>
    </w:p>
    <w:p w14:paraId="19A375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9.6 如有多报（指数量超出采购文件需求）、重报（指同一货物重复报价），其磋商总价在评审过程中不予调整，如其成交，其合同价按其响应单价予以调整；</w:t>
      </w:r>
    </w:p>
    <w:p w14:paraId="38DCCE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9.7 对不同文字文本响应文件的解释发生异议的，以中文文本为准；</w:t>
      </w:r>
    </w:p>
    <w:p w14:paraId="6A1B0ED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修正应当采用电子询标的形式，并加盖公章（电子印章）。</w:t>
      </w:r>
    </w:p>
    <w:p w14:paraId="32A41859">
      <w:pPr>
        <w:spacing w:line="400" w:lineRule="exact"/>
        <w:ind w:firstLine="403"/>
        <w:rPr>
          <w:rFonts w:ascii="宋体" w:hAnsi="宋体"/>
          <w:b w:val="0"/>
          <w:bCs w:val="0"/>
          <w:color w:val="000000"/>
          <w:szCs w:val="21"/>
          <w:highlight w:val="none"/>
          <w:lang w:val="en-US" w:eastAsia="zh-CN"/>
        </w:rPr>
      </w:pPr>
    </w:p>
    <w:p w14:paraId="20DEC828">
      <w:pPr>
        <w:numPr>
          <w:ilvl w:val="0"/>
          <w:numId w:val="0"/>
        </w:numPr>
        <w:spacing w:line="400" w:lineRule="exact"/>
        <w:jc w:val="center"/>
        <w:outlineLvl w:val="1"/>
        <w:rPr>
          <w:rFonts w:ascii="宋体" w:hAnsi="宋体"/>
          <w:b/>
          <w:color w:val="000000"/>
          <w:sz w:val="24"/>
          <w:highlight w:val="none"/>
        </w:rPr>
      </w:pPr>
      <w:bookmarkStart w:id="7" w:name="__RefHeading___Toc469495735"/>
      <w:bookmarkEnd w:id="7"/>
      <w:r>
        <w:rPr>
          <w:rFonts w:ascii="宋体" w:hAnsi="宋体"/>
          <w:b/>
          <w:color w:val="000000"/>
          <w:sz w:val="24"/>
        </w:rPr>
        <w:t>四 比较与评价</w:t>
      </w:r>
    </w:p>
    <w:p w14:paraId="6F7D131A">
      <w:pPr>
        <w:tabs>
          <w:tab w:val="left" w:pos="720"/>
        </w:tabs>
        <w:spacing w:line="440" w:lineRule="exact"/>
        <w:ind w:firstLine="535"/>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10.1</w:t>
      </w:r>
      <w:r>
        <w:rPr>
          <w:rFonts w:ascii="宋体" w:hAnsi="宋体" w:cs="宋体"/>
          <w:color w:val="000000"/>
          <w:szCs w:val="21"/>
          <w:lang w:bidi="ar-SA"/>
        </w:rPr>
        <w:t>磋商小组按</w:t>
      </w:r>
      <w:r>
        <w:rPr>
          <w:rFonts w:ascii="宋体" w:hAnsi="宋体" w:cs="宋体"/>
          <w:color w:val="000000"/>
          <w:szCs w:val="21"/>
          <w:lang w:eastAsia="zh-CN" w:bidi="ar-SA"/>
        </w:rPr>
        <w:t>磋商</w:t>
      </w:r>
      <w:r>
        <w:rPr>
          <w:rFonts w:ascii="宋体" w:hAnsi="宋体" w:cs="宋体"/>
          <w:color w:val="000000"/>
          <w:szCs w:val="21"/>
          <w:lang w:bidi="ar-SA"/>
        </w:rPr>
        <w:t>文件中规定的评审方法和标准，对资格性检查和符合性检查合格的响应文件进行商务和技术评估、综合比较与评价。</w:t>
      </w:r>
    </w:p>
    <w:p w14:paraId="6D465F88">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10.2</w:t>
      </w:r>
      <w:r>
        <w:rPr>
          <w:rFonts w:ascii="宋体" w:hAnsi="宋体" w:cs="宋体"/>
          <w:color w:val="000000"/>
          <w:szCs w:val="21"/>
          <w:lang w:bidi="ar-SA"/>
        </w:rPr>
        <w:t>磋商小组根据商务和技术评估的结果，采用综合评分法，分别对响应文件的商务、技术、价格等内容进行打分。其中，商务评估、技术评估、价格评估的评分权值（详见附件</w:t>
      </w:r>
      <w:r>
        <w:rPr>
          <w:rFonts w:ascii="宋体" w:hAnsi="宋体" w:eastAsia="宋体" w:cs="宋体"/>
          <w:color w:val="000000"/>
          <w:szCs w:val="21"/>
          <w:lang w:bidi="ar-SA"/>
        </w:rPr>
        <w:t>1</w:t>
      </w:r>
      <w:r>
        <w:rPr>
          <w:rFonts w:ascii="宋体" w:hAnsi="宋体" w:cs="宋体"/>
          <w:color w:val="000000"/>
          <w:szCs w:val="21"/>
          <w:lang w:bidi="ar-SA"/>
        </w:rPr>
        <w:t>）。</w:t>
      </w:r>
    </w:p>
    <w:p w14:paraId="646312C7">
      <w:pPr>
        <w:spacing w:line="440" w:lineRule="exact"/>
        <w:ind w:firstLine="539"/>
        <w:rPr>
          <w:rFonts w:ascii="宋体" w:hAnsi="宋体" w:eastAsia="宋体" w:cs="宋体"/>
          <w:bCs/>
          <w:color w:val="000000"/>
          <w:szCs w:val="21"/>
          <w:highlight w:val="none"/>
          <w:lang w:bidi="ar-SA"/>
        </w:rPr>
      </w:pPr>
      <w:r>
        <w:rPr>
          <w:rFonts w:ascii="宋体" w:hAnsi="宋体" w:eastAsia="宋体" w:cs="宋体"/>
          <w:color w:val="000000"/>
          <w:szCs w:val="21"/>
          <w:lang w:val="en-US" w:eastAsia="zh-CN" w:bidi="ar-SA"/>
        </w:rPr>
        <w:t>10.</w:t>
      </w:r>
      <w:r>
        <w:rPr>
          <w:rFonts w:ascii="宋体" w:hAnsi="宋体" w:eastAsia="宋体" w:cs="宋体"/>
          <w:bCs/>
          <w:color w:val="000000"/>
          <w:szCs w:val="21"/>
          <w:lang w:val="en-US" w:eastAsia="zh-CN" w:bidi="ar-SA"/>
        </w:rPr>
        <w:t>2.1</w:t>
      </w:r>
      <w:r>
        <w:rPr>
          <w:rFonts w:ascii="宋体" w:hAnsi="宋体" w:cs="宋体"/>
          <w:bCs/>
          <w:color w:val="000000"/>
          <w:szCs w:val="21"/>
          <w:lang w:bidi="ar-SA"/>
        </w:rPr>
        <w:t>磋商小组成员打分办法</w:t>
      </w:r>
    </w:p>
    <w:p w14:paraId="0ECB9197">
      <w:pPr>
        <w:spacing w:line="440" w:lineRule="exact"/>
        <w:ind w:firstLine="539"/>
        <w:rPr>
          <w:rFonts w:ascii="宋体" w:hAnsi="宋体" w:eastAsia="宋体" w:cs="宋体"/>
          <w:color w:val="000000"/>
          <w:szCs w:val="21"/>
          <w:highlight w:val="none"/>
          <w:lang w:bidi="ar-SA"/>
        </w:rPr>
      </w:pPr>
      <w:r>
        <w:rPr>
          <w:rFonts w:ascii="宋体" w:hAnsi="宋体" w:cs="宋体"/>
          <w:bCs/>
          <w:color w:val="000000"/>
          <w:szCs w:val="21"/>
          <w:lang w:bidi="ar-SA"/>
        </w:rPr>
        <w:t>（</w:t>
      </w:r>
      <w:r>
        <w:rPr>
          <w:rFonts w:ascii="宋体" w:hAnsi="宋体" w:eastAsia="宋体" w:cs="宋体"/>
          <w:bCs/>
          <w:color w:val="000000"/>
          <w:szCs w:val="21"/>
          <w:lang w:bidi="ar-SA"/>
        </w:rPr>
        <w:t>1</w:t>
      </w:r>
      <w:r>
        <w:rPr>
          <w:rFonts w:ascii="宋体" w:hAnsi="宋体" w:cs="宋体"/>
          <w:bCs/>
          <w:color w:val="000000"/>
          <w:szCs w:val="21"/>
          <w:lang w:bidi="ar-SA"/>
        </w:rPr>
        <w:t>）</w:t>
      </w:r>
      <w:r>
        <w:rPr>
          <w:rFonts w:ascii="宋体" w:hAnsi="宋体" w:cs="宋体"/>
          <w:color w:val="000000"/>
          <w:szCs w:val="21"/>
          <w:lang w:bidi="ar-SA"/>
        </w:rPr>
        <w:t>参加评分的磋商小组成员应尽力体现客观、实事求是，避免学派偏见和个人偏好。</w:t>
      </w:r>
    </w:p>
    <w:p w14:paraId="3053EA2F">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2</w:t>
      </w:r>
      <w:r>
        <w:rPr>
          <w:rFonts w:ascii="宋体" w:hAnsi="宋体" w:cs="宋体"/>
          <w:color w:val="000000"/>
          <w:szCs w:val="21"/>
          <w:lang w:bidi="ar-SA"/>
        </w:rPr>
        <w:t>）衡量、对比的依据，应以</w:t>
      </w:r>
      <w:r>
        <w:rPr>
          <w:rFonts w:ascii="宋体" w:hAnsi="宋体" w:cs="宋体"/>
          <w:color w:val="000000"/>
          <w:szCs w:val="21"/>
          <w:lang w:eastAsia="zh-CN" w:bidi="ar-SA"/>
        </w:rPr>
        <w:t>磋商文件</w:t>
      </w:r>
      <w:r>
        <w:rPr>
          <w:rFonts w:ascii="宋体" w:hAnsi="宋体" w:cs="宋体"/>
          <w:color w:val="000000"/>
          <w:szCs w:val="21"/>
          <w:lang w:bidi="ar-SA"/>
        </w:rPr>
        <w:t>、响应文件、提供的正式试验数据、质询澄清中的文字为准，口头回答和收集的资料只作为参考。</w:t>
      </w:r>
    </w:p>
    <w:p w14:paraId="4DC97C75">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3</w:t>
      </w:r>
      <w:r>
        <w:rPr>
          <w:rFonts w:ascii="宋体" w:hAnsi="宋体" w:cs="宋体"/>
          <w:color w:val="000000"/>
          <w:szCs w:val="21"/>
          <w:lang w:bidi="ar-SA"/>
        </w:rPr>
        <w:t>）评分主要是为比较各供应商的价格、商务和技术综合排序。</w:t>
      </w:r>
    </w:p>
    <w:p w14:paraId="395BB88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4</w:t>
      </w:r>
      <w:r>
        <w:rPr>
          <w:rFonts w:ascii="宋体" w:hAnsi="宋体" w:cs="宋体"/>
          <w:color w:val="000000"/>
          <w:szCs w:val="21"/>
          <w:lang w:bidi="ar-SA"/>
        </w:rPr>
        <w:t>）磋商小组成员打分采取记名形式。</w:t>
      </w:r>
    </w:p>
    <w:p w14:paraId="5FC76A8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5</w:t>
      </w:r>
      <w:r>
        <w:rPr>
          <w:rFonts w:ascii="宋体" w:hAnsi="宋体" w:cs="宋体"/>
          <w:color w:val="000000"/>
          <w:szCs w:val="21"/>
          <w:lang w:bidi="ar-SA"/>
        </w:rPr>
        <w:t>）各磋商小组成员根据提供的技术打分表独立自主打分，任何人不得要求磋商小组成员统一打分或统一确定等次顺序。</w:t>
      </w:r>
    </w:p>
    <w:p w14:paraId="1101C65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6</w:t>
      </w:r>
      <w:r>
        <w:rPr>
          <w:rFonts w:ascii="宋体" w:hAnsi="宋体" w:cs="宋体"/>
          <w:color w:val="000000"/>
          <w:szCs w:val="21"/>
          <w:lang w:bidi="ar-SA"/>
        </w:rPr>
        <w:t>）对打分表中的每项条款，各磋商小组成员应根据响应文件、澄清材料、</w:t>
      </w:r>
      <w:r>
        <w:rPr>
          <w:rFonts w:ascii="宋体" w:hAnsi="宋体" w:cs="宋体"/>
          <w:color w:val="000000"/>
          <w:szCs w:val="21"/>
          <w:lang w:eastAsia="zh-CN" w:bidi="ar-SA"/>
        </w:rPr>
        <w:t>磋商文件</w:t>
      </w:r>
      <w:r>
        <w:rPr>
          <w:rFonts w:ascii="宋体" w:hAnsi="宋体" w:cs="宋体"/>
          <w:color w:val="000000"/>
          <w:szCs w:val="21"/>
          <w:lang w:bidi="ar-SA"/>
        </w:rPr>
        <w:t>要求，按满足的程度给供应商打分。</w:t>
      </w:r>
    </w:p>
    <w:p w14:paraId="6E1C959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7</w:t>
      </w:r>
      <w:r>
        <w:rPr>
          <w:rFonts w:ascii="宋体" w:hAnsi="宋体" w:cs="宋体"/>
          <w:color w:val="000000"/>
          <w:szCs w:val="21"/>
          <w:lang w:bidi="ar-SA"/>
        </w:rPr>
        <w:t>）评分程序</w:t>
      </w:r>
    </w:p>
    <w:p w14:paraId="13204F80">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1)</w:t>
      </w:r>
      <w:r>
        <w:rPr>
          <w:rFonts w:ascii="宋体" w:hAnsi="宋体" w:cs="宋体"/>
          <w:color w:val="000000"/>
          <w:szCs w:val="21"/>
          <w:lang w:bidi="ar-SA"/>
        </w:rPr>
        <w:t>就供应商的响应文件对照整理出商务、技术评审因素对比表、偏差表，并在经过校核的基础上逐项打分。</w:t>
      </w:r>
    </w:p>
    <w:p w14:paraId="097B2631">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2)</w:t>
      </w:r>
      <w:r>
        <w:rPr>
          <w:rFonts w:ascii="宋体" w:hAnsi="宋体" w:cs="宋体"/>
          <w:color w:val="000000"/>
          <w:szCs w:val="21"/>
          <w:lang w:bidi="ar-SA"/>
        </w:rPr>
        <w:t>各磋商小组成员独立完成打分后，将评分表交给代理机构，由代理机构组织进行分数统计。</w:t>
      </w:r>
    </w:p>
    <w:p w14:paraId="6105ECAB">
      <w:pPr>
        <w:spacing w:line="440" w:lineRule="exact"/>
        <w:ind w:firstLine="539"/>
        <w:rPr>
          <w:rFonts w:ascii="宋体" w:hAnsi="宋体" w:eastAsia="宋体" w:cs="宋体"/>
          <w:color w:val="000000"/>
          <w:szCs w:val="21"/>
          <w:highlight w:val="none"/>
          <w:lang w:bidi="ar-SA"/>
        </w:rPr>
        <w:sectPr>
          <w:headerReference r:id="rId3" w:type="default"/>
          <w:footerReference r:id="rId4" w:type="default"/>
          <w:pgSz w:w="11906" w:h="16838" w:orient="landscape"/>
          <w:pgMar w:top="1157" w:right="969" w:bottom="1157" w:left="1083" w:header="851" w:footer="992" w:gutter="0"/>
          <w:pgNumType w:fmt="decimal" w:start="1"/>
          <w:cols w:space="720" w:num="1"/>
          <w:formProt w:val="0"/>
          <w:docGrid w:type="linesAndChars" w:linePitch="312" w:charSpace="0"/>
        </w:sectPr>
      </w:pPr>
      <w:r>
        <w:rPr>
          <w:rFonts w:ascii="宋体" w:hAnsi="宋体" w:eastAsia="宋体" w:cs="宋体"/>
          <w:color w:val="000000"/>
          <w:szCs w:val="21"/>
          <w:lang w:bidi="ar-SA"/>
        </w:rPr>
        <w:t>3)</w:t>
      </w:r>
      <w:r>
        <w:rPr>
          <w:rFonts w:ascii="宋体" w:hAnsi="宋体" w:cs="宋体"/>
          <w:color w:val="000000"/>
          <w:szCs w:val="21"/>
          <w:lang w:bidi="ar-SA"/>
        </w:rPr>
        <w:t>最终汇总表中各供应商得分应为磋商小组成员打分的算术平均值。</w:t>
      </w:r>
    </w:p>
    <w:p w14:paraId="15372815">
      <w:pPr>
        <w:numPr>
          <w:ilvl w:val="0"/>
          <w:numId w:val="0"/>
        </w:numPr>
        <w:spacing w:line="500" w:lineRule="exact"/>
        <w:ind w:left="0" w:firstLine="0"/>
        <w:jc w:val="left"/>
        <w:rPr>
          <w:rFonts w:ascii="宋体" w:hAnsi="宋体" w:cs="宋体"/>
          <w:color w:val="000000"/>
          <w:szCs w:val="21"/>
          <w:lang w:bidi="ar-SA"/>
        </w:rPr>
      </w:pPr>
      <w:r>
        <w:rPr>
          <w:rFonts w:ascii="宋体" w:hAnsi="宋体" w:cs="宋体"/>
          <w:color w:val="000000"/>
          <w:szCs w:val="21"/>
          <w:lang w:bidi="ar-SA"/>
        </w:rPr>
        <w:t>（</w:t>
      </w:r>
      <w:r>
        <w:rPr>
          <w:rFonts w:ascii="宋体" w:hAnsi="宋体" w:eastAsia="宋体" w:cs="宋体"/>
          <w:color w:val="000000"/>
          <w:szCs w:val="21"/>
          <w:lang w:bidi="ar-SA"/>
        </w:rPr>
        <w:t>8</w:t>
      </w:r>
      <w:r>
        <w:rPr>
          <w:rFonts w:ascii="宋体" w:hAnsi="宋体" w:cs="宋体"/>
          <w:color w:val="000000"/>
          <w:szCs w:val="21"/>
          <w:lang w:bidi="ar-SA"/>
        </w:rPr>
        <w:t>）评分标准和细则（综合评分法评分标准）</w:t>
      </w:r>
    </w:p>
    <w:tbl>
      <w:tblPr>
        <w:tblStyle w:val="19"/>
        <w:tblW w:w="9902" w:type="dxa"/>
        <w:tblInd w:w="0" w:type="dxa"/>
        <w:tblLayout w:type="fixed"/>
        <w:tblCellMar>
          <w:top w:w="0" w:type="dxa"/>
          <w:left w:w="0" w:type="dxa"/>
          <w:bottom w:w="0" w:type="dxa"/>
          <w:right w:w="0" w:type="dxa"/>
        </w:tblCellMar>
      </w:tblPr>
      <w:tblGrid>
        <w:gridCol w:w="589"/>
        <w:gridCol w:w="1523"/>
        <w:gridCol w:w="675"/>
        <w:gridCol w:w="7115"/>
      </w:tblGrid>
      <w:tr w14:paraId="0AEDA695">
        <w:tblPrEx>
          <w:tblCellMar>
            <w:top w:w="0" w:type="dxa"/>
            <w:left w:w="0" w:type="dxa"/>
            <w:bottom w:w="0" w:type="dxa"/>
            <w:right w:w="0" w:type="dxa"/>
          </w:tblCellMar>
        </w:tblPrEx>
        <w:trPr>
          <w:trHeight w:val="477"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0646F663">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序号</w:t>
            </w:r>
          </w:p>
        </w:tc>
        <w:tc>
          <w:tcPr>
            <w:tcW w:w="1523" w:type="dxa"/>
            <w:tcBorders>
              <w:top w:val="single" w:color="000000" w:sz="2" w:space="0"/>
              <w:left w:val="single" w:color="000000" w:sz="4" w:space="0"/>
              <w:bottom w:val="single" w:color="000000" w:sz="2" w:space="0"/>
              <w:right w:val="single" w:color="000000" w:sz="4" w:space="0"/>
            </w:tcBorders>
            <w:vAlign w:val="center"/>
          </w:tcPr>
          <w:p w14:paraId="6646B4FD">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考核项目</w:t>
            </w:r>
          </w:p>
        </w:tc>
        <w:tc>
          <w:tcPr>
            <w:tcW w:w="675" w:type="dxa"/>
            <w:tcBorders>
              <w:top w:val="single" w:color="000000" w:sz="2" w:space="0"/>
              <w:left w:val="single" w:color="000000" w:sz="4" w:space="0"/>
              <w:bottom w:val="single" w:color="000000" w:sz="2" w:space="0"/>
              <w:right w:val="single" w:color="000000" w:sz="4" w:space="0"/>
            </w:tcBorders>
            <w:vAlign w:val="center"/>
          </w:tcPr>
          <w:p w14:paraId="29F90170">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分数</w:t>
            </w:r>
          </w:p>
        </w:tc>
        <w:tc>
          <w:tcPr>
            <w:tcW w:w="7115" w:type="dxa"/>
            <w:tcBorders>
              <w:top w:val="single" w:color="000000" w:sz="2" w:space="0"/>
              <w:left w:val="single" w:color="000000" w:sz="4" w:space="0"/>
              <w:bottom w:val="single" w:color="000000" w:sz="2" w:space="0"/>
              <w:right w:val="single" w:color="000000" w:sz="4" w:space="0"/>
            </w:tcBorders>
            <w:vAlign w:val="center"/>
          </w:tcPr>
          <w:p w14:paraId="50B3AB0A">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评分标准</w:t>
            </w:r>
          </w:p>
        </w:tc>
      </w:tr>
      <w:tr w14:paraId="2A411D5C">
        <w:tblPrEx>
          <w:tblCellMar>
            <w:top w:w="0" w:type="dxa"/>
            <w:left w:w="0" w:type="dxa"/>
            <w:bottom w:w="0" w:type="dxa"/>
            <w:right w:w="0" w:type="dxa"/>
          </w:tblCellMar>
        </w:tblPrEx>
        <w:trPr>
          <w:trHeight w:val="647"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67F72AC6">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报价部分</w:t>
            </w:r>
            <w:r>
              <w:rPr>
                <w:rFonts w:ascii="宋体" w:hAnsi="宋体" w:eastAsia="宋体" w:cs="宋体"/>
                <w:b/>
                <w:bCs/>
                <w:color w:val="FF0000"/>
                <w:sz w:val="21"/>
                <w:szCs w:val="21"/>
                <w:shd w:val="clear" w:fill="auto"/>
                <w:lang w:val="en-US" w:eastAsia="zh-CN"/>
              </w:rPr>
              <w:t>1</w:t>
            </w:r>
            <w:r>
              <w:rPr>
                <w:rFonts w:ascii="宋体" w:hAnsi="宋体" w:eastAsia="宋体" w:cs="宋体"/>
                <w:b/>
                <w:bCs/>
                <w:color w:val="FF0000"/>
                <w:sz w:val="21"/>
                <w:szCs w:val="21"/>
                <w:shd w:val="clear" w:fill="auto"/>
              </w:rPr>
              <w:t xml:space="preserve">0 </w:t>
            </w:r>
            <w:r>
              <w:rPr>
                <w:rFonts w:ascii="宋体" w:hAnsi="宋体" w:cs="宋体"/>
                <w:b/>
                <w:bCs/>
                <w:color w:val="FF0000"/>
                <w:sz w:val="21"/>
                <w:szCs w:val="21"/>
                <w:shd w:val="clear" w:fill="auto"/>
              </w:rPr>
              <w:t>分</w:t>
            </w:r>
          </w:p>
        </w:tc>
      </w:tr>
      <w:tr w14:paraId="68BCC611">
        <w:tblPrEx>
          <w:tblCellMar>
            <w:top w:w="0" w:type="dxa"/>
            <w:left w:w="0" w:type="dxa"/>
            <w:bottom w:w="0" w:type="dxa"/>
            <w:right w:w="0" w:type="dxa"/>
          </w:tblCellMar>
        </w:tblPrEx>
        <w:trPr>
          <w:trHeight w:val="1474"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124983D2">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rPr>
              <w:t>1</w:t>
            </w:r>
          </w:p>
        </w:tc>
        <w:tc>
          <w:tcPr>
            <w:tcW w:w="1523" w:type="dxa"/>
            <w:tcBorders>
              <w:top w:val="single" w:color="000000" w:sz="2" w:space="0"/>
              <w:left w:val="single" w:color="000000" w:sz="4" w:space="0"/>
              <w:bottom w:val="single" w:color="000000" w:sz="2" w:space="0"/>
              <w:right w:val="single" w:color="000000" w:sz="4" w:space="0"/>
            </w:tcBorders>
            <w:vAlign w:val="center"/>
          </w:tcPr>
          <w:p w14:paraId="3F28E6F7">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报价</w:t>
            </w:r>
          </w:p>
        </w:tc>
        <w:tc>
          <w:tcPr>
            <w:tcW w:w="675" w:type="dxa"/>
            <w:tcBorders>
              <w:top w:val="single" w:color="000000" w:sz="2" w:space="0"/>
              <w:left w:val="single" w:color="000000" w:sz="4" w:space="0"/>
              <w:bottom w:val="single" w:color="000000" w:sz="2" w:space="0"/>
              <w:right w:val="single" w:color="000000" w:sz="4" w:space="0"/>
            </w:tcBorders>
            <w:vAlign w:val="center"/>
          </w:tcPr>
          <w:p w14:paraId="62EC1CED">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w:t>
            </w:r>
            <w:r>
              <w:rPr>
                <w:rFonts w:ascii="宋体" w:hAnsi="宋体" w:eastAsia="宋体" w:cs="宋体"/>
                <w:color w:val="FF0000"/>
                <w:sz w:val="21"/>
                <w:szCs w:val="21"/>
                <w:shd w:val="clear" w:fill="auto"/>
              </w:rPr>
              <w:t>0</w:t>
            </w:r>
            <w:r>
              <w:rPr>
                <w:rFonts w:ascii="宋体" w:hAnsi="宋体" w:cs="宋体"/>
                <w:color w:val="FF0000"/>
                <w:sz w:val="21"/>
                <w:szCs w:val="21"/>
                <w:shd w:val="clear" w:fill="auto"/>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12377BD3">
            <w:pPr>
              <w:spacing w:line="360" w:lineRule="auto"/>
              <w:jc w:val="both"/>
              <w:rPr>
                <w:rFonts w:ascii="宋体" w:hAnsi="宋体" w:eastAsia="宋体" w:cs="宋体"/>
                <w:color w:val="FF0000"/>
                <w:sz w:val="21"/>
                <w:szCs w:val="21"/>
                <w:shd w:val="clear" w:fill="auto"/>
              </w:rPr>
            </w:pPr>
            <w:r>
              <w:rPr>
                <w:rFonts w:ascii="宋体" w:hAnsi="宋体" w:cs="宋体"/>
                <w:color w:val="FF0000"/>
                <w:sz w:val="21"/>
                <w:szCs w:val="21"/>
                <w:shd w:val="clear" w:fill="auto"/>
              </w:rPr>
              <w:t>综合评分法中的价格分统一采用低价优先法计算，即满足采购要求且响应报价最低的磋商报价为评审基准价，其价格分为满分。其他供应商的价格分统一按照下列公式计算：</w:t>
            </w:r>
          </w:p>
          <w:p w14:paraId="69C8275F">
            <w:pPr>
              <w:spacing w:line="360" w:lineRule="auto"/>
              <w:jc w:val="both"/>
              <w:rPr>
                <w:rFonts w:ascii="宋体" w:hAnsi="宋体" w:eastAsia="宋体" w:cs="宋体"/>
                <w:color w:val="FF0000"/>
                <w:sz w:val="21"/>
                <w:szCs w:val="21"/>
                <w:shd w:val="clear" w:fill="auto"/>
              </w:rPr>
            </w:pPr>
            <w:r>
              <w:rPr>
                <w:rFonts w:ascii="宋体" w:hAnsi="宋体" w:cs="宋体"/>
                <w:color w:val="FF0000"/>
                <w:sz w:val="21"/>
                <w:szCs w:val="21"/>
                <w:shd w:val="clear" w:fill="auto"/>
              </w:rPr>
              <w:t>磋商报价得分</w:t>
            </w:r>
            <w:r>
              <w:rPr>
                <w:rFonts w:ascii="宋体" w:hAnsi="宋体" w:eastAsia="宋体" w:cs="宋体"/>
                <w:color w:val="FF0000"/>
                <w:sz w:val="21"/>
                <w:szCs w:val="21"/>
                <w:shd w:val="clear" w:fill="auto"/>
              </w:rPr>
              <w:t>= (</w:t>
            </w:r>
            <w:r>
              <w:rPr>
                <w:rFonts w:ascii="宋体" w:hAnsi="宋体" w:cs="宋体"/>
                <w:color w:val="FF0000"/>
                <w:sz w:val="21"/>
                <w:szCs w:val="21"/>
                <w:shd w:val="clear" w:fill="auto"/>
              </w:rPr>
              <w:t>评审基准价／磋商报价</w:t>
            </w:r>
            <w:r>
              <w:rPr>
                <w:rFonts w:ascii="宋体" w:hAnsi="宋体" w:eastAsia="宋体" w:cs="宋体"/>
                <w:color w:val="FF0000"/>
                <w:sz w:val="21"/>
                <w:szCs w:val="21"/>
                <w:shd w:val="clear" w:fill="auto"/>
              </w:rPr>
              <w:t>)×</w:t>
            </w:r>
            <w:r>
              <w:rPr>
                <w:rFonts w:ascii="宋体" w:hAnsi="宋体" w:cs="宋体"/>
                <w:color w:val="FF0000"/>
                <w:sz w:val="21"/>
                <w:szCs w:val="21"/>
                <w:shd w:val="clear" w:fill="auto"/>
              </w:rPr>
              <w:t>价格权值</w:t>
            </w:r>
            <w:r>
              <w:rPr>
                <w:rFonts w:ascii="宋体" w:hAnsi="宋体" w:eastAsia="宋体" w:cs="宋体"/>
                <w:color w:val="FF0000"/>
                <w:sz w:val="21"/>
                <w:szCs w:val="21"/>
                <w:shd w:val="clear" w:fill="auto"/>
              </w:rPr>
              <w:t>×100</w:t>
            </w:r>
          </w:p>
        </w:tc>
      </w:tr>
      <w:tr w14:paraId="6F1F54F6">
        <w:tblPrEx>
          <w:tblCellMar>
            <w:top w:w="0" w:type="dxa"/>
            <w:left w:w="0" w:type="dxa"/>
            <w:bottom w:w="0" w:type="dxa"/>
            <w:right w:w="0" w:type="dxa"/>
          </w:tblCellMar>
        </w:tblPrEx>
        <w:trPr>
          <w:trHeight w:val="562"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51CE38BF">
            <w:pPr>
              <w:spacing w:line="360" w:lineRule="auto"/>
              <w:jc w:val="center"/>
              <w:rPr>
                <w:rFonts w:ascii="宋体" w:hAnsi="宋体" w:eastAsia="宋体" w:cs="宋体"/>
                <w:color w:val="FF0000"/>
                <w:sz w:val="21"/>
                <w:szCs w:val="21"/>
                <w:shd w:val="clear" w:fill="auto"/>
              </w:rPr>
            </w:pPr>
            <w:r>
              <w:rPr>
                <w:rFonts w:ascii="宋体" w:hAnsi="宋体" w:cs="宋体"/>
                <w:b/>
                <w:bCs/>
                <w:color w:val="FF0000"/>
                <w:sz w:val="21"/>
                <w:szCs w:val="21"/>
                <w:shd w:val="clear" w:fill="auto"/>
              </w:rPr>
              <w:t>技术部分</w:t>
            </w:r>
            <w:r>
              <w:rPr>
                <w:rFonts w:ascii="宋体" w:hAnsi="宋体" w:eastAsia="宋体" w:cs="宋体"/>
                <w:b/>
                <w:bCs/>
                <w:color w:val="FF0000"/>
                <w:sz w:val="21"/>
                <w:szCs w:val="21"/>
                <w:shd w:val="clear" w:fill="auto"/>
                <w:lang w:val="en-US" w:eastAsia="zh-CN"/>
              </w:rPr>
              <w:t xml:space="preserve">60 </w:t>
            </w:r>
            <w:r>
              <w:rPr>
                <w:rFonts w:ascii="宋体" w:hAnsi="宋体" w:cs="宋体"/>
                <w:b/>
                <w:bCs/>
                <w:color w:val="FF0000"/>
                <w:sz w:val="21"/>
                <w:szCs w:val="21"/>
                <w:shd w:val="clear" w:fill="auto"/>
              </w:rPr>
              <w:t>分</w:t>
            </w:r>
          </w:p>
        </w:tc>
      </w:tr>
      <w:tr w14:paraId="42FDA19E">
        <w:tblPrEx>
          <w:tblCellMar>
            <w:top w:w="0" w:type="dxa"/>
            <w:left w:w="0" w:type="dxa"/>
            <w:bottom w:w="0" w:type="dxa"/>
            <w:right w:w="0" w:type="dxa"/>
          </w:tblCellMar>
        </w:tblPrEx>
        <w:trPr>
          <w:trHeight w:val="1543"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4C143ED5">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4" w:space="0"/>
              <w:right w:val="single" w:color="000000" w:sz="4" w:space="0"/>
            </w:tcBorders>
            <w:vAlign w:val="center"/>
          </w:tcPr>
          <w:p w14:paraId="7938FC38">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项目实施方案</w:t>
            </w:r>
          </w:p>
        </w:tc>
        <w:tc>
          <w:tcPr>
            <w:tcW w:w="675" w:type="dxa"/>
            <w:tcBorders>
              <w:top w:val="single" w:color="000000" w:sz="2" w:space="0"/>
              <w:left w:val="single" w:color="000000" w:sz="4" w:space="0"/>
              <w:bottom w:val="single" w:color="000000" w:sz="4" w:space="0"/>
              <w:right w:val="single" w:color="000000" w:sz="4" w:space="0"/>
            </w:tcBorders>
            <w:vAlign w:val="center"/>
          </w:tcPr>
          <w:p w14:paraId="4E562DA4">
            <w:pPr>
              <w:spacing w:line="360" w:lineRule="auto"/>
              <w:jc w:val="both"/>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09B7A67C">
            <w:pPr>
              <w:spacing w:line="360" w:lineRule="auto"/>
              <w:ind w:firstLine="420"/>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本项目实施方案，包含目的明确、任务具体、可操作性强，施工进度计划科学，劳动力、材料、机械设备用量计划合理，工期保证措施和体系完善，生产效率高，安全防护措施等进行评分，满分</w:t>
            </w: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p w14:paraId="48F41670">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）针对本项目提供实施方案，目的明确、任务具体、可操作性强，施工进度计划科学，劳动力、材料、机械设备用量计划合理，工期保证措施和体系完善，生产效率高，安全防护措施好的得</w:t>
            </w: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p w14:paraId="1EBE84AF">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）施工方案目的较为明确、任务较具体、可操作性较强，施工进度计划较为科学，劳动力、材料、机械设备用量计划较为合理，工期保证措施和体系较为完善，生产效率较高，安全防护措施较好得</w:t>
            </w:r>
            <w:r>
              <w:rPr>
                <w:rFonts w:ascii="宋体" w:hAnsi="宋体" w:eastAsia="宋体" w:cs="宋体"/>
                <w:color w:val="FF0000"/>
                <w:sz w:val="21"/>
                <w:szCs w:val="21"/>
                <w:shd w:val="clear" w:fill="auto"/>
                <w:lang w:val="en-US" w:eastAsia="zh-CN"/>
              </w:rPr>
              <w:t>14</w:t>
            </w:r>
            <w:r>
              <w:rPr>
                <w:rFonts w:ascii="宋体" w:hAnsi="宋体" w:cs="宋体"/>
                <w:color w:val="FF0000"/>
                <w:sz w:val="21"/>
                <w:szCs w:val="21"/>
                <w:shd w:val="clear" w:fill="auto"/>
                <w:lang w:val="en-US" w:eastAsia="zh-CN"/>
              </w:rPr>
              <w:t>分；</w:t>
            </w:r>
          </w:p>
          <w:p w14:paraId="5245F5BB">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）施工方案目的、任务具体性、可操作性一般，施工进度计划一般，劳动力、材料、机械设备用量计划一般；工期保证措施和体系一般；生产效率一般，安全防护措施一般得</w:t>
            </w:r>
            <w:r>
              <w:rPr>
                <w:rFonts w:ascii="宋体" w:hAnsi="宋体" w:eastAsia="宋体" w:cs="宋体"/>
                <w:color w:val="FF0000"/>
                <w:sz w:val="21"/>
                <w:szCs w:val="21"/>
                <w:shd w:val="clear" w:fill="auto"/>
                <w:lang w:val="en-US" w:eastAsia="zh-CN"/>
              </w:rPr>
              <w:t>9</w:t>
            </w:r>
            <w:r>
              <w:rPr>
                <w:rFonts w:ascii="宋体" w:hAnsi="宋体" w:cs="宋体"/>
                <w:color w:val="FF0000"/>
                <w:sz w:val="21"/>
                <w:szCs w:val="21"/>
                <w:shd w:val="clear" w:fill="auto"/>
                <w:lang w:val="en-US" w:eastAsia="zh-CN"/>
              </w:rPr>
              <w:t>分；</w:t>
            </w:r>
          </w:p>
          <w:p w14:paraId="5C94134A">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施工方案目的不明确、任务不具体、可操作性较差，施工进度计划较差，劳动力、材料、机械设备用量计划不合理，工期保证措施和体系、生产设备用量计划不合理，工期保证措施和体系、生产效率、安全防治措施较差</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分；</w:t>
            </w:r>
          </w:p>
          <w:p w14:paraId="2DF6CFB8">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5</w:t>
            </w:r>
            <w:r>
              <w:rPr>
                <w:rFonts w:ascii="宋体" w:hAnsi="宋体" w:cs="宋体"/>
                <w:color w:val="FF0000"/>
                <w:sz w:val="21"/>
                <w:szCs w:val="21"/>
                <w:shd w:val="clear" w:fill="auto"/>
                <w:lang w:val="en-US" w:eastAsia="zh-CN"/>
              </w:rPr>
              <w:t>）施工方案不符合项目需求，或不提供的不得分。</w:t>
            </w:r>
          </w:p>
        </w:tc>
      </w:tr>
      <w:tr w14:paraId="3D3D9F8E">
        <w:tblPrEx>
          <w:tblCellMar>
            <w:top w:w="0" w:type="dxa"/>
            <w:left w:w="0" w:type="dxa"/>
            <w:bottom w:w="0" w:type="dxa"/>
            <w:right w:w="0" w:type="dxa"/>
          </w:tblCellMar>
        </w:tblPrEx>
        <w:trPr>
          <w:trHeight w:val="90" w:hRule="atLeast"/>
        </w:trPr>
        <w:tc>
          <w:tcPr>
            <w:tcW w:w="589" w:type="dxa"/>
            <w:tcBorders>
              <w:top w:val="single" w:color="000000" w:sz="4" w:space="0"/>
              <w:left w:val="single" w:color="000000" w:sz="4" w:space="0"/>
              <w:bottom w:val="single" w:color="000000" w:sz="4" w:space="0"/>
              <w:right w:val="single" w:color="000000" w:sz="4" w:space="0"/>
            </w:tcBorders>
            <w:vAlign w:val="center"/>
          </w:tcPr>
          <w:p w14:paraId="21AE19DF">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2</w:t>
            </w:r>
          </w:p>
        </w:tc>
        <w:tc>
          <w:tcPr>
            <w:tcW w:w="1523" w:type="dxa"/>
            <w:tcBorders>
              <w:top w:val="single" w:color="000000" w:sz="4" w:space="0"/>
              <w:left w:val="single" w:color="000000" w:sz="4" w:space="0"/>
              <w:bottom w:val="single" w:color="000000" w:sz="4" w:space="0"/>
              <w:right w:val="single" w:color="000000" w:sz="4" w:space="0"/>
            </w:tcBorders>
            <w:vAlign w:val="center"/>
          </w:tcPr>
          <w:p w14:paraId="712CC95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质量管理及质量保证措施</w:t>
            </w:r>
          </w:p>
        </w:tc>
        <w:tc>
          <w:tcPr>
            <w:tcW w:w="675" w:type="dxa"/>
            <w:tcBorders>
              <w:top w:val="single" w:color="000000" w:sz="4" w:space="0"/>
              <w:left w:val="single" w:color="000000" w:sz="4" w:space="0"/>
              <w:bottom w:val="single" w:color="000000" w:sz="4" w:space="0"/>
              <w:right w:val="single" w:color="000000" w:sz="4" w:space="0"/>
            </w:tcBorders>
            <w:vAlign w:val="center"/>
          </w:tcPr>
          <w:p w14:paraId="5356C992">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0FE7CB51">
            <w:pPr>
              <w:spacing w:line="360" w:lineRule="auto"/>
              <w:jc w:val="both"/>
              <w:rPr>
                <w:rFonts w:hint="eastAsia" w:ascii="宋体" w:hAnsi="宋体" w:eastAsia="宋体" w:cs="宋体"/>
                <w:color w:val="FF0000"/>
                <w:sz w:val="21"/>
                <w:szCs w:val="21"/>
                <w:shd w:val="clear" w:fill="auto"/>
                <w:lang w:val="en-US" w:eastAsia="zh-CN"/>
              </w:rPr>
            </w:pPr>
            <w:r>
              <w:rPr>
                <w:rFonts w:hint="eastAsia" w:ascii="宋体" w:hAnsi="宋体" w:eastAsia="宋体" w:cs="宋体"/>
                <w:color w:val="FF0000"/>
                <w:sz w:val="21"/>
                <w:szCs w:val="21"/>
                <w:shd w:val="clear" w:fill="auto"/>
                <w:lang w:val="en-US" w:eastAsia="zh-CN"/>
              </w:rPr>
              <w:t>根据各供应商提供的质量管理体系与措施进行评审：包括①施工质量管理方法和保证措施；②对关键部位、关键工序环节把控方案；③质量保证体系健全、职责明确；④工程所用原材料、中间产品、金属结构等检测的种类、数量符合相关规程规范。</w:t>
            </w:r>
          </w:p>
          <w:p w14:paraId="09FD9E42">
            <w:pPr>
              <w:spacing w:line="360" w:lineRule="auto"/>
              <w:jc w:val="both"/>
              <w:rPr>
                <w:rFonts w:ascii="宋体" w:hAnsi="宋体" w:eastAsia="宋体" w:cs="宋体"/>
                <w:color w:val="FF0000"/>
                <w:sz w:val="21"/>
                <w:szCs w:val="21"/>
                <w:shd w:val="clear" w:fill="auto"/>
              </w:rPr>
            </w:pPr>
            <w:r>
              <w:rPr>
                <w:rFonts w:hint="eastAsia" w:ascii="宋体" w:hAnsi="宋体" w:eastAsia="宋体" w:cs="宋体"/>
                <w:color w:val="FF0000"/>
                <w:sz w:val="21"/>
                <w:szCs w:val="21"/>
                <w:shd w:val="clear" w:fill="auto"/>
                <w:lang w:val="en-US" w:eastAsia="zh-CN"/>
              </w:rPr>
              <w:t>本项最高可得</w:t>
            </w:r>
            <w:r>
              <w:rPr>
                <w:rFonts w:hint="eastAsia" w:ascii="宋体" w:hAnsi="宋体" w:cs="宋体"/>
                <w:color w:val="FF0000"/>
                <w:sz w:val="21"/>
                <w:szCs w:val="21"/>
                <w:shd w:val="clear" w:fill="auto"/>
                <w:lang w:val="en-US" w:eastAsia="zh-CN"/>
              </w:rPr>
              <w:t>20</w:t>
            </w:r>
            <w:r>
              <w:rPr>
                <w:rFonts w:hint="eastAsia" w:ascii="宋体" w:hAnsi="宋体" w:eastAsia="宋体" w:cs="宋体"/>
                <w:color w:val="FF0000"/>
                <w:sz w:val="21"/>
                <w:szCs w:val="21"/>
                <w:shd w:val="clear" w:fill="auto"/>
                <w:lang w:val="en-US" w:eastAsia="zh-CN"/>
              </w:rPr>
              <w:t>分，每有一项缺项或漏项扣</w:t>
            </w:r>
            <w:r>
              <w:rPr>
                <w:rFonts w:hint="eastAsia" w:ascii="宋体" w:hAnsi="宋体" w:cs="宋体"/>
                <w:color w:val="FF0000"/>
                <w:sz w:val="21"/>
                <w:szCs w:val="21"/>
                <w:shd w:val="clear" w:fill="auto"/>
                <w:lang w:val="en-US" w:eastAsia="zh-CN"/>
              </w:rPr>
              <w:t>5</w:t>
            </w:r>
            <w:r>
              <w:rPr>
                <w:rFonts w:hint="eastAsia" w:ascii="宋体" w:hAnsi="宋体" w:eastAsia="宋体" w:cs="宋体"/>
                <w:color w:val="FF0000"/>
                <w:sz w:val="21"/>
                <w:szCs w:val="21"/>
                <w:shd w:val="clear" w:fill="auto"/>
                <w:lang w:val="en-US" w:eastAsia="zh-CN"/>
              </w:rPr>
              <w:t>分。每有一处瑕疵或缺陷扣</w:t>
            </w:r>
            <w:r>
              <w:rPr>
                <w:rFonts w:hint="eastAsia" w:ascii="宋体" w:hAnsi="宋体" w:cs="宋体"/>
                <w:color w:val="FF0000"/>
                <w:sz w:val="21"/>
                <w:szCs w:val="21"/>
                <w:shd w:val="clear" w:fill="auto"/>
                <w:lang w:val="en-US" w:eastAsia="zh-CN"/>
              </w:rPr>
              <w:t>1.5</w:t>
            </w:r>
            <w:r>
              <w:rPr>
                <w:rFonts w:hint="eastAsia" w:ascii="宋体" w:hAnsi="宋体" w:eastAsia="宋体" w:cs="宋体"/>
                <w:color w:val="FF0000"/>
                <w:sz w:val="21"/>
                <w:szCs w:val="21"/>
                <w:shd w:val="clear" w:fill="auto"/>
                <w:lang w:val="en-US" w:eastAsia="zh-CN"/>
              </w:rPr>
              <w:t>分，扣完为止。</w:t>
            </w:r>
          </w:p>
        </w:tc>
      </w:tr>
      <w:tr w14:paraId="1F9F9FF0">
        <w:tblPrEx>
          <w:tblCellMar>
            <w:top w:w="0" w:type="dxa"/>
            <w:left w:w="0" w:type="dxa"/>
            <w:bottom w:w="0" w:type="dxa"/>
            <w:right w:w="0" w:type="dxa"/>
          </w:tblCellMar>
        </w:tblPrEx>
        <w:trPr>
          <w:trHeight w:val="90"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590F6BB7">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3</w:t>
            </w:r>
          </w:p>
        </w:tc>
        <w:tc>
          <w:tcPr>
            <w:tcW w:w="1523" w:type="dxa"/>
            <w:tcBorders>
              <w:top w:val="single" w:color="000000" w:sz="2" w:space="0"/>
              <w:left w:val="single" w:color="000000" w:sz="4" w:space="0"/>
              <w:bottom w:val="single" w:color="000000" w:sz="4" w:space="0"/>
              <w:right w:val="single" w:color="000000" w:sz="4" w:space="0"/>
            </w:tcBorders>
            <w:vAlign w:val="center"/>
          </w:tcPr>
          <w:p w14:paraId="018AE07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安全管理体系与措施</w:t>
            </w:r>
          </w:p>
          <w:p w14:paraId="2AEA2060">
            <w:pPr>
              <w:spacing w:line="360" w:lineRule="auto"/>
              <w:jc w:val="center"/>
              <w:rPr>
                <w:rFonts w:ascii="宋体" w:hAnsi="宋体" w:eastAsia="宋体" w:cs="宋体"/>
                <w:color w:val="FF0000"/>
                <w:sz w:val="21"/>
                <w:szCs w:val="21"/>
                <w:shd w:val="clear" w:fill="auto"/>
                <w:lang w:val="en-US" w:eastAsia="zh-CN"/>
              </w:rPr>
            </w:pPr>
          </w:p>
        </w:tc>
        <w:tc>
          <w:tcPr>
            <w:tcW w:w="675" w:type="dxa"/>
            <w:tcBorders>
              <w:top w:val="single" w:color="000000" w:sz="2" w:space="0"/>
              <w:left w:val="single" w:color="000000" w:sz="4" w:space="0"/>
              <w:bottom w:val="single" w:color="000000" w:sz="4" w:space="0"/>
              <w:right w:val="single" w:color="000000" w:sz="4" w:space="0"/>
            </w:tcBorders>
            <w:vAlign w:val="center"/>
          </w:tcPr>
          <w:p w14:paraId="2302AD5F">
            <w:pPr>
              <w:spacing w:line="360" w:lineRule="auto"/>
              <w:jc w:val="both"/>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18209E44">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根据各供应商提供的安全管理体系与措施进行评审：</w:t>
            </w:r>
          </w:p>
          <w:p w14:paraId="0DF99051">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）符合国家规定的强制性标准并有针对性，同时符合项目实际情况，切实可行并针对性强，安全目标明确，管理机构健全，职责分工明确的得</w:t>
            </w:r>
            <w:r>
              <w:rPr>
                <w:rFonts w:ascii="宋体" w:hAnsi="宋体" w:eastAsia="宋体" w:cs="宋体"/>
                <w:color w:val="FF0000"/>
                <w:sz w:val="21"/>
                <w:szCs w:val="21"/>
                <w:shd w:val="clear" w:fill="auto"/>
                <w:lang w:val="en-US" w:eastAsia="zh-CN"/>
              </w:rPr>
              <w:t xml:space="preserve">10 </w:t>
            </w:r>
            <w:r>
              <w:rPr>
                <w:rFonts w:ascii="宋体" w:hAnsi="宋体" w:cs="宋体"/>
                <w:color w:val="FF0000"/>
                <w:sz w:val="21"/>
                <w:szCs w:val="21"/>
                <w:shd w:val="clear" w:fill="auto"/>
                <w:lang w:val="en-US" w:eastAsia="zh-CN"/>
              </w:rPr>
              <w:t>分；</w:t>
            </w:r>
          </w:p>
          <w:p w14:paraId="46E002A8">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 xml:space="preserve">）措施内容比较符合项目实际情况，安全生产责任制比较健全、职责比较明确的，有一定针对性的得 </w:t>
            </w:r>
            <w:r>
              <w:rPr>
                <w:rFonts w:ascii="宋体" w:hAnsi="宋体" w:eastAsia="宋体" w:cs="宋体"/>
                <w:color w:val="FF0000"/>
                <w:sz w:val="21"/>
                <w:szCs w:val="21"/>
                <w:shd w:val="clear" w:fill="auto"/>
                <w:lang w:val="en-US" w:eastAsia="zh-CN"/>
              </w:rPr>
              <w:t>6</w:t>
            </w:r>
            <w:r>
              <w:rPr>
                <w:rFonts w:ascii="宋体" w:hAnsi="宋体" w:cs="宋体"/>
                <w:color w:val="FF0000"/>
                <w:sz w:val="21"/>
                <w:szCs w:val="21"/>
                <w:shd w:val="clear" w:fill="auto"/>
                <w:lang w:val="en-US" w:eastAsia="zh-CN"/>
              </w:rPr>
              <w:t>分 ；</w:t>
            </w:r>
          </w:p>
          <w:p w14:paraId="7942EC20">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）措施内容不全，针对性较差，欠合理的得</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分；</w:t>
            </w:r>
          </w:p>
          <w:p w14:paraId="379F4D08">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）措施内容不符合项目实际情况，没有针对性</w:t>
            </w:r>
            <w:r>
              <w:rPr>
                <w:rFonts w:ascii="宋体" w:hAnsi="宋体" w:eastAsia="宋体" w:cs="宋体"/>
                <w:color w:val="FF0000"/>
                <w:sz w:val="21"/>
                <w:szCs w:val="21"/>
                <w:shd w:val="clear" w:fill="auto"/>
                <w:lang w:val="en-US" w:eastAsia="zh-CN"/>
              </w:rPr>
              <w:t>,</w:t>
            </w:r>
            <w:r>
              <w:rPr>
                <w:rFonts w:ascii="宋体" w:hAnsi="宋体" w:cs="宋体"/>
                <w:color w:val="FF0000"/>
                <w:sz w:val="21"/>
                <w:szCs w:val="21"/>
                <w:shd w:val="clear" w:fill="auto"/>
                <w:lang w:val="en-US" w:eastAsia="zh-CN"/>
              </w:rPr>
              <w:t xml:space="preserve">或不提供的得 </w:t>
            </w:r>
            <w:r>
              <w:rPr>
                <w:rFonts w:ascii="宋体" w:hAnsi="宋体" w:eastAsia="宋体" w:cs="宋体"/>
                <w:color w:val="FF0000"/>
                <w:sz w:val="21"/>
                <w:szCs w:val="21"/>
                <w:shd w:val="clear" w:fill="auto"/>
                <w:lang w:val="en-US" w:eastAsia="zh-CN"/>
              </w:rPr>
              <w:t xml:space="preserve">0 </w:t>
            </w:r>
            <w:r>
              <w:rPr>
                <w:rFonts w:ascii="宋体" w:hAnsi="宋体" w:cs="宋体"/>
                <w:color w:val="FF0000"/>
                <w:sz w:val="21"/>
                <w:szCs w:val="21"/>
                <w:shd w:val="clear" w:fill="auto"/>
                <w:lang w:val="en-US" w:eastAsia="zh-CN"/>
              </w:rPr>
              <w:t>分。</w:t>
            </w:r>
          </w:p>
        </w:tc>
      </w:tr>
      <w:tr w14:paraId="54BFFDDD">
        <w:tblPrEx>
          <w:tblCellMar>
            <w:top w:w="0" w:type="dxa"/>
            <w:left w:w="0" w:type="dxa"/>
            <w:bottom w:w="0" w:type="dxa"/>
            <w:right w:w="0" w:type="dxa"/>
          </w:tblCellMar>
        </w:tblPrEx>
        <w:trPr>
          <w:trHeight w:val="333"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2910F5CC">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4</w:t>
            </w:r>
          </w:p>
        </w:tc>
        <w:tc>
          <w:tcPr>
            <w:tcW w:w="1523" w:type="dxa"/>
            <w:tcBorders>
              <w:top w:val="single" w:color="000000" w:sz="2" w:space="0"/>
              <w:left w:val="single" w:color="000000" w:sz="4" w:space="0"/>
              <w:bottom w:val="single" w:color="000000" w:sz="2" w:space="0"/>
              <w:right w:val="single" w:color="000000" w:sz="4" w:space="0"/>
            </w:tcBorders>
            <w:vAlign w:val="center"/>
          </w:tcPr>
          <w:p w14:paraId="79FE9A5A">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工程进度计划与保证措施</w:t>
            </w:r>
          </w:p>
        </w:tc>
        <w:tc>
          <w:tcPr>
            <w:tcW w:w="675" w:type="dxa"/>
            <w:tcBorders>
              <w:top w:val="single" w:color="000000" w:sz="2" w:space="0"/>
              <w:left w:val="single" w:color="000000" w:sz="4" w:space="0"/>
              <w:bottom w:val="single" w:color="000000" w:sz="2" w:space="0"/>
              <w:right w:val="single" w:color="000000" w:sz="4" w:space="0"/>
            </w:tcBorders>
            <w:vAlign w:val="center"/>
          </w:tcPr>
          <w:p w14:paraId="21152B81">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2D572E7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根据各供应商提供的工程进度计划与保证措施进行评审：</w:t>
            </w:r>
          </w:p>
          <w:p w14:paraId="07270F1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总工期及节点工期是否满足磋商文件要求；施工进度计划内容是否全面，线路是否清晰、准确、完整，计划编制是否合理、可行；措施是否有力、合理、可行等。</w:t>
            </w:r>
          </w:p>
          <w:p w14:paraId="33C5359B">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）措施内容完全满足磋商文件要求的得分</w:t>
            </w: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p w14:paraId="712F2EC0">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）措施内容基本满足的得</w:t>
            </w:r>
            <w:r>
              <w:rPr>
                <w:rFonts w:ascii="宋体" w:hAnsi="宋体" w:eastAsia="宋体" w:cs="宋体"/>
                <w:color w:val="FF0000"/>
                <w:sz w:val="21"/>
                <w:szCs w:val="21"/>
                <w:shd w:val="clear" w:fill="auto"/>
                <w:lang w:val="en-US" w:eastAsia="zh-CN"/>
              </w:rPr>
              <w:t>6</w:t>
            </w:r>
            <w:r>
              <w:rPr>
                <w:rFonts w:ascii="宋体" w:hAnsi="宋体" w:cs="宋体"/>
                <w:color w:val="FF0000"/>
                <w:sz w:val="21"/>
                <w:szCs w:val="21"/>
                <w:shd w:val="clear" w:fill="auto"/>
                <w:lang w:val="en-US" w:eastAsia="zh-CN"/>
              </w:rPr>
              <w:t>分；</w:t>
            </w:r>
          </w:p>
          <w:p w14:paraId="33FECE43">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）措施内容不全，针对性较差，欠合理的得</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分；</w:t>
            </w:r>
          </w:p>
          <w:p w14:paraId="2FF45A45">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）措施内容不符合项目实际情况，没有针对性</w:t>
            </w:r>
            <w:r>
              <w:rPr>
                <w:rFonts w:ascii="宋体" w:hAnsi="宋体" w:eastAsia="宋体" w:cs="宋体"/>
                <w:color w:val="FF0000"/>
                <w:sz w:val="21"/>
                <w:szCs w:val="21"/>
                <w:shd w:val="clear" w:fill="auto"/>
                <w:lang w:val="en-US" w:eastAsia="zh-CN"/>
              </w:rPr>
              <w:t>,</w:t>
            </w:r>
            <w:r>
              <w:rPr>
                <w:rFonts w:ascii="宋体" w:hAnsi="宋体" w:cs="宋体"/>
                <w:color w:val="FF0000"/>
                <w:sz w:val="21"/>
                <w:szCs w:val="21"/>
                <w:shd w:val="clear" w:fill="auto"/>
                <w:lang w:val="en-US" w:eastAsia="zh-CN"/>
              </w:rPr>
              <w:t xml:space="preserve">或不提供的得 </w:t>
            </w:r>
            <w:r>
              <w:rPr>
                <w:rFonts w:ascii="宋体" w:hAnsi="宋体" w:eastAsia="宋体" w:cs="宋体"/>
                <w:color w:val="FF0000"/>
                <w:sz w:val="21"/>
                <w:szCs w:val="21"/>
                <w:shd w:val="clear" w:fill="auto"/>
                <w:lang w:val="en-US" w:eastAsia="zh-CN"/>
              </w:rPr>
              <w:t xml:space="preserve">0 </w:t>
            </w:r>
            <w:r>
              <w:rPr>
                <w:rFonts w:ascii="宋体" w:hAnsi="宋体" w:cs="宋体"/>
                <w:color w:val="FF0000"/>
                <w:sz w:val="21"/>
                <w:szCs w:val="21"/>
                <w:shd w:val="clear" w:fill="auto"/>
                <w:lang w:val="en-US" w:eastAsia="zh-CN"/>
              </w:rPr>
              <w:t>分。</w:t>
            </w:r>
          </w:p>
        </w:tc>
      </w:tr>
      <w:tr w14:paraId="2AEFDF3D">
        <w:tblPrEx>
          <w:tblCellMar>
            <w:top w:w="0" w:type="dxa"/>
            <w:left w:w="0" w:type="dxa"/>
            <w:bottom w:w="0" w:type="dxa"/>
            <w:right w:w="0" w:type="dxa"/>
          </w:tblCellMar>
        </w:tblPrEx>
        <w:trPr>
          <w:trHeight w:val="333"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38DDF39F">
            <w:pPr>
              <w:spacing w:line="360" w:lineRule="auto"/>
              <w:jc w:val="center"/>
              <w:rPr>
                <w:rFonts w:ascii="宋体" w:hAnsi="宋体" w:eastAsia="宋体" w:cs="宋体"/>
                <w:b/>
                <w:bCs/>
                <w:color w:val="FF0000"/>
                <w:sz w:val="21"/>
                <w:szCs w:val="21"/>
                <w:shd w:val="clear" w:fill="auto"/>
                <w:lang w:val="en-US" w:eastAsia="zh-CN"/>
              </w:rPr>
            </w:pPr>
            <w:r>
              <w:rPr>
                <w:rFonts w:ascii="宋体" w:hAnsi="宋体" w:cs="宋体"/>
                <w:b/>
                <w:bCs/>
                <w:color w:val="FF0000"/>
                <w:sz w:val="21"/>
                <w:szCs w:val="21"/>
                <w:shd w:val="clear" w:fill="auto"/>
                <w:lang w:val="en-US" w:eastAsia="zh-CN"/>
              </w:rPr>
              <w:t>商务</w:t>
            </w:r>
            <w:r>
              <w:rPr>
                <w:rFonts w:ascii="宋体" w:hAnsi="宋体" w:cs="宋体"/>
                <w:b/>
                <w:bCs/>
                <w:color w:val="FF0000"/>
                <w:sz w:val="21"/>
                <w:szCs w:val="21"/>
                <w:shd w:val="clear" w:fill="auto"/>
              </w:rPr>
              <w:t>部分</w:t>
            </w:r>
            <w:r>
              <w:rPr>
                <w:rFonts w:ascii="宋体" w:hAnsi="宋体" w:cs="宋体"/>
                <w:b/>
                <w:bCs/>
                <w:color w:val="FF0000"/>
                <w:sz w:val="21"/>
                <w:szCs w:val="21"/>
                <w:shd w:val="clear" w:fill="auto"/>
                <w:lang w:eastAsia="zh-CN"/>
              </w:rPr>
              <w:t>（</w:t>
            </w:r>
            <w:r>
              <w:rPr>
                <w:rFonts w:ascii="宋体" w:hAnsi="宋体" w:eastAsia="宋体" w:cs="宋体"/>
                <w:b/>
                <w:bCs/>
                <w:color w:val="FF0000"/>
                <w:sz w:val="21"/>
                <w:szCs w:val="21"/>
                <w:shd w:val="clear" w:fill="auto"/>
                <w:lang w:val="en-US" w:eastAsia="zh-CN"/>
              </w:rPr>
              <w:t>30</w:t>
            </w:r>
            <w:r>
              <w:rPr>
                <w:rFonts w:ascii="宋体" w:hAnsi="宋体" w:cs="宋体"/>
                <w:b/>
                <w:bCs/>
                <w:color w:val="FF0000"/>
                <w:sz w:val="21"/>
                <w:szCs w:val="21"/>
                <w:shd w:val="clear" w:fill="auto"/>
                <w:lang w:val="en-US" w:eastAsia="zh-CN"/>
              </w:rPr>
              <w:t>分</w:t>
            </w:r>
            <w:r>
              <w:rPr>
                <w:rFonts w:ascii="宋体" w:hAnsi="宋体" w:cs="宋体"/>
                <w:b/>
                <w:bCs/>
                <w:color w:val="FF0000"/>
                <w:sz w:val="21"/>
                <w:szCs w:val="21"/>
                <w:shd w:val="clear" w:fill="auto"/>
                <w:lang w:eastAsia="zh-CN"/>
              </w:rPr>
              <w:t>）</w:t>
            </w:r>
          </w:p>
        </w:tc>
      </w:tr>
      <w:tr w14:paraId="5364BAE3">
        <w:tblPrEx>
          <w:tblCellMar>
            <w:top w:w="0" w:type="dxa"/>
            <w:left w:w="0" w:type="dxa"/>
            <w:bottom w:w="0" w:type="dxa"/>
            <w:right w:w="0" w:type="dxa"/>
          </w:tblCellMar>
        </w:tblPrEx>
        <w:trPr>
          <w:trHeight w:val="1072"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7F3FB752">
            <w:pPr>
              <w:spacing w:before="181" w:after="0" w:line="374" w:lineRule="auto"/>
              <w:ind w:left="110" w:right="44" w:hanging="1"/>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2" w:space="0"/>
              <w:right w:val="single" w:color="000000" w:sz="4" w:space="0"/>
            </w:tcBorders>
          </w:tcPr>
          <w:p w14:paraId="3FA1DB03">
            <w:pPr>
              <w:snapToGrid w:val="0"/>
              <w:spacing w:line="360" w:lineRule="auto"/>
              <w:jc w:val="both"/>
              <w:rPr>
                <w:rFonts w:ascii="宋体" w:hAnsi="宋体" w:eastAsia="宋体" w:cs="宋体"/>
                <w:color w:val="FF0000"/>
                <w:kern w:val="2"/>
                <w:sz w:val="21"/>
                <w:szCs w:val="21"/>
                <w:shd w:val="clear" w:fill="auto"/>
                <w:lang w:val="en-US" w:eastAsia="zh-CN" w:bidi="ar-SA"/>
              </w:rPr>
            </w:pPr>
          </w:p>
          <w:p w14:paraId="39BE73D3">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供应商</w:t>
            </w:r>
          </w:p>
          <w:p w14:paraId="153D3B07">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类似业绩</w:t>
            </w:r>
          </w:p>
        </w:tc>
        <w:tc>
          <w:tcPr>
            <w:tcW w:w="675" w:type="dxa"/>
            <w:tcBorders>
              <w:top w:val="single" w:color="000000" w:sz="2" w:space="0"/>
              <w:left w:val="single" w:color="000000" w:sz="4" w:space="0"/>
              <w:bottom w:val="single" w:color="000000" w:sz="4" w:space="0"/>
              <w:right w:val="single" w:color="000000" w:sz="4" w:space="0"/>
            </w:tcBorders>
            <w:vAlign w:val="center"/>
          </w:tcPr>
          <w:p w14:paraId="651891AA">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分</w:t>
            </w:r>
          </w:p>
        </w:tc>
        <w:tc>
          <w:tcPr>
            <w:tcW w:w="7115" w:type="dxa"/>
            <w:tcBorders>
              <w:top w:val="single" w:color="000000" w:sz="2" w:space="0"/>
              <w:left w:val="single" w:color="000000" w:sz="4" w:space="0"/>
              <w:bottom w:val="single" w:color="000000" w:sz="4" w:space="0"/>
              <w:right w:val="single" w:color="000000" w:sz="4" w:space="0"/>
            </w:tcBorders>
          </w:tcPr>
          <w:p w14:paraId="3E4CFB1B">
            <w:pPr>
              <w:spacing w:line="360" w:lineRule="auto"/>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供应商近三年内（</w:t>
            </w:r>
            <w:r>
              <w:rPr>
                <w:rFonts w:ascii="宋体" w:hAnsi="宋体" w:eastAsia="宋体" w:cs="宋体"/>
                <w:color w:val="FF0000"/>
                <w:kern w:val="2"/>
                <w:sz w:val="21"/>
                <w:szCs w:val="21"/>
                <w:shd w:val="clear" w:fill="auto"/>
                <w:lang w:val="en-US" w:eastAsia="zh-CN" w:bidi="ar-SA"/>
              </w:rPr>
              <w:t>2023</w:t>
            </w:r>
            <w:r>
              <w:rPr>
                <w:rFonts w:ascii="宋体" w:hAnsi="宋体" w:cs="宋体"/>
                <w:color w:val="FF0000"/>
                <w:kern w:val="2"/>
                <w:sz w:val="21"/>
                <w:szCs w:val="21"/>
                <w:shd w:val="clear" w:fill="auto"/>
                <w:lang w:val="en-US" w:eastAsia="zh-CN" w:bidi="ar-SA"/>
              </w:rPr>
              <w:t>年</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月</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日至今）完成过的类似业绩，每提供一个完整的业绩得</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分，最高可得</w:t>
            </w: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 xml:space="preserve">分；未提供类似业绩证明材料或模糊无法辨识的，视为无效业绩。 </w:t>
            </w:r>
          </w:p>
          <w:p w14:paraId="5716D36E">
            <w:pPr>
              <w:spacing w:line="360" w:lineRule="auto"/>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注：须提供</w:t>
            </w:r>
            <w:r>
              <w:rPr>
                <w:rFonts w:hint="eastAsia" w:ascii="宋体" w:hAnsi="宋体" w:cs="宋体"/>
                <w:color w:val="FF0000"/>
                <w:kern w:val="2"/>
                <w:sz w:val="21"/>
                <w:szCs w:val="21"/>
                <w:shd w:val="clear" w:fill="auto"/>
                <w:lang w:val="en-US" w:eastAsia="zh-CN" w:bidi="ar-SA"/>
              </w:rPr>
              <w:t>中标（成交）通知书或</w:t>
            </w:r>
            <w:r>
              <w:rPr>
                <w:rFonts w:ascii="宋体" w:hAnsi="宋体" w:cs="宋体"/>
                <w:color w:val="FF0000"/>
                <w:kern w:val="2"/>
                <w:sz w:val="21"/>
                <w:szCs w:val="21"/>
                <w:shd w:val="clear" w:fill="auto"/>
                <w:lang w:val="en-US" w:eastAsia="zh-CN" w:bidi="ar-SA"/>
              </w:rPr>
              <w:t>施工合同、验收报告的原件扫描件，不提供不得分。</w:t>
            </w:r>
          </w:p>
        </w:tc>
      </w:tr>
      <w:tr w14:paraId="082A3783">
        <w:tblPrEx>
          <w:tblCellMar>
            <w:top w:w="0" w:type="dxa"/>
            <w:left w:w="0" w:type="dxa"/>
            <w:bottom w:w="0" w:type="dxa"/>
            <w:right w:w="0" w:type="dxa"/>
          </w:tblCellMar>
        </w:tblPrEx>
        <w:trPr>
          <w:trHeight w:val="372" w:hRule="atLeast"/>
        </w:trPr>
        <w:tc>
          <w:tcPr>
            <w:tcW w:w="589" w:type="dxa"/>
            <w:tcBorders>
              <w:top w:val="single" w:color="000000" w:sz="4" w:space="0"/>
              <w:left w:val="single" w:color="000000" w:sz="4" w:space="0"/>
              <w:bottom w:val="single" w:color="000000" w:sz="2" w:space="0"/>
              <w:right w:val="single" w:color="000000" w:sz="4" w:space="0"/>
            </w:tcBorders>
            <w:vAlign w:val="center"/>
          </w:tcPr>
          <w:p w14:paraId="384D7237">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w:t>
            </w:r>
          </w:p>
        </w:tc>
        <w:tc>
          <w:tcPr>
            <w:tcW w:w="1523" w:type="dxa"/>
            <w:tcBorders>
              <w:top w:val="single" w:color="000000" w:sz="4" w:space="0"/>
              <w:left w:val="single" w:color="000000" w:sz="4" w:space="0"/>
              <w:bottom w:val="single" w:color="000000" w:sz="2" w:space="0"/>
              <w:right w:val="single" w:color="000000" w:sz="4" w:space="0"/>
            </w:tcBorders>
            <w:vAlign w:val="center"/>
          </w:tcPr>
          <w:p w14:paraId="7F11DDD3">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项目管理机构</w:t>
            </w:r>
          </w:p>
        </w:tc>
        <w:tc>
          <w:tcPr>
            <w:tcW w:w="675" w:type="dxa"/>
            <w:tcBorders>
              <w:top w:val="single" w:color="000000" w:sz="4" w:space="0"/>
              <w:left w:val="single" w:color="000000" w:sz="4" w:space="0"/>
              <w:bottom w:val="single" w:color="000000" w:sz="2" w:space="0"/>
              <w:right w:val="single" w:color="000000" w:sz="4" w:space="0"/>
            </w:tcBorders>
            <w:vAlign w:val="center"/>
          </w:tcPr>
          <w:p w14:paraId="6F69485D">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w:t>
            </w:r>
          </w:p>
        </w:tc>
        <w:tc>
          <w:tcPr>
            <w:tcW w:w="7115" w:type="dxa"/>
            <w:tcBorders>
              <w:top w:val="single" w:color="000000" w:sz="4" w:space="0"/>
              <w:left w:val="single" w:color="000000" w:sz="4" w:space="0"/>
              <w:bottom w:val="single" w:color="000000" w:sz="2" w:space="0"/>
              <w:right w:val="single" w:color="000000" w:sz="4" w:space="0"/>
            </w:tcBorders>
            <w:vAlign w:val="center"/>
          </w:tcPr>
          <w:p w14:paraId="2DBC5339">
            <w:pPr>
              <w:widowControl/>
              <w:spacing w:line="500" w:lineRule="exact"/>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拟配备的管理人员（</w:t>
            </w:r>
            <w:r>
              <w:rPr>
                <w:rFonts w:ascii="宋体" w:hAnsi="宋体" w:cs="宋体"/>
                <w:color w:val="FF0000"/>
                <w:kern w:val="2"/>
                <w:sz w:val="21"/>
                <w:szCs w:val="21"/>
                <w:u w:val="none"/>
                <w:shd w:val="clear" w:fill="auto"/>
                <w:lang w:val="en-US" w:eastAsia="zh-CN" w:bidi="ar-SA"/>
              </w:rPr>
              <w:t>技术负责人、施工员、安全员、质量员</w:t>
            </w:r>
            <w:r>
              <w:rPr>
                <w:rFonts w:ascii="宋体" w:hAnsi="宋体" w:cs="宋体"/>
                <w:color w:val="FF0000"/>
                <w:kern w:val="2"/>
                <w:sz w:val="21"/>
                <w:szCs w:val="21"/>
                <w:shd w:val="clear" w:fill="auto"/>
                <w:lang w:val="en-US" w:eastAsia="zh-CN" w:bidi="ar-SA"/>
              </w:rPr>
              <w:t>、</w:t>
            </w:r>
            <w:r>
              <w:rPr>
                <w:rFonts w:ascii="宋体" w:hAnsi="宋体" w:cs="宋体"/>
                <w:color w:val="FF0000"/>
                <w:kern w:val="2"/>
                <w:sz w:val="21"/>
                <w:szCs w:val="21"/>
                <w:u w:val="none"/>
                <w:shd w:val="clear" w:fill="auto"/>
                <w:lang w:val="en-US" w:eastAsia="zh-CN" w:bidi="ar-SA"/>
              </w:rPr>
              <w:t>材料员、预算员、资料员）</w:t>
            </w:r>
            <w:r>
              <w:rPr>
                <w:rFonts w:ascii="宋体" w:hAnsi="宋体" w:cs="宋体"/>
                <w:color w:val="FF0000"/>
                <w:kern w:val="2"/>
                <w:sz w:val="21"/>
                <w:szCs w:val="21"/>
                <w:shd w:val="clear" w:fill="auto"/>
                <w:lang w:val="en-US" w:eastAsia="zh-CN" w:bidi="ar-SA"/>
              </w:rPr>
              <w:t>数量各</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名，且持有相应的注册证书或岗位证书，须提供证书原件（或电子证照）及近</w:t>
            </w:r>
            <w:r>
              <w:rPr>
                <w:rFonts w:ascii="宋体" w:hAnsi="宋体" w:eastAsia="宋体" w:cs="宋体"/>
                <w:color w:val="FF0000"/>
                <w:kern w:val="2"/>
                <w:sz w:val="21"/>
                <w:szCs w:val="21"/>
                <w:shd w:val="clear" w:fill="auto"/>
                <w:lang w:val="en-US" w:eastAsia="zh-CN" w:bidi="ar-SA"/>
              </w:rPr>
              <w:t>6</w:t>
            </w:r>
            <w:r>
              <w:rPr>
                <w:rFonts w:ascii="宋体" w:hAnsi="宋体" w:cs="宋体"/>
                <w:color w:val="FF0000"/>
                <w:kern w:val="2"/>
                <w:sz w:val="21"/>
                <w:szCs w:val="21"/>
                <w:shd w:val="clear" w:fill="auto"/>
                <w:lang w:val="en-US" w:eastAsia="zh-CN" w:bidi="ar-SA"/>
              </w:rPr>
              <w:t>个月内任意</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个月社保缴纳证明的扫描件（退休人员提供退休证明材料及返聘合同）。</w:t>
            </w:r>
          </w:p>
          <w:p w14:paraId="2DCA85D6">
            <w:pPr>
              <w:widowControl/>
              <w:spacing w:line="500" w:lineRule="exact"/>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以上人员及证件提供齐全得</w:t>
            </w: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分，每缺少一名管理人员扣</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 xml:space="preserve">分，该项得分扣完为止。未提供不得分。 </w:t>
            </w:r>
          </w:p>
        </w:tc>
      </w:tr>
      <w:tr w14:paraId="75EDB1DE">
        <w:tblPrEx>
          <w:tblCellMar>
            <w:top w:w="0" w:type="dxa"/>
            <w:left w:w="0" w:type="dxa"/>
            <w:bottom w:w="0" w:type="dxa"/>
            <w:right w:w="0" w:type="dxa"/>
          </w:tblCellMar>
        </w:tblPrEx>
        <w:trPr>
          <w:trHeight w:val="786" w:hRule="atLeast"/>
        </w:trPr>
        <w:tc>
          <w:tcPr>
            <w:tcW w:w="2112" w:type="dxa"/>
            <w:gridSpan w:val="2"/>
            <w:tcBorders>
              <w:top w:val="single" w:color="000000" w:sz="2" w:space="0"/>
              <w:left w:val="single" w:color="000000" w:sz="4" w:space="0"/>
              <w:bottom w:val="single" w:color="000000" w:sz="2" w:space="0"/>
              <w:right w:val="single" w:color="000000" w:sz="4" w:space="0"/>
            </w:tcBorders>
            <w:vAlign w:val="center"/>
          </w:tcPr>
          <w:p w14:paraId="7AB56E21">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合计</w:t>
            </w:r>
          </w:p>
        </w:tc>
        <w:tc>
          <w:tcPr>
            <w:tcW w:w="675" w:type="dxa"/>
            <w:tcBorders>
              <w:top w:val="single" w:color="000000" w:sz="2" w:space="0"/>
              <w:left w:val="single" w:color="000000" w:sz="4" w:space="0"/>
              <w:bottom w:val="single" w:color="000000" w:sz="2" w:space="0"/>
              <w:right w:val="single" w:color="000000" w:sz="4" w:space="0"/>
            </w:tcBorders>
            <w:vAlign w:val="center"/>
          </w:tcPr>
          <w:p w14:paraId="7CE79FEE">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100</w:t>
            </w:r>
            <w:r>
              <w:rPr>
                <w:rFonts w:ascii="宋体" w:hAnsi="宋体" w:eastAsia="宋体" w:cs="宋体"/>
                <w:color w:val="FF0000"/>
                <w:sz w:val="21"/>
                <w:szCs w:val="21"/>
                <w:shd w:val="clear" w:fill="auto"/>
              </w:rPr>
              <w:t xml:space="preserve"> </w:t>
            </w:r>
            <w:r>
              <w:rPr>
                <w:rFonts w:ascii="宋体" w:hAnsi="宋体" w:cs="宋体"/>
                <w:color w:val="FF0000"/>
                <w:sz w:val="21"/>
                <w:szCs w:val="21"/>
                <w:shd w:val="clear" w:fill="auto"/>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69CCDDE8">
            <w:pPr>
              <w:snapToGrid w:val="0"/>
              <w:spacing w:line="360" w:lineRule="auto"/>
              <w:jc w:val="both"/>
              <w:rPr>
                <w:rFonts w:ascii="宋体" w:hAnsi="宋体" w:eastAsia="宋体" w:cs="宋体"/>
                <w:color w:val="FF0000"/>
                <w:sz w:val="21"/>
                <w:szCs w:val="21"/>
                <w:shd w:val="clear" w:fill="auto"/>
              </w:rPr>
            </w:pPr>
          </w:p>
        </w:tc>
      </w:tr>
    </w:tbl>
    <w:p w14:paraId="24B8BC24">
      <w:pPr>
        <w:pStyle w:val="8"/>
      </w:pPr>
    </w:p>
    <w:p w14:paraId="793743E2">
      <w:pPr>
        <w:pStyle w:val="62"/>
        <w:keepNext w:val="0"/>
        <w:keepLines w:val="0"/>
        <w:pageBreakBefore w:val="0"/>
        <w:widowControl w:val="0"/>
        <w:kinsoku/>
        <w:overflowPunct/>
        <w:autoSpaceDE/>
        <w:bidi w:val="0"/>
        <w:snapToGrid w:val="0"/>
        <w:spacing w:line="260" w:lineRule="exact"/>
        <w:ind w:left="0" w:firstLine="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备注:</w:t>
      </w:r>
    </w:p>
    <w:p w14:paraId="3FBA520E">
      <w:pPr>
        <w:pStyle w:val="62"/>
        <w:keepNext w:val="0"/>
        <w:keepLines w:val="0"/>
        <w:pageBreakBefore w:val="0"/>
        <w:widowControl w:val="0"/>
        <w:kinsoku/>
        <w:overflowPunct/>
        <w:autoSpaceDE/>
        <w:bidi w:val="0"/>
        <w:snapToGrid w:val="0"/>
        <w:spacing w:line="240" w:lineRule="auto"/>
        <w:ind w:left="0" w:firstLine="48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1、供应商在评审过程中，所进行的力图影响评审结果的不符合磋商规则的活动，可能导致其被取消成交资格。</w:t>
      </w:r>
    </w:p>
    <w:p w14:paraId="4DF8FCF6">
      <w:pPr>
        <w:pStyle w:val="62"/>
        <w:keepNext w:val="0"/>
        <w:keepLines w:val="0"/>
        <w:pageBreakBefore w:val="0"/>
        <w:widowControl w:val="0"/>
        <w:kinsoku/>
        <w:overflowPunct/>
        <w:autoSpaceDE/>
        <w:bidi w:val="0"/>
        <w:snapToGrid w:val="0"/>
        <w:spacing w:line="240" w:lineRule="auto"/>
        <w:ind w:firstLine="408"/>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2、与磋商文件有重大偏离的响应文件将被拒绝。</w:t>
      </w:r>
    </w:p>
    <w:p w14:paraId="4B1808EB">
      <w:pPr>
        <w:pStyle w:val="62"/>
        <w:keepNext w:val="0"/>
        <w:keepLines w:val="0"/>
        <w:pageBreakBefore w:val="0"/>
        <w:widowControl w:val="0"/>
        <w:kinsoku/>
        <w:overflowPunct/>
        <w:autoSpaceDE/>
        <w:bidi w:val="0"/>
        <w:snapToGrid w:val="0"/>
        <w:spacing w:line="240" w:lineRule="auto"/>
        <w:ind w:firstLine="0"/>
        <w:jc w:val="left"/>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附：对于商务部分（磋商报价）的评分，按以下方法进行：价格分统一采用低价优先法计算，即满足磋商文件要求且评审价格最低的报价为评审基准价，其价格分为满分。其他供应商的价格分统一按照下列公式计算：报价得分=(评审基准价／评审价格)×价格权值×100</w:t>
      </w:r>
    </w:p>
    <w:p w14:paraId="4EAF62A8">
      <w:pPr>
        <w:pStyle w:val="62"/>
        <w:keepNext w:val="0"/>
        <w:keepLines w:val="0"/>
        <w:pageBreakBefore w:val="0"/>
        <w:widowControl w:val="0"/>
        <w:kinsoku/>
        <w:overflowPunct/>
        <w:autoSpaceDE/>
        <w:bidi w:val="0"/>
        <w:spacing w:line="240" w:lineRule="auto"/>
        <w:ind w:firstLine="42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3、各磋商小组成员对每个供应商的上述指标的打分（除报价外）的算术平均分，加上经计算的报价得分，即为该供应商的最终综合评估分。磋商小组将按供应商得分顺序由高到低依次排名，得分相同的，按磋商报价由低到高顺序排列。得分及报价相同的，按技术指标优劣顺序排列。得分最高的前一名至前三名供应商将成为成交候选人。</w:t>
      </w:r>
    </w:p>
    <w:p w14:paraId="4A852064">
      <w:pPr>
        <w:pStyle w:val="62"/>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4、最低报价不作为评审的唯一依据。采购人不承诺将合同授予报价最低的供应商。</w:t>
      </w:r>
    </w:p>
    <w:p w14:paraId="6A845E63">
      <w:pPr>
        <w:pStyle w:val="62"/>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5、经磋商小组评议，认为磋商报价过高、超出采购人预算的项目，可以不确立成交供应商，做为无效响应处理。</w:t>
      </w:r>
    </w:p>
    <w:p w14:paraId="407F70AC">
      <w:pPr>
        <w:snapToGrid w:val="0"/>
        <w:spacing w:line="400" w:lineRule="exact"/>
        <w:ind w:firstLine="420"/>
        <w:rPr>
          <w:rFonts w:ascii="宋体" w:hAnsi="宋体" w:cs="宋体"/>
          <w:b/>
          <w:color w:val="000000"/>
          <w:szCs w:val="21"/>
          <w:highlight w:val="none"/>
        </w:rPr>
      </w:pPr>
      <w:r>
        <w:rPr>
          <w:rFonts w:ascii="宋体" w:hAnsi="宋体" w:cs="宋体"/>
          <w:b/>
          <w:color w:val="000000"/>
          <w:szCs w:val="21"/>
          <w:lang w:val="en-US" w:eastAsia="zh-CN"/>
        </w:rPr>
        <w:t>12.</w:t>
      </w:r>
      <w:r>
        <w:rPr>
          <w:rFonts w:ascii="宋体" w:hAnsi="宋体" w:cs="宋体"/>
          <w:b/>
          <w:color w:val="000000"/>
          <w:szCs w:val="21"/>
        </w:rPr>
        <w:t>无效响应条款</w:t>
      </w:r>
    </w:p>
    <w:p w14:paraId="1AD8343E">
      <w:pPr>
        <w:snapToGrid w:val="0"/>
        <w:spacing w:line="400" w:lineRule="exact"/>
        <w:ind w:firstLine="420"/>
        <w:rPr>
          <w:rFonts w:ascii="宋体" w:hAnsi="宋体" w:cs="宋体"/>
          <w:color w:val="000000"/>
          <w:szCs w:val="21"/>
          <w:highlight w:val="none"/>
        </w:rPr>
      </w:pPr>
      <w:r>
        <w:rPr>
          <w:rFonts w:ascii="宋体" w:hAnsi="宋体" w:cs="宋体"/>
          <w:color w:val="000000"/>
          <w:szCs w:val="21"/>
          <w:lang w:val="en-US" w:eastAsia="zh-CN"/>
        </w:rPr>
        <w:t>12</w:t>
      </w:r>
      <w:r>
        <w:rPr>
          <w:rFonts w:ascii="宋体" w:hAnsi="宋体" w:cs="宋体"/>
          <w:color w:val="000000"/>
          <w:szCs w:val="21"/>
        </w:rPr>
        <w:t>.1响应文件有下列情形之一的,其响应文件拒收:</w:t>
      </w:r>
    </w:p>
    <w:p w14:paraId="73432880">
      <w:pPr>
        <w:snapToGrid w:val="0"/>
        <w:spacing w:line="400" w:lineRule="exact"/>
        <w:rPr>
          <w:rFonts w:ascii="宋体" w:hAnsi="宋体" w:cs="宋体"/>
          <w:b/>
          <w:bCs/>
          <w:color w:val="000000"/>
          <w:szCs w:val="21"/>
          <w:highlight w:val="none"/>
        </w:rPr>
      </w:pPr>
      <w:r>
        <w:rPr>
          <w:rFonts w:ascii="宋体" w:hAnsi="宋体" w:cs="宋体"/>
          <w:color w:val="000000"/>
          <w:szCs w:val="21"/>
        </w:rPr>
        <w:t xml:space="preserve">   </w:t>
      </w:r>
      <w:r>
        <w:rPr>
          <w:rFonts w:ascii="宋体" w:hAnsi="宋体" w:cs="宋体"/>
          <w:b/>
          <w:bCs/>
          <w:color w:val="000000"/>
          <w:szCs w:val="21"/>
        </w:rPr>
        <w:t xml:space="preserve"> (1) 未在开启响应文件截止时间前通过网上采购响应系统递交有效电子响应文件的，开启响应文件系统不予接收。</w:t>
      </w:r>
    </w:p>
    <w:p w14:paraId="4E4AF664">
      <w:pPr>
        <w:snapToGrid w:val="0"/>
        <w:spacing w:line="400" w:lineRule="exact"/>
        <w:ind w:firstLine="420"/>
        <w:rPr>
          <w:rFonts w:ascii="宋体" w:hAnsi="宋体" w:cs="宋体"/>
          <w:b/>
          <w:bCs/>
          <w:color w:val="000000"/>
          <w:szCs w:val="21"/>
          <w:highlight w:val="none"/>
        </w:rPr>
      </w:pPr>
      <w:r>
        <w:rPr>
          <w:rFonts w:ascii="宋体" w:hAnsi="宋体" w:cs="宋体"/>
          <w:b/>
          <w:bCs/>
          <w:color w:val="000000"/>
          <w:szCs w:val="21"/>
        </w:rPr>
        <w:t>（2）</w:t>
      </w:r>
      <w:r>
        <w:rPr>
          <w:rFonts w:ascii="宋体" w:hAnsi="宋体" w:cs="宋体"/>
          <w:b/>
          <w:color w:val="000000"/>
          <w:szCs w:val="21"/>
        </w:rPr>
        <w:t>所有供应商应在规定时间里完成响应文件的解密工作</w:t>
      </w:r>
      <w:r>
        <w:rPr>
          <w:rFonts w:ascii="宋体" w:hAnsi="宋体" w:cs="宋体"/>
          <w:b/>
          <w:bCs/>
          <w:color w:val="000000"/>
          <w:szCs w:val="21"/>
        </w:rPr>
        <w:t>【供应商</w:t>
      </w:r>
      <w:r>
        <w:rPr>
          <w:rFonts w:ascii="宋体" w:hAnsi="宋体" w:cs="宋体"/>
          <w:b/>
          <w:bCs/>
          <w:color w:val="000000"/>
          <w:szCs w:val="21"/>
          <w:lang w:eastAsia="zh-CN"/>
        </w:rPr>
        <w:t>使用</w:t>
      </w:r>
      <w:r>
        <w:rPr>
          <w:rFonts w:ascii="宋体" w:hAnsi="宋体" w:cs="宋体"/>
          <w:b/>
          <w:bCs/>
          <w:color w:val="000000"/>
          <w:szCs w:val="21"/>
        </w:rPr>
        <w:t>其有效加密锁（CA锁）</w:t>
      </w:r>
      <w:r>
        <w:rPr>
          <w:rFonts w:ascii="宋体" w:hAnsi="宋体" w:cs="宋体"/>
          <w:b/>
          <w:bCs/>
          <w:color w:val="000000"/>
          <w:szCs w:val="21"/>
          <w:lang w:eastAsia="zh-CN"/>
        </w:rPr>
        <w:t>进行</w:t>
      </w:r>
      <w:r>
        <w:rPr>
          <w:rFonts w:ascii="宋体" w:hAnsi="宋体" w:cs="宋体"/>
          <w:b/>
          <w:bCs/>
          <w:color w:val="000000"/>
          <w:szCs w:val="21"/>
        </w:rPr>
        <w:t>解密（因供应商原因未能提供有效CA锁对其响应文件进行解密的，其响应文件按无效响应处理），以网上采购系统解密倒计时为准】</w:t>
      </w:r>
      <w:r>
        <w:rPr>
          <w:rFonts w:ascii="宋体" w:hAnsi="宋体" w:cs="宋体"/>
          <w:b/>
          <w:color w:val="000000"/>
          <w:szCs w:val="21"/>
        </w:rPr>
        <w:t>。</w:t>
      </w:r>
    </w:p>
    <w:p w14:paraId="548C8AD2">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.2供应商有下列情形之一的,资格审查后其响应作无效响应处理：</w:t>
      </w:r>
    </w:p>
    <w:p w14:paraId="1BF2D376">
      <w:pPr>
        <w:snapToGrid w:val="0"/>
        <w:spacing w:line="400" w:lineRule="exact"/>
        <w:ind w:firstLine="420"/>
        <w:rPr>
          <w:rFonts w:ascii="宋体" w:hAnsi="宋体" w:cs="宋体"/>
          <w:color w:val="000000"/>
          <w:szCs w:val="21"/>
          <w:highlight w:val="none"/>
        </w:rPr>
      </w:pPr>
      <w:r>
        <w:rPr>
          <w:rFonts w:ascii="宋体" w:hAnsi="宋体" w:cs="宋体"/>
          <w:color w:val="000000"/>
          <w:szCs w:val="21"/>
        </w:rPr>
        <w:t>(1)法定代表人参加未提供有效的法定代表人身份证明的；委托代理人参加未提供有效的法定代表人授权书的；</w:t>
      </w:r>
    </w:p>
    <w:p w14:paraId="13B93451">
      <w:pPr>
        <w:snapToGrid w:val="0"/>
        <w:spacing w:line="400" w:lineRule="exact"/>
        <w:ind w:firstLine="420"/>
        <w:rPr>
          <w:rFonts w:ascii="宋体" w:hAnsi="宋体" w:cs="宋体"/>
          <w:color w:val="000000"/>
          <w:szCs w:val="21"/>
          <w:highlight w:val="none"/>
        </w:rPr>
      </w:pPr>
      <w:r>
        <w:rPr>
          <w:rFonts w:ascii="宋体" w:hAnsi="宋体" w:cs="宋体"/>
          <w:color w:val="000000"/>
          <w:szCs w:val="21"/>
        </w:rPr>
        <w:t>(2)供应商为本项目提供采购代理服务的；</w:t>
      </w:r>
    </w:p>
    <w:p w14:paraId="1689C057">
      <w:pPr>
        <w:snapToGrid w:val="0"/>
        <w:spacing w:line="400" w:lineRule="exact"/>
        <w:ind w:firstLine="420"/>
        <w:rPr>
          <w:rFonts w:ascii="宋体" w:hAnsi="宋体" w:cs="宋体"/>
          <w:color w:val="000000"/>
          <w:szCs w:val="21"/>
          <w:highlight w:val="none"/>
        </w:rPr>
      </w:pPr>
      <w:r>
        <w:rPr>
          <w:rFonts w:ascii="宋体" w:hAnsi="宋体" w:cs="宋体"/>
          <w:color w:val="000000"/>
          <w:szCs w:val="21"/>
        </w:rPr>
        <w:t>(3)供应商与在本项目代理机构存在相互任职或工作的；</w:t>
      </w:r>
    </w:p>
    <w:p w14:paraId="412DE872">
      <w:pPr>
        <w:snapToGrid w:val="0"/>
        <w:spacing w:line="400" w:lineRule="exact"/>
        <w:ind w:firstLine="420"/>
        <w:rPr>
          <w:rFonts w:ascii="宋体" w:hAnsi="宋体" w:cs="宋体"/>
          <w:color w:val="000000"/>
          <w:szCs w:val="21"/>
          <w:highlight w:val="none"/>
        </w:rPr>
      </w:pPr>
      <w:r>
        <w:rPr>
          <w:rFonts w:ascii="宋体" w:hAnsi="宋体" w:cs="宋体"/>
          <w:color w:val="000000"/>
          <w:szCs w:val="21"/>
        </w:rPr>
        <w:t>(4)磋商保证金未按规定要求缴纳的；</w:t>
      </w:r>
    </w:p>
    <w:p w14:paraId="13B88B1B">
      <w:pPr>
        <w:snapToGrid w:val="0"/>
        <w:spacing w:line="400" w:lineRule="exact"/>
        <w:ind w:firstLine="420"/>
        <w:rPr>
          <w:rFonts w:ascii="宋体" w:hAnsi="宋体" w:cs="宋体"/>
          <w:color w:val="000000"/>
          <w:szCs w:val="21"/>
          <w:highlight w:val="none"/>
        </w:rPr>
      </w:pPr>
      <w:r>
        <w:rPr>
          <w:rFonts w:ascii="宋体" w:hAnsi="宋体" w:cs="宋体"/>
          <w:color w:val="000000"/>
          <w:szCs w:val="21"/>
        </w:rPr>
        <w:t>(5</w:t>
      </w:r>
      <w:r>
        <w:rPr>
          <w:rFonts w:ascii="宋体" w:hAnsi="宋体" w:eastAsia="宋体" w:cs="宋体"/>
          <w:color w:val="000000"/>
          <w:szCs w:val="21"/>
        </w:rPr>
        <w:t>)</w:t>
      </w:r>
      <w:r>
        <w:rPr>
          <w:rFonts w:ascii="宋体" w:hAnsi="宋体" w:cs="宋体"/>
          <w:color w:val="000000"/>
          <w:szCs w:val="21"/>
        </w:rPr>
        <w:t>评审专家无法查看并检验电子标书中相关资料的；</w:t>
      </w:r>
    </w:p>
    <w:p w14:paraId="5FD60938">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6</w:t>
      </w:r>
      <w:r>
        <w:rPr>
          <w:rFonts w:ascii="宋体" w:hAnsi="宋体" w:cs="宋体"/>
          <w:color w:val="000000"/>
          <w:szCs w:val="21"/>
        </w:rPr>
        <w:t>)联合体响应未提交联合体协议的；</w:t>
      </w:r>
    </w:p>
    <w:p w14:paraId="0915F2B5">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7</w:t>
      </w:r>
      <w:r>
        <w:rPr>
          <w:rFonts w:ascii="宋体" w:hAnsi="宋体" w:cs="宋体"/>
          <w:color w:val="000000"/>
          <w:szCs w:val="21"/>
        </w:rPr>
        <w:t>)被暂停营业的；</w:t>
      </w:r>
    </w:p>
    <w:p w14:paraId="562DD01E">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8</w:t>
      </w:r>
      <w:r>
        <w:rPr>
          <w:rFonts w:ascii="宋体" w:hAnsi="宋体" w:cs="宋体"/>
          <w:color w:val="000000"/>
          <w:szCs w:val="21"/>
        </w:rPr>
        <w:t>)被暂停或取消响应资格的；</w:t>
      </w:r>
    </w:p>
    <w:p w14:paraId="728C9537">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9</w:t>
      </w:r>
      <w:r>
        <w:rPr>
          <w:rFonts w:ascii="宋体" w:hAnsi="宋体" w:cs="宋体"/>
          <w:color w:val="000000"/>
          <w:szCs w:val="21"/>
        </w:rPr>
        <w:t>)财产被接管或冻结的；</w:t>
      </w:r>
    </w:p>
    <w:p w14:paraId="092DDDD2">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0</w:t>
      </w:r>
      <w:r>
        <w:rPr>
          <w:rFonts w:ascii="宋体" w:hAnsi="宋体" w:cs="宋体"/>
          <w:color w:val="000000"/>
          <w:szCs w:val="21"/>
        </w:rPr>
        <w:t>)供应商单位负责人为同一人或者存在控股、管理关系的不同单位的；</w:t>
      </w:r>
    </w:p>
    <w:p w14:paraId="563C2976">
      <w:pPr>
        <w:snapToGrid w:val="0"/>
        <w:spacing w:line="400" w:lineRule="exact"/>
        <w:ind w:firstLine="315"/>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1</w:t>
      </w:r>
      <w:r>
        <w:rPr>
          <w:rFonts w:ascii="宋体" w:hAnsi="宋体" w:cs="宋体"/>
          <w:color w:val="000000"/>
          <w:szCs w:val="21"/>
        </w:rPr>
        <w:t>）供应商基本资格条件和特定资格条件中有一项及以上不符合要求的；</w:t>
      </w:r>
    </w:p>
    <w:p w14:paraId="66782DBD">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2</w:t>
      </w:r>
      <w:r>
        <w:rPr>
          <w:rFonts w:ascii="宋体" w:hAnsi="宋体" w:cs="宋体"/>
          <w:color w:val="000000"/>
          <w:szCs w:val="21"/>
        </w:rPr>
        <w:t>）供应商使用相同的MAC地址进行报名的；</w:t>
      </w:r>
    </w:p>
    <w:p w14:paraId="52E5BF16">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3</w:t>
      </w:r>
      <w:r>
        <w:rPr>
          <w:rFonts w:ascii="宋体" w:hAnsi="宋体" w:cs="宋体"/>
          <w:color w:val="000000"/>
          <w:szCs w:val="21"/>
        </w:rPr>
        <w:t>）其它情形，经磋商小组提出按无效响应处理，并经监督部门核准的；</w:t>
      </w:r>
    </w:p>
    <w:p w14:paraId="2C41A67B">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4</w:t>
      </w:r>
      <w:r>
        <w:rPr>
          <w:rFonts w:ascii="宋体" w:hAnsi="宋体" w:cs="宋体"/>
          <w:color w:val="000000"/>
          <w:szCs w:val="21"/>
        </w:rPr>
        <w:t>）供应商使用相同IP地址报名的，一经发现，监管部门将进一步核实，查实后按串通响应处理；</w:t>
      </w:r>
    </w:p>
    <w:p w14:paraId="4D5C8C27">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5</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1A42E27">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.3 供应商有下列情形之一的,符合性审查后其响应按无效响应处理：</w:t>
      </w:r>
    </w:p>
    <w:p w14:paraId="2729099F">
      <w:pPr>
        <w:snapToGrid w:val="0"/>
        <w:spacing w:line="400" w:lineRule="exact"/>
        <w:ind w:firstLine="420"/>
        <w:rPr>
          <w:rFonts w:ascii="宋体" w:hAnsi="宋体" w:cs="宋体"/>
          <w:color w:val="000000"/>
          <w:szCs w:val="21"/>
          <w:highlight w:val="none"/>
        </w:rPr>
      </w:pPr>
      <w:r>
        <w:rPr>
          <w:rFonts w:ascii="宋体" w:hAnsi="宋体" w:eastAsia="宋体" w:cs="宋体"/>
          <w:color w:val="000000"/>
          <w:szCs w:val="21"/>
        </w:rPr>
        <w:t xml:space="preserve">(1) </w:t>
      </w:r>
      <w:r>
        <w:rPr>
          <w:rFonts w:ascii="宋体" w:hAnsi="宋体" w:cs="宋体"/>
          <w:color w:val="000000"/>
          <w:szCs w:val="21"/>
        </w:rPr>
        <w:t>响应文件签字、盖章不全，经磋商小组一致认定对开评审内容有实质性影响并经监督部门核准的；</w:t>
      </w:r>
    </w:p>
    <w:p w14:paraId="272A5963">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2</w:t>
      </w:r>
      <w:r>
        <w:rPr>
          <w:rFonts w:ascii="宋体" w:hAnsi="宋体" w:cs="宋体"/>
          <w:color w:val="000000"/>
          <w:szCs w:val="21"/>
        </w:rPr>
        <w:t>)未按规定的格式填写，实质性内容不全或关键字迹模糊、无法辨认; 经监督部门核准的；</w:t>
      </w:r>
    </w:p>
    <w:p w14:paraId="72B51D31">
      <w:pPr>
        <w:snapToGrid w:val="0"/>
        <w:spacing w:line="400" w:lineRule="exact"/>
        <w:ind w:firstLine="420"/>
        <w:rPr>
          <w:rFonts w:ascii="宋体" w:hAnsi="宋体" w:cs="宋体"/>
          <w:color w:val="000000"/>
          <w:szCs w:val="21"/>
          <w:highlight w:val="none"/>
        </w:rPr>
      </w:pPr>
      <w:r>
        <w:rPr>
          <w:rFonts w:ascii="宋体" w:hAnsi="宋体" w:cs="宋体"/>
          <w:color w:val="000000"/>
          <w:szCs w:val="21"/>
        </w:rPr>
        <w:t>(4)同一供应商提交两个以上不同的响应文件或者磋商报价，但</w:t>
      </w:r>
      <w:r>
        <w:rPr>
          <w:rFonts w:ascii="宋体" w:hAnsi="宋体" w:cs="宋体"/>
          <w:color w:val="000000"/>
          <w:szCs w:val="21"/>
          <w:lang w:eastAsia="zh-CN"/>
        </w:rPr>
        <w:t>采购文件</w:t>
      </w:r>
      <w:r>
        <w:rPr>
          <w:rFonts w:ascii="宋体" w:hAnsi="宋体" w:cs="宋体"/>
          <w:color w:val="000000"/>
          <w:szCs w:val="21"/>
        </w:rPr>
        <w:t>规定提交备选方案的除外；</w:t>
      </w:r>
    </w:p>
    <w:p w14:paraId="5A8011EB">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3</w:t>
      </w:r>
      <w:r>
        <w:rPr>
          <w:rFonts w:ascii="宋体" w:hAnsi="宋体" w:cs="宋体"/>
          <w:color w:val="000000"/>
          <w:szCs w:val="21"/>
        </w:rPr>
        <w:t>)响应文件没有对</w:t>
      </w:r>
      <w:r>
        <w:rPr>
          <w:rFonts w:ascii="宋体" w:hAnsi="宋体" w:cs="宋体"/>
          <w:color w:val="000000"/>
          <w:szCs w:val="21"/>
          <w:lang w:eastAsia="zh-CN"/>
        </w:rPr>
        <w:t>采购文件</w:t>
      </w:r>
      <w:r>
        <w:rPr>
          <w:rFonts w:ascii="宋体" w:hAnsi="宋体" w:cs="宋体"/>
          <w:color w:val="000000"/>
          <w:szCs w:val="21"/>
        </w:rPr>
        <w:t>的实质性要求和条件作出响应;</w:t>
      </w:r>
    </w:p>
    <w:p w14:paraId="08FE0B29">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4</w:t>
      </w:r>
      <w:r>
        <w:rPr>
          <w:rFonts w:ascii="宋体" w:hAnsi="宋体" w:cs="宋体"/>
          <w:color w:val="000000"/>
          <w:szCs w:val="21"/>
        </w:rPr>
        <w:t>)磋商报价超出规定的响应</w:t>
      </w:r>
      <w:r>
        <w:rPr>
          <w:rFonts w:ascii="宋体" w:hAnsi="宋体" w:cs="宋体"/>
          <w:color w:val="000000"/>
          <w:szCs w:val="21"/>
          <w:lang w:val="en-US" w:eastAsia="zh-CN"/>
        </w:rPr>
        <w:t>最高</w:t>
      </w:r>
      <w:r>
        <w:rPr>
          <w:rFonts w:ascii="宋体" w:hAnsi="宋体" w:cs="宋体"/>
          <w:color w:val="000000"/>
          <w:szCs w:val="21"/>
        </w:rPr>
        <w:t>限价。</w:t>
      </w:r>
    </w:p>
    <w:p w14:paraId="5AF15B0C">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5</w:t>
      </w:r>
      <w:r>
        <w:rPr>
          <w:rFonts w:ascii="宋体" w:hAnsi="宋体" w:cs="宋体"/>
          <w:color w:val="000000"/>
          <w:szCs w:val="21"/>
        </w:rPr>
        <w:t>)不按磋商小组要求澄清、说明或补正的，或者磋商小组根据</w:t>
      </w:r>
      <w:r>
        <w:rPr>
          <w:rFonts w:ascii="宋体" w:hAnsi="宋体" w:cs="宋体"/>
          <w:color w:val="000000"/>
          <w:szCs w:val="21"/>
          <w:lang w:eastAsia="zh-CN"/>
        </w:rPr>
        <w:t>采购文件</w:t>
      </w:r>
      <w:r>
        <w:rPr>
          <w:rFonts w:ascii="宋体" w:hAnsi="宋体" w:cs="宋体"/>
          <w:color w:val="000000"/>
          <w:szCs w:val="21"/>
        </w:rPr>
        <w:t>的规定对</w:t>
      </w:r>
      <w:r>
        <w:rPr>
          <w:rFonts w:ascii="宋体" w:hAnsi="宋体" w:cs="宋体"/>
          <w:color w:val="000000"/>
          <w:szCs w:val="21"/>
          <w:lang w:eastAsia="zh-CN"/>
        </w:rPr>
        <w:t>采购文件</w:t>
      </w:r>
      <w:r>
        <w:rPr>
          <w:rFonts w:ascii="宋体" w:hAnsi="宋体" w:cs="宋体"/>
          <w:color w:val="000000"/>
          <w:szCs w:val="21"/>
        </w:rPr>
        <w:t>的计算错误进行修正后，供应商不接受修正的磋商报价的。</w:t>
      </w:r>
    </w:p>
    <w:p w14:paraId="7B91ACDB">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6</w:t>
      </w:r>
      <w:r>
        <w:rPr>
          <w:rFonts w:ascii="宋体" w:hAnsi="宋体" w:cs="宋体"/>
          <w:color w:val="000000"/>
          <w:szCs w:val="21"/>
        </w:rPr>
        <w:t>）其它情形，经磋商小组提出按无效响应处理，并经监督部门核准的；</w:t>
      </w:r>
    </w:p>
    <w:p w14:paraId="6CA0F771">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7</w:t>
      </w:r>
      <w:r>
        <w:rPr>
          <w:rFonts w:ascii="宋体" w:hAnsi="宋体" w:cs="宋体"/>
          <w:color w:val="000000"/>
          <w:szCs w:val="21"/>
        </w:rPr>
        <w:t>）未按照</w:t>
      </w:r>
      <w:r>
        <w:rPr>
          <w:rFonts w:ascii="宋体" w:hAnsi="宋体" w:cs="宋体"/>
          <w:color w:val="000000"/>
          <w:szCs w:val="21"/>
          <w:lang w:eastAsia="zh-CN"/>
        </w:rPr>
        <w:t>磋商文件</w:t>
      </w:r>
      <w:r>
        <w:rPr>
          <w:rFonts w:ascii="宋体" w:hAnsi="宋体" w:cs="宋体"/>
          <w:color w:val="000000"/>
          <w:szCs w:val="21"/>
        </w:rPr>
        <w:t>的规定提交磋商保证金的；</w:t>
      </w:r>
    </w:p>
    <w:p w14:paraId="355C3878">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8</w:t>
      </w:r>
      <w:r>
        <w:rPr>
          <w:rFonts w:ascii="宋体" w:hAnsi="宋体" w:cs="宋体"/>
          <w:color w:val="000000"/>
          <w:szCs w:val="21"/>
        </w:rPr>
        <w:t>）响应文件含有采购人不能接受的附加条件的</w:t>
      </w:r>
      <w:r>
        <w:rPr>
          <w:rFonts w:ascii="宋体" w:hAnsi="宋体" w:eastAsia="宋体" w:cs="宋体"/>
          <w:color w:val="000000"/>
          <w:szCs w:val="21"/>
        </w:rPr>
        <w:t>;</w:t>
      </w:r>
    </w:p>
    <w:p w14:paraId="7035039C">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9</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4E614F7">
      <w:pPr>
        <w:spacing w:line="360" w:lineRule="auto"/>
        <w:ind w:firstLine="315"/>
        <w:jc w:val="left"/>
        <w:rPr>
          <w:rFonts w:ascii="宋体" w:hAnsi="宋体" w:eastAsia="宋体" w:cs="宋体"/>
          <w:color w:val="000000"/>
          <w:szCs w:val="21"/>
          <w:highlight w:val="none"/>
        </w:rPr>
      </w:pPr>
      <w:r>
        <w:rPr>
          <w:rFonts w:ascii="宋体" w:hAnsi="宋体" w:eastAsia="宋体" w:cs="宋体"/>
          <w:color w:val="000000"/>
          <w:szCs w:val="21"/>
          <w:lang w:val="en-US" w:eastAsia="zh-CN"/>
        </w:rPr>
        <w:t>12</w:t>
      </w:r>
      <w:r>
        <w:rPr>
          <w:rFonts w:ascii="宋体" w:hAnsi="宋体" w:eastAsia="宋体" w:cs="宋体"/>
          <w:color w:val="000000"/>
          <w:szCs w:val="21"/>
        </w:rPr>
        <w:t xml:space="preserve">.4 </w:t>
      </w:r>
      <w:r>
        <w:rPr>
          <w:rFonts w:ascii="宋体" w:hAnsi="宋体" w:cs="宋体"/>
          <w:color w:val="000000"/>
          <w:szCs w:val="21"/>
        </w:rPr>
        <w:t>供应商有下列情形之一的</w:t>
      </w:r>
      <w:r>
        <w:rPr>
          <w:rFonts w:ascii="宋体" w:hAnsi="宋体" w:eastAsia="宋体" w:cs="宋体"/>
          <w:color w:val="000000"/>
          <w:szCs w:val="21"/>
        </w:rPr>
        <w:t xml:space="preserve">, </w:t>
      </w:r>
      <w:r>
        <w:rPr>
          <w:rFonts w:ascii="宋体" w:hAnsi="宋体" w:cs="宋体"/>
          <w:color w:val="000000"/>
          <w:szCs w:val="21"/>
        </w:rPr>
        <w:t>详细评审后其响应按无效响应处理：</w:t>
      </w:r>
    </w:p>
    <w:p w14:paraId="026A3694">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(1)</w:t>
      </w:r>
      <w:r>
        <w:rPr>
          <w:rFonts w:ascii="宋体" w:hAnsi="宋体" w:cs="宋体"/>
          <w:color w:val="000000"/>
          <w:szCs w:val="21"/>
        </w:rPr>
        <w:t>响应产品不符合必须强制执行的国家标准的；</w:t>
      </w:r>
    </w:p>
    <w:p w14:paraId="1B97287F">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(2)</w:t>
      </w:r>
      <w:r>
        <w:rPr>
          <w:rFonts w:ascii="宋体" w:hAnsi="宋体" w:cs="宋体"/>
          <w:color w:val="000000"/>
          <w:szCs w:val="21"/>
        </w:rPr>
        <w:t>供应商有串通响应、弄虚作假、行贿等违法行为；</w:t>
      </w:r>
    </w:p>
    <w:p w14:paraId="131C6608">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(3)</w:t>
      </w:r>
      <w:r>
        <w:rPr>
          <w:rFonts w:ascii="宋体" w:hAnsi="宋体" w:cs="宋体"/>
          <w:color w:val="000000"/>
          <w:szCs w:val="21"/>
        </w:rPr>
        <w:t>响应文件含有违反国家法律、法规的内容，或附有采购人不能接受的条件的；</w:t>
      </w:r>
    </w:p>
    <w:p w14:paraId="15A604D0">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4</w:t>
      </w:r>
      <w:r>
        <w:rPr>
          <w:rFonts w:ascii="宋体" w:hAnsi="宋体" w:cs="宋体"/>
          <w:color w:val="000000"/>
          <w:szCs w:val="21"/>
        </w:rPr>
        <w:t>）在同一项目（或同一标段）中有多个供应商有效磋商报价接近最高限价，且磋商小组认为报价出现异常的，可以宣布其响应无效；</w:t>
      </w:r>
    </w:p>
    <w:p w14:paraId="3A4CA746">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5</w:t>
      </w:r>
      <w:r>
        <w:rPr>
          <w:rFonts w:ascii="宋体" w:hAnsi="宋体" w:cs="宋体"/>
          <w:color w:val="000000"/>
          <w:szCs w:val="21"/>
        </w:rPr>
        <w:t>）报价明显低于其他供应商，且不能证明报价合理性的响应无效；</w:t>
      </w:r>
    </w:p>
    <w:p w14:paraId="29C7F149">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6</w:t>
      </w:r>
      <w:r>
        <w:rPr>
          <w:rFonts w:ascii="宋体" w:hAnsi="宋体" w:cs="宋体"/>
          <w:color w:val="000000"/>
          <w:szCs w:val="21"/>
        </w:rPr>
        <w:t>）拒不确认磋商小组评审修正的响应无效；</w:t>
      </w:r>
    </w:p>
    <w:p w14:paraId="5CD1179B">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7</w:t>
      </w:r>
      <w:r>
        <w:rPr>
          <w:rFonts w:ascii="宋体" w:hAnsi="宋体" w:cs="宋体"/>
          <w:color w:val="000000"/>
          <w:szCs w:val="21"/>
        </w:rPr>
        <w:t>）其它情形，经磋商小组提出按无效响应处理，并经监督部门核准的；</w:t>
      </w:r>
    </w:p>
    <w:p w14:paraId="03BA60E5">
      <w:pPr>
        <w:spacing w:line="360" w:lineRule="auto"/>
        <w:ind w:firstLine="525"/>
        <w:jc w:val="left"/>
        <w:rPr>
          <w:rFonts w:ascii="宋体" w:hAnsi="宋体" w:eastAsia="宋体" w:cs="宋体"/>
          <w:color w:val="000000"/>
          <w:szCs w:val="21"/>
          <w:highlight w:val="none"/>
        </w:rPr>
        <w:sectPr>
          <w:headerReference r:id="rId5" w:type="default"/>
          <w:footerReference r:id="rId6" w:type="default"/>
          <w:pgSz w:w="11906" w:h="16838" w:orient="landscape"/>
          <w:pgMar w:top="1157" w:right="969" w:bottom="1157" w:left="1083" w:header="851" w:footer="992" w:gutter="0"/>
          <w:pgNumType w:fmt="decimal"/>
          <w:cols w:space="720" w:num="1"/>
          <w:formProt w:val="0"/>
          <w:docGrid w:type="linesAndChars" w:linePitch="312" w:charSpace="0"/>
        </w:sectPr>
      </w:pPr>
      <w:r>
        <w:rPr>
          <w:rFonts w:ascii="宋体" w:hAnsi="宋体" w:cs="宋体"/>
          <w:color w:val="000000"/>
          <w:szCs w:val="21"/>
        </w:rPr>
        <w:t>（</w:t>
      </w:r>
      <w:r>
        <w:rPr>
          <w:rFonts w:ascii="宋体" w:hAnsi="宋体" w:eastAsia="宋体" w:cs="宋体"/>
          <w:color w:val="000000"/>
          <w:szCs w:val="21"/>
        </w:rPr>
        <w:t>8</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r>
        <w:br w:type="page"/>
      </w:r>
    </w:p>
    <w:p w14:paraId="19FAE3D9">
      <w:pPr>
        <w:numPr>
          <w:ilvl w:val="0"/>
          <w:numId w:val="9"/>
        </w:numPr>
        <w:spacing w:line="360" w:lineRule="auto"/>
        <w:jc w:val="center"/>
        <w:outlineLvl w:val="0"/>
        <w:rPr>
          <w:rFonts w:ascii="宋体" w:hAnsi="宋体"/>
          <w:b/>
          <w:color w:val="000000"/>
          <w:sz w:val="32"/>
          <w:szCs w:val="32"/>
          <w:highlight w:val="none"/>
        </w:rPr>
      </w:pPr>
      <w:bookmarkStart w:id="8" w:name="OLE_LINK4"/>
      <w:bookmarkEnd w:id="8"/>
      <w:bookmarkStart w:id="9" w:name="__RefHeading___Toc469495737"/>
      <w:r>
        <w:rPr>
          <w:rFonts w:ascii="宋体" w:hAnsi="宋体" w:cs="宋体"/>
          <w:b/>
          <w:color w:val="000000"/>
          <w:sz w:val="32"/>
          <w:szCs w:val="32"/>
        </w:rPr>
        <w:t xml:space="preserve"> </w:t>
      </w:r>
      <w:bookmarkEnd w:id="9"/>
      <w:r>
        <w:rPr>
          <w:rFonts w:ascii="宋体" w:hAnsi="宋体" w:cs="Times New Roman"/>
          <w:b/>
          <w:color w:val="000000"/>
          <w:sz w:val="32"/>
          <w:szCs w:val="32"/>
          <w:lang w:val="en-US" w:eastAsia="zh-CN"/>
        </w:rPr>
        <w:t>工程量清单及商务要求</w:t>
      </w:r>
    </w:p>
    <w:p w14:paraId="0EB289C5">
      <w:pPr>
        <w:pStyle w:val="8"/>
        <w:rPr>
          <w:rFonts w:ascii="宋体" w:hAnsi="宋体"/>
          <w:b/>
          <w:color w:val="000000"/>
          <w:sz w:val="32"/>
          <w:szCs w:val="32"/>
          <w:highlight w:val="none"/>
        </w:rPr>
      </w:pPr>
    </w:p>
    <w:p w14:paraId="6F891B0F">
      <w:pPr>
        <w:rPr>
          <w:rFonts w:ascii="宋体" w:hAnsi="宋体" w:cs="宋体"/>
          <w:b/>
          <w:bCs/>
          <w:color w:val="000000"/>
          <w:szCs w:val="21"/>
          <w:highlight w:val="none"/>
          <w:lang w:val="en-US" w:eastAsia="zh-CN"/>
        </w:rPr>
      </w:pPr>
      <w:r>
        <w:rPr>
          <w:rFonts w:ascii="宋体" w:hAnsi="宋体" w:cs="宋体"/>
          <w:b/>
          <w:bCs/>
          <w:color w:val="000000"/>
          <w:szCs w:val="21"/>
          <w:lang w:val="en-US" w:eastAsia="zh-CN"/>
        </w:rPr>
        <w:t>一、工程量清单（另卷）</w:t>
      </w:r>
    </w:p>
    <w:p w14:paraId="6DD12FE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具体工程量清单详见附件</w:t>
      </w:r>
    </w:p>
    <w:p w14:paraId="4B6726CD">
      <w:pPr>
        <w:keepNext w:val="0"/>
        <w:keepLines w:val="0"/>
        <w:pageBreakBefore w:val="0"/>
        <w:kinsoku/>
        <w:overflowPunct/>
        <w:autoSpaceDE/>
        <w:bidi w:val="0"/>
        <w:snapToGrid/>
        <w:spacing w:line="440" w:lineRule="exact"/>
        <w:jc w:val="left"/>
        <w:textAlignment w:val="auto"/>
        <w:rPr>
          <w:rFonts w:ascii="宋体" w:hAnsi="宋体" w:eastAsia="宋体" w:cs="宋体"/>
          <w:b/>
          <w:bCs/>
          <w:color w:val="000000"/>
          <w:sz w:val="21"/>
          <w:szCs w:val="21"/>
          <w:highlight w:val="none"/>
        </w:rPr>
      </w:pPr>
      <w:r>
        <w:rPr>
          <w:rFonts w:ascii="宋体" w:hAnsi="宋体" w:cs="宋体"/>
          <w:b/>
          <w:bCs/>
          <w:color w:val="000000"/>
          <w:sz w:val="21"/>
          <w:szCs w:val="21"/>
          <w:lang w:val="en-US" w:eastAsia="zh-CN"/>
        </w:rPr>
        <w:t>二、商务</w:t>
      </w:r>
      <w:r>
        <w:rPr>
          <w:rFonts w:ascii="宋体" w:hAnsi="宋体" w:cs="宋体"/>
          <w:b/>
          <w:bCs/>
          <w:color w:val="000000"/>
          <w:sz w:val="21"/>
          <w:szCs w:val="21"/>
        </w:rPr>
        <w:t>要求</w:t>
      </w:r>
    </w:p>
    <w:p w14:paraId="34AF1816">
      <w:pPr>
        <w:keepNext w:val="0"/>
        <w:keepLines w:val="0"/>
        <w:pageBreakBefore w:val="0"/>
        <w:kinsoku/>
        <w:overflowPunct/>
        <w:autoSpaceDE/>
        <w:bidi w:val="0"/>
        <w:snapToGrid/>
        <w:spacing w:line="440" w:lineRule="exact"/>
        <w:jc w:val="left"/>
        <w:textAlignment w:val="auto"/>
        <w:rPr>
          <w:rFonts w:ascii="Times New Roman" w:hAnsi="Times New Roman" w:eastAsia="宋体" w:cs="Times New Roman"/>
          <w:b/>
          <w:bCs/>
          <w:kern w:val="2"/>
          <w:sz w:val="21"/>
          <w:szCs w:val="24"/>
          <w:lang w:val="en-US" w:eastAsia="zh-CN" w:bidi="ar-SA"/>
        </w:rPr>
      </w:pPr>
      <w:r>
        <w:rPr>
          <w:b/>
          <w:bCs/>
          <w:lang w:val="en-US" w:eastAsia="zh-CN"/>
        </w:rPr>
        <w:t>（</w:t>
      </w:r>
      <w:r>
        <w:rPr>
          <w:rFonts w:eastAsia="宋体" w:cs="Times New Roman"/>
          <w:b/>
          <w:bCs/>
          <w:kern w:val="2"/>
          <w:sz w:val="21"/>
          <w:szCs w:val="24"/>
          <w:lang w:val="en-US" w:eastAsia="zh-CN" w:bidi="ar-SA"/>
        </w:rPr>
        <w:t>1</w:t>
      </w:r>
      <w:r>
        <w:rPr>
          <w:rFonts w:ascii="Times New Roman" w:hAnsi="Times New Roman" w:cs="Times New Roman"/>
          <w:b/>
          <w:bCs/>
          <w:kern w:val="2"/>
          <w:sz w:val="21"/>
          <w:szCs w:val="24"/>
          <w:lang w:val="en-US" w:eastAsia="zh-CN" w:bidi="ar-SA"/>
        </w:rPr>
        <w:t>）施工地点</w:t>
      </w:r>
    </w:p>
    <w:p w14:paraId="1DD6F782">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水云见小区</w:t>
      </w:r>
    </w:p>
    <w:p w14:paraId="3726483C">
      <w:pPr>
        <w:keepNext w:val="0"/>
        <w:keepLines w:val="0"/>
        <w:pageBreakBefore w:val="0"/>
        <w:numPr>
          <w:ilvl w:val="0"/>
          <w:numId w:val="10"/>
        </w:numPr>
        <w:kinsoku/>
        <w:overflowPunct/>
        <w:autoSpaceDE/>
        <w:bidi w:val="0"/>
        <w:snapToGrid/>
        <w:spacing w:line="440" w:lineRule="exact"/>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施工工期</w:t>
      </w:r>
    </w:p>
    <w:p w14:paraId="0183731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确定成交供应商后</w:t>
      </w:r>
      <w:r>
        <w:rPr>
          <w:rFonts w:eastAsia="宋体" w:cs="Times New Roman"/>
          <w:color w:val="0000FF"/>
          <w:kern w:val="2"/>
          <w:sz w:val="21"/>
          <w:szCs w:val="24"/>
          <w:lang w:val="en-US" w:eastAsia="zh-CN" w:bidi="ar-SA"/>
        </w:rPr>
        <w:t>5</w:t>
      </w:r>
      <w:r>
        <w:rPr>
          <w:rFonts w:ascii="Times New Roman" w:hAnsi="Times New Roman" w:cs="Times New Roman"/>
          <w:color w:val="0000FF"/>
          <w:kern w:val="2"/>
          <w:sz w:val="21"/>
          <w:szCs w:val="24"/>
          <w:lang w:val="en-US" w:eastAsia="zh-CN" w:bidi="ar-SA"/>
        </w:rPr>
        <w:t>个工作日内与采购单位完成合同签订。并自签订合同之日起，</w:t>
      </w:r>
      <w:r>
        <w:rPr>
          <w:rFonts w:eastAsia="宋体" w:cs="Times New Roman"/>
          <w:color w:val="0000FF"/>
          <w:kern w:val="2"/>
          <w:sz w:val="21"/>
          <w:szCs w:val="24"/>
          <w:lang w:val="en-US" w:eastAsia="zh-CN" w:bidi="ar-SA"/>
        </w:rPr>
        <w:t>90</w:t>
      </w:r>
      <w:r>
        <w:rPr>
          <w:rFonts w:ascii="Times New Roman" w:hAnsi="Times New Roman" w:cs="Times New Roman"/>
          <w:color w:val="0000FF"/>
          <w:kern w:val="2"/>
          <w:sz w:val="21"/>
          <w:szCs w:val="24"/>
          <w:lang w:val="en-US" w:eastAsia="zh-CN" w:bidi="ar-SA"/>
        </w:rPr>
        <w:t>个日历日完工并交付使用。</w:t>
      </w:r>
    </w:p>
    <w:p w14:paraId="424A457F">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3</w:t>
      </w:r>
      <w:r>
        <w:rPr>
          <w:rFonts w:ascii="Times New Roman" w:hAnsi="Times New Roman" w:cs="Times New Roman"/>
          <w:b/>
          <w:bCs/>
          <w:kern w:val="2"/>
          <w:sz w:val="21"/>
          <w:szCs w:val="24"/>
          <w:lang w:val="en-US" w:eastAsia="zh-CN" w:bidi="ar-SA"/>
        </w:rPr>
        <w:t>）质量要求</w:t>
      </w:r>
    </w:p>
    <w:p w14:paraId="64CD333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质量标准：</w:t>
      </w:r>
      <w:r>
        <w:rPr>
          <w:rFonts w:ascii="Times New Roman" w:hAnsi="Times New Roman" w:cs="Times New Roman"/>
          <w:kern w:val="2"/>
          <w:sz w:val="21"/>
          <w:szCs w:val="24"/>
          <w:lang w:val="en-US" w:eastAsia="zh-CN" w:bidi="ar-SA"/>
        </w:rPr>
        <w:t>符合现行国家有关工程施工验收规范和标准的合格要求。</w:t>
      </w:r>
    </w:p>
    <w:p w14:paraId="64AFFDC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质量保修期：</w:t>
      </w:r>
      <w:r>
        <w:rPr>
          <w:rFonts w:ascii="Times New Roman" w:hAnsi="Times New Roman" w:cs="Times New Roman"/>
          <w:color w:val="0000FF"/>
          <w:kern w:val="2"/>
          <w:sz w:val="21"/>
          <w:szCs w:val="24"/>
          <w:lang w:val="en-US" w:eastAsia="zh-CN" w:bidi="ar-SA"/>
        </w:rPr>
        <w:t>本项目保修期</w:t>
      </w:r>
      <w:r>
        <w:rPr>
          <w:rFonts w:eastAsia="宋体" w:cs="Times New Roman"/>
          <w:color w:val="0000FF"/>
          <w:kern w:val="2"/>
          <w:sz w:val="21"/>
          <w:szCs w:val="24"/>
          <w:lang w:val="en-US" w:eastAsia="zh-CN" w:bidi="ar-SA"/>
        </w:rPr>
        <w:t>1</w:t>
      </w:r>
      <w:r>
        <w:rPr>
          <w:rFonts w:ascii="Times New Roman" w:hAnsi="Times New Roman" w:cs="Times New Roman"/>
          <w:color w:val="0000FF"/>
          <w:kern w:val="2"/>
          <w:sz w:val="21"/>
          <w:szCs w:val="24"/>
          <w:lang w:val="en-US" w:eastAsia="zh-CN" w:bidi="ar-SA"/>
        </w:rPr>
        <w:t>年。</w:t>
      </w:r>
    </w:p>
    <w:p w14:paraId="7CF00F75">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4</w:t>
      </w:r>
      <w:r>
        <w:rPr>
          <w:rFonts w:ascii="Times New Roman" w:hAnsi="Times New Roman" w:cs="Times New Roman"/>
          <w:b/>
          <w:bCs/>
          <w:kern w:val="2"/>
          <w:sz w:val="21"/>
          <w:szCs w:val="24"/>
          <w:lang w:val="en-US" w:eastAsia="zh-CN" w:bidi="ar-SA"/>
        </w:rPr>
        <w:t>）适用规范、标准和规程</w:t>
      </w:r>
    </w:p>
    <w:p w14:paraId="0533BCDD">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、除合同另有约定外，本工程适用现行国家、行业和地方规范、标准和规程。</w:t>
      </w:r>
    </w:p>
    <w:p w14:paraId="0A7C3DB0">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、除合同另有约定外，材料、施工工艺和本工程都应依照本技术标准和要求以及适用的现行规范、标准和规程的最新版本执行。</w:t>
      </w:r>
    </w:p>
    <w:p w14:paraId="5F038A3B">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5</w:t>
      </w:r>
      <w:r>
        <w:rPr>
          <w:rFonts w:ascii="Times New Roman" w:hAnsi="Times New Roman" w:cs="Times New Roman"/>
          <w:b/>
          <w:bCs/>
          <w:kern w:val="2"/>
          <w:sz w:val="21"/>
          <w:szCs w:val="24"/>
          <w:lang w:val="en-US" w:eastAsia="zh-CN" w:bidi="ar-SA"/>
        </w:rPr>
        <w:t>）安全文明施工</w:t>
      </w:r>
    </w:p>
    <w:p w14:paraId="1AC36F0F">
      <w:pPr>
        <w:keepNext w:val="0"/>
        <w:keepLines w:val="0"/>
        <w:pageBreakBefore w:val="0"/>
        <w:numPr>
          <w:ilvl w:val="0"/>
          <w:numId w:val="0"/>
        </w:numPr>
        <w:kinsoku/>
        <w:overflowPunct/>
        <w:autoSpaceDE/>
        <w:bidi w:val="0"/>
        <w:snapToGrid/>
        <w:spacing w:line="440" w:lineRule="exact"/>
        <w:ind w:left="0" w:firstLine="420"/>
        <w:jc w:val="left"/>
        <w:textAlignment w:val="auto"/>
        <w:rPr>
          <w:lang w:val="zh-CN" w:eastAsia="zh-CN"/>
        </w:rPr>
      </w:pPr>
      <w:r>
        <w:rPr>
          <w:rFonts w:ascii="Times New Roman" w:hAnsi="Times New Roman" w:cs="Times New Roman"/>
          <w:kern w:val="2"/>
          <w:sz w:val="21"/>
          <w:szCs w:val="24"/>
          <w:lang w:val="en-US" w:eastAsia="zh-CN" w:bidi="ar-SA"/>
        </w:rPr>
        <w:t>在工程施工、竣工、交付及修补任何缺陷的过程中，承包人应当始终遵守国家和地方有关安全生产的法律、法规、规范、标准和规程等，履行其安全施工职责。</w:t>
      </w:r>
    </w:p>
    <w:p w14:paraId="6CE4F789">
      <w:pPr>
        <w:keepNext w:val="0"/>
        <w:keepLines w:val="0"/>
        <w:pageBreakBefore w:val="0"/>
        <w:numPr>
          <w:ilvl w:val="0"/>
          <w:numId w:val="0"/>
        </w:numPr>
        <w:kinsoku/>
        <w:overflowPunct/>
        <w:autoSpaceDE/>
        <w:bidi w:val="0"/>
        <w:snapToGrid/>
        <w:spacing w:line="440" w:lineRule="exact"/>
        <w:ind w:left="0" w:firstLine="0"/>
        <w:textAlignment w:val="auto"/>
        <w:rPr>
          <w:rFonts w:ascii="宋体" w:hAnsi="宋体" w:eastAsia="宋体" w:cs="宋体"/>
          <w:b/>
          <w:color w:val="000000"/>
          <w:sz w:val="21"/>
          <w:szCs w:val="21"/>
          <w:highlight w:val="none"/>
          <w:lang w:val="en-US"/>
        </w:rPr>
      </w:pPr>
      <w:r>
        <w:rPr>
          <w:rFonts w:ascii="宋体" w:hAnsi="宋体" w:cs="宋体"/>
          <w:b/>
          <w:color w:val="000000"/>
          <w:sz w:val="21"/>
          <w:szCs w:val="21"/>
          <w:lang w:val="en-US" w:eastAsia="zh-CN"/>
        </w:rPr>
        <w:t>（4）验收保证承诺</w:t>
      </w:r>
    </w:p>
    <w:p w14:paraId="5F81CAB9">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施工单位施工的工程达到验收时移交采购人验收，验收标准须符合国家施工工程标准规范。</w:t>
      </w:r>
    </w:p>
    <w:p w14:paraId="7FDD2FD6">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（5）</w:t>
      </w:r>
      <w:r>
        <w:rPr>
          <w:rFonts w:ascii="宋体" w:hAnsi="宋体" w:cs="宋体"/>
          <w:b/>
          <w:color w:val="000000"/>
          <w:sz w:val="21"/>
          <w:szCs w:val="21"/>
        </w:rPr>
        <w:t>报价要求</w:t>
      </w:r>
    </w:p>
    <w:p w14:paraId="3FD0A25A">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本项目采用工程量清单报价，供应商应仔细阅读并编制响应的报价清单，不得缺项、漏项。否则其报价将被拒绝。</w:t>
      </w:r>
    </w:p>
    <w:p w14:paraId="60303B08">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本项目磋商报价指完成工程量清单全部费用，各种费用和税金及其他所有成本费用应计算在内。</w:t>
      </w:r>
    </w:p>
    <w:p w14:paraId="461F4837">
      <w:pPr>
        <w:keepNext w:val="0"/>
        <w:keepLines w:val="0"/>
        <w:pageBreakBefore w:val="0"/>
        <w:numPr>
          <w:ilvl w:val="0"/>
          <w:numId w:val="0"/>
        </w:numPr>
        <w:kinsoku/>
        <w:overflowPunct/>
        <w:autoSpaceDE/>
        <w:bidi w:val="0"/>
        <w:snapToGrid/>
        <w:spacing w:line="440" w:lineRule="exact"/>
        <w:ind w:left="0" w:firstLine="0"/>
        <w:jc w:val="left"/>
        <w:textAlignment w:val="auto"/>
        <w:rPr>
          <w:rFonts w:ascii="宋体" w:hAnsi="宋体" w:eastAsia="宋体" w:cs="宋体"/>
          <w:b/>
          <w:bCs/>
          <w:color w:val="000000"/>
          <w:kern w:val="0"/>
          <w:sz w:val="21"/>
          <w:szCs w:val="21"/>
          <w:highlight w:val="none"/>
          <w:lang w:val="en-US" w:eastAsia="zh-CN"/>
        </w:rPr>
      </w:pPr>
      <w:r>
        <w:rPr>
          <w:rFonts w:ascii="宋体" w:hAnsi="宋体" w:cs="宋体"/>
          <w:b/>
          <w:bCs/>
          <w:color w:val="000000"/>
          <w:kern w:val="0"/>
          <w:sz w:val="21"/>
          <w:szCs w:val="21"/>
          <w:lang w:val="en-US" w:eastAsia="zh-CN"/>
        </w:rPr>
        <w:t>（6）质保及售后要求</w:t>
      </w:r>
    </w:p>
    <w:p w14:paraId="66CAEC2C">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eastAsia="宋体" w:cs="宋体"/>
          <w:color w:val="000000"/>
          <w:kern w:val="0"/>
          <w:szCs w:val="21"/>
          <w:lang w:val="en-US" w:eastAsia="zh-CN"/>
        </w:rPr>
        <w:t>1</w:t>
      </w:r>
      <w:r>
        <w:rPr>
          <w:rFonts w:ascii="宋体" w:hAnsi="宋体" w:cs="宋体"/>
          <w:color w:val="000000"/>
          <w:kern w:val="0"/>
          <w:szCs w:val="21"/>
          <w:lang w:val="en-US" w:eastAsia="zh-CN"/>
        </w:rPr>
        <w:t>）本项目的质保期自验收合格之日起计算，保修期</w:t>
      </w:r>
      <w:r>
        <w:rPr>
          <w:rFonts w:ascii="宋体" w:hAnsi="宋体" w:eastAsia="宋体" w:cs="宋体"/>
          <w:color w:val="000000"/>
          <w:kern w:val="0"/>
          <w:szCs w:val="21"/>
          <w:lang w:val="en-US" w:eastAsia="zh-CN"/>
        </w:rPr>
        <w:t>1</w:t>
      </w:r>
      <w:r>
        <w:rPr>
          <w:rFonts w:ascii="宋体" w:hAnsi="宋体" w:cs="宋体"/>
          <w:color w:val="000000"/>
          <w:kern w:val="0"/>
          <w:szCs w:val="21"/>
          <w:lang w:val="en-US" w:eastAsia="zh-CN"/>
        </w:rPr>
        <w:t>年，在合同期内，甲方正常使用乙方施工的工程出现质量问题时，乙方负责更换、维修至合格。</w:t>
      </w:r>
    </w:p>
    <w:p w14:paraId="36D1F276">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highlight w:val="none"/>
          <w:lang w:val="en-US" w:eastAsia="zh-CN"/>
        </w:rPr>
      </w:pPr>
      <w:r>
        <w:rPr>
          <w:rFonts w:ascii="宋体" w:hAnsi="宋体" w:cs="宋体"/>
          <w:color w:val="000000"/>
          <w:kern w:val="0"/>
          <w:szCs w:val="21"/>
          <w:lang w:val="en-US" w:eastAsia="zh-CN"/>
        </w:rPr>
        <w:t>2）质量技术：施工质量技术应符合国家施工工程标准规范执行。</w:t>
      </w:r>
    </w:p>
    <w:p w14:paraId="1A2CB347">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sz w:val="21"/>
          <w:szCs w:val="21"/>
          <w:highlight w:val="none"/>
          <w:lang w:eastAsia="zh-CN"/>
        </w:rPr>
      </w:pPr>
      <w:r>
        <w:rPr>
          <w:rFonts w:ascii="宋体" w:hAnsi="宋体" w:eastAsia="宋体" w:cs="宋体"/>
          <w:color w:val="000000"/>
          <w:kern w:val="0"/>
          <w:szCs w:val="21"/>
          <w:lang w:val="en-US" w:eastAsia="zh-CN"/>
        </w:rPr>
        <w:t>3</w:t>
      </w:r>
      <w:r>
        <w:rPr>
          <w:rFonts w:ascii="宋体" w:hAnsi="宋体" w:cs="宋体"/>
          <w:color w:val="000000"/>
          <w:kern w:val="0"/>
          <w:szCs w:val="21"/>
          <w:lang w:val="en-US" w:eastAsia="zh-CN"/>
        </w:rPr>
        <w:t>）理赔：施工单位施工的工程未达到竞争性</w:t>
      </w:r>
      <w:r>
        <w:rPr>
          <w:rFonts w:hint="eastAsia" w:ascii="宋体" w:hAnsi="宋体" w:cs="宋体"/>
          <w:color w:val="000000"/>
          <w:kern w:val="0"/>
          <w:szCs w:val="21"/>
          <w:lang w:val="en-US" w:eastAsia="zh-CN"/>
        </w:rPr>
        <w:t>磋商</w:t>
      </w:r>
      <w:r>
        <w:rPr>
          <w:rFonts w:ascii="宋体" w:hAnsi="宋体" w:cs="宋体"/>
          <w:color w:val="000000"/>
          <w:kern w:val="0"/>
          <w:szCs w:val="21"/>
          <w:lang w:val="en-US" w:eastAsia="zh-CN"/>
        </w:rPr>
        <w:t>文件规定要求，且对采购人造成损失的，由施工单位承担一切责任，并赔偿所造成的损失。</w:t>
      </w:r>
    </w:p>
    <w:p w14:paraId="6CED179C">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(7)</w:t>
      </w:r>
      <w:r>
        <w:rPr>
          <w:rFonts w:ascii="宋体" w:hAnsi="宋体" w:cs="宋体"/>
          <w:b/>
          <w:color w:val="000000"/>
          <w:sz w:val="21"/>
          <w:szCs w:val="21"/>
        </w:rPr>
        <w:t>付款方式</w:t>
      </w:r>
    </w:p>
    <w:p w14:paraId="381AE619">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签订合同后，甲方向乙方预付合同价款的</w:t>
      </w:r>
      <w:r>
        <w:rPr>
          <w:rFonts w:eastAsia="宋体" w:cs="Times New Roman"/>
          <w:color w:val="0000FF"/>
          <w:kern w:val="2"/>
          <w:sz w:val="21"/>
          <w:szCs w:val="24"/>
          <w:lang w:val="en-US" w:eastAsia="zh-CN" w:bidi="ar-SA"/>
        </w:rPr>
        <w:t>30%</w:t>
      </w:r>
      <w:r>
        <w:rPr>
          <w:rFonts w:ascii="Times New Roman" w:hAnsi="Times New Roman" w:cs="Times New Roman"/>
          <w:color w:val="0000FF"/>
          <w:kern w:val="2"/>
          <w:sz w:val="21"/>
          <w:szCs w:val="24"/>
          <w:lang w:val="en-US" w:eastAsia="zh-CN" w:bidi="ar-SA"/>
        </w:rPr>
        <w:t>，项目实施至项目进度</w:t>
      </w:r>
      <w:r>
        <w:rPr>
          <w:rFonts w:eastAsia="宋体" w:cs="Times New Roman"/>
          <w:color w:val="0000FF"/>
          <w:kern w:val="2"/>
          <w:sz w:val="21"/>
          <w:szCs w:val="24"/>
          <w:lang w:val="en-US" w:eastAsia="zh-CN" w:bidi="ar-SA"/>
        </w:rPr>
        <w:t>70%</w:t>
      </w:r>
      <w:r>
        <w:rPr>
          <w:rFonts w:ascii="Times New Roman" w:hAnsi="Times New Roman" w:cs="Times New Roman"/>
          <w:color w:val="0000FF"/>
          <w:kern w:val="2"/>
          <w:sz w:val="21"/>
          <w:szCs w:val="24"/>
          <w:lang w:val="en-US" w:eastAsia="zh-CN" w:bidi="ar-SA"/>
        </w:rPr>
        <w:t>时，支付至合同价款的</w:t>
      </w:r>
      <w:r>
        <w:rPr>
          <w:rFonts w:eastAsia="宋体" w:cs="Times New Roman"/>
          <w:color w:val="0000FF"/>
          <w:kern w:val="2"/>
          <w:sz w:val="21"/>
          <w:szCs w:val="24"/>
          <w:lang w:val="en-US" w:eastAsia="zh-CN" w:bidi="ar-SA"/>
        </w:rPr>
        <w:t>60%</w:t>
      </w:r>
      <w:r>
        <w:rPr>
          <w:rFonts w:ascii="Times New Roman" w:hAnsi="Times New Roman" w:cs="Times New Roman"/>
          <w:color w:val="0000FF"/>
          <w:kern w:val="2"/>
          <w:sz w:val="21"/>
          <w:szCs w:val="24"/>
          <w:lang w:val="en-US" w:eastAsia="zh-CN" w:bidi="ar-SA"/>
        </w:rPr>
        <w:t>，竣工验收合格后支付至合同价款的</w:t>
      </w:r>
      <w:r>
        <w:rPr>
          <w:rFonts w:eastAsia="宋体" w:cs="Times New Roman"/>
          <w:color w:val="0000FF"/>
          <w:kern w:val="2"/>
          <w:sz w:val="21"/>
          <w:szCs w:val="24"/>
          <w:lang w:val="en-US" w:eastAsia="zh-CN" w:bidi="ar-SA"/>
        </w:rPr>
        <w:t>80%</w:t>
      </w:r>
      <w:r>
        <w:rPr>
          <w:rFonts w:ascii="Times New Roman" w:hAnsi="Times New Roman" w:cs="Times New Roman"/>
          <w:color w:val="0000FF"/>
          <w:kern w:val="2"/>
          <w:sz w:val="21"/>
          <w:szCs w:val="24"/>
          <w:lang w:val="en-US" w:eastAsia="zh-CN" w:bidi="ar-SA"/>
        </w:rPr>
        <w:t>，结算审计后支付审计价的</w:t>
      </w:r>
      <w:r>
        <w:rPr>
          <w:rFonts w:eastAsia="宋体" w:cs="Times New Roman"/>
          <w:color w:val="0000FF"/>
          <w:kern w:val="2"/>
          <w:sz w:val="21"/>
          <w:szCs w:val="24"/>
          <w:lang w:val="en-US" w:eastAsia="zh-CN" w:bidi="ar-SA"/>
        </w:rPr>
        <w:t>97%</w:t>
      </w:r>
      <w:r>
        <w:rPr>
          <w:rFonts w:ascii="Times New Roman" w:hAnsi="Times New Roman" w:cs="Times New Roman"/>
          <w:color w:val="0000FF"/>
          <w:kern w:val="2"/>
          <w:sz w:val="21"/>
          <w:szCs w:val="24"/>
          <w:lang w:val="en-US" w:eastAsia="zh-CN" w:bidi="ar-SA"/>
        </w:rPr>
        <w:t>，剩余</w:t>
      </w:r>
      <w:r>
        <w:rPr>
          <w:rFonts w:eastAsia="宋体" w:cs="Times New Roman"/>
          <w:color w:val="0000FF"/>
          <w:kern w:val="2"/>
          <w:sz w:val="21"/>
          <w:szCs w:val="24"/>
          <w:lang w:val="en-US" w:eastAsia="zh-CN" w:bidi="ar-SA"/>
        </w:rPr>
        <w:t>3%</w:t>
      </w:r>
      <w:r>
        <w:rPr>
          <w:rFonts w:ascii="Times New Roman" w:hAnsi="Times New Roman" w:cs="Times New Roman"/>
          <w:color w:val="0000FF"/>
          <w:kern w:val="2"/>
          <w:sz w:val="21"/>
          <w:szCs w:val="24"/>
          <w:lang w:val="en-US" w:eastAsia="zh-CN" w:bidi="ar-SA"/>
        </w:rPr>
        <w:t>作为质量保证金。</w:t>
      </w:r>
    </w:p>
    <w:p w14:paraId="0E720C01">
      <w:pPr>
        <w:keepNext w:val="0"/>
        <w:keepLines w:val="0"/>
        <w:pageBreakBefore w:val="0"/>
        <w:kinsoku/>
        <w:overflowPunct/>
        <w:autoSpaceDE/>
        <w:bidi w:val="0"/>
        <w:snapToGrid/>
        <w:spacing w:line="360" w:lineRule="auto"/>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(8)</w:t>
      </w:r>
      <w:r>
        <w:rPr>
          <w:rFonts w:ascii="宋体" w:hAnsi="宋体" w:cs="宋体"/>
          <w:b/>
          <w:color w:val="000000"/>
          <w:sz w:val="21"/>
          <w:szCs w:val="21"/>
        </w:rPr>
        <w:t>知识产权</w:t>
      </w:r>
    </w:p>
    <w:p w14:paraId="53CF8D26">
      <w:pPr>
        <w:keepNext w:val="0"/>
        <w:keepLines w:val="0"/>
        <w:pageBreakBefore w:val="0"/>
        <w:kinsoku/>
        <w:overflowPunct/>
        <w:autoSpaceDE/>
        <w:bidi w:val="0"/>
        <w:snapToGrid/>
        <w:spacing w:line="440" w:lineRule="exact"/>
        <w:textAlignment w:val="auto"/>
        <w:rPr>
          <w:rFonts w:ascii="宋体" w:hAnsi="宋体" w:eastAsia="宋体" w:cs="宋体"/>
          <w:bCs/>
          <w:color w:val="000000"/>
          <w:sz w:val="21"/>
          <w:szCs w:val="21"/>
          <w:highlight w:val="none"/>
        </w:rPr>
      </w:pPr>
      <w:r>
        <w:rPr>
          <w:rFonts w:ascii="宋体" w:hAnsi="宋体" w:eastAsia="宋体" w:cs="宋体"/>
          <w:bCs/>
          <w:color w:val="000000"/>
          <w:sz w:val="21"/>
          <w:szCs w:val="21"/>
        </w:rPr>
        <w:t xml:space="preserve">     </w:t>
      </w:r>
      <w:r>
        <w:rPr>
          <w:rFonts w:ascii="宋体" w:hAnsi="宋体" w:cs="宋体"/>
          <w:bCs/>
          <w:color w:val="000000"/>
          <w:sz w:val="21"/>
          <w:szCs w:val="21"/>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593246FA">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rPr>
      </w:pPr>
      <w:r>
        <w:rPr>
          <w:rFonts w:ascii="宋体" w:hAnsi="宋体" w:cs="宋体"/>
          <w:b/>
          <w:color w:val="000000"/>
          <w:sz w:val="21"/>
          <w:szCs w:val="21"/>
          <w:lang w:val="en-US" w:eastAsia="zh-CN"/>
        </w:rPr>
        <w:t>(9)</w:t>
      </w:r>
      <w:r>
        <w:rPr>
          <w:rFonts w:ascii="宋体" w:hAnsi="宋体" w:cs="宋体"/>
          <w:b/>
          <w:color w:val="000000"/>
          <w:sz w:val="21"/>
          <w:szCs w:val="21"/>
        </w:rPr>
        <w:t>其他</w:t>
      </w:r>
    </w:p>
    <w:p w14:paraId="560E968F">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1</w:t>
      </w:r>
      <w:r>
        <w:rPr>
          <w:rFonts w:ascii="宋体" w:hAnsi="宋体" w:cs="宋体"/>
          <w:bCs/>
          <w:color w:val="000000"/>
          <w:sz w:val="21"/>
          <w:szCs w:val="21"/>
        </w:rPr>
        <w:t>、供应商必须在响应文件中对以上条款和服务承诺明确列出，承诺内容必须达到本篇及</w:t>
      </w:r>
      <w:r>
        <w:rPr>
          <w:rFonts w:hint="eastAsia" w:ascii="宋体" w:hAnsi="宋体" w:cs="宋体"/>
          <w:bCs/>
          <w:color w:val="000000"/>
          <w:sz w:val="21"/>
          <w:szCs w:val="21"/>
          <w:lang w:val="en-US" w:eastAsia="zh-CN"/>
        </w:rPr>
        <w:t>磋商</w:t>
      </w:r>
      <w:r>
        <w:rPr>
          <w:rFonts w:ascii="宋体" w:hAnsi="宋体" w:cs="宋体"/>
          <w:bCs/>
          <w:color w:val="000000"/>
          <w:sz w:val="21"/>
          <w:szCs w:val="21"/>
          <w:lang w:eastAsia="zh-CN"/>
        </w:rPr>
        <w:t>文件</w:t>
      </w:r>
      <w:r>
        <w:rPr>
          <w:rFonts w:ascii="宋体" w:hAnsi="宋体" w:cs="宋体"/>
          <w:bCs/>
          <w:color w:val="000000"/>
          <w:sz w:val="21"/>
          <w:szCs w:val="21"/>
        </w:rPr>
        <w:t>其他条款的要求。</w:t>
      </w:r>
    </w:p>
    <w:p w14:paraId="47D3CB71">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2</w:t>
      </w:r>
      <w:r>
        <w:rPr>
          <w:rFonts w:ascii="宋体" w:hAnsi="宋体" w:cs="宋体"/>
          <w:bCs/>
          <w:color w:val="000000"/>
          <w:sz w:val="21"/>
          <w:szCs w:val="21"/>
        </w:rPr>
        <w:t>、其他未尽事宜由供需双方在采购合同中详细约定。</w:t>
      </w:r>
    </w:p>
    <w:p w14:paraId="015F8F05">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lang w:val="en-US" w:eastAsia="zh-CN"/>
        </w:rPr>
      </w:pPr>
      <w:r>
        <w:rPr>
          <w:rFonts w:ascii="宋体" w:hAnsi="宋体" w:eastAsia="宋体" w:cs="宋体"/>
          <w:bCs/>
          <w:color w:val="000000"/>
          <w:sz w:val="21"/>
          <w:szCs w:val="21"/>
          <w:lang w:val="en-US" w:eastAsia="zh-CN"/>
        </w:rPr>
        <w:t>3</w:t>
      </w:r>
      <w:r>
        <w:rPr>
          <w:rFonts w:ascii="宋体" w:hAnsi="宋体" w:cs="宋体"/>
          <w:bCs/>
          <w:color w:val="000000"/>
          <w:sz w:val="21"/>
          <w:szCs w:val="21"/>
          <w:lang w:val="en-US" w:eastAsia="zh-CN"/>
        </w:rPr>
        <w:t>、供应商在服务期必须遵守相关安全生产事项及规定。如发生安全事故由施工单位承担一切责任。</w:t>
      </w:r>
    </w:p>
    <w:p w14:paraId="3969CDD4">
      <w:pPr>
        <w:pStyle w:val="12"/>
        <w:rPr>
          <w:rFonts w:ascii="宋体" w:hAnsi="宋体" w:eastAsia="宋体" w:cs="宋体"/>
          <w:bCs/>
          <w:color w:val="000000"/>
          <w:kern w:val="0"/>
          <w:sz w:val="28"/>
          <w:szCs w:val="28"/>
          <w:lang w:val="en-US" w:eastAsia="zh-CN"/>
        </w:rPr>
      </w:pPr>
    </w:p>
    <w:p w14:paraId="21C5C2AC">
      <w:pPr>
        <w:rPr>
          <w:rFonts w:ascii="宋体" w:hAnsi="宋体" w:eastAsia="宋体" w:cs="宋体"/>
          <w:color w:val="000000"/>
          <w:kern w:val="0"/>
          <w:sz w:val="28"/>
          <w:szCs w:val="28"/>
          <w:lang w:eastAsia="zh-CN"/>
        </w:rPr>
      </w:pPr>
    </w:p>
    <w:p w14:paraId="1BC5224F">
      <w:pPr>
        <w:pStyle w:val="12"/>
        <w:rPr>
          <w:rFonts w:ascii="宋体" w:hAnsi="宋体" w:eastAsia="宋体" w:cs="宋体"/>
          <w:color w:val="000000"/>
          <w:kern w:val="0"/>
          <w:sz w:val="28"/>
          <w:szCs w:val="28"/>
          <w:lang w:eastAsia="zh-CN"/>
        </w:rPr>
      </w:pPr>
    </w:p>
    <w:p w14:paraId="4A2D8BD5">
      <w:pPr>
        <w:rPr>
          <w:rFonts w:ascii="宋体" w:hAnsi="宋体" w:eastAsia="宋体" w:cs="宋体"/>
          <w:color w:val="000000"/>
          <w:kern w:val="0"/>
          <w:sz w:val="28"/>
          <w:szCs w:val="28"/>
          <w:lang w:eastAsia="zh-CN"/>
        </w:rPr>
      </w:pPr>
    </w:p>
    <w:p w14:paraId="098EA61C">
      <w:pPr>
        <w:rPr>
          <w:rFonts w:ascii="宋体" w:hAnsi="宋体" w:eastAsia="宋体" w:cs="宋体"/>
          <w:color w:val="000000"/>
          <w:kern w:val="0"/>
          <w:sz w:val="28"/>
          <w:szCs w:val="28"/>
          <w:lang w:eastAsia="zh-CN"/>
        </w:rPr>
      </w:pPr>
    </w:p>
    <w:p w14:paraId="4D4FEC86">
      <w:pPr>
        <w:rPr>
          <w:rFonts w:ascii="宋体" w:hAnsi="宋体" w:eastAsia="宋体" w:cs="宋体"/>
          <w:color w:val="000000"/>
          <w:kern w:val="0"/>
          <w:sz w:val="28"/>
          <w:szCs w:val="28"/>
          <w:lang w:eastAsia="zh-CN"/>
        </w:rPr>
      </w:pPr>
    </w:p>
    <w:p w14:paraId="37074C1C">
      <w:pPr>
        <w:rPr>
          <w:rFonts w:ascii="宋体" w:hAnsi="宋体" w:eastAsia="宋体" w:cs="宋体"/>
          <w:color w:val="000000"/>
          <w:kern w:val="0"/>
          <w:sz w:val="28"/>
          <w:szCs w:val="28"/>
          <w:lang w:eastAsia="zh-CN"/>
        </w:rPr>
      </w:pPr>
    </w:p>
    <w:p w14:paraId="344CFA0A">
      <w:pPr>
        <w:rPr>
          <w:rFonts w:ascii="宋体" w:hAnsi="宋体" w:eastAsia="宋体" w:cs="宋体"/>
          <w:color w:val="000000"/>
          <w:kern w:val="0"/>
          <w:sz w:val="28"/>
          <w:szCs w:val="28"/>
          <w:lang w:eastAsia="zh-CN"/>
        </w:rPr>
      </w:pPr>
    </w:p>
    <w:p w14:paraId="13779104">
      <w:pPr>
        <w:rPr>
          <w:rFonts w:ascii="宋体" w:hAnsi="宋体" w:eastAsia="宋体" w:cs="宋体"/>
          <w:color w:val="000000"/>
          <w:kern w:val="0"/>
          <w:sz w:val="28"/>
          <w:szCs w:val="28"/>
          <w:lang w:eastAsia="zh-CN"/>
        </w:rPr>
      </w:pPr>
    </w:p>
    <w:p w14:paraId="63E034D4">
      <w:pPr>
        <w:rPr>
          <w:rFonts w:ascii="宋体" w:hAnsi="宋体" w:eastAsia="宋体" w:cs="宋体"/>
          <w:color w:val="000000"/>
          <w:kern w:val="0"/>
          <w:sz w:val="28"/>
          <w:szCs w:val="28"/>
          <w:lang w:eastAsia="zh-CN"/>
        </w:rPr>
      </w:pPr>
    </w:p>
    <w:p w14:paraId="3DB70A4B">
      <w:pPr>
        <w:pStyle w:val="67"/>
        <w:rPr>
          <w:rFonts w:ascii="宋体" w:hAnsi="宋体" w:eastAsia="宋体" w:cs="宋体"/>
          <w:color w:val="000000"/>
          <w:kern w:val="0"/>
          <w:sz w:val="28"/>
          <w:szCs w:val="28"/>
          <w:lang w:eastAsia="zh-CN"/>
        </w:rPr>
      </w:pPr>
    </w:p>
    <w:p w14:paraId="29F590A0">
      <w:pPr>
        <w:rPr>
          <w:lang w:eastAsia="zh-CN"/>
        </w:rPr>
      </w:pPr>
    </w:p>
    <w:p w14:paraId="2694C7F8">
      <w:pPr>
        <w:keepNext w:val="0"/>
        <w:keepLines w:val="0"/>
        <w:pageBreakBefore w:val="0"/>
        <w:widowControl w:val="0"/>
        <w:numPr>
          <w:ilvl w:val="0"/>
          <w:numId w:val="11"/>
        </w:numPr>
        <w:kinsoku/>
        <w:overflowPunct/>
        <w:autoSpaceDE/>
        <w:bidi w:val="0"/>
        <w:snapToGrid/>
        <w:spacing w:line="480" w:lineRule="exact"/>
        <w:jc w:val="center"/>
        <w:textAlignment w:val="auto"/>
        <w:outlineLvl w:val="1"/>
        <w:rPr>
          <w:rFonts w:ascii="宋体" w:hAnsi="宋体"/>
          <w:b/>
          <w:color w:val="000000"/>
          <w:sz w:val="30"/>
          <w:szCs w:val="30"/>
          <w:highlight w:val="none"/>
        </w:rPr>
      </w:pPr>
      <w:bookmarkStart w:id="10" w:name="__RefHeading___Toc469495740"/>
      <w:bookmarkEnd w:id="10"/>
      <w:bookmarkStart w:id="11" w:name="OLE_LINK4"/>
      <w:bookmarkEnd w:id="11"/>
      <w:r>
        <w:rPr>
          <w:rFonts w:ascii="宋体" w:hAnsi="宋体" w:cs="宋体"/>
          <w:b/>
          <w:color w:val="000000"/>
          <w:sz w:val="30"/>
          <w:szCs w:val="30"/>
        </w:rPr>
        <w:t xml:space="preserve"> </w:t>
      </w:r>
      <w:r>
        <w:rPr>
          <w:rFonts w:ascii="宋体" w:hAnsi="宋体"/>
          <w:b/>
          <w:color w:val="000000"/>
          <w:sz w:val="30"/>
          <w:szCs w:val="30"/>
        </w:rPr>
        <w:t>合同条款及格式</w:t>
      </w:r>
    </w:p>
    <w:p w14:paraId="65050FE7">
      <w:pPr>
        <w:keepNext w:val="0"/>
        <w:keepLines w:val="0"/>
        <w:pageBreakBefore w:val="0"/>
        <w:widowControl w:val="0"/>
        <w:numPr>
          <w:ilvl w:val="0"/>
          <w:numId w:val="0"/>
        </w:numPr>
        <w:kinsoku/>
        <w:overflowPunct/>
        <w:autoSpaceDE/>
        <w:bidi w:val="0"/>
        <w:snapToGrid/>
        <w:spacing w:line="480" w:lineRule="exact"/>
        <w:ind w:left="0" w:firstLine="0"/>
        <w:jc w:val="center"/>
        <w:textAlignment w:val="auto"/>
        <w:outlineLvl w:val="1"/>
        <w:rPr>
          <w:rFonts w:ascii="宋体" w:hAnsi="宋体" w:eastAsia="宋体" w:cs="宋体"/>
          <w:color w:val="000000"/>
          <w:szCs w:val="21"/>
          <w:highlight w:val="none"/>
        </w:rPr>
      </w:pPr>
      <w:r>
        <w:rPr>
          <w:rFonts w:ascii="宋体" w:hAnsi="宋体" w:cs="宋体"/>
          <w:color w:val="000000"/>
          <w:szCs w:val="21"/>
        </w:rPr>
        <w:t>（本合同为合同样稿</w:t>
      </w:r>
      <w:r>
        <w:rPr>
          <w:rFonts w:ascii="宋体" w:hAnsi="宋体" w:cs="宋体"/>
          <w:color w:val="000000"/>
          <w:szCs w:val="21"/>
          <w:lang w:val="en-US" w:eastAsia="zh-CN"/>
        </w:rPr>
        <w:t>仅供参考</w:t>
      </w:r>
      <w:r>
        <w:rPr>
          <w:rFonts w:ascii="宋体" w:hAnsi="宋体" w:cs="宋体"/>
          <w:color w:val="000000"/>
          <w:szCs w:val="21"/>
        </w:rPr>
        <w:t>，最终稿由供需双方协商后确定）</w:t>
      </w:r>
    </w:p>
    <w:p w14:paraId="55615BCD">
      <w:pPr>
        <w:jc w:val="left"/>
        <w:rPr>
          <w:rFonts w:ascii="Times New Roman" w:hAnsi="Times New Roman" w:eastAsia="仿宋_GB2312;仿宋" w:cs="Times New Roman"/>
          <w:bCs/>
          <w:color w:val="000000"/>
          <w:sz w:val="32"/>
          <w:szCs w:val="32"/>
        </w:rPr>
      </w:pPr>
      <w:r>
        <w:rPr>
          <w:rFonts w:ascii="Times New Roman" w:hAnsi="Times New Roman" w:eastAsia="仿宋_GB2312;仿宋" w:cs="Times New Roman"/>
          <w:bCs/>
          <w:color w:val="000000"/>
          <w:sz w:val="32"/>
          <w:szCs w:val="32"/>
        </w:rPr>
        <w:t>（</w:t>
      </w:r>
      <w:r>
        <w:rPr>
          <w:rFonts w:eastAsia="仿宋_GB2312;仿宋" w:cs="Times New Roman"/>
          <w:bCs/>
          <w:color w:val="000000"/>
          <w:sz w:val="32"/>
          <w:szCs w:val="32"/>
        </w:rPr>
        <w:t>GF—201</w:t>
      </w:r>
      <w:r>
        <w:rPr>
          <w:rFonts w:eastAsia="仿宋_GB2312;仿宋" w:cs="Times New Roman"/>
          <w:bCs/>
          <w:color w:val="000000"/>
          <w:sz w:val="32"/>
          <w:szCs w:val="32"/>
          <w:lang w:val="en-US" w:eastAsia="zh-CN"/>
        </w:rPr>
        <w:t>7</w:t>
      </w:r>
      <w:r>
        <w:rPr>
          <w:rFonts w:eastAsia="仿宋_GB2312;仿宋" w:cs="Times New Roman"/>
          <w:bCs/>
          <w:color w:val="000000"/>
          <w:sz w:val="32"/>
          <w:szCs w:val="32"/>
        </w:rPr>
        <w:t>—</w:t>
      </w:r>
      <w:r>
        <w:rPr>
          <w:rFonts w:eastAsia="仿宋_GB2312;仿宋" w:cs="Times New Roman"/>
          <w:bCs/>
          <w:color w:val="000000"/>
          <w:sz w:val="32"/>
          <w:szCs w:val="32"/>
          <w:lang w:val="en-US" w:eastAsia="zh-CN"/>
        </w:rPr>
        <w:t>0201</w:t>
      </w:r>
      <w:r>
        <w:rPr>
          <w:rFonts w:ascii="Times New Roman" w:hAnsi="Times New Roman" w:eastAsia="仿宋_GB2312;仿宋" w:cs="Times New Roman"/>
          <w:bCs/>
          <w:color w:val="000000"/>
          <w:sz w:val="32"/>
          <w:szCs w:val="32"/>
        </w:rPr>
        <w:t>）</w:t>
      </w:r>
    </w:p>
    <w:p w14:paraId="046E5782">
      <w:pPr>
        <w:jc w:val="center"/>
        <w:rPr>
          <w:rFonts w:ascii="Times New Roman" w:hAnsi="Times New Roman" w:eastAsia="华文中宋;宋体" w:cs="Times New Roman"/>
          <w:b/>
          <w:bCs/>
          <w:color w:val="000000"/>
          <w:sz w:val="52"/>
          <w:szCs w:val="52"/>
        </w:rPr>
      </w:pPr>
    </w:p>
    <w:p w14:paraId="1099D61B">
      <w:pPr>
        <w:jc w:val="center"/>
        <w:rPr>
          <w:rFonts w:ascii="Times New Roman" w:hAnsi="Times New Roman" w:eastAsia="华文中宋;宋体" w:cs="Times New Roman"/>
          <w:b/>
          <w:color w:val="000000"/>
          <w:sz w:val="52"/>
          <w:szCs w:val="52"/>
        </w:rPr>
      </w:pPr>
    </w:p>
    <w:p w14:paraId="7B8F65BA">
      <w:pPr>
        <w:jc w:val="center"/>
        <w:rPr>
          <w:rFonts w:ascii="Times New Roman" w:hAnsi="Times New Roman" w:eastAsia="华文中宋;宋体" w:cs="Times New Roman"/>
          <w:b/>
          <w:color w:val="000000"/>
          <w:sz w:val="52"/>
          <w:szCs w:val="52"/>
        </w:rPr>
      </w:pPr>
    </w:p>
    <w:p w14:paraId="1B0DA40A">
      <w:pPr>
        <w:jc w:val="center"/>
        <w:rPr>
          <w:rFonts w:ascii="Times New Roman" w:hAnsi="Times New Roman" w:eastAsia="华文中宋;宋体" w:cs="Times New Roman"/>
          <w:b/>
          <w:color w:val="000000"/>
          <w:sz w:val="52"/>
          <w:szCs w:val="52"/>
        </w:rPr>
      </w:pPr>
      <w:r>
        <w:rPr>
          <w:rFonts w:ascii="Times New Roman" w:hAnsi="Times New Roman" w:eastAsia="华文中宋;宋体" w:cs="Times New Roman"/>
          <w:b/>
          <w:color w:val="000000"/>
          <w:sz w:val="72"/>
          <w:szCs w:val="52"/>
        </w:rPr>
        <w:t>建设工程施工合同</w:t>
      </w:r>
      <w:r>
        <w:rPr>
          <w:rFonts w:eastAsia="华文中宋;宋体" w:cs="Times New Roman"/>
          <w:b/>
          <w:color w:val="000000"/>
          <w:sz w:val="52"/>
          <w:szCs w:val="52"/>
        </w:rPr>
        <w:br w:type="textWrapping"/>
      </w:r>
      <w:r>
        <w:rPr>
          <w:rFonts w:ascii="Times New Roman" w:hAnsi="Times New Roman" w:eastAsia="华文中宋;宋体" w:cs="Times New Roman"/>
          <w:b/>
          <w:color w:val="000000"/>
          <w:sz w:val="52"/>
          <w:szCs w:val="52"/>
        </w:rPr>
        <w:t>（示范文本）</w:t>
      </w:r>
    </w:p>
    <w:p w14:paraId="3FA7FA77">
      <w:pPr>
        <w:jc w:val="center"/>
        <w:rPr>
          <w:rFonts w:ascii="Times New Roman" w:hAnsi="Times New Roman" w:eastAsia="华文中宋;宋体" w:cs="Times New Roman"/>
          <w:b/>
          <w:color w:val="000000"/>
          <w:sz w:val="52"/>
          <w:szCs w:val="52"/>
        </w:rPr>
      </w:pPr>
    </w:p>
    <w:p w14:paraId="36C40445">
      <w:pPr>
        <w:jc w:val="center"/>
        <w:rPr>
          <w:rFonts w:ascii="Times New Roman" w:hAnsi="Times New Roman" w:eastAsia="黑体" w:cs="Times New Roman"/>
          <w:b/>
          <w:color w:val="000000"/>
          <w:sz w:val="72"/>
          <w:szCs w:val="72"/>
        </w:rPr>
      </w:pPr>
    </w:p>
    <w:p w14:paraId="457AB9BF">
      <w:pPr>
        <w:jc w:val="center"/>
        <w:rPr>
          <w:rFonts w:ascii="Times New Roman" w:hAnsi="Times New Roman" w:eastAsia="楷体_GB2312;楷体" w:cs="Times New Roman"/>
          <w:b/>
          <w:color w:val="000000"/>
          <w:sz w:val="72"/>
          <w:szCs w:val="72"/>
        </w:rPr>
      </w:pPr>
    </w:p>
    <w:p w14:paraId="063A2624">
      <w:pPr>
        <w:jc w:val="center"/>
        <w:rPr>
          <w:rFonts w:ascii="Times New Roman" w:hAnsi="Times New Roman" w:eastAsia="黑体" w:cs="Times New Roman"/>
          <w:b/>
          <w:color w:val="000000"/>
          <w:sz w:val="52"/>
          <w:szCs w:val="52"/>
        </w:rPr>
      </w:pPr>
    </w:p>
    <w:p w14:paraId="25DEBFBA">
      <w:pPr>
        <w:rPr>
          <w:rFonts w:ascii="Times New Roman" w:hAnsi="Times New Roman" w:eastAsia="黑体" w:cs="Times New Roman"/>
          <w:b/>
          <w:color w:val="000000"/>
          <w:sz w:val="28"/>
          <w:szCs w:val="28"/>
        </w:rPr>
      </w:pPr>
    </w:p>
    <w:p w14:paraId="5E61A33C">
      <w:pPr>
        <w:rPr>
          <w:rFonts w:ascii="Times New Roman" w:hAnsi="Times New Roman" w:cs="Times New Roman"/>
          <w:b/>
          <w:color w:val="000000"/>
          <w:sz w:val="28"/>
          <w:szCs w:val="28"/>
        </w:rPr>
      </w:pPr>
    </w:p>
    <w:p w14:paraId="568922AC">
      <w:pPr>
        <w:rPr>
          <w:rFonts w:ascii="Times New Roman" w:hAnsi="Times New Roman" w:cs="Times New Roman"/>
          <w:b/>
          <w:color w:val="000000"/>
          <w:sz w:val="28"/>
          <w:szCs w:val="28"/>
        </w:rPr>
      </w:pPr>
    </w:p>
    <w:p w14:paraId="6B1277DC">
      <w:pPr>
        <w:rPr>
          <w:rFonts w:ascii="Times New Roman" w:hAnsi="Times New Roman" w:cs="Times New Roman"/>
          <w:b/>
          <w:color w:val="000000"/>
          <w:sz w:val="28"/>
          <w:szCs w:val="28"/>
        </w:rPr>
      </w:pPr>
    </w:p>
    <w:p w14:paraId="07B823B9">
      <w:pPr>
        <w:rPr>
          <w:rFonts w:ascii="Times New Roman" w:hAnsi="Times New Roman" w:cs="Times New Roman"/>
          <w:b/>
          <w:color w:val="000000"/>
          <w:sz w:val="28"/>
          <w:szCs w:val="28"/>
        </w:rPr>
      </w:pPr>
    </w:p>
    <w:p w14:paraId="606A76F8">
      <w:pPr>
        <w:ind w:right="2719" w:firstLine="2738"/>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住房城乡建设部</w:t>
      </w:r>
      <w:r>
        <mc:AlternateContent>
          <mc:Choice Requires="wps">
            <w:drawing>
              <wp:anchor distT="0" distB="0" distL="114935" distR="114935" simplePos="0" relativeHeight="251660288" behindDoc="0" locked="0" layoutInCell="0" allowOverlap="1">
                <wp:simplePos x="0" y="0"/>
                <wp:positionH relativeFrom="column">
                  <wp:posOffset>3965575</wp:posOffset>
                </wp:positionH>
                <wp:positionV relativeFrom="paragraph">
                  <wp:posOffset>115570</wp:posOffset>
                </wp:positionV>
                <wp:extent cx="732790" cy="466090"/>
                <wp:effectExtent l="0" t="0" r="0" b="0"/>
                <wp:wrapNone/>
                <wp:docPr id="3" name="Frame1"/>
                <wp:cNvGraphicFramePr/>
                <a:graphic xmlns:a="http://schemas.openxmlformats.org/drawingml/2006/main">
                  <a:graphicData uri="http://schemas.microsoft.com/office/word/2010/wordprocessingShape">
                    <wps:wsp>
                      <wps:cNvSpPr txBox="1"/>
                      <wps:spPr>
                        <a:xfrm>
                          <a:off x="0" y="0"/>
                          <a:ext cx="732790" cy="466090"/>
                        </a:xfrm>
                        <a:prstGeom prst="rect">
                          <a:avLst/>
                        </a:prstGeom>
                        <a:solidFill>
                          <a:srgbClr val="FFFFFF">
                            <a:alpha val="0"/>
                          </a:srgbClr>
                        </a:solidFill>
                        <a:ln w="9525">
                          <a:solidFill>
                            <a:srgbClr val="FFFFFF"/>
                          </a:solidFill>
                        </a:ln>
                      </wps:spPr>
                      <wps:txbx>
                        <w:txbxContent>
                          <w:p w14:paraId="4A9974A4">
                            <w:pPr>
                              <w:rPr>
                                <w:b/>
                                <w:bCs/>
                                <w:sz w:val="32"/>
                              </w:rPr>
                            </w:pPr>
                            <w:r>
                              <w:rPr>
                                <w:b/>
                                <w:bCs/>
                                <w:sz w:val="32"/>
                              </w:rPr>
                              <w:t>制定</w:t>
                            </w:r>
                          </w:p>
                        </w:txbxContent>
                      </wps:txbx>
                      <wps:bodyPr lIns="91440" tIns="45720" rIns="91440" bIns="45720" anchor="t">
                        <a:noAutofit/>
                      </wps:bodyPr>
                    </wps:wsp>
                  </a:graphicData>
                </a:graphic>
              </wp:anchor>
            </w:drawing>
          </mc:Choice>
          <mc:Fallback>
            <w:pict>
              <v:shape id="Frame1" o:spid="_x0000_s1026" o:spt="202" type="#_x0000_t202" style="position:absolute;left:0pt;margin-left:312.25pt;margin-top:9.1pt;height:36.7pt;width:57.7pt;z-index:251660288;mso-width-relative:page;mso-height-relative:page;" fillcolor="#FFFFFF" filled="t" stroked="t" coordsize="21600,21600" o:allowincell="f" o:gfxdata="UEsDBAoAAAAAAIdO4kAAAAAAAAAAAAAAAAAEAAAAZHJzL1BLAwQUAAAACACHTuJAeRFT99gAAAAJ&#10;AQAADwAAAGRycy9kb3ducmV2LnhtbE2P0U6EMBBF3038h2ZMfHMLqLggZRM1q8nGmCz6AV1aKW47&#10;JbQs+PeOT/o4uSf3nqk2i7PspMfQexSQrhJgGluveuwEfLxvr9bAQpSopPWoBXzrAJv6/KySpfIz&#10;7vWpiR2jEgylFGBiHErOQ2u0k2HlB42UffrRyUjn2HE1ypnKneVZkuTcyR5pwchBPxrdHpvJCXiw&#10;u/npOfijelmm5q3Zb1+/jBXi8iJN7oFFvcQ/GH71SR1qcjr4CVVgVkCe3dwSSsE6A0bA3XVRADsI&#10;KNIceF3x/x/UP1BLAwQUAAAACACHTuJApuNmZOcBAAANBAAADgAAAGRycy9lMm9Eb2MueG1srVPL&#10;jtsgFN1X6j8g9o2TTB6NFWc0bZSqUtVWms4HEIxjJOAiILHz972Ak0mmm1nUC7gvzuUcrtePvVbk&#10;JJyXYCo6GY0pEYZDLc2hoi9/dp8+U+IDMzVTYERFz8LTx83HD+vOlmIKLahaOIIgxpedrWgbgi2L&#10;wvNWaOZHYIXBZANOs4CuOxS1Yx2ia1VMx+NF0YGrrQMuvMfoNifpgOjeAwhNI7nYAj9qYUJGdUKx&#10;gJR8K62nm3TbphE8/GoaLwJRFUWmIa3YBO19XIvNmpUHx2wr+XAF9p4rvOGkmTTY9Aq1ZYGRo5P/&#10;QGnJHXhowoiDLjKRpAiymIzfaPPcMisSF5Ta26vo/v/B8p+n347IuqIPlBim8cF3DrdJVKazvsSC&#10;Z4slof8CPc7LJe4xGAn3jdNxRyoE86jr+aqr6APhGFw+TJcrzHBMzRaLMdqIXrwets6HbwI0iUZF&#10;HT5bUpOdfviQSy8lsZcHJeudVCo57rD/qhw5MXziXfryWWVblqOXdj6XptZ3GMqQrqKr+XSejt7l&#10;hkN3+PlKN2XIRRnEjYplZaIV+n0/yLiH+owqqu8GH281mc3iMCZnNl9O0XG3mf1thhneAo5slsTA&#10;0zFAI5MssUlGHnrjlCR2w0THMbz1U9XrX7z5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kRU/fY&#10;AAAACQEAAA8AAAAAAAAAAQAgAAAAIgAAAGRycy9kb3ducmV2LnhtbFBLAQIUABQAAAAIAIdO4kCm&#10;42Zk5wEAAA0EAAAOAAAAAAAAAAEAIAAAACcBAABkcnMvZTJvRG9jLnhtbFBLBQYAAAAABgAGAFkB&#10;AACABQAAAAA=&#10;">
                <v:fill on="t" opacity="0f" focussize="0,0"/>
                <v:stroke color="#FFFFFF" joinstyle="round"/>
                <v:imagedata o:title=""/>
                <o:lock v:ext="edit" aspectratio="f"/>
                <v:textbox>
                  <w:txbxContent>
                    <w:p w14:paraId="4A9974A4">
                      <w:pPr>
                        <w:rPr>
                          <w:b/>
                          <w:bCs/>
                          <w:sz w:val="32"/>
                        </w:rPr>
                      </w:pPr>
                      <w:r>
                        <w:rPr>
                          <w:b/>
                          <w:bCs/>
                          <w:sz w:val="32"/>
                        </w:rPr>
                        <w:t>制定</w:t>
                      </w:r>
                    </w:p>
                  </w:txbxContent>
                </v:textbox>
              </v:shape>
            </w:pict>
          </mc:Fallback>
        </mc:AlternateContent>
      </w:r>
    </w:p>
    <w:p w14:paraId="18DBE9A3">
      <w:pPr>
        <w:ind w:right="2719" w:firstLine="2750"/>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国家工商行政管理总局</w:t>
      </w:r>
    </w:p>
    <w:p w14:paraId="343C8AF0">
      <w:pPr>
        <w:pStyle w:val="81"/>
        <w:numPr>
          <w:ilvl w:val="0"/>
          <w:numId w:val="0"/>
        </w:numPr>
        <w:spacing w:before="0" w:after="0" w:line="240" w:lineRule="auto"/>
        <w:jc w:val="center"/>
        <w:outlineLvl w:val="0"/>
        <w:rPr>
          <w:rFonts w:ascii="Times New Roman" w:hAnsi="Times New Roman" w:eastAsia="华文中宋;宋体" w:cs="Times New Roman"/>
          <w:sz w:val="36"/>
          <w:szCs w:val="36"/>
          <w:lang w:val="zh-CN"/>
        </w:rPr>
      </w:pPr>
      <w:r>
        <w:rPr>
          <w:rFonts w:ascii="Times New Roman" w:hAnsi="Times New Roman" w:eastAsia="华文中宋;宋体" w:cs="Times New Roman"/>
          <w:sz w:val="36"/>
          <w:szCs w:val="36"/>
          <w:lang w:val="zh-CN"/>
        </w:rPr>
        <w:t>说</w:t>
      </w:r>
      <w:r>
        <w:rPr>
          <w:rFonts w:ascii="Times New Roman" w:hAnsi="Times New Roman" w:eastAsia="Times New Roman" w:cs="Times New Roman"/>
          <w:sz w:val="36"/>
          <w:szCs w:val="36"/>
          <w:lang w:val="zh-CN"/>
        </w:rPr>
        <w:t xml:space="preserve">  </w:t>
      </w:r>
      <w:r>
        <w:rPr>
          <w:rFonts w:ascii="Times New Roman" w:hAnsi="Times New Roman" w:eastAsia="华文中宋;宋体" w:cs="Times New Roman"/>
          <w:sz w:val="36"/>
          <w:szCs w:val="36"/>
          <w:lang w:val="zh-CN"/>
        </w:rPr>
        <w:t>明</w:t>
      </w:r>
    </w:p>
    <w:p w14:paraId="5618E35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为了指导建设工程施工合同当事人的签约行为，维护合同当事人的合法权益，依据《</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》、《中华人民共和国建筑法》、《中华人民共和国招标投标法》以及相关法律法规，住房城乡建设部、国家工商行政管理总局对《建设工程施工合同（示范文本）》（GF-</w:t>
      </w:r>
      <w:r>
        <w:rPr>
          <w:rFonts w:ascii="仿宋_GB2312;仿宋" w:hAnsi="仿宋_GB2312;仿宋" w:eastAsia="仿宋_GB2312;仿宋"/>
          <w:sz w:val="24"/>
          <w:szCs w:val="24"/>
          <w:lang w:val="en-US" w:eastAsia="zh-CN"/>
        </w:rPr>
        <w:t>2013</w:t>
      </w:r>
      <w:r>
        <w:rPr>
          <w:rFonts w:ascii="仿宋_GB2312;仿宋" w:hAnsi="仿宋_GB2312;仿宋" w:eastAsia="仿宋_GB2312;仿宋"/>
          <w:sz w:val="24"/>
          <w:szCs w:val="24"/>
        </w:rPr>
        <w:t>-0201）进行了修订，制定了《建设工程施工合同（示范文本）》（GF-201</w:t>
      </w:r>
      <w:r>
        <w:rPr>
          <w:rFonts w:ascii="仿宋_GB2312;仿宋" w:hAnsi="仿宋_GB2312;仿宋" w:eastAsia="仿宋_GB2312;仿宋"/>
          <w:sz w:val="24"/>
          <w:szCs w:val="24"/>
          <w:lang w:val="en-US" w:eastAsia="zh-CN"/>
        </w:rPr>
        <w:t>7</w:t>
      </w:r>
      <w:r>
        <w:rPr>
          <w:rFonts w:ascii="仿宋_GB2312;仿宋" w:hAnsi="仿宋_GB2312;仿宋" w:eastAsia="仿宋_GB2312;仿宋"/>
          <w:sz w:val="24"/>
          <w:szCs w:val="24"/>
        </w:rPr>
        <w:t>-0201）（以下简称《示范文本》）。为了便于合同当事人使用《示范文本》，现就有关问题说明如下：</w:t>
      </w:r>
    </w:p>
    <w:p w14:paraId="3D630E23">
      <w:pPr>
        <w:numPr>
          <w:ilvl w:val="0"/>
          <w:numId w:val="0"/>
        </w:numPr>
        <w:ind w:firstLine="480"/>
        <w:outlineLvl w:val="0"/>
        <w:rPr>
          <w:rFonts w:ascii="黑体" w:hAnsi="黑体" w:eastAsia="黑体" w:cs="黑体"/>
          <w:bCs/>
          <w:sz w:val="24"/>
          <w:szCs w:val="24"/>
        </w:rPr>
      </w:pPr>
      <w:r>
        <w:rPr>
          <w:rFonts w:ascii="黑体" w:hAnsi="黑体" w:eastAsia="黑体" w:cs="黑体"/>
          <w:bCs/>
          <w:sz w:val="24"/>
          <w:szCs w:val="24"/>
        </w:rPr>
        <w:t>一、《示范文本》的组成</w:t>
      </w:r>
    </w:p>
    <w:p w14:paraId="4283D836">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《示范文本》由合同协议书、通用合同条款和专用合同条款三部分组成。</w:t>
      </w:r>
    </w:p>
    <w:p w14:paraId="6D33A5B7">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（一）合同协议书</w:t>
      </w:r>
    </w:p>
    <w:p w14:paraId="326A6B8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67F45602">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（二）通用合同条款</w:t>
      </w:r>
    </w:p>
    <w:p w14:paraId="0B85B10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通用合同条款是合同当事人根据《中华人民共和国建筑法》、《</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》等法律法规的规定，就工程建设的实施及相关事项，对合同当事人的权利义务作出的原则性约定。</w:t>
      </w:r>
    </w:p>
    <w:p w14:paraId="55D65A8B">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26FAD9B1">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（三）专用合同条款</w:t>
      </w:r>
    </w:p>
    <w:p w14:paraId="4A61BA28">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7E4596A1">
      <w:pPr>
        <w:ind w:right="25"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专用合同条款的编号应与相应的通用合同条款的编号一致；</w:t>
      </w:r>
    </w:p>
    <w:p w14:paraId="08D0406A">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2</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合同当事人可以通过对专用合同条款的修改，满足具体建设工程的特殊要求，避免直接修改通用合同条款；</w:t>
      </w:r>
    </w:p>
    <w:p w14:paraId="6815C6A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3</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在专用合同条款中有横道线的地方，合同当事人可针对相应的通用合同条款进行细化、完善、补充、修改或另行约定；如无细化、完善、补充、修改或另行约定，则填写“无”或划“/”。</w:t>
      </w:r>
    </w:p>
    <w:p w14:paraId="1A4049F4">
      <w:pPr>
        <w:numPr>
          <w:ilvl w:val="0"/>
          <w:numId w:val="0"/>
        </w:numPr>
        <w:ind w:firstLine="480"/>
        <w:outlineLvl w:val="0"/>
        <w:rPr>
          <w:rFonts w:ascii="仿宋_GB2312;仿宋" w:hAnsi="仿宋_GB2312;仿宋" w:eastAsia="仿宋_GB2312;仿宋"/>
          <w:b/>
          <w:sz w:val="24"/>
          <w:szCs w:val="24"/>
        </w:rPr>
      </w:pPr>
      <w:r>
        <w:rPr>
          <w:rFonts w:ascii="黑体" w:hAnsi="黑体" w:eastAsia="黑体" w:cs="黑体"/>
          <w:bCs/>
          <w:sz w:val="24"/>
          <w:szCs w:val="24"/>
        </w:rPr>
        <w:t>二、《示范文本》的性质和适用范围</w:t>
      </w:r>
    </w:p>
    <w:p w14:paraId="73402116">
      <w:pPr>
        <w:ind w:firstLine="480"/>
        <w:rPr>
          <w:rFonts w:ascii="仿宋_GB2312;仿宋" w:hAnsi="仿宋_GB2312;仿宋" w:eastAsia="仿宋_GB2312;仿宋"/>
          <w:sz w:val="24"/>
          <w:szCs w:val="24"/>
        </w:rPr>
        <w:sectPr>
          <w:headerReference r:id="rId8" w:type="first"/>
          <w:footerReference r:id="rId10" w:type="first"/>
          <w:headerReference r:id="rId7" w:type="default"/>
          <w:footerReference r:id="rId9" w:type="default"/>
          <w:pgSz w:w="11906" w:h="16838"/>
          <w:pgMar w:top="1418" w:right="1555" w:bottom="1418" w:left="1531" w:header="851" w:footer="992" w:gutter="0"/>
          <w:pgNumType w:fmt="decimal"/>
          <w:cols w:space="720" w:num="1"/>
          <w:formProt w:val="0"/>
          <w:titlePg/>
          <w:docGrid w:type="lines" w:linePitch="312" w:charSpace="0"/>
        </w:sectPr>
      </w:pPr>
      <w:r>
        <w:rPr>
          <w:rFonts w:ascii="仿宋_GB2312;仿宋" w:hAnsi="仿宋_GB2312;仿宋" w:eastAsia="仿宋_GB2312;仿宋"/>
          <w:sz w:val="24"/>
          <w:szCs w:val="24"/>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09411BFB">
      <w:pPr>
        <w:pStyle w:val="81"/>
        <w:spacing w:before="120" w:after="120"/>
        <w:jc w:val="center"/>
        <w:rPr>
          <w:rFonts w:ascii="Times New Roman" w:hAnsi="Times New Roman" w:eastAsia="华文中宋;宋体" w:cs="Times New Roman"/>
          <w:sz w:val="36"/>
          <w:szCs w:val="36"/>
        </w:rPr>
      </w:pPr>
      <w:r>
        <w:rPr>
          <w:rFonts w:ascii="Times New Roman" w:hAnsi="Times New Roman" w:eastAsia="华文中宋;宋体" w:cs="Times New Roman"/>
          <w:sz w:val="36"/>
          <w:szCs w:val="36"/>
          <w:lang w:val="zh-CN"/>
        </w:rPr>
        <w:t>目  录</w:t>
      </w:r>
    </w:p>
    <w:sdt>
      <w:sdtPr>
        <w:id w:val="147473705"/>
        <w:docPartObj>
          <w:docPartGallery w:val="Table of Contents"/>
          <w:docPartUnique/>
        </w:docPartObj>
      </w:sdtPr>
      <w:sdtContent>
        <w:p w14:paraId="2BBB599F">
          <w:pPr>
            <w:pStyle w:val="12"/>
            <w:tabs>
              <w:tab w:val="right" w:leader="dot" w:pos="8810"/>
            </w:tabs>
            <w:ind w:left="0" w:firstLine="330"/>
            <w:rPr>
              <w:rFonts w:ascii="Times New Roman" w:hAnsi="Times New Roman" w:eastAsia="仿宋_GB2312;仿宋" w:cs="Times New Roman"/>
              <w:b/>
              <w:sz w:val="24"/>
              <w:szCs w:val="24"/>
            </w:rPr>
          </w:pPr>
          <w:r>
            <w:fldChar w:fldCharType="begin"/>
          </w:r>
          <w:r>
            <w:rPr>
              <w:rStyle w:val="44"/>
              <w:rFonts w:ascii="Times New Roman" w:hAnsi="Times New Roman" w:eastAsia="仿宋_GB2312;仿宋" w:cs="Times New Roman"/>
              <w:b/>
              <w:sz w:val="24"/>
              <w:szCs w:val="24"/>
            </w:rPr>
            <w:instrText xml:space="preserve"> TOC \o "1-5" \h \z \u </w:instrText>
          </w:r>
          <w:r>
            <w:rPr>
              <w:rStyle w:val="44"/>
              <w:rFonts w:ascii="Times New Roman" w:hAnsi="Times New Roman" w:eastAsia="仿宋_GB2312;仿宋" w:cs="Times New Roman"/>
              <w:b/>
              <w:sz w:val="24"/>
              <w:szCs w:val="24"/>
            </w:rPr>
            <w:fldChar w:fldCharType="separate"/>
          </w:r>
          <w:r>
            <w:fldChar w:fldCharType="begin"/>
          </w:r>
          <w:r>
            <w:instrText xml:space="preserve"> HYPERLINK \l "__RefHeading___Toc351203480" \h </w:instrText>
          </w:r>
          <w:r>
            <w:fldChar w:fldCharType="separate"/>
          </w:r>
          <w:r>
            <w:rPr>
              <w:rStyle w:val="44"/>
              <w:rFonts w:ascii="Times New Roman" w:hAnsi="Times New Roman" w:eastAsia="仿宋_GB2312;仿宋" w:cs="Times New Roman"/>
              <w:b/>
              <w:sz w:val="24"/>
              <w:szCs w:val="24"/>
            </w:rPr>
            <w:t>第一部分</w:t>
          </w:r>
          <w:r>
            <w:rPr>
              <w:rStyle w:val="44"/>
              <w:rFonts w:ascii="Times New Roman" w:hAnsi="Times New Roman" w:eastAsia="Times New Roman" w:cs="Times New Roman"/>
              <w:b/>
              <w:sz w:val="24"/>
              <w:szCs w:val="24"/>
            </w:rPr>
            <w:t xml:space="preserve"> </w:t>
          </w:r>
          <w:r>
            <w:rPr>
              <w:rStyle w:val="44"/>
              <w:rFonts w:ascii="Times New Roman" w:hAnsi="Times New Roman" w:eastAsia="仿宋_GB2312;仿宋" w:cs="Times New Roman"/>
              <w:b/>
              <w:sz w:val="24"/>
              <w:szCs w:val="24"/>
            </w:rPr>
            <w:t>合同协议书</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lang w:val="en-US" w:eastAsia="zh-CN"/>
            </w:rPr>
            <w:t>................................</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pacing w:val="34"/>
              <w:sz w:val="22"/>
              <w:szCs w:val="22"/>
            </w:rPr>
            <w:t>…</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4"/>
              <w:szCs w:val="24"/>
            </w:rPr>
            <w:t>51</w:t>
          </w:r>
          <w:r>
            <w:rPr>
              <w:rStyle w:val="44"/>
              <w:rFonts w:ascii="Times New Roman" w:hAnsi="Times New Roman" w:eastAsia="仿宋_GB2312;仿宋" w:cs="Times New Roman"/>
              <w:sz w:val="24"/>
              <w:szCs w:val="24"/>
            </w:rPr>
            <w:fldChar w:fldCharType="end"/>
          </w:r>
        </w:p>
        <w:p w14:paraId="4492C474">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"__RefHeading___Toc351203481" \h </w:instrText>
          </w:r>
          <w:r>
            <w:fldChar w:fldCharType="separate"/>
          </w:r>
          <w:r>
            <w:rPr>
              <w:rStyle w:val="44"/>
              <w:rFonts w:ascii="Times New Roman" w:hAnsi="Times New Roman" w:eastAsia="仿宋_GB2312;仿宋" w:cs="Times New Roman"/>
              <w:sz w:val="22"/>
              <w:szCs w:val="22"/>
            </w:rPr>
            <w:t>一、工程概况</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79DE8DF6">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"__RefHeading___Toc351203482" \h </w:instrText>
          </w:r>
          <w:r>
            <w:fldChar w:fldCharType="separate"/>
          </w:r>
          <w:r>
            <w:rPr>
              <w:rStyle w:val="44"/>
              <w:rFonts w:ascii="Times New Roman" w:hAnsi="Times New Roman" w:eastAsia="仿宋_GB2312;仿宋" w:cs="Times New Roman"/>
              <w:sz w:val="22"/>
              <w:szCs w:val="22"/>
            </w:rPr>
            <w:t>二、合同工期</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6CA80A05">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"__RefHeading___Toc351203483" \h </w:instrText>
          </w:r>
          <w:r>
            <w:fldChar w:fldCharType="separate"/>
          </w:r>
          <w:r>
            <w:rPr>
              <w:rStyle w:val="44"/>
              <w:rFonts w:ascii="Times New Roman" w:hAnsi="Times New Roman" w:eastAsia="仿宋_GB2312;仿宋" w:cs="Times New Roman"/>
              <w:sz w:val="22"/>
              <w:szCs w:val="22"/>
            </w:rPr>
            <w:t>三、质量标准</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47627D07">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"__RefHeading___Toc351203484" \h </w:instrText>
          </w:r>
          <w:r>
            <w:fldChar w:fldCharType="separate"/>
          </w:r>
          <w:r>
            <w:rPr>
              <w:rStyle w:val="44"/>
              <w:rFonts w:ascii="Times New Roman" w:hAnsi="Times New Roman" w:eastAsia="仿宋_GB2312;仿宋" w:cs="Times New Roman"/>
              <w:sz w:val="22"/>
              <w:szCs w:val="22"/>
            </w:rPr>
            <w:t>四、签约合同价与合同价格形式</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40C93909">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"__RefHeading___Toc351203485" \h </w:instrText>
          </w:r>
          <w:r>
            <w:fldChar w:fldCharType="separate"/>
          </w:r>
          <w:r>
            <w:rPr>
              <w:rStyle w:val="44"/>
              <w:rFonts w:ascii="Times New Roman" w:hAnsi="Times New Roman" w:eastAsia="仿宋_GB2312;仿宋" w:cs="Times New Roman"/>
              <w:sz w:val="22"/>
              <w:szCs w:val="22"/>
            </w:rPr>
            <w:t>五、项目经理</w:t>
          </w:r>
          <w:r>
            <w:rPr>
              <w:rStyle w:val="44"/>
              <w:rFonts w:eastAsia="仿宋_GB2312;仿宋" w:cs="Times New Roman"/>
              <w:sz w:val="22"/>
              <w:szCs w:val="22"/>
            </w:rPr>
            <w:tab/>
          </w:r>
          <w:r>
            <w:rPr>
              <w:rStyle w:val="44"/>
              <w:rFonts w:eastAsia="仿宋_GB2312;仿宋" w:cs="Times New Roman"/>
              <w:sz w:val="22"/>
              <w:szCs w:val="22"/>
            </w:rPr>
            <w:t>52</w:t>
          </w:r>
          <w:r>
            <w:rPr>
              <w:rStyle w:val="44"/>
              <w:rFonts w:eastAsia="仿宋_GB2312;仿宋" w:cs="Times New Roman"/>
              <w:sz w:val="22"/>
              <w:szCs w:val="22"/>
            </w:rPr>
            <w:fldChar w:fldCharType="end"/>
          </w:r>
        </w:p>
        <w:p w14:paraId="057F2FD0">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"__RefHeading___Toc351203486" \h </w:instrText>
          </w:r>
          <w:r>
            <w:fldChar w:fldCharType="separate"/>
          </w:r>
          <w:r>
            <w:rPr>
              <w:rStyle w:val="44"/>
              <w:rFonts w:ascii="Times New Roman" w:hAnsi="Times New Roman" w:eastAsia="仿宋_GB2312;仿宋" w:cs="Times New Roman"/>
              <w:sz w:val="22"/>
              <w:szCs w:val="22"/>
            </w:rPr>
            <w:t>六、合同文件构成</w:t>
          </w:r>
          <w:r>
            <w:rPr>
              <w:rStyle w:val="44"/>
              <w:rFonts w:eastAsia="仿宋_GB2312;仿宋" w:cs="Times New Roman"/>
              <w:sz w:val="22"/>
              <w:szCs w:val="22"/>
            </w:rPr>
            <w:tab/>
          </w:r>
          <w:r>
            <w:rPr>
              <w:rStyle w:val="44"/>
              <w:rFonts w:eastAsia="仿宋_GB2312;仿宋" w:cs="Times New Roman"/>
              <w:sz w:val="22"/>
              <w:szCs w:val="22"/>
            </w:rPr>
            <w:t>2</w:t>
          </w:r>
          <w:r>
            <w:rPr>
              <w:rStyle w:val="44"/>
              <w:rFonts w:eastAsia="仿宋_GB2312;仿宋" w:cs="Times New Roman"/>
              <w:sz w:val="22"/>
              <w:szCs w:val="22"/>
            </w:rPr>
            <w:fldChar w:fldCharType="end"/>
          </w:r>
        </w:p>
        <w:p w14:paraId="63E0F7F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"__RefHeading___Toc351203487" \h </w:instrText>
          </w:r>
          <w:r>
            <w:fldChar w:fldCharType="separate"/>
          </w:r>
          <w:r>
            <w:rPr>
              <w:rStyle w:val="44"/>
              <w:rFonts w:ascii="Times New Roman" w:hAnsi="Times New Roman" w:eastAsia="仿宋_GB2312;仿宋" w:cs="Times New Roman"/>
              <w:sz w:val="22"/>
              <w:szCs w:val="22"/>
            </w:rPr>
            <w:t>七、承诺</w:t>
          </w:r>
          <w:r>
            <w:rPr>
              <w:rStyle w:val="44"/>
              <w:rFonts w:eastAsia="仿宋_GB2312;仿宋" w:cs="Times New Roman"/>
              <w:sz w:val="22"/>
              <w:szCs w:val="22"/>
            </w:rPr>
            <w:tab/>
          </w:r>
          <w:r>
            <w:rPr>
              <w:rStyle w:val="44"/>
              <w:rFonts w:eastAsia="仿宋_GB2312;仿宋" w:cs="Times New Roman"/>
              <w:sz w:val="22"/>
              <w:szCs w:val="22"/>
            </w:rPr>
            <w:t>52</w:t>
          </w:r>
          <w:r>
            <w:rPr>
              <w:rStyle w:val="44"/>
              <w:rFonts w:eastAsia="仿宋_GB2312;仿宋" w:cs="Times New Roman"/>
              <w:sz w:val="22"/>
              <w:szCs w:val="22"/>
            </w:rPr>
            <w:fldChar w:fldCharType="end"/>
          </w:r>
        </w:p>
        <w:p w14:paraId="226CEE02">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"__RefHeading___Toc351203488" \h </w:instrText>
          </w:r>
          <w:r>
            <w:fldChar w:fldCharType="separate"/>
          </w:r>
          <w:r>
            <w:rPr>
              <w:rStyle w:val="44"/>
              <w:rFonts w:ascii="Times New Roman" w:hAnsi="Times New Roman" w:eastAsia="仿宋_GB2312;仿宋" w:cs="Times New Roman"/>
              <w:sz w:val="22"/>
              <w:szCs w:val="22"/>
            </w:rPr>
            <w:t>八、词语含义</w:t>
          </w:r>
          <w:r>
            <w:rPr>
              <w:rStyle w:val="44"/>
              <w:rFonts w:eastAsia="仿宋_GB2312;仿宋" w:cs="Times New Roman"/>
              <w:sz w:val="22"/>
              <w:szCs w:val="22"/>
            </w:rPr>
            <w:tab/>
          </w:r>
          <w:r>
            <w:rPr>
              <w:rStyle w:val="44"/>
              <w:rFonts w:eastAsia="仿宋_GB2312;仿宋" w:cs="Times New Roman"/>
              <w:sz w:val="22"/>
              <w:szCs w:val="22"/>
            </w:rPr>
            <w:t>3</w:t>
          </w:r>
          <w:r>
            <w:rPr>
              <w:rStyle w:val="44"/>
              <w:rFonts w:eastAsia="仿宋_GB2312;仿宋" w:cs="Times New Roman"/>
              <w:sz w:val="22"/>
              <w:szCs w:val="22"/>
            </w:rPr>
            <w:fldChar w:fldCharType="end"/>
          </w:r>
        </w:p>
        <w:p w14:paraId="615A026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"__RefHeading___Toc351203489" \h </w:instrText>
          </w:r>
          <w:r>
            <w:fldChar w:fldCharType="separate"/>
          </w:r>
          <w:r>
            <w:rPr>
              <w:rStyle w:val="44"/>
              <w:rFonts w:ascii="Times New Roman" w:hAnsi="Times New Roman" w:eastAsia="仿宋_GB2312;仿宋" w:cs="Times New Roman"/>
              <w:sz w:val="22"/>
              <w:szCs w:val="22"/>
            </w:rPr>
            <w:t>九、签订时间</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042B0666">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"__RefHeading___Toc351203490" \h </w:instrText>
          </w:r>
          <w:r>
            <w:fldChar w:fldCharType="separate"/>
          </w:r>
          <w:r>
            <w:rPr>
              <w:rStyle w:val="44"/>
              <w:rFonts w:ascii="Times New Roman" w:hAnsi="Times New Roman" w:eastAsia="仿宋_GB2312;仿宋" w:cs="Times New Roman"/>
              <w:sz w:val="22"/>
              <w:szCs w:val="22"/>
            </w:rPr>
            <w:t>十、签订地点</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584A669D">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"__RefHeading___Toc351203491" \h </w:instrText>
          </w:r>
          <w:r>
            <w:fldChar w:fldCharType="separate"/>
          </w:r>
          <w:r>
            <w:rPr>
              <w:rStyle w:val="44"/>
              <w:rFonts w:ascii="Times New Roman" w:hAnsi="Times New Roman" w:eastAsia="仿宋_GB2312;仿宋" w:cs="Times New Roman"/>
              <w:sz w:val="22"/>
              <w:szCs w:val="22"/>
            </w:rPr>
            <w:t>十一、补充协议</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593463F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"__RefHeading___Toc351203492" \h </w:instrText>
          </w:r>
          <w:r>
            <w:fldChar w:fldCharType="separate"/>
          </w:r>
          <w:r>
            <w:rPr>
              <w:rStyle w:val="44"/>
              <w:rFonts w:ascii="Times New Roman" w:hAnsi="Times New Roman" w:eastAsia="仿宋_GB2312;仿宋" w:cs="Times New Roman"/>
              <w:sz w:val="22"/>
              <w:szCs w:val="22"/>
            </w:rPr>
            <w:t>十二、合同生效</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62758C79">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"__RefHeading___Toc351203493" \h </w:instrText>
          </w:r>
          <w:r>
            <w:fldChar w:fldCharType="separate"/>
          </w:r>
          <w:r>
            <w:rPr>
              <w:rStyle w:val="44"/>
              <w:rFonts w:ascii="Times New Roman" w:hAnsi="Times New Roman" w:eastAsia="仿宋_GB2312;仿宋" w:cs="Times New Roman"/>
              <w:sz w:val="22"/>
              <w:szCs w:val="22"/>
            </w:rPr>
            <w:t>十三、合同份数</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50CA07F1">
          <w:pPr>
            <w:pStyle w:val="12"/>
            <w:tabs>
              <w:tab w:val="right" w:leader="dot" w:pos="8810"/>
            </w:tabs>
            <w:ind w:left="0" w:firstLine="239"/>
            <w:rPr>
              <w:rFonts w:ascii="Times New Roman" w:hAnsi="Times New Roman" w:eastAsia="仿宋_GB2312;仿宋" w:cs="Times New Roman"/>
              <w:b/>
              <w:sz w:val="24"/>
              <w:szCs w:val="24"/>
            </w:rPr>
          </w:pPr>
          <w:r>
            <w:fldChar w:fldCharType="begin"/>
          </w:r>
          <w:r>
            <w:instrText xml:space="preserve"> HYPERLINK \l "__RefHeading___Toc351203494" \h </w:instrText>
          </w:r>
          <w:r>
            <w:fldChar w:fldCharType="separate"/>
          </w:r>
          <w:r>
            <w:rPr>
              <w:rStyle w:val="44"/>
              <w:rFonts w:ascii="Times New Roman" w:hAnsi="Times New Roman" w:eastAsia="仿宋_GB2312;仿宋" w:cs="Times New Roman"/>
              <w:b/>
              <w:sz w:val="24"/>
              <w:szCs w:val="24"/>
            </w:rPr>
            <w:t>第二部分</w:t>
          </w:r>
          <w:r>
            <w:rPr>
              <w:rStyle w:val="44"/>
              <w:rFonts w:ascii="Times New Roman" w:hAnsi="Times New Roman" w:eastAsia="Times New Roman" w:cs="Times New Roman"/>
              <w:b/>
              <w:sz w:val="24"/>
              <w:szCs w:val="24"/>
            </w:rPr>
            <w:t xml:space="preserve"> </w:t>
          </w:r>
          <w:r>
            <w:rPr>
              <w:rStyle w:val="44"/>
              <w:rFonts w:ascii="Times New Roman" w:hAnsi="Times New Roman" w:eastAsia="仿宋_GB2312;仿宋" w:cs="Times New Roman"/>
              <w:b/>
              <w:sz w:val="24"/>
              <w:szCs w:val="24"/>
            </w:rPr>
            <w:t>通用合同条款</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lang w:val="en-US" w:eastAsia="zh-CN"/>
            </w:rPr>
            <w:t>................................</w:t>
          </w:r>
          <w:r>
            <w:rPr>
              <w:rStyle w:val="44"/>
              <w:rFonts w:ascii="Times New Roman" w:hAnsi="Times New Roman" w:eastAsia="仿宋_GB2312;仿宋" w:cs="Times New Roman"/>
              <w:sz w:val="22"/>
              <w:szCs w:val="22"/>
            </w:rPr>
            <w:t>...…......55</w:t>
          </w:r>
          <w:r>
            <w:rPr>
              <w:rStyle w:val="44"/>
              <w:rFonts w:ascii="Times New Roman" w:hAnsi="Times New Roman" w:eastAsia="仿宋_GB2312;仿宋" w:cs="Times New Roman"/>
              <w:sz w:val="22"/>
              <w:szCs w:val="22"/>
            </w:rPr>
            <w:fldChar w:fldCharType="end"/>
          </w:r>
        </w:p>
        <w:p w14:paraId="159973FF">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"__RefHeading___Toc351203495" \h </w:instrText>
          </w:r>
          <w:r>
            <w:fldChar w:fldCharType="separate"/>
          </w:r>
          <w:r>
            <w:rPr>
              <w:rStyle w:val="44"/>
              <w:rFonts w:eastAsia="仿宋_GB2312;仿宋" w:cs="Times New Roman"/>
              <w:sz w:val="22"/>
              <w:szCs w:val="22"/>
            </w:rPr>
            <w:t xml:space="preserve">1. </w:t>
          </w:r>
          <w:r>
            <w:rPr>
              <w:rStyle w:val="44"/>
              <w:rFonts w:ascii="Times New Roman" w:hAnsi="Times New Roman" w:eastAsia="仿宋_GB2312;仿宋" w:cs="Times New Roman"/>
              <w:sz w:val="22"/>
              <w:szCs w:val="22"/>
            </w:rPr>
            <w:t>一般约定</w:t>
          </w:r>
          <w:r>
            <w:rPr>
              <w:rStyle w:val="44"/>
              <w:rFonts w:eastAsia="仿宋_GB2312;仿宋" w:cs="Times New Roman"/>
              <w:sz w:val="22"/>
              <w:szCs w:val="22"/>
            </w:rPr>
            <w:tab/>
          </w:r>
          <w:r>
            <w:rPr>
              <w:rStyle w:val="44"/>
              <w:rFonts w:eastAsia="仿宋_GB2312;仿宋" w:cs="Times New Roman"/>
              <w:sz w:val="22"/>
              <w:szCs w:val="22"/>
            </w:rPr>
            <w:t>55</w:t>
          </w:r>
          <w:r>
            <w:rPr>
              <w:rStyle w:val="44"/>
              <w:rFonts w:eastAsia="仿宋_GB2312;仿宋" w:cs="Times New Roman"/>
              <w:sz w:val="22"/>
              <w:szCs w:val="22"/>
            </w:rPr>
            <w:fldChar w:fldCharType="end"/>
          </w:r>
        </w:p>
        <w:p w14:paraId="3C3FFC5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"__RefHeading___Toc351203496" \h </w:instrText>
          </w:r>
          <w:r>
            <w:fldChar w:fldCharType="separate"/>
          </w:r>
          <w:r>
            <w:rPr>
              <w:rStyle w:val="44"/>
              <w:rFonts w:eastAsia="仿宋_GB2312;仿宋" w:cs="Times New Roman"/>
              <w:sz w:val="22"/>
              <w:szCs w:val="22"/>
            </w:rPr>
            <w:t>1.1</w:t>
          </w:r>
          <w:r>
            <w:rPr>
              <w:rStyle w:val="44"/>
              <w:rFonts w:ascii="Times New Roman" w:hAnsi="Times New Roman" w:eastAsia="仿宋_GB2312;仿宋" w:cs="Times New Roman"/>
              <w:sz w:val="22"/>
              <w:szCs w:val="22"/>
            </w:rPr>
            <w:t>词语定义与解释</w:t>
          </w:r>
          <w:r>
            <w:rPr>
              <w:rStyle w:val="44"/>
              <w:rFonts w:eastAsia="仿宋_GB2312;仿宋" w:cs="Times New Roman"/>
              <w:sz w:val="22"/>
              <w:szCs w:val="22"/>
            </w:rPr>
            <w:tab/>
          </w:r>
          <w:r>
            <w:rPr>
              <w:rStyle w:val="44"/>
              <w:rFonts w:eastAsia="仿宋_GB2312;仿宋" w:cs="Times New Roman"/>
              <w:sz w:val="22"/>
              <w:szCs w:val="22"/>
            </w:rPr>
            <w:t>55</w:t>
          </w:r>
          <w:r>
            <w:rPr>
              <w:rStyle w:val="44"/>
              <w:rFonts w:eastAsia="仿宋_GB2312;仿宋" w:cs="Times New Roman"/>
              <w:sz w:val="22"/>
              <w:szCs w:val="22"/>
            </w:rPr>
            <w:fldChar w:fldCharType="end"/>
          </w:r>
        </w:p>
        <w:p w14:paraId="702516E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"__RefHeading___Toc351203497" \h </w:instrText>
          </w:r>
          <w:r>
            <w:fldChar w:fldCharType="separate"/>
          </w:r>
          <w:r>
            <w:rPr>
              <w:rStyle w:val="44"/>
              <w:rFonts w:eastAsia="仿宋_GB2312;仿宋" w:cs="Times New Roman"/>
              <w:sz w:val="22"/>
              <w:szCs w:val="22"/>
            </w:rPr>
            <w:t>1.2</w:t>
          </w:r>
          <w:r>
            <w:rPr>
              <w:rStyle w:val="44"/>
              <w:rFonts w:ascii="Times New Roman" w:hAnsi="Times New Roman" w:eastAsia="仿宋_GB2312;仿宋" w:cs="Times New Roman"/>
              <w:sz w:val="22"/>
              <w:szCs w:val="22"/>
            </w:rPr>
            <w:t>语言文字</w:t>
          </w:r>
          <w:r>
            <w:rPr>
              <w:rStyle w:val="44"/>
              <w:rFonts w:eastAsia="仿宋_GB2312;仿宋" w:cs="Times New Roman"/>
              <w:sz w:val="22"/>
              <w:szCs w:val="22"/>
            </w:rPr>
            <w:tab/>
          </w:r>
          <w:r>
            <w:rPr>
              <w:rStyle w:val="44"/>
              <w:rFonts w:eastAsia="仿宋_GB2312;仿宋" w:cs="Times New Roman"/>
              <w:sz w:val="22"/>
              <w:szCs w:val="22"/>
            </w:rPr>
            <w:t>58</w:t>
          </w:r>
          <w:r>
            <w:rPr>
              <w:rStyle w:val="44"/>
              <w:rFonts w:eastAsia="仿宋_GB2312;仿宋" w:cs="Times New Roman"/>
              <w:sz w:val="22"/>
              <w:szCs w:val="22"/>
            </w:rPr>
            <w:fldChar w:fldCharType="end"/>
          </w:r>
        </w:p>
        <w:p w14:paraId="4FEFFFC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"__RefHeading___Toc351203498" \h </w:instrText>
          </w:r>
          <w:r>
            <w:fldChar w:fldCharType="separate"/>
          </w:r>
          <w:r>
            <w:rPr>
              <w:rStyle w:val="44"/>
              <w:rFonts w:eastAsia="仿宋_GB2312;仿宋" w:cs="Times New Roman"/>
              <w:sz w:val="22"/>
              <w:szCs w:val="22"/>
            </w:rPr>
            <w:t>1.3</w:t>
          </w:r>
          <w:r>
            <w:rPr>
              <w:rStyle w:val="44"/>
              <w:rFonts w:ascii="Times New Roman" w:hAnsi="Times New Roman" w:eastAsia="仿宋_GB2312;仿宋" w:cs="Times New Roman"/>
              <w:sz w:val="22"/>
              <w:szCs w:val="22"/>
            </w:rPr>
            <w:t>法律</w:t>
          </w:r>
          <w:r>
            <w:rPr>
              <w:rStyle w:val="44"/>
              <w:rFonts w:eastAsia="仿宋_GB2312;仿宋" w:cs="Times New Roman"/>
              <w:sz w:val="22"/>
              <w:szCs w:val="22"/>
            </w:rPr>
            <w:tab/>
          </w:r>
          <w:r>
            <w:rPr>
              <w:rStyle w:val="44"/>
              <w:rFonts w:eastAsia="仿宋_GB2312;仿宋" w:cs="Times New Roman"/>
              <w:sz w:val="22"/>
              <w:szCs w:val="22"/>
            </w:rPr>
            <w:t>58</w:t>
          </w:r>
          <w:r>
            <w:rPr>
              <w:rStyle w:val="44"/>
              <w:rFonts w:eastAsia="仿宋_GB2312;仿宋" w:cs="Times New Roman"/>
              <w:sz w:val="22"/>
              <w:szCs w:val="22"/>
            </w:rPr>
            <w:fldChar w:fldCharType="end"/>
          </w:r>
        </w:p>
        <w:p w14:paraId="426A3BF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"__RefHeading___Toc351203499" \h </w:instrText>
          </w:r>
          <w:r>
            <w:fldChar w:fldCharType="separate"/>
          </w:r>
          <w:r>
            <w:rPr>
              <w:rStyle w:val="44"/>
              <w:rFonts w:eastAsia="仿宋_GB2312;仿宋" w:cs="Times New Roman"/>
              <w:sz w:val="22"/>
              <w:szCs w:val="22"/>
            </w:rPr>
            <w:t xml:space="preserve">1.4 </w:t>
          </w:r>
          <w:r>
            <w:rPr>
              <w:rStyle w:val="44"/>
              <w:rFonts w:ascii="Times New Roman" w:hAnsi="Times New Roman" w:eastAsia="仿宋_GB2312;仿宋" w:cs="Times New Roman"/>
              <w:sz w:val="22"/>
              <w:szCs w:val="22"/>
            </w:rPr>
            <w:t>标准和规范</w:t>
          </w:r>
          <w:r>
            <w:rPr>
              <w:rStyle w:val="44"/>
              <w:rFonts w:eastAsia="仿宋_GB2312;仿宋" w:cs="Times New Roman"/>
              <w:sz w:val="22"/>
              <w:szCs w:val="22"/>
            </w:rPr>
            <w:tab/>
          </w:r>
          <w:r>
            <w:rPr>
              <w:rStyle w:val="44"/>
              <w:rFonts w:eastAsia="仿宋_GB2312;仿宋" w:cs="Times New Roman"/>
              <w:sz w:val="22"/>
              <w:szCs w:val="22"/>
            </w:rPr>
            <w:t>58</w:t>
          </w:r>
          <w:r>
            <w:rPr>
              <w:rStyle w:val="44"/>
              <w:rFonts w:eastAsia="仿宋_GB2312;仿宋" w:cs="Times New Roman"/>
              <w:sz w:val="22"/>
              <w:szCs w:val="22"/>
            </w:rPr>
            <w:fldChar w:fldCharType="end"/>
          </w:r>
        </w:p>
        <w:p w14:paraId="640328C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"__RefHeading___Toc351203500" \h </w:instrText>
          </w:r>
          <w:r>
            <w:fldChar w:fldCharType="separate"/>
          </w:r>
          <w:r>
            <w:rPr>
              <w:rStyle w:val="44"/>
              <w:rFonts w:eastAsia="仿宋_GB2312;仿宋" w:cs="Times New Roman"/>
              <w:sz w:val="22"/>
              <w:szCs w:val="22"/>
            </w:rPr>
            <w:t xml:space="preserve">1.5 </w:t>
          </w:r>
          <w:r>
            <w:rPr>
              <w:rStyle w:val="44"/>
              <w:rFonts w:ascii="Times New Roman" w:hAnsi="Times New Roman" w:eastAsia="仿宋_GB2312;仿宋" w:cs="Times New Roman"/>
              <w:sz w:val="22"/>
              <w:szCs w:val="22"/>
            </w:rPr>
            <w:t>合同文件的优先顺序</w:t>
          </w:r>
          <w:r>
            <w:rPr>
              <w:rStyle w:val="44"/>
              <w:rFonts w:eastAsia="仿宋_GB2312;仿宋" w:cs="Times New Roman"/>
              <w:sz w:val="22"/>
              <w:szCs w:val="22"/>
            </w:rPr>
            <w:tab/>
          </w:r>
          <w:r>
            <w:rPr>
              <w:rStyle w:val="44"/>
              <w:rFonts w:eastAsia="仿宋_GB2312;仿宋" w:cs="Times New Roman"/>
              <w:sz w:val="22"/>
              <w:szCs w:val="22"/>
            </w:rPr>
            <w:t>59</w:t>
          </w:r>
          <w:r>
            <w:rPr>
              <w:rStyle w:val="44"/>
              <w:rFonts w:eastAsia="仿宋_GB2312;仿宋" w:cs="Times New Roman"/>
              <w:sz w:val="22"/>
              <w:szCs w:val="22"/>
            </w:rPr>
            <w:fldChar w:fldCharType="end"/>
          </w:r>
        </w:p>
        <w:p w14:paraId="42567AA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"__RefHeading___Toc351203501" \h </w:instrText>
          </w:r>
          <w:r>
            <w:fldChar w:fldCharType="separate"/>
          </w:r>
          <w:r>
            <w:rPr>
              <w:rStyle w:val="44"/>
              <w:rFonts w:eastAsia="仿宋_GB2312;仿宋" w:cs="Times New Roman"/>
              <w:sz w:val="22"/>
              <w:szCs w:val="22"/>
            </w:rPr>
            <w:t>1.6</w:t>
          </w:r>
          <w:r>
            <w:rPr>
              <w:rStyle w:val="44"/>
              <w:rFonts w:ascii="Times New Roman" w:hAnsi="Times New Roman" w:eastAsia="仿宋_GB2312;仿宋" w:cs="Times New Roman"/>
              <w:sz w:val="22"/>
              <w:szCs w:val="22"/>
            </w:rPr>
            <w:t>图纸和承包人文件</w:t>
          </w:r>
          <w:r>
            <w:rPr>
              <w:rStyle w:val="44"/>
              <w:rFonts w:eastAsia="仿宋_GB2312;仿宋" w:cs="Times New Roman"/>
              <w:sz w:val="22"/>
              <w:szCs w:val="22"/>
            </w:rPr>
            <w:tab/>
          </w:r>
          <w:r>
            <w:rPr>
              <w:rStyle w:val="44"/>
              <w:rFonts w:eastAsia="仿宋_GB2312;仿宋" w:cs="Times New Roman"/>
              <w:sz w:val="22"/>
              <w:szCs w:val="22"/>
            </w:rPr>
            <w:t>59</w:t>
          </w:r>
          <w:r>
            <w:rPr>
              <w:rStyle w:val="44"/>
              <w:rFonts w:eastAsia="仿宋_GB2312;仿宋" w:cs="Times New Roman"/>
              <w:sz w:val="22"/>
              <w:szCs w:val="22"/>
            </w:rPr>
            <w:fldChar w:fldCharType="end"/>
          </w:r>
        </w:p>
        <w:p w14:paraId="23F6B1E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"__RefHeading___Toc351203502" \h </w:instrText>
          </w:r>
          <w:r>
            <w:fldChar w:fldCharType="separate"/>
          </w:r>
          <w:r>
            <w:rPr>
              <w:rStyle w:val="44"/>
              <w:rFonts w:eastAsia="仿宋_GB2312;仿宋" w:cs="Times New Roman"/>
              <w:sz w:val="22"/>
              <w:szCs w:val="22"/>
            </w:rPr>
            <w:t>1.7</w:t>
          </w:r>
          <w:r>
            <w:rPr>
              <w:rStyle w:val="44"/>
              <w:rFonts w:ascii="Times New Roman" w:hAnsi="Times New Roman" w:eastAsia="仿宋_GB2312;仿宋" w:cs="Times New Roman"/>
              <w:sz w:val="22"/>
              <w:szCs w:val="22"/>
            </w:rPr>
            <w:t>联络</w:t>
          </w:r>
          <w:r>
            <w:rPr>
              <w:rStyle w:val="44"/>
              <w:rFonts w:eastAsia="仿宋_GB2312;仿宋" w:cs="Times New Roman"/>
              <w:sz w:val="22"/>
              <w:szCs w:val="22"/>
            </w:rPr>
            <w:tab/>
          </w:r>
          <w:r>
            <w:rPr>
              <w:rStyle w:val="44"/>
              <w:rFonts w:eastAsia="仿宋_GB2312;仿宋" w:cs="Times New Roman"/>
              <w:sz w:val="22"/>
              <w:szCs w:val="22"/>
            </w:rPr>
            <w:t>60</w:t>
          </w:r>
          <w:r>
            <w:rPr>
              <w:rStyle w:val="44"/>
              <w:rFonts w:eastAsia="仿宋_GB2312;仿宋" w:cs="Times New Roman"/>
              <w:sz w:val="22"/>
              <w:szCs w:val="22"/>
            </w:rPr>
            <w:fldChar w:fldCharType="end"/>
          </w:r>
        </w:p>
        <w:p w14:paraId="0504A52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"__RefHeading___Toc351203503" \h </w:instrText>
          </w:r>
          <w:r>
            <w:fldChar w:fldCharType="separate"/>
          </w:r>
          <w:r>
            <w:rPr>
              <w:rStyle w:val="44"/>
              <w:rFonts w:eastAsia="仿宋_GB2312;仿宋" w:cs="Times New Roman"/>
              <w:sz w:val="22"/>
              <w:szCs w:val="22"/>
            </w:rPr>
            <w:t>1.8</w:t>
          </w:r>
          <w:r>
            <w:rPr>
              <w:rStyle w:val="44"/>
              <w:rFonts w:ascii="Times New Roman" w:hAnsi="Times New Roman" w:eastAsia="仿宋_GB2312;仿宋" w:cs="Times New Roman"/>
              <w:sz w:val="22"/>
              <w:szCs w:val="22"/>
            </w:rPr>
            <w:t>严禁贿赂</w:t>
          </w:r>
          <w:r>
            <w:rPr>
              <w:rStyle w:val="44"/>
              <w:rFonts w:eastAsia="仿宋_GB2312;仿宋" w:cs="Times New Roman"/>
              <w:sz w:val="22"/>
              <w:szCs w:val="22"/>
            </w:rPr>
            <w:tab/>
          </w:r>
          <w:r>
            <w:rPr>
              <w:rStyle w:val="44"/>
              <w:rFonts w:eastAsia="仿宋_GB2312;仿宋" w:cs="Times New Roman"/>
              <w:sz w:val="22"/>
              <w:szCs w:val="22"/>
            </w:rPr>
            <w:t>60</w:t>
          </w:r>
          <w:r>
            <w:rPr>
              <w:rStyle w:val="44"/>
              <w:rFonts w:eastAsia="仿宋_GB2312;仿宋" w:cs="Times New Roman"/>
              <w:sz w:val="22"/>
              <w:szCs w:val="22"/>
            </w:rPr>
            <w:fldChar w:fldCharType="end"/>
          </w:r>
        </w:p>
        <w:p w14:paraId="5A658B1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"__RefHeading___Toc351203504" \h </w:instrText>
          </w:r>
          <w:r>
            <w:fldChar w:fldCharType="separate"/>
          </w:r>
          <w:r>
            <w:rPr>
              <w:rStyle w:val="44"/>
              <w:rFonts w:eastAsia="仿宋_GB2312;仿宋" w:cs="Times New Roman"/>
              <w:sz w:val="22"/>
              <w:szCs w:val="22"/>
            </w:rPr>
            <w:t>1.9</w:t>
          </w:r>
          <w:r>
            <w:rPr>
              <w:rStyle w:val="44"/>
              <w:rFonts w:ascii="Times New Roman" w:hAnsi="Times New Roman" w:eastAsia="仿宋_GB2312;仿宋" w:cs="Times New Roman"/>
              <w:sz w:val="22"/>
              <w:szCs w:val="22"/>
            </w:rPr>
            <w:t>化石、文物</w:t>
          </w:r>
          <w:r>
            <w:rPr>
              <w:rStyle w:val="44"/>
              <w:rFonts w:eastAsia="仿宋_GB2312;仿宋" w:cs="Times New Roman"/>
              <w:sz w:val="22"/>
              <w:szCs w:val="22"/>
            </w:rPr>
            <w:tab/>
          </w:r>
          <w:r>
            <w:rPr>
              <w:rStyle w:val="44"/>
              <w:rFonts w:eastAsia="仿宋_GB2312;仿宋" w:cs="Times New Roman"/>
              <w:sz w:val="22"/>
              <w:szCs w:val="22"/>
            </w:rPr>
            <w:t>61</w:t>
          </w:r>
          <w:r>
            <w:rPr>
              <w:rStyle w:val="44"/>
              <w:rFonts w:eastAsia="仿宋_GB2312;仿宋" w:cs="Times New Roman"/>
              <w:sz w:val="22"/>
              <w:szCs w:val="22"/>
            </w:rPr>
            <w:fldChar w:fldCharType="end"/>
          </w:r>
        </w:p>
        <w:p w14:paraId="7E28242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"__RefHeading___Toc351203505" \h </w:instrText>
          </w:r>
          <w:r>
            <w:fldChar w:fldCharType="separate"/>
          </w:r>
          <w:r>
            <w:rPr>
              <w:rStyle w:val="44"/>
              <w:rFonts w:eastAsia="仿宋_GB2312;仿宋" w:cs="Times New Roman"/>
              <w:sz w:val="22"/>
              <w:szCs w:val="22"/>
            </w:rPr>
            <w:t>1.10</w:t>
          </w:r>
          <w:r>
            <w:rPr>
              <w:rStyle w:val="44"/>
              <w:rFonts w:ascii="Times New Roman" w:hAnsi="Times New Roman" w:eastAsia="仿宋_GB2312;仿宋" w:cs="Times New Roman"/>
              <w:sz w:val="22"/>
              <w:szCs w:val="22"/>
            </w:rPr>
            <w:t>交通运输</w:t>
          </w:r>
          <w:r>
            <w:rPr>
              <w:rStyle w:val="44"/>
              <w:rFonts w:eastAsia="仿宋_GB2312;仿宋" w:cs="Times New Roman"/>
              <w:sz w:val="22"/>
              <w:szCs w:val="22"/>
            </w:rPr>
            <w:tab/>
          </w:r>
          <w:r>
            <w:rPr>
              <w:rStyle w:val="44"/>
              <w:rFonts w:eastAsia="仿宋_GB2312;仿宋" w:cs="Times New Roman"/>
              <w:sz w:val="22"/>
              <w:szCs w:val="22"/>
            </w:rPr>
            <w:t>61</w:t>
          </w:r>
          <w:r>
            <w:rPr>
              <w:rStyle w:val="44"/>
              <w:rFonts w:eastAsia="仿宋_GB2312;仿宋" w:cs="Times New Roman"/>
              <w:sz w:val="22"/>
              <w:szCs w:val="22"/>
            </w:rPr>
            <w:fldChar w:fldCharType="end"/>
          </w:r>
        </w:p>
        <w:p w14:paraId="65B56A3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"__RefHeading___Toc351203506" \h </w:instrText>
          </w:r>
          <w:r>
            <w:fldChar w:fldCharType="separate"/>
          </w:r>
          <w:r>
            <w:rPr>
              <w:rStyle w:val="44"/>
              <w:rFonts w:eastAsia="仿宋_GB2312;仿宋" w:cs="Times New Roman"/>
              <w:sz w:val="22"/>
              <w:szCs w:val="22"/>
            </w:rPr>
            <w:t>1.11</w:t>
          </w:r>
          <w:r>
            <w:rPr>
              <w:rStyle w:val="44"/>
              <w:rFonts w:ascii="Times New Roman" w:hAnsi="Times New Roman" w:eastAsia="仿宋_GB2312;仿宋" w:cs="Times New Roman"/>
              <w:sz w:val="22"/>
              <w:szCs w:val="22"/>
            </w:rPr>
            <w:t>知识产权</w:t>
          </w:r>
          <w:r>
            <w:rPr>
              <w:rStyle w:val="44"/>
              <w:rFonts w:eastAsia="仿宋_GB2312;仿宋" w:cs="Times New Roman"/>
              <w:sz w:val="22"/>
              <w:szCs w:val="22"/>
            </w:rPr>
            <w:tab/>
          </w:r>
          <w:r>
            <w:rPr>
              <w:rStyle w:val="44"/>
              <w:rFonts w:eastAsia="仿宋_GB2312;仿宋" w:cs="Times New Roman"/>
              <w:sz w:val="22"/>
              <w:szCs w:val="22"/>
            </w:rPr>
            <w:t>62</w:t>
          </w:r>
          <w:r>
            <w:rPr>
              <w:rStyle w:val="44"/>
              <w:rFonts w:eastAsia="仿宋_GB2312;仿宋" w:cs="Times New Roman"/>
              <w:sz w:val="22"/>
              <w:szCs w:val="22"/>
            </w:rPr>
            <w:fldChar w:fldCharType="end"/>
          </w:r>
        </w:p>
        <w:p w14:paraId="2C1A43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"__RefHeading___Toc351203507" \h </w:instrText>
          </w:r>
          <w:r>
            <w:fldChar w:fldCharType="separate"/>
          </w:r>
          <w:r>
            <w:rPr>
              <w:rStyle w:val="44"/>
              <w:rFonts w:eastAsia="仿宋_GB2312;仿宋" w:cs="Times New Roman"/>
              <w:sz w:val="22"/>
              <w:szCs w:val="22"/>
            </w:rPr>
            <w:t>1.12</w:t>
          </w:r>
          <w:r>
            <w:rPr>
              <w:rStyle w:val="44"/>
              <w:rFonts w:ascii="Times New Roman" w:hAnsi="Times New Roman" w:eastAsia="仿宋_GB2312;仿宋" w:cs="Times New Roman"/>
              <w:sz w:val="22"/>
              <w:szCs w:val="22"/>
            </w:rPr>
            <w:t>保密</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7FBF001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"__RefHeading___Toc351203508" \h </w:instrText>
          </w:r>
          <w:r>
            <w:fldChar w:fldCharType="separate"/>
          </w:r>
          <w:r>
            <w:rPr>
              <w:rStyle w:val="44"/>
              <w:rFonts w:eastAsia="仿宋_GB2312;仿宋" w:cs="Times New Roman"/>
              <w:sz w:val="22"/>
              <w:szCs w:val="22"/>
            </w:rPr>
            <w:t>1.13</w:t>
          </w:r>
          <w:r>
            <w:rPr>
              <w:rStyle w:val="44"/>
              <w:rFonts w:ascii="Times New Roman" w:hAnsi="Times New Roman" w:eastAsia="仿宋_GB2312;仿宋" w:cs="Times New Roman"/>
              <w:sz w:val="22"/>
              <w:szCs w:val="22"/>
            </w:rPr>
            <w:t>工程量清单错误的修正</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009ED0A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"__RefHeading___Toc351203509" \h </w:instrText>
          </w:r>
          <w:r>
            <w:fldChar w:fldCharType="separate"/>
          </w:r>
          <w:r>
            <w:rPr>
              <w:rStyle w:val="44"/>
              <w:rFonts w:eastAsia="仿宋_GB2312;仿宋" w:cs="Times New Roman"/>
              <w:sz w:val="22"/>
              <w:szCs w:val="22"/>
            </w:rPr>
            <w:t xml:space="preserve">2. </w:t>
          </w:r>
          <w:r>
            <w:rPr>
              <w:rStyle w:val="44"/>
              <w:rFonts w:ascii="Times New Roman" w:hAnsi="Times New Roman" w:eastAsia="仿宋_GB2312;仿宋" w:cs="Times New Roman"/>
              <w:sz w:val="22"/>
              <w:szCs w:val="22"/>
            </w:rPr>
            <w:t>发包人</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3F2BCCD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"__RefHeading___Toc351203510" \h </w:instrText>
          </w:r>
          <w:r>
            <w:fldChar w:fldCharType="separate"/>
          </w:r>
          <w:r>
            <w:rPr>
              <w:rStyle w:val="44"/>
              <w:rFonts w:eastAsia="仿宋_GB2312;仿宋" w:cs="Times New Roman"/>
              <w:sz w:val="22"/>
              <w:szCs w:val="22"/>
            </w:rPr>
            <w:t xml:space="preserve">2.1 </w:t>
          </w:r>
          <w:r>
            <w:rPr>
              <w:rStyle w:val="44"/>
              <w:rFonts w:ascii="Times New Roman" w:hAnsi="Times New Roman" w:eastAsia="仿宋_GB2312;仿宋" w:cs="Times New Roman"/>
              <w:sz w:val="22"/>
              <w:szCs w:val="22"/>
            </w:rPr>
            <w:t>许可或批准</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45A8D66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"__RefHeading___Toc351203511" \h </w:instrText>
          </w:r>
          <w:r>
            <w:fldChar w:fldCharType="separate"/>
          </w:r>
          <w:r>
            <w:rPr>
              <w:rStyle w:val="44"/>
              <w:rFonts w:eastAsia="仿宋_GB2312;仿宋" w:cs="Times New Roman"/>
              <w:sz w:val="22"/>
              <w:szCs w:val="22"/>
            </w:rPr>
            <w:t xml:space="preserve">2.2 </w:t>
          </w:r>
          <w:r>
            <w:rPr>
              <w:rStyle w:val="44"/>
              <w:rFonts w:ascii="Times New Roman" w:hAnsi="Times New Roman" w:eastAsia="仿宋_GB2312;仿宋" w:cs="Times New Roman"/>
              <w:sz w:val="22"/>
              <w:szCs w:val="22"/>
            </w:rPr>
            <w:t>发包人代表</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48D21F9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"__RefHeading___Toc351203512" \h </w:instrText>
          </w:r>
          <w:r>
            <w:fldChar w:fldCharType="separate"/>
          </w:r>
          <w:r>
            <w:rPr>
              <w:rStyle w:val="44"/>
              <w:rFonts w:eastAsia="仿宋_GB2312;仿宋" w:cs="Times New Roman"/>
              <w:sz w:val="22"/>
              <w:szCs w:val="22"/>
            </w:rPr>
            <w:t xml:space="preserve">2.3 </w:t>
          </w:r>
          <w:r>
            <w:rPr>
              <w:rStyle w:val="44"/>
              <w:rFonts w:ascii="Times New Roman" w:hAnsi="Times New Roman" w:eastAsia="仿宋_GB2312;仿宋" w:cs="Times New Roman"/>
              <w:sz w:val="22"/>
              <w:szCs w:val="22"/>
            </w:rPr>
            <w:t>发包人人员</w:t>
          </w:r>
          <w:r>
            <w:rPr>
              <w:rStyle w:val="44"/>
              <w:rFonts w:eastAsia="仿宋_GB2312;仿宋" w:cs="Times New Roman"/>
              <w:sz w:val="22"/>
              <w:szCs w:val="22"/>
            </w:rPr>
            <w:tab/>
          </w:r>
          <w:r>
            <w:rPr>
              <w:rStyle w:val="44"/>
              <w:rFonts w:eastAsia="仿宋_GB2312;仿宋" w:cs="Times New Roman"/>
              <w:sz w:val="22"/>
              <w:szCs w:val="22"/>
            </w:rPr>
            <w:t>64</w:t>
          </w:r>
          <w:r>
            <w:rPr>
              <w:rStyle w:val="44"/>
              <w:rFonts w:eastAsia="仿宋_GB2312;仿宋" w:cs="Times New Roman"/>
              <w:sz w:val="22"/>
              <w:szCs w:val="22"/>
            </w:rPr>
            <w:fldChar w:fldCharType="end"/>
          </w:r>
        </w:p>
        <w:p w14:paraId="6D2B212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"__RefHeading___Toc351203513" \h </w:instrText>
          </w:r>
          <w:r>
            <w:fldChar w:fldCharType="separate"/>
          </w:r>
          <w:r>
            <w:rPr>
              <w:rStyle w:val="44"/>
              <w:rFonts w:eastAsia="仿宋_GB2312;仿宋" w:cs="Times New Roman"/>
              <w:sz w:val="22"/>
              <w:szCs w:val="22"/>
            </w:rPr>
            <w:t xml:space="preserve">2.4 </w:t>
          </w:r>
          <w:r>
            <w:rPr>
              <w:rStyle w:val="44"/>
              <w:rFonts w:ascii="Times New Roman" w:hAnsi="Times New Roman" w:eastAsia="仿宋_GB2312;仿宋" w:cs="Times New Roman"/>
              <w:sz w:val="22"/>
              <w:szCs w:val="22"/>
            </w:rPr>
            <w:t>施工现场、施工条件和基础资料的提供</w:t>
          </w:r>
          <w:r>
            <w:rPr>
              <w:rStyle w:val="44"/>
              <w:rFonts w:eastAsia="仿宋_GB2312;仿宋" w:cs="Times New Roman"/>
              <w:sz w:val="22"/>
              <w:szCs w:val="22"/>
            </w:rPr>
            <w:tab/>
          </w:r>
          <w:r>
            <w:rPr>
              <w:rStyle w:val="44"/>
              <w:rFonts w:eastAsia="仿宋_GB2312;仿宋" w:cs="Times New Roman"/>
              <w:sz w:val="22"/>
              <w:szCs w:val="22"/>
            </w:rPr>
            <w:t>64</w:t>
          </w:r>
          <w:r>
            <w:rPr>
              <w:rStyle w:val="44"/>
              <w:rFonts w:eastAsia="仿宋_GB2312;仿宋" w:cs="Times New Roman"/>
              <w:sz w:val="22"/>
              <w:szCs w:val="22"/>
            </w:rPr>
            <w:fldChar w:fldCharType="end"/>
          </w:r>
        </w:p>
        <w:p w14:paraId="100F9D54">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"__RefHeading___Toc351203514" \h </w:instrText>
          </w:r>
          <w:r>
            <w:fldChar w:fldCharType="separate"/>
          </w:r>
          <w:r>
            <w:rPr>
              <w:rStyle w:val="44"/>
              <w:rFonts w:eastAsia="仿宋_GB2312;仿宋" w:cs="Times New Roman"/>
              <w:sz w:val="22"/>
              <w:szCs w:val="22"/>
            </w:rPr>
            <w:t xml:space="preserve">2.5 </w:t>
          </w:r>
          <w:r>
            <w:rPr>
              <w:rStyle w:val="44"/>
              <w:rFonts w:ascii="Times New Roman" w:hAnsi="Times New Roman" w:eastAsia="仿宋_GB2312;仿宋" w:cs="Times New Roman"/>
              <w:sz w:val="22"/>
              <w:szCs w:val="22"/>
            </w:rPr>
            <w:t>资金来源证明及支付担保</w:t>
          </w:r>
          <w:r>
            <w:rPr>
              <w:rStyle w:val="44"/>
              <w:rFonts w:eastAsia="仿宋_GB2312;仿宋" w:cs="Times New Roman"/>
              <w:sz w:val="22"/>
              <w:szCs w:val="22"/>
            </w:rPr>
            <w:tab/>
          </w:r>
          <w:r>
            <w:rPr>
              <w:rStyle w:val="44"/>
              <w:rFonts w:eastAsia="仿宋_GB2312;仿宋" w:cs="Times New Roman"/>
              <w:sz w:val="22"/>
              <w:szCs w:val="22"/>
            </w:rPr>
            <w:t>64</w:t>
          </w:r>
          <w:r>
            <w:rPr>
              <w:rStyle w:val="44"/>
              <w:rFonts w:eastAsia="仿宋_GB2312;仿宋" w:cs="Times New Roman"/>
              <w:sz w:val="22"/>
              <w:szCs w:val="22"/>
            </w:rPr>
            <w:fldChar w:fldCharType="end"/>
          </w:r>
        </w:p>
        <w:p w14:paraId="34C573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"__RefHeading___Toc351203515" \h </w:instrText>
          </w:r>
          <w:r>
            <w:fldChar w:fldCharType="separate"/>
          </w:r>
          <w:r>
            <w:rPr>
              <w:rStyle w:val="44"/>
              <w:rFonts w:eastAsia="仿宋_GB2312;仿宋" w:cs="Times New Roman"/>
              <w:sz w:val="22"/>
              <w:szCs w:val="22"/>
            </w:rPr>
            <w:t xml:space="preserve">2.6 </w:t>
          </w:r>
          <w:r>
            <w:rPr>
              <w:rStyle w:val="44"/>
              <w:rFonts w:ascii="Times New Roman" w:hAnsi="Times New Roman" w:eastAsia="仿宋_GB2312;仿宋" w:cs="Times New Roman"/>
              <w:sz w:val="22"/>
              <w:szCs w:val="22"/>
            </w:rPr>
            <w:t>支付合同价款</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29C59B7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"__RefHeading___Toc351203516" \h </w:instrText>
          </w:r>
          <w:r>
            <w:fldChar w:fldCharType="separate"/>
          </w:r>
          <w:r>
            <w:rPr>
              <w:rStyle w:val="44"/>
              <w:rFonts w:eastAsia="仿宋_GB2312;仿宋" w:cs="Times New Roman"/>
              <w:sz w:val="22"/>
              <w:szCs w:val="22"/>
            </w:rPr>
            <w:t xml:space="preserve">2.7 </w:t>
          </w:r>
          <w:r>
            <w:rPr>
              <w:rStyle w:val="44"/>
              <w:rFonts w:ascii="Times New Roman" w:hAnsi="Times New Roman" w:eastAsia="仿宋_GB2312;仿宋" w:cs="Times New Roman"/>
              <w:sz w:val="22"/>
              <w:szCs w:val="22"/>
            </w:rPr>
            <w:t>组织竣工验收</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3E27D13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"__RefHeading___Toc351203517" \h </w:instrText>
          </w:r>
          <w:r>
            <w:fldChar w:fldCharType="separate"/>
          </w:r>
          <w:r>
            <w:rPr>
              <w:rStyle w:val="44"/>
              <w:rFonts w:eastAsia="仿宋_GB2312;仿宋" w:cs="Times New Roman"/>
              <w:sz w:val="22"/>
              <w:szCs w:val="22"/>
            </w:rPr>
            <w:t xml:space="preserve">2.8 </w:t>
          </w:r>
          <w:r>
            <w:rPr>
              <w:rStyle w:val="44"/>
              <w:rFonts w:ascii="Times New Roman" w:hAnsi="Times New Roman" w:eastAsia="仿宋_GB2312;仿宋" w:cs="Times New Roman"/>
              <w:sz w:val="22"/>
              <w:szCs w:val="22"/>
            </w:rPr>
            <w:t>现场统一管理协议</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6A7FE2D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"__RefHeading___Toc351203518" \h </w:instrText>
          </w:r>
          <w:r>
            <w:fldChar w:fldCharType="separate"/>
          </w:r>
          <w:r>
            <w:rPr>
              <w:rStyle w:val="44"/>
              <w:rFonts w:eastAsia="仿宋_GB2312;仿宋" w:cs="Times New Roman"/>
              <w:sz w:val="22"/>
              <w:szCs w:val="22"/>
            </w:rPr>
            <w:t xml:space="preserve">3. </w:t>
          </w:r>
          <w:r>
            <w:rPr>
              <w:rStyle w:val="44"/>
              <w:rFonts w:ascii="Times New Roman" w:hAnsi="Times New Roman" w:eastAsia="仿宋_GB2312;仿宋" w:cs="Times New Roman"/>
              <w:sz w:val="22"/>
              <w:szCs w:val="22"/>
            </w:rPr>
            <w:t>承包人</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7AE926D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"__RefHeading___Toc351203519" \h </w:instrText>
          </w:r>
          <w:r>
            <w:fldChar w:fldCharType="separate"/>
          </w:r>
          <w:r>
            <w:rPr>
              <w:rStyle w:val="44"/>
              <w:rFonts w:eastAsia="仿宋_GB2312;仿宋" w:cs="Times New Roman"/>
              <w:sz w:val="22"/>
              <w:szCs w:val="22"/>
            </w:rPr>
            <w:t xml:space="preserve">3.1 </w:t>
          </w:r>
          <w:r>
            <w:rPr>
              <w:rStyle w:val="44"/>
              <w:rFonts w:ascii="Times New Roman" w:hAnsi="Times New Roman" w:eastAsia="仿宋_GB2312;仿宋" w:cs="Times New Roman"/>
              <w:sz w:val="22"/>
              <w:szCs w:val="22"/>
            </w:rPr>
            <w:t>承包人的一般义务</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0B28A64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"__RefHeading___Toc351203520" \h </w:instrText>
          </w:r>
          <w:r>
            <w:fldChar w:fldCharType="separate"/>
          </w:r>
          <w:r>
            <w:rPr>
              <w:rStyle w:val="44"/>
              <w:rFonts w:eastAsia="仿宋_GB2312;仿宋" w:cs="Times New Roman"/>
              <w:sz w:val="22"/>
              <w:szCs w:val="22"/>
            </w:rPr>
            <w:t xml:space="preserve">3.2 </w:t>
          </w:r>
          <w:r>
            <w:rPr>
              <w:rStyle w:val="44"/>
              <w:rFonts w:ascii="Times New Roman" w:hAnsi="Times New Roman" w:eastAsia="仿宋_GB2312;仿宋" w:cs="Times New Roman"/>
              <w:sz w:val="22"/>
              <w:szCs w:val="22"/>
            </w:rPr>
            <w:t>项目经理</w:t>
          </w:r>
          <w:r>
            <w:rPr>
              <w:rStyle w:val="44"/>
              <w:rFonts w:eastAsia="仿宋_GB2312;仿宋" w:cs="Times New Roman"/>
              <w:sz w:val="22"/>
              <w:szCs w:val="22"/>
            </w:rPr>
            <w:tab/>
          </w:r>
          <w:r>
            <w:rPr>
              <w:rStyle w:val="44"/>
              <w:rFonts w:eastAsia="仿宋_GB2312;仿宋" w:cs="Times New Roman"/>
              <w:sz w:val="22"/>
              <w:szCs w:val="22"/>
            </w:rPr>
            <w:t>66</w:t>
          </w:r>
          <w:r>
            <w:rPr>
              <w:rStyle w:val="44"/>
              <w:rFonts w:eastAsia="仿宋_GB2312;仿宋" w:cs="Times New Roman"/>
              <w:sz w:val="22"/>
              <w:szCs w:val="22"/>
            </w:rPr>
            <w:fldChar w:fldCharType="end"/>
          </w:r>
        </w:p>
        <w:p w14:paraId="2A5D7C2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"__RefHeading___Toc351203521" \h </w:instrText>
          </w:r>
          <w:r>
            <w:fldChar w:fldCharType="separate"/>
          </w:r>
          <w:r>
            <w:rPr>
              <w:rStyle w:val="44"/>
              <w:rFonts w:eastAsia="仿宋_GB2312;仿宋" w:cs="Times New Roman"/>
              <w:sz w:val="22"/>
              <w:szCs w:val="22"/>
            </w:rPr>
            <w:t xml:space="preserve">3.3 </w:t>
          </w:r>
          <w:r>
            <w:rPr>
              <w:rStyle w:val="44"/>
              <w:rFonts w:ascii="Times New Roman" w:hAnsi="Times New Roman" w:eastAsia="仿宋_GB2312;仿宋" w:cs="Times New Roman"/>
              <w:sz w:val="22"/>
              <w:szCs w:val="22"/>
            </w:rPr>
            <w:t>承包人人员</w:t>
          </w:r>
          <w:r>
            <w:rPr>
              <w:rStyle w:val="44"/>
              <w:rFonts w:eastAsia="仿宋_GB2312;仿宋" w:cs="Times New Roman"/>
              <w:sz w:val="22"/>
              <w:szCs w:val="22"/>
            </w:rPr>
            <w:tab/>
          </w:r>
          <w:r>
            <w:rPr>
              <w:rStyle w:val="44"/>
              <w:rFonts w:eastAsia="仿宋_GB2312;仿宋" w:cs="Times New Roman"/>
              <w:sz w:val="22"/>
              <w:szCs w:val="22"/>
            </w:rPr>
            <w:t>67</w:t>
          </w:r>
          <w:r>
            <w:rPr>
              <w:rStyle w:val="44"/>
              <w:rFonts w:eastAsia="仿宋_GB2312;仿宋" w:cs="Times New Roman"/>
              <w:sz w:val="22"/>
              <w:szCs w:val="22"/>
            </w:rPr>
            <w:fldChar w:fldCharType="end"/>
          </w:r>
        </w:p>
        <w:p w14:paraId="089470E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"__RefHeading___Toc351203522" \h </w:instrText>
          </w:r>
          <w:r>
            <w:fldChar w:fldCharType="separate"/>
          </w:r>
          <w:r>
            <w:rPr>
              <w:rStyle w:val="44"/>
              <w:rFonts w:eastAsia="仿宋_GB2312;仿宋" w:cs="Times New Roman"/>
              <w:sz w:val="22"/>
              <w:szCs w:val="22"/>
            </w:rPr>
            <w:t xml:space="preserve">3.4 </w:t>
          </w:r>
          <w:r>
            <w:rPr>
              <w:rStyle w:val="44"/>
              <w:rFonts w:ascii="Times New Roman" w:hAnsi="Times New Roman" w:eastAsia="仿宋_GB2312;仿宋" w:cs="Times New Roman"/>
              <w:sz w:val="22"/>
              <w:szCs w:val="22"/>
            </w:rPr>
            <w:t>承包人现场查勘</w:t>
          </w:r>
          <w:r>
            <w:rPr>
              <w:rStyle w:val="44"/>
              <w:rFonts w:eastAsia="仿宋_GB2312;仿宋" w:cs="Times New Roman"/>
              <w:sz w:val="22"/>
              <w:szCs w:val="22"/>
            </w:rPr>
            <w:tab/>
          </w:r>
          <w:r>
            <w:rPr>
              <w:rStyle w:val="44"/>
              <w:rFonts w:eastAsia="仿宋_GB2312;仿宋" w:cs="Times New Roman"/>
              <w:sz w:val="22"/>
              <w:szCs w:val="22"/>
            </w:rPr>
            <w:t>68</w:t>
          </w:r>
          <w:r>
            <w:rPr>
              <w:rStyle w:val="44"/>
              <w:rFonts w:eastAsia="仿宋_GB2312;仿宋" w:cs="Times New Roman"/>
              <w:sz w:val="22"/>
              <w:szCs w:val="22"/>
            </w:rPr>
            <w:fldChar w:fldCharType="end"/>
          </w:r>
        </w:p>
        <w:p w14:paraId="0F0EB5C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"__RefHeading___Toc351203523" \h </w:instrText>
          </w:r>
          <w:r>
            <w:fldChar w:fldCharType="separate"/>
          </w:r>
          <w:r>
            <w:rPr>
              <w:rStyle w:val="44"/>
              <w:rFonts w:eastAsia="仿宋_GB2312;仿宋" w:cs="Times New Roman"/>
              <w:sz w:val="22"/>
              <w:szCs w:val="22"/>
            </w:rPr>
            <w:t xml:space="preserve">3.5 </w:t>
          </w:r>
          <w:r>
            <w:rPr>
              <w:rStyle w:val="44"/>
              <w:rFonts w:ascii="Times New Roman" w:hAnsi="Times New Roman" w:eastAsia="仿宋_GB2312;仿宋" w:cs="Times New Roman"/>
              <w:sz w:val="22"/>
              <w:szCs w:val="22"/>
            </w:rPr>
            <w:t>分包</w:t>
          </w:r>
          <w:r>
            <w:rPr>
              <w:rStyle w:val="44"/>
              <w:rFonts w:eastAsia="仿宋_GB2312;仿宋" w:cs="Times New Roman"/>
              <w:sz w:val="22"/>
              <w:szCs w:val="22"/>
            </w:rPr>
            <w:tab/>
          </w:r>
          <w:r>
            <w:rPr>
              <w:rStyle w:val="44"/>
              <w:rFonts w:eastAsia="仿宋_GB2312;仿宋" w:cs="Times New Roman"/>
              <w:sz w:val="22"/>
              <w:szCs w:val="22"/>
            </w:rPr>
            <w:t>68</w:t>
          </w:r>
          <w:r>
            <w:rPr>
              <w:rStyle w:val="44"/>
              <w:rFonts w:eastAsia="仿宋_GB2312;仿宋" w:cs="Times New Roman"/>
              <w:sz w:val="22"/>
              <w:szCs w:val="22"/>
            </w:rPr>
            <w:fldChar w:fldCharType="end"/>
          </w:r>
        </w:p>
        <w:p w14:paraId="696B8D5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"__RefHeading___Toc351203524" \h </w:instrText>
          </w:r>
          <w:r>
            <w:fldChar w:fldCharType="separate"/>
          </w:r>
          <w:r>
            <w:rPr>
              <w:rStyle w:val="44"/>
              <w:rFonts w:eastAsia="仿宋_GB2312;仿宋" w:cs="Times New Roman"/>
              <w:sz w:val="22"/>
              <w:szCs w:val="22"/>
            </w:rPr>
            <w:t xml:space="preserve">3.6 </w:t>
          </w:r>
          <w:r>
            <w:rPr>
              <w:rStyle w:val="44"/>
              <w:rFonts w:ascii="Times New Roman" w:hAnsi="Times New Roman" w:eastAsia="仿宋_GB2312;仿宋" w:cs="Times New Roman"/>
              <w:sz w:val="22"/>
              <w:szCs w:val="22"/>
            </w:rPr>
            <w:t>工程照管与成品、半成品保护</w:t>
          </w:r>
          <w:r>
            <w:rPr>
              <w:rStyle w:val="44"/>
              <w:rFonts w:eastAsia="仿宋_GB2312;仿宋" w:cs="Times New Roman"/>
              <w:sz w:val="22"/>
              <w:szCs w:val="22"/>
            </w:rPr>
            <w:tab/>
          </w:r>
          <w:r>
            <w:rPr>
              <w:rStyle w:val="44"/>
              <w:rFonts w:eastAsia="仿宋_GB2312;仿宋" w:cs="Times New Roman"/>
              <w:sz w:val="22"/>
              <w:szCs w:val="22"/>
            </w:rPr>
            <w:t>69</w:t>
          </w:r>
          <w:r>
            <w:rPr>
              <w:rStyle w:val="44"/>
              <w:rFonts w:eastAsia="仿宋_GB2312;仿宋" w:cs="Times New Roman"/>
              <w:sz w:val="22"/>
              <w:szCs w:val="22"/>
            </w:rPr>
            <w:fldChar w:fldCharType="end"/>
          </w:r>
        </w:p>
        <w:p w14:paraId="7A870DB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"__RefHeading___Toc351203525" \h </w:instrText>
          </w:r>
          <w:r>
            <w:fldChar w:fldCharType="separate"/>
          </w:r>
          <w:r>
            <w:rPr>
              <w:rStyle w:val="44"/>
              <w:rFonts w:eastAsia="仿宋_GB2312;仿宋" w:cs="Times New Roman"/>
              <w:sz w:val="22"/>
              <w:szCs w:val="22"/>
            </w:rPr>
            <w:t xml:space="preserve">3.7 </w:t>
          </w:r>
          <w:r>
            <w:rPr>
              <w:rStyle w:val="44"/>
              <w:rFonts w:ascii="Times New Roman" w:hAnsi="Times New Roman" w:eastAsia="仿宋_GB2312;仿宋" w:cs="Times New Roman"/>
              <w:sz w:val="22"/>
              <w:szCs w:val="22"/>
            </w:rPr>
            <w:t>履约担保</w:t>
          </w:r>
          <w:r>
            <w:rPr>
              <w:rStyle w:val="44"/>
              <w:rFonts w:eastAsia="仿宋_GB2312;仿宋" w:cs="Times New Roman"/>
              <w:sz w:val="22"/>
              <w:szCs w:val="22"/>
            </w:rPr>
            <w:tab/>
          </w:r>
          <w:r>
            <w:rPr>
              <w:rStyle w:val="44"/>
              <w:rFonts w:eastAsia="仿宋_GB2312;仿宋" w:cs="Times New Roman"/>
              <w:sz w:val="22"/>
              <w:szCs w:val="22"/>
            </w:rPr>
            <w:t>69</w:t>
          </w:r>
          <w:r>
            <w:rPr>
              <w:rStyle w:val="44"/>
              <w:rFonts w:eastAsia="仿宋_GB2312;仿宋" w:cs="Times New Roman"/>
              <w:sz w:val="22"/>
              <w:szCs w:val="22"/>
            </w:rPr>
            <w:fldChar w:fldCharType="end"/>
          </w:r>
        </w:p>
        <w:p w14:paraId="28B2B0D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"__RefHeading___Toc351203526" \h </w:instrText>
          </w:r>
          <w:r>
            <w:fldChar w:fldCharType="separate"/>
          </w:r>
          <w:r>
            <w:rPr>
              <w:rStyle w:val="44"/>
              <w:rFonts w:eastAsia="仿宋_GB2312;仿宋" w:cs="Times New Roman"/>
              <w:sz w:val="22"/>
              <w:szCs w:val="22"/>
            </w:rPr>
            <w:t xml:space="preserve">3.8 </w:t>
          </w:r>
          <w:r>
            <w:rPr>
              <w:rStyle w:val="44"/>
              <w:rFonts w:ascii="Times New Roman" w:hAnsi="Times New Roman" w:eastAsia="仿宋_GB2312;仿宋" w:cs="Times New Roman"/>
              <w:sz w:val="22"/>
              <w:szCs w:val="22"/>
            </w:rPr>
            <w:t>联合体</w:t>
          </w:r>
          <w:r>
            <w:rPr>
              <w:rStyle w:val="44"/>
              <w:rFonts w:eastAsia="仿宋_GB2312;仿宋" w:cs="Times New Roman"/>
              <w:sz w:val="22"/>
              <w:szCs w:val="22"/>
            </w:rPr>
            <w:tab/>
          </w:r>
          <w:r>
            <w:rPr>
              <w:rStyle w:val="44"/>
              <w:rFonts w:eastAsia="仿宋_GB2312;仿宋" w:cs="Times New Roman"/>
              <w:sz w:val="22"/>
              <w:szCs w:val="22"/>
            </w:rPr>
            <w:t>69</w:t>
          </w:r>
          <w:r>
            <w:rPr>
              <w:rStyle w:val="44"/>
              <w:rFonts w:eastAsia="仿宋_GB2312;仿宋" w:cs="Times New Roman"/>
              <w:sz w:val="22"/>
              <w:szCs w:val="22"/>
            </w:rPr>
            <w:fldChar w:fldCharType="end"/>
          </w:r>
        </w:p>
        <w:p w14:paraId="35C0B84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"__RefHeading___Toc351203527" \h </w:instrText>
          </w:r>
          <w:r>
            <w:fldChar w:fldCharType="separate"/>
          </w:r>
          <w:r>
            <w:rPr>
              <w:rStyle w:val="44"/>
              <w:rFonts w:eastAsia="仿宋_GB2312;仿宋" w:cs="Times New Roman"/>
              <w:sz w:val="22"/>
              <w:szCs w:val="22"/>
            </w:rPr>
            <w:t xml:space="preserve">4. </w:t>
          </w:r>
          <w:r>
            <w:rPr>
              <w:rStyle w:val="44"/>
              <w:rFonts w:ascii="Times New Roman" w:hAnsi="Times New Roman" w:eastAsia="仿宋_GB2312;仿宋" w:cs="Times New Roman"/>
              <w:sz w:val="22"/>
              <w:szCs w:val="22"/>
            </w:rPr>
            <w:t>监理人</w:t>
          </w:r>
          <w:r>
            <w:rPr>
              <w:rStyle w:val="44"/>
              <w:rFonts w:eastAsia="仿宋_GB2312;仿宋" w:cs="Times New Roman"/>
              <w:sz w:val="22"/>
              <w:szCs w:val="22"/>
            </w:rPr>
            <w:tab/>
          </w:r>
          <w:r>
            <w:rPr>
              <w:rStyle w:val="44"/>
              <w:rFonts w:eastAsia="仿宋_GB2312;仿宋" w:cs="Times New Roman"/>
              <w:sz w:val="22"/>
              <w:szCs w:val="22"/>
            </w:rPr>
            <w:t>30</w:t>
          </w:r>
          <w:r>
            <w:rPr>
              <w:rStyle w:val="44"/>
              <w:rFonts w:eastAsia="仿宋_GB2312;仿宋" w:cs="Times New Roman"/>
              <w:sz w:val="22"/>
              <w:szCs w:val="22"/>
            </w:rPr>
            <w:fldChar w:fldCharType="end"/>
          </w:r>
        </w:p>
        <w:p w14:paraId="63B5F17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"__RefHeading___Toc351203528" \h </w:instrText>
          </w:r>
          <w:r>
            <w:fldChar w:fldCharType="separate"/>
          </w:r>
          <w:r>
            <w:rPr>
              <w:rStyle w:val="44"/>
              <w:rFonts w:eastAsia="仿宋_GB2312;仿宋" w:cs="Times New Roman"/>
              <w:sz w:val="22"/>
              <w:szCs w:val="22"/>
            </w:rPr>
            <w:t>4.1</w:t>
          </w:r>
          <w:r>
            <w:rPr>
              <w:rStyle w:val="44"/>
              <w:rFonts w:ascii="Times New Roman" w:hAnsi="Times New Roman" w:eastAsia="仿宋_GB2312;仿宋" w:cs="Times New Roman"/>
              <w:sz w:val="22"/>
              <w:szCs w:val="22"/>
            </w:rPr>
            <w:t>监理人的一般规定</w:t>
          </w:r>
          <w:r>
            <w:rPr>
              <w:rStyle w:val="44"/>
              <w:rFonts w:eastAsia="仿宋_GB2312;仿宋" w:cs="Times New Roman"/>
              <w:sz w:val="22"/>
              <w:szCs w:val="22"/>
            </w:rPr>
            <w:tab/>
          </w:r>
          <w:r>
            <w:rPr>
              <w:rStyle w:val="44"/>
              <w:rFonts w:eastAsia="仿宋_GB2312;仿宋" w:cs="Times New Roman"/>
              <w:sz w:val="22"/>
              <w:szCs w:val="22"/>
            </w:rPr>
            <w:t>30</w:t>
          </w:r>
          <w:r>
            <w:rPr>
              <w:rStyle w:val="44"/>
              <w:rFonts w:eastAsia="仿宋_GB2312;仿宋" w:cs="Times New Roman"/>
              <w:sz w:val="22"/>
              <w:szCs w:val="22"/>
            </w:rPr>
            <w:fldChar w:fldCharType="end"/>
          </w:r>
        </w:p>
        <w:p w14:paraId="03225A1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"__RefHeading___Toc351203529" \h </w:instrText>
          </w:r>
          <w:r>
            <w:fldChar w:fldCharType="separate"/>
          </w:r>
          <w:r>
            <w:rPr>
              <w:rStyle w:val="44"/>
              <w:rFonts w:eastAsia="仿宋_GB2312;仿宋" w:cs="Times New Roman"/>
              <w:sz w:val="22"/>
              <w:szCs w:val="22"/>
            </w:rPr>
            <w:t>4.2</w:t>
          </w:r>
          <w:r>
            <w:rPr>
              <w:rStyle w:val="44"/>
              <w:rFonts w:ascii="Times New Roman" w:hAnsi="Times New Roman" w:eastAsia="仿宋_GB2312;仿宋" w:cs="Times New Roman"/>
              <w:sz w:val="22"/>
              <w:szCs w:val="22"/>
            </w:rPr>
            <w:t>监理人员</w:t>
          </w:r>
          <w:r>
            <w:rPr>
              <w:rStyle w:val="44"/>
              <w:rFonts w:eastAsia="仿宋_GB2312;仿宋" w:cs="Times New Roman"/>
              <w:sz w:val="22"/>
              <w:szCs w:val="22"/>
            </w:rPr>
            <w:tab/>
          </w:r>
          <w:r>
            <w:rPr>
              <w:rStyle w:val="44"/>
              <w:rFonts w:eastAsia="仿宋_GB2312;仿宋" w:cs="Times New Roman"/>
              <w:sz w:val="22"/>
              <w:szCs w:val="22"/>
            </w:rPr>
            <w:t>70</w:t>
          </w:r>
          <w:r>
            <w:rPr>
              <w:rStyle w:val="44"/>
              <w:rFonts w:eastAsia="仿宋_GB2312;仿宋" w:cs="Times New Roman"/>
              <w:sz w:val="22"/>
              <w:szCs w:val="22"/>
            </w:rPr>
            <w:fldChar w:fldCharType="end"/>
          </w:r>
        </w:p>
        <w:p w14:paraId="1D4B7F1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"__RefHeading___Toc351203530" \h </w:instrText>
          </w:r>
          <w:r>
            <w:fldChar w:fldCharType="separate"/>
          </w:r>
          <w:r>
            <w:rPr>
              <w:rStyle w:val="44"/>
              <w:rFonts w:eastAsia="仿宋_GB2312;仿宋" w:cs="Times New Roman"/>
              <w:sz w:val="22"/>
              <w:szCs w:val="22"/>
            </w:rPr>
            <w:t>4.3</w:t>
          </w:r>
          <w:r>
            <w:rPr>
              <w:rStyle w:val="44"/>
              <w:rFonts w:ascii="Times New Roman" w:hAnsi="Times New Roman" w:eastAsia="仿宋_GB2312;仿宋" w:cs="Times New Roman"/>
              <w:sz w:val="22"/>
              <w:szCs w:val="22"/>
            </w:rPr>
            <w:t>监理人的指示</w:t>
          </w:r>
          <w:r>
            <w:rPr>
              <w:rStyle w:val="44"/>
              <w:rFonts w:eastAsia="仿宋_GB2312;仿宋" w:cs="Times New Roman"/>
              <w:sz w:val="22"/>
              <w:szCs w:val="22"/>
            </w:rPr>
            <w:tab/>
          </w:r>
          <w:r>
            <w:rPr>
              <w:rStyle w:val="44"/>
              <w:rFonts w:eastAsia="仿宋_GB2312;仿宋" w:cs="Times New Roman"/>
              <w:sz w:val="22"/>
              <w:szCs w:val="22"/>
            </w:rPr>
            <w:t>70</w:t>
          </w:r>
          <w:r>
            <w:rPr>
              <w:rStyle w:val="44"/>
              <w:rFonts w:eastAsia="仿宋_GB2312;仿宋" w:cs="Times New Roman"/>
              <w:sz w:val="22"/>
              <w:szCs w:val="22"/>
            </w:rPr>
            <w:fldChar w:fldCharType="end"/>
          </w:r>
        </w:p>
        <w:p w14:paraId="7FF6910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"__RefHeading___Toc351203531" \h </w:instrText>
          </w:r>
          <w:r>
            <w:fldChar w:fldCharType="separate"/>
          </w:r>
          <w:r>
            <w:rPr>
              <w:rStyle w:val="44"/>
              <w:rFonts w:eastAsia="仿宋_GB2312;仿宋" w:cs="Times New Roman"/>
              <w:sz w:val="22"/>
              <w:szCs w:val="22"/>
            </w:rPr>
            <w:t xml:space="preserve">4.4 </w:t>
          </w:r>
          <w:r>
            <w:rPr>
              <w:rStyle w:val="44"/>
              <w:rFonts w:ascii="Times New Roman" w:hAnsi="Times New Roman" w:eastAsia="仿宋_GB2312;仿宋" w:cs="Times New Roman"/>
              <w:sz w:val="22"/>
              <w:szCs w:val="22"/>
            </w:rPr>
            <w:t>商定或确定</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06573DF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"__RefHeading___Toc351203532" \h </w:instrText>
          </w:r>
          <w:r>
            <w:fldChar w:fldCharType="separate"/>
          </w:r>
          <w:r>
            <w:rPr>
              <w:rStyle w:val="44"/>
              <w:rFonts w:eastAsia="仿宋_GB2312;仿宋" w:cs="Times New Roman"/>
              <w:sz w:val="22"/>
              <w:szCs w:val="22"/>
            </w:rPr>
            <w:t xml:space="preserve">5. </w:t>
          </w:r>
          <w:r>
            <w:rPr>
              <w:rStyle w:val="44"/>
              <w:rFonts w:ascii="Times New Roman" w:hAnsi="Times New Roman" w:eastAsia="仿宋_GB2312;仿宋" w:cs="Times New Roman"/>
              <w:sz w:val="22"/>
              <w:szCs w:val="22"/>
            </w:rPr>
            <w:t>工程质量</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04A2AD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"__RefHeading___Toc351203533" \h </w:instrText>
          </w:r>
          <w:r>
            <w:fldChar w:fldCharType="separate"/>
          </w:r>
          <w:r>
            <w:rPr>
              <w:rStyle w:val="44"/>
              <w:rFonts w:eastAsia="仿宋_GB2312;仿宋" w:cs="Times New Roman"/>
              <w:sz w:val="22"/>
              <w:szCs w:val="22"/>
            </w:rPr>
            <w:t>5.1</w:t>
          </w:r>
          <w:r>
            <w:rPr>
              <w:rStyle w:val="44"/>
              <w:rFonts w:ascii="Times New Roman" w:hAnsi="Times New Roman" w:eastAsia="仿宋_GB2312;仿宋" w:cs="Times New Roman"/>
              <w:sz w:val="22"/>
              <w:szCs w:val="22"/>
            </w:rPr>
            <w:t>质量要求</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4DC1EE2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"__RefHeading___Toc351203534" \h </w:instrText>
          </w:r>
          <w:r>
            <w:fldChar w:fldCharType="separate"/>
          </w:r>
          <w:r>
            <w:rPr>
              <w:rStyle w:val="44"/>
              <w:rFonts w:eastAsia="仿宋_GB2312;仿宋" w:cs="Times New Roman"/>
              <w:sz w:val="22"/>
              <w:szCs w:val="22"/>
            </w:rPr>
            <w:t>5.2</w:t>
          </w:r>
          <w:r>
            <w:rPr>
              <w:rStyle w:val="44"/>
              <w:rFonts w:ascii="Times New Roman" w:hAnsi="Times New Roman" w:eastAsia="仿宋_GB2312;仿宋" w:cs="Times New Roman"/>
              <w:sz w:val="22"/>
              <w:szCs w:val="22"/>
            </w:rPr>
            <w:t>质量保证措施</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56534CB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"__RefHeading___Toc351203535" \h </w:instrText>
          </w:r>
          <w:r>
            <w:fldChar w:fldCharType="separate"/>
          </w:r>
          <w:r>
            <w:rPr>
              <w:rStyle w:val="44"/>
              <w:rFonts w:eastAsia="仿宋_GB2312;仿宋" w:cs="Times New Roman"/>
              <w:sz w:val="22"/>
              <w:szCs w:val="22"/>
            </w:rPr>
            <w:t xml:space="preserve">5.3 </w:t>
          </w:r>
          <w:r>
            <w:rPr>
              <w:rStyle w:val="44"/>
              <w:rFonts w:ascii="Times New Roman" w:hAnsi="Times New Roman" w:eastAsia="仿宋_GB2312;仿宋" w:cs="Times New Roman"/>
              <w:sz w:val="22"/>
              <w:szCs w:val="22"/>
            </w:rPr>
            <w:t>隐蔽工程检查</w:t>
          </w:r>
          <w:r>
            <w:rPr>
              <w:rStyle w:val="44"/>
              <w:rFonts w:eastAsia="仿宋_GB2312;仿宋" w:cs="Times New Roman"/>
              <w:sz w:val="22"/>
              <w:szCs w:val="22"/>
            </w:rPr>
            <w:tab/>
          </w:r>
          <w:r>
            <w:rPr>
              <w:rStyle w:val="44"/>
              <w:rFonts w:eastAsia="仿宋_GB2312;仿宋" w:cs="Times New Roman"/>
              <w:sz w:val="22"/>
              <w:szCs w:val="22"/>
            </w:rPr>
            <w:t>72</w:t>
          </w:r>
          <w:r>
            <w:rPr>
              <w:rStyle w:val="44"/>
              <w:rFonts w:eastAsia="仿宋_GB2312;仿宋" w:cs="Times New Roman"/>
              <w:sz w:val="22"/>
              <w:szCs w:val="22"/>
            </w:rPr>
            <w:fldChar w:fldCharType="end"/>
          </w:r>
        </w:p>
        <w:p w14:paraId="560DD9B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"__RefHeading___Toc351203536" \h </w:instrText>
          </w:r>
          <w:r>
            <w:fldChar w:fldCharType="separate"/>
          </w:r>
          <w:r>
            <w:rPr>
              <w:rStyle w:val="44"/>
              <w:rFonts w:eastAsia="仿宋_GB2312;仿宋" w:cs="Times New Roman"/>
              <w:sz w:val="22"/>
              <w:szCs w:val="22"/>
            </w:rPr>
            <w:t>5.4</w:t>
          </w:r>
          <w:r>
            <w:rPr>
              <w:rStyle w:val="44"/>
              <w:rFonts w:ascii="Times New Roman" w:hAnsi="Times New Roman" w:eastAsia="仿宋_GB2312;仿宋" w:cs="Times New Roman"/>
              <w:sz w:val="22"/>
              <w:szCs w:val="22"/>
            </w:rPr>
            <w:t>不合格工程的处理</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3613310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"__RefHeading___Toc351203537" \h </w:instrText>
          </w:r>
          <w:r>
            <w:fldChar w:fldCharType="separate"/>
          </w:r>
          <w:r>
            <w:rPr>
              <w:rStyle w:val="44"/>
              <w:rFonts w:eastAsia="仿宋_GB2312;仿宋" w:cs="Times New Roman"/>
              <w:sz w:val="22"/>
              <w:szCs w:val="22"/>
            </w:rPr>
            <w:t xml:space="preserve">5.5 </w:t>
          </w:r>
          <w:r>
            <w:rPr>
              <w:rStyle w:val="44"/>
              <w:rFonts w:ascii="Times New Roman" w:hAnsi="Times New Roman" w:eastAsia="仿宋_GB2312;仿宋" w:cs="Times New Roman"/>
              <w:sz w:val="22"/>
              <w:szCs w:val="22"/>
            </w:rPr>
            <w:t>质量争议检测</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0BA6D4D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"__RefHeading___Toc351203538" \h </w:instrText>
          </w:r>
          <w:r>
            <w:fldChar w:fldCharType="separate"/>
          </w:r>
          <w:r>
            <w:rPr>
              <w:rStyle w:val="44"/>
              <w:rFonts w:eastAsia="仿宋_GB2312;仿宋" w:cs="Times New Roman"/>
              <w:sz w:val="22"/>
              <w:szCs w:val="22"/>
            </w:rPr>
            <w:t xml:space="preserve">6. </w:t>
          </w:r>
          <w:r>
            <w:rPr>
              <w:rStyle w:val="44"/>
              <w:rFonts w:ascii="Times New Roman" w:hAnsi="Times New Roman" w:eastAsia="仿宋_GB2312;仿宋" w:cs="Times New Roman"/>
              <w:sz w:val="22"/>
              <w:szCs w:val="22"/>
            </w:rPr>
            <w:t>安全文明施工与环境保护</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16B53AB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"__RefHeading___Toc351203539" \h </w:instrText>
          </w:r>
          <w:r>
            <w:fldChar w:fldCharType="separate"/>
          </w:r>
          <w:r>
            <w:rPr>
              <w:rStyle w:val="44"/>
              <w:rFonts w:eastAsia="仿宋_GB2312;仿宋" w:cs="Times New Roman"/>
              <w:sz w:val="22"/>
              <w:szCs w:val="22"/>
            </w:rPr>
            <w:t>6.1</w:t>
          </w:r>
          <w:r>
            <w:rPr>
              <w:rStyle w:val="44"/>
              <w:rFonts w:ascii="Times New Roman" w:hAnsi="Times New Roman" w:eastAsia="仿宋_GB2312;仿宋" w:cs="Times New Roman"/>
              <w:sz w:val="22"/>
              <w:szCs w:val="22"/>
            </w:rPr>
            <w:t>安全文明施工</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00B030A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"__RefHeading___Toc351203540" \h </w:instrText>
          </w:r>
          <w:r>
            <w:fldChar w:fldCharType="separate"/>
          </w:r>
          <w:r>
            <w:rPr>
              <w:rStyle w:val="44"/>
              <w:rFonts w:eastAsia="仿宋_GB2312;仿宋" w:cs="Times New Roman"/>
              <w:sz w:val="22"/>
              <w:szCs w:val="22"/>
            </w:rPr>
            <w:t xml:space="preserve">6.2 </w:t>
          </w:r>
          <w:r>
            <w:rPr>
              <w:rStyle w:val="44"/>
              <w:rFonts w:ascii="Times New Roman" w:hAnsi="Times New Roman" w:eastAsia="仿宋_GB2312;仿宋" w:cs="Times New Roman"/>
              <w:sz w:val="22"/>
              <w:szCs w:val="22"/>
            </w:rPr>
            <w:t>职业健康</w:t>
          </w:r>
          <w:r>
            <w:rPr>
              <w:rStyle w:val="44"/>
              <w:rFonts w:eastAsia="仿宋_GB2312;仿宋" w:cs="Times New Roman"/>
              <w:sz w:val="22"/>
              <w:szCs w:val="22"/>
            </w:rPr>
            <w:tab/>
          </w:r>
          <w:r>
            <w:rPr>
              <w:rStyle w:val="44"/>
              <w:rFonts w:eastAsia="仿宋_GB2312;仿宋" w:cs="Times New Roman"/>
              <w:sz w:val="22"/>
              <w:szCs w:val="22"/>
            </w:rPr>
            <w:t>76</w:t>
          </w:r>
          <w:r>
            <w:rPr>
              <w:rStyle w:val="44"/>
              <w:rFonts w:eastAsia="仿宋_GB2312;仿宋" w:cs="Times New Roman"/>
              <w:sz w:val="22"/>
              <w:szCs w:val="22"/>
            </w:rPr>
            <w:fldChar w:fldCharType="end"/>
          </w:r>
        </w:p>
        <w:p w14:paraId="1D822DA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"__RefHeading___Toc351203541" \h </w:instrText>
          </w:r>
          <w:r>
            <w:fldChar w:fldCharType="separate"/>
          </w:r>
          <w:r>
            <w:rPr>
              <w:rStyle w:val="44"/>
              <w:rFonts w:eastAsia="仿宋_GB2312;仿宋" w:cs="Times New Roman"/>
              <w:sz w:val="22"/>
              <w:szCs w:val="22"/>
            </w:rPr>
            <w:t xml:space="preserve">6.3 </w:t>
          </w:r>
          <w:r>
            <w:rPr>
              <w:rStyle w:val="44"/>
              <w:rFonts w:ascii="Times New Roman" w:hAnsi="Times New Roman" w:eastAsia="仿宋_GB2312;仿宋" w:cs="Times New Roman"/>
              <w:sz w:val="22"/>
              <w:szCs w:val="22"/>
            </w:rPr>
            <w:t>环境保护</w:t>
          </w:r>
          <w:r>
            <w:rPr>
              <w:rStyle w:val="44"/>
              <w:rFonts w:eastAsia="仿宋_GB2312;仿宋" w:cs="Times New Roman"/>
              <w:sz w:val="22"/>
              <w:szCs w:val="22"/>
            </w:rPr>
            <w:tab/>
          </w:r>
          <w:r>
            <w:rPr>
              <w:rStyle w:val="44"/>
              <w:rFonts w:eastAsia="仿宋_GB2312;仿宋" w:cs="Times New Roman"/>
              <w:sz w:val="22"/>
              <w:szCs w:val="22"/>
            </w:rPr>
            <w:t>77</w:t>
          </w:r>
          <w:r>
            <w:rPr>
              <w:rStyle w:val="44"/>
              <w:rFonts w:eastAsia="仿宋_GB2312;仿宋" w:cs="Times New Roman"/>
              <w:sz w:val="22"/>
              <w:szCs w:val="22"/>
            </w:rPr>
            <w:fldChar w:fldCharType="end"/>
          </w:r>
        </w:p>
        <w:p w14:paraId="69CB6E9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"__RefHeading___Toc351203542" \h </w:instrText>
          </w:r>
          <w:r>
            <w:fldChar w:fldCharType="separate"/>
          </w:r>
          <w:r>
            <w:rPr>
              <w:rStyle w:val="44"/>
              <w:rFonts w:eastAsia="仿宋_GB2312;仿宋" w:cs="Times New Roman"/>
              <w:sz w:val="22"/>
              <w:szCs w:val="22"/>
            </w:rPr>
            <w:t xml:space="preserve">7. </w:t>
          </w:r>
          <w:r>
            <w:rPr>
              <w:rStyle w:val="44"/>
              <w:rFonts w:ascii="Times New Roman" w:hAnsi="Times New Roman" w:eastAsia="仿宋_GB2312;仿宋" w:cs="Times New Roman"/>
              <w:sz w:val="22"/>
              <w:szCs w:val="22"/>
            </w:rPr>
            <w:t>工期和进度</w:t>
          </w:r>
          <w:r>
            <w:rPr>
              <w:rStyle w:val="44"/>
              <w:rFonts w:eastAsia="仿宋_GB2312;仿宋" w:cs="Times New Roman"/>
              <w:sz w:val="22"/>
              <w:szCs w:val="22"/>
            </w:rPr>
            <w:tab/>
          </w:r>
          <w:r>
            <w:rPr>
              <w:rStyle w:val="44"/>
              <w:rFonts w:eastAsia="仿宋_GB2312;仿宋" w:cs="Times New Roman"/>
              <w:sz w:val="22"/>
              <w:szCs w:val="22"/>
            </w:rPr>
            <w:t>77</w:t>
          </w:r>
          <w:r>
            <w:rPr>
              <w:rStyle w:val="44"/>
              <w:rFonts w:eastAsia="仿宋_GB2312;仿宋" w:cs="Times New Roman"/>
              <w:sz w:val="22"/>
              <w:szCs w:val="22"/>
            </w:rPr>
            <w:fldChar w:fldCharType="end"/>
          </w:r>
        </w:p>
        <w:p w14:paraId="0592E6C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"__RefHeading___Toc351203543" \h </w:instrText>
          </w:r>
          <w:r>
            <w:fldChar w:fldCharType="separate"/>
          </w:r>
          <w:r>
            <w:rPr>
              <w:rStyle w:val="44"/>
              <w:rFonts w:eastAsia="仿宋_GB2312;仿宋" w:cs="Times New Roman"/>
              <w:sz w:val="22"/>
              <w:szCs w:val="22"/>
            </w:rPr>
            <w:t>7.1</w:t>
          </w:r>
          <w:r>
            <w:rPr>
              <w:rStyle w:val="44"/>
              <w:rFonts w:ascii="Times New Roman" w:hAnsi="Times New Roman" w:eastAsia="仿宋_GB2312;仿宋" w:cs="Times New Roman"/>
              <w:sz w:val="22"/>
              <w:szCs w:val="22"/>
            </w:rPr>
            <w:t>施工组织设计</w:t>
          </w:r>
          <w:r>
            <w:rPr>
              <w:rStyle w:val="44"/>
              <w:rFonts w:eastAsia="仿宋_GB2312;仿宋" w:cs="Times New Roman"/>
              <w:sz w:val="22"/>
              <w:szCs w:val="22"/>
            </w:rPr>
            <w:tab/>
          </w:r>
          <w:r>
            <w:rPr>
              <w:rStyle w:val="44"/>
              <w:rFonts w:eastAsia="仿宋_GB2312;仿宋" w:cs="Times New Roman"/>
              <w:sz w:val="22"/>
              <w:szCs w:val="22"/>
            </w:rPr>
            <w:t>77</w:t>
          </w:r>
          <w:r>
            <w:rPr>
              <w:rStyle w:val="44"/>
              <w:rFonts w:eastAsia="仿宋_GB2312;仿宋" w:cs="Times New Roman"/>
              <w:sz w:val="22"/>
              <w:szCs w:val="22"/>
            </w:rPr>
            <w:fldChar w:fldCharType="end"/>
          </w:r>
        </w:p>
        <w:p w14:paraId="39E0611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"__RefHeading___Toc351203544" \h </w:instrText>
          </w:r>
          <w:r>
            <w:fldChar w:fldCharType="separate"/>
          </w:r>
          <w:r>
            <w:rPr>
              <w:rStyle w:val="44"/>
              <w:rFonts w:eastAsia="仿宋_GB2312;仿宋" w:cs="Times New Roman"/>
              <w:sz w:val="22"/>
              <w:szCs w:val="22"/>
            </w:rPr>
            <w:t xml:space="preserve">7.2 </w:t>
          </w:r>
          <w:r>
            <w:rPr>
              <w:rStyle w:val="44"/>
              <w:rFonts w:ascii="Times New Roman" w:hAnsi="Times New Roman" w:eastAsia="仿宋_GB2312;仿宋" w:cs="Times New Roman"/>
              <w:sz w:val="22"/>
              <w:szCs w:val="22"/>
            </w:rPr>
            <w:t>施工进度计划</w:t>
          </w:r>
          <w:r>
            <w:rPr>
              <w:rStyle w:val="44"/>
              <w:rFonts w:eastAsia="仿宋_GB2312;仿宋" w:cs="Times New Roman"/>
              <w:sz w:val="22"/>
              <w:szCs w:val="22"/>
            </w:rPr>
            <w:tab/>
          </w:r>
          <w:r>
            <w:rPr>
              <w:rStyle w:val="44"/>
              <w:rFonts w:eastAsia="仿宋_GB2312;仿宋" w:cs="Times New Roman"/>
              <w:sz w:val="22"/>
              <w:szCs w:val="22"/>
            </w:rPr>
            <w:t>78</w:t>
          </w:r>
          <w:r>
            <w:rPr>
              <w:rStyle w:val="44"/>
              <w:rFonts w:eastAsia="仿宋_GB2312;仿宋" w:cs="Times New Roman"/>
              <w:sz w:val="22"/>
              <w:szCs w:val="22"/>
            </w:rPr>
            <w:fldChar w:fldCharType="end"/>
          </w:r>
        </w:p>
        <w:p w14:paraId="5E33AA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"__RefHeading___Toc351203545" \h </w:instrText>
          </w:r>
          <w:r>
            <w:fldChar w:fldCharType="separate"/>
          </w:r>
          <w:r>
            <w:rPr>
              <w:rStyle w:val="44"/>
              <w:rFonts w:eastAsia="仿宋_GB2312;仿宋" w:cs="Times New Roman"/>
              <w:sz w:val="22"/>
              <w:szCs w:val="22"/>
            </w:rPr>
            <w:t xml:space="preserve">7.3 </w:t>
          </w:r>
          <w:r>
            <w:rPr>
              <w:rStyle w:val="44"/>
              <w:rFonts w:ascii="Times New Roman" w:hAnsi="Times New Roman" w:eastAsia="仿宋_GB2312;仿宋" w:cs="Times New Roman"/>
              <w:sz w:val="22"/>
              <w:szCs w:val="22"/>
            </w:rPr>
            <w:t>开工</w:t>
          </w:r>
          <w:r>
            <w:rPr>
              <w:rStyle w:val="44"/>
              <w:rFonts w:eastAsia="仿宋_GB2312;仿宋" w:cs="Times New Roman"/>
              <w:sz w:val="22"/>
              <w:szCs w:val="22"/>
            </w:rPr>
            <w:tab/>
          </w:r>
          <w:r>
            <w:rPr>
              <w:rStyle w:val="44"/>
              <w:rFonts w:eastAsia="仿宋_GB2312;仿宋" w:cs="Times New Roman"/>
              <w:sz w:val="22"/>
              <w:szCs w:val="22"/>
            </w:rPr>
            <w:t>78</w:t>
          </w:r>
          <w:r>
            <w:rPr>
              <w:rStyle w:val="44"/>
              <w:rFonts w:eastAsia="仿宋_GB2312;仿宋" w:cs="Times New Roman"/>
              <w:sz w:val="22"/>
              <w:szCs w:val="22"/>
            </w:rPr>
            <w:fldChar w:fldCharType="end"/>
          </w:r>
        </w:p>
        <w:p w14:paraId="0042256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"__RefHeading___Toc351203546" \h </w:instrText>
          </w:r>
          <w:r>
            <w:fldChar w:fldCharType="separate"/>
          </w:r>
          <w:r>
            <w:rPr>
              <w:rStyle w:val="44"/>
              <w:rFonts w:eastAsia="仿宋_GB2312;仿宋" w:cs="Times New Roman"/>
              <w:sz w:val="22"/>
              <w:szCs w:val="22"/>
            </w:rPr>
            <w:t>7.4</w:t>
          </w:r>
          <w:r>
            <w:rPr>
              <w:rStyle w:val="44"/>
              <w:rFonts w:ascii="Times New Roman" w:hAnsi="Times New Roman" w:eastAsia="仿宋_GB2312;仿宋" w:cs="Times New Roman"/>
              <w:sz w:val="22"/>
              <w:szCs w:val="22"/>
            </w:rPr>
            <w:t>测量放线</w:t>
          </w:r>
          <w:r>
            <w:rPr>
              <w:rStyle w:val="44"/>
              <w:rFonts w:eastAsia="仿宋_GB2312;仿宋" w:cs="Times New Roman"/>
              <w:sz w:val="22"/>
              <w:szCs w:val="22"/>
            </w:rPr>
            <w:tab/>
          </w:r>
          <w:r>
            <w:rPr>
              <w:rStyle w:val="44"/>
              <w:rFonts w:eastAsia="仿宋_GB2312;仿宋" w:cs="Times New Roman"/>
              <w:sz w:val="22"/>
              <w:szCs w:val="22"/>
            </w:rPr>
            <w:t>79</w:t>
          </w:r>
          <w:r>
            <w:rPr>
              <w:rStyle w:val="44"/>
              <w:rFonts w:eastAsia="仿宋_GB2312;仿宋" w:cs="Times New Roman"/>
              <w:sz w:val="22"/>
              <w:szCs w:val="22"/>
            </w:rPr>
            <w:fldChar w:fldCharType="end"/>
          </w:r>
        </w:p>
        <w:p w14:paraId="4F457A3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"__RefHeading___Toc351203547" \h </w:instrText>
          </w:r>
          <w:r>
            <w:fldChar w:fldCharType="separate"/>
          </w:r>
          <w:r>
            <w:rPr>
              <w:rStyle w:val="44"/>
              <w:rFonts w:eastAsia="仿宋_GB2312;仿宋" w:cs="Times New Roman"/>
              <w:sz w:val="22"/>
              <w:szCs w:val="22"/>
            </w:rPr>
            <w:t>7.5</w:t>
          </w:r>
          <w:r>
            <w:rPr>
              <w:rStyle w:val="44"/>
              <w:rFonts w:ascii="Times New Roman" w:hAnsi="Times New Roman" w:eastAsia="仿宋_GB2312;仿宋" w:cs="Times New Roman"/>
              <w:sz w:val="22"/>
              <w:szCs w:val="22"/>
            </w:rPr>
            <w:t>工期延误</w:t>
          </w:r>
          <w:r>
            <w:rPr>
              <w:rStyle w:val="44"/>
              <w:rFonts w:eastAsia="仿宋_GB2312;仿宋" w:cs="Times New Roman"/>
              <w:sz w:val="22"/>
              <w:szCs w:val="22"/>
            </w:rPr>
            <w:tab/>
          </w:r>
          <w:r>
            <w:rPr>
              <w:rStyle w:val="44"/>
              <w:rFonts w:eastAsia="仿宋_GB2312;仿宋" w:cs="Times New Roman"/>
              <w:sz w:val="22"/>
              <w:szCs w:val="22"/>
            </w:rPr>
            <w:t>79</w:t>
          </w:r>
          <w:r>
            <w:rPr>
              <w:rStyle w:val="44"/>
              <w:rFonts w:eastAsia="仿宋_GB2312;仿宋" w:cs="Times New Roman"/>
              <w:sz w:val="22"/>
              <w:szCs w:val="22"/>
            </w:rPr>
            <w:fldChar w:fldCharType="end"/>
          </w:r>
        </w:p>
        <w:p w14:paraId="106B489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"__RefHeading___Toc351203548" \h </w:instrText>
          </w:r>
          <w:r>
            <w:fldChar w:fldCharType="separate"/>
          </w:r>
          <w:r>
            <w:rPr>
              <w:rStyle w:val="44"/>
              <w:rFonts w:eastAsia="仿宋_GB2312;仿宋" w:cs="Times New Roman"/>
              <w:sz w:val="22"/>
              <w:szCs w:val="22"/>
            </w:rPr>
            <w:t xml:space="preserve">7.6 </w:t>
          </w:r>
          <w:r>
            <w:rPr>
              <w:rStyle w:val="44"/>
              <w:rFonts w:ascii="Times New Roman" w:hAnsi="Times New Roman" w:eastAsia="仿宋_GB2312;仿宋" w:cs="Times New Roman"/>
              <w:sz w:val="22"/>
              <w:szCs w:val="22"/>
            </w:rPr>
            <w:t>不利物质条件</w:t>
          </w:r>
          <w:r>
            <w:rPr>
              <w:rStyle w:val="44"/>
              <w:rFonts w:eastAsia="仿宋_GB2312;仿宋" w:cs="Times New Roman"/>
              <w:sz w:val="22"/>
              <w:szCs w:val="22"/>
            </w:rPr>
            <w:tab/>
          </w:r>
          <w:r>
            <w:rPr>
              <w:rStyle w:val="44"/>
              <w:rFonts w:eastAsia="仿宋_GB2312;仿宋" w:cs="Times New Roman"/>
              <w:sz w:val="22"/>
              <w:szCs w:val="22"/>
            </w:rPr>
            <w:t>80</w:t>
          </w:r>
          <w:r>
            <w:rPr>
              <w:rStyle w:val="44"/>
              <w:rFonts w:eastAsia="仿宋_GB2312;仿宋" w:cs="Times New Roman"/>
              <w:sz w:val="22"/>
              <w:szCs w:val="22"/>
            </w:rPr>
            <w:fldChar w:fldCharType="end"/>
          </w:r>
        </w:p>
        <w:p w14:paraId="6B955CE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"__RefHeading___Toc351203549" \h </w:instrText>
          </w:r>
          <w:r>
            <w:fldChar w:fldCharType="separate"/>
          </w:r>
          <w:r>
            <w:rPr>
              <w:rStyle w:val="44"/>
              <w:rFonts w:eastAsia="仿宋_GB2312;仿宋" w:cs="Times New Roman"/>
              <w:sz w:val="22"/>
              <w:szCs w:val="22"/>
            </w:rPr>
            <w:t>7.7</w:t>
          </w:r>
          <w:r>
            <w:rPr>
              <w:rStyle w:val="44"/>
              <w:rFonts w:ascii="Times New Roman" w:hAnsi="Times New Roman" w:eastAsia="仿宋_GB2312;仿宋" w:cs="Times New Roman"/>
              <w:sz w:val="22"/>
              <w:szCs w:val="22"/>
            </w:rPr>
            <w:t>异常恶劣的气候条件</w:t>
          </w:r>
          <w:r>
            <w:rPr>
              <w:rStyle w:val="44"/>
              <w:rFonts w:eastAsia="仿宋_GB2312;仿宋" w:cs="Times New Roman"/>
              <w:sz w:val="22"/>
              <w:szCs w:val="22"/>
            </w:rPr>
            <w:tab/>
          </w:r>
          <w:r>
            <w:rPr>
              <w:rStyle w:val="44"/>
              <w:rFonts w:eastAsia="仿宋_GB2312;仿宋" w:cs="Times New Roman"/>
              <w:sz w:val="22"/>
              <w:szCs w:val="22"/>
            </w:rPr>
            <w:t>80</w:t>
          </w:r>
          <w:r>
            <w:rPr>
              <w:rStyle w:val="44"/>
              <w:rFonts w:eastAsia="仿宋_GB2312;仿宋" w:cs="Times New Roman"/>
              <w:sz w:val="22"/>
              <w:szCs w:val="22"/>
            </w:rPr>
            <w:fldChar w:fldCharType="end"/>
          </w:r>
        </w:p>
        <w:p w14:paraId="2D6E8AF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"__RefHeading___Toc351203550" \h </w:instrText>
          </w:r>
          <w:r>
            <w:fldChar w:fldCharType="separate"/>
          </w:r>
          <w:r>
            <w:rPr>
              <w:rStyle w:val="44"/>
              <w:rFonts w:eastAsia="仿宋_GB2312;仿宋" w:cs="Times New Roman"/>
              <w:sz w:val="22"/>
              <w:szCs w:val="22"/>
            </w:rPr>
            <w:t xml:space="preserve">7.8 </w:t>
          </w:r>
          <w:r>
            <w:rPr>
              <w:rStyle w:val="44"/>
              <w:rFonts w:ascii="Times New Roman" w:hAnsi="Times New Roman" w:eastAsia="仿宋_GB2312;仿宋" w:cs="Times New Roman"/>
              <w:sz w:val="22"/>
              <w:szCs w:val="22"/>
            </w:rPr>
            <w:t>暂停施工</w:t>
          </w:r>
          <w:r>
            <w:rPr>
              <w:rStyle w:val="44"/>
              <w:rFonts w:eastAsia="仿宋_GB2312;仿宋" w:cs="Times New Roman"/>
              <w:sz w:val="22"/>
              <w:szCs w:val="22"/>
            </w:rPr>
            <w:tab/>
          </w:r>
          <w:r>
            <w:rPr>
              <w:rStyle w:val="44"/>
              <w:rFonts w:eastAsia="仿宋_GB2312;仿宋" w:cs="Times New Roman"/>
              <w:sz w:val="22"/>
              <w:szCs w:val="22"/>
            </w:rPr>
            <w:t>80</w:t>
          </w:r>
          <w:r>
            <w:rPr>
              <w:rStyle w:val="44"/>
              <w:rFonts w:eastAsia="仿宋_GB2312;仿宋" w:cs="Times New Roman"/>
              <w:sz w:val="22"/>
              <w:szCs w:val="22"/>
            </w:rPr>
            <w:fldChar w:fldCharType="end"/>
          </w:r>
        </w:p>
        <w:p w14:paraId="1228E48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"__RefHeading___Toc351203551" \h </w:instrText>
          </w:r>
          <w:r>
            <w:fldChar w:fldCharType="separate"/>
          </w:r>
          <w:r>
            <w:rPr>
              <w:rStyle w:val="44"/>
              <w:rFonts w:eastAsia="仿宋_GB2312;仿宋" w:cs="Times New Roman"/>
              <w:sz w:val="22"/>
              <w:szCs w:val="22"/>
            </w:rPr>
            <w:t xml:space="preserve">7.9 </w:t>
          </w:r>
          <w:r>
            <w:rPr>
              <w:rStyle w:val="44"/>
              <w:rFonts w:ascii="Times New Roman" w:hAnsi="Times New Roman" w:eastAsia="仿宋_GB2312;仿宋" w:cs="Times New Roman"/>
              <w:sz w:val="22"/>
              <w:szCs w:val="22"/>
            </w:rPr>
            <w:t>提前竣工</w:t>
          </w:r>
          <w:r>
            <w:rPr>
              <w:rStyle w:val="44"/>
              <w:rFonts w:eastAsia="仿宋_GB2312;仿宋" w:cs="Times New Roman"/>
              <w:sz w:val="22"/>
              <w:szCs w:val="22"/>
            </w:rPr>
            <w:tab/>
          </w:r>
          <w:r>
            <w:rPr>
              <w:rStyle w:val="44"/>
              <w:rFonts w:eastAsia="仿宋_GB2312;仿宋" w:cs="Times New Roman"/>
              <w:sz w:val="22"/>
              <w:szCs w:val="22"/>
            </w:rPr>
            <w:t>82</w:t>
          </w:r>
          <w:r>
            <w:rPr>
              <w:rStyle w:val="44"/>
              <w:rFonts w:eastAsia="仿宋_GB2312;仿宋" w:cs="Times New Roman"/>
              <w:sz w:val="22"/>
              <w:szCs w:val="22"/>
            </w:rPr>
            <w:fldChar w:fldCharType="end"/>
          </w:r>
        </w:p>
        <w:p w14:paraId="5552DE39">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"__RefHeading___Toc351203552" \h </w:instrText>
          </w:r>
          <w:r>
            <w:fldChar w:fldCharType="separate"/>
          </w:r>
          <w:r>
            <w:rPr>
              <w:rStyle w:val="44"/>
              <w:rFonts w:eastAsia="仿宋_GB2312;仿宋" w:cs="Times New Roman"/>
              <w:sz w:val="22"/>
              <w:szCs w:val="22"/>
            </w:rPr>
            <w:t xml:space="preserve">8. </w:t>
          </w:r>
          <w:r>
            <w:rPr>
              <w:rStyle w:val="44"/>
              <w:rFonts w:ascii="Times New Roman" w:hAnsi="Times New Roman" w:eastAsia="仿宋_GB2312;仿宋" w:cs="Times New Roman"/>
              <w:sz w:val="22"/>
              <w:szCs w:val="22"/>
            </w:rPr>
            <w:t>材料与设备</w:t>
          </w:r>
          <w:r>
            <w:rPr>
              <w:rStyle w:val="44"/>
              <w:rFonts w:eastAsia="仿宋_GB2312;仿宋" w:cs="Times New Roman"/>
              <w:sz w:val="22"/>
              <w:szCs w:val="22"/>
            </w:rPr>
            <w:tab/>
          </w:r>
          <w:r>
            <w:rPr>
              <w:rStyle w:val="44"/>
              <w:rFonts w:eastAsia="仿宋_GB2312;仿宋" w:cs="Times New Roman"/>
              <w:sz w:val="22"/>
              <w:szCs w:val="22"/>
            </w:rPr>
            <w:t>50</w:t>
          </w:r>
          <w:r>
            <w:rPr>
              <w:rStyle w:val="44"/>
              <w:rFonts w:eastAsia="仿宋_GB2312;仿宋" w:cs="Times New Roman"/>
              <w:sz w:val="22"/>
              <w:szCs w:val="22"/>
            </w:rPr>
            <w:fldChar w:fldCharType="end"/>
          </w:r>
        </w:p>
        <w:p w14:paraId="45B740B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"__RefHeading___Toc351203553" \h </w:instrText>
          </w:r>
          <w:r>
            <w:fldChar w:fldCharType="separate"/>
          </w:r>
          <w:r>
            <w:rPr>
              <w:rStyle w:val="44"/>
              <w:rFonts w:eastAsia="仿宋_GB2312;仿宋" w:cs="Times New Roman"/>
              <w:sz w:val="22"/>
              <w:szCs w:val="22"/>
            </w:rPr>
            <w:t>8.1</w:t>
          </w:r>
          <w:r>
            <w:rPr>
              <w:rStyle w:val="44"/>
              <w:rFonts w:ascii="Times New Roman" w:hAnsi="Times New Roman" w:eastAsia="仿宋_GB2312;仿宋" w:cs="Times New Roman"/>
              <w:sz w:val="22"/>
              <w:szCs w:val="22"/>
            </w:rPr>
            <w:t>发包人供应材料与工程设备</w:t>
          </w:r>
          <w:r>
            <w:rPr>
              <w:rStyle w:val="44"/>
              <w:rFonts w:eastAsia="仿宋_GB2312;仿宋" w:cs="Times New Roman"/>
              <w:sz w:val="22"/>
              <w:szCs w:val="22"/>
            </w:rPr>
            <w:tab/>
          </w:r>
          <w:r>
            <w:rPr>
              <w:rStyle w:val="44"/>
              <w:rFonts w:eastAsia="仿宋_GB2312;仿宋" w:cs="Times New Roman"/>
              <w:sz w:val="22"/>
              <w:szCs w:val="22"/>
            </w:rPr>
            <w:t>50</w:t>
          </w:r>
          <w:r>
            <w:rPr>
              <w:rStyle w:val="44"/>
              <w:rFonts w:eastAsia="仿宋_GB2312;仿宋" w:cs="Times New Roman"/>
              <w:sz w:val="22"/>
              <w:szCs w:val="22"/>
            </w:rPr>
            <w:fldChar w:fldCharType="end"/>
          </w:r>
        </w:p>
        <w:p w14:paraId="4515261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"__RefHeading___Toc351203554" \h </w:instrText>
          </w:r>
          <w:r>
            <w:fldChar w:fldCharType="separate"/>
          </w:r>
          <w:r>
            <w:rPr>
              <w:rStyle w:val="44"/>
              <w:rFonts w:eastAsia="仿宋_GB2312;仿宋" w:cs="Times New Roman"/>
              <w:sz w:val="22"/>
              <w:szCs w:val="22"/>
            </w:rPr>
            <w:t>8.2</w:t>
          </w:r>
          <w:r>
            <w:rPr>
              <w:rStyle w:val="44"/>
              <w:rFonts w:ascii="Times New Roman" w:hAnsi="Times New Roman" w:eastAsia="仿宋_GB2312;仿宋" w:cs="Times New Roman"/>
              <w:sz w:val="22"/>
              <w:szCs w:val="22"/>
            </w:rPr>
            <w:t>承包人采购材料与工程设备</w:t>
          </w:r>
          <w:r>
            <w:rPr>
              <w:rStyle w:val="44"/>
              <w:rFonts w:eastAsia="仿宋_GB2312;仿宋" w:cs="Times New Roman"/>
              <w:sz w:val="22"/>
              <w:szCs w:val="22"/>
            </w:rPr>
            <w:tab/>
          </w:r>
          <w:r>
            <w:rPr>
              <w:rStyle w:val="44"/>
              <w:rFonts w:eastAsia="仿宋_GB2312;仿宋" w:cs="Times New Roman"/>
              <w:sz w:val="22"/>
              <w:szCs w:val="22"/>
            </w:rPr>
            <w:t>82</w:t>
          </w:r>
          <w:r>
            <w:rPr>
              <w:rStyle w:val="44"/>
              <w:rFonts w:eastAsia="仿宋_GB2312;仿宋" w:cs="Times New Roman"/>
              <w:sz w:val="22"/>
              <w:szCs w:val="22"/>
            </w:rPr>
            <w:fldChar w:fldCharType="end"/>
          </w:r>
        </w:p>
        <w:p w14:paraId="0AB17C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"__RefHeading___Toc351203555" \h </w:instrText>
          </w:r>
          <w:r>
            <w:fldChar w:fldCharType="separate"/>
          </w:r>
          <w:r>
            <w:rPr>
              <w:rStyle w:val="44"/>
              <w:rFonts w:eastAsia="仿宋_GB2312;仿宋" w:cs="Times New Roman"/>
              <w:sz w:val="22"/>
              <w:szCs w:val="22"/>
            </w:rPr>
            <w:t>8.3</w:t>
          </w:r>
          <w:r>
            <w:rPr>
              <w:rStyle w:val="44"/>
              <w:rFonts w:ascii="Times New Roman" w:hAnsi="Times New Roman" w:eastAsia="仿宋_GB2312;仿宋" w:cs="Times New Roman"/>
              <w:sz w:val="22"/>
              <w:szCs w:val="22"/>
            </w:rPr>
            <w:t>材料与工程设备的接收与拒收</w:t>
          </w:r>
          <w:r>
            <w:rPr>
              <w:rStyle w:val="44"/>
              <w:rFonts w:eastAsia="仿宋_GB2312;仿宋" w:cs="Times New Roman"/>
              <w:sz w:val="22"/>
              <w:szCs w:val="22"/>
            </w:rPr>
            <w:tab/>
          </w:r>
          <w:r>
            <w:rPr>
              <w:rStyle w:val="44"/>
              <w:rFonts w:eastAsia="仿宋_GB2312;仿宋" w:cs="Times New Roman"/>
              <w:sz w:val="22"/>
              <w:szCs w:val="22"/>
            </w:rPr>
            <w:t>83</w:t>
          </w:r>
          <w:r>
            <w:rPr>
              <w:rStyle w:val="44"/>
              <w:rFonts w:eastAsia="仿宋_GB2312;仿宋" w:cs="Times New Roman"/>
              <w:sz w:val="22"/>
              <w:szCs w:val="22"/>
            </w:rPr>
            <w:fldChar w:fldCharType="end"/>
          </w:r>
        </w:p>
        <w:p w14:paraId="12F3F7E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"__RefHeading___Toc351203556" \h </w:instrText>
          </w:r>
          <w:r>
            <w:fldChar w:fldCharType="separate"/>
          </w:r>
          <w:r>
            <w:rPr>
              <w:rStyle w:val="44"/>
              <w:rFonts w:eastAsia="仿宋_GB2312;仿宋" w:cs="Times New Roman"/>
              <w:sz w:val="22"/>
              <w:szCs w:val="22"/>
            </w:rPr>
            <w:t>8.4</w:t>
          </w:r>
          <w:r>
            <w:rPr>
              <w:rStyle w:val="44"/>
              <w:rFonts w:ascii="Times New Roman" w:hAnsi="Times New Roman" w:eastAsia="仿宋_GB2312;仿宋" w:cs="Times New Roman"/>
              <w:sz w:val="22"/>
              <w:szCs w:val="22"/>
            </w:rPr>
            <w:t>材料与工程设备的保管与使用</w:t>
          </w:r>
          <w:r>
            <w:rPr>
              <w:rStyle w:val="44"/>
              <w:rFonts w:eastAsia="仿宋_GB2312;仿宋" w:cs="Times New Roman"/>
              <w:sz w:val="22"/>
              <w:szCs w:val="22"/>
            </w:rPr>
            <w:tab/>
          </w:r>
          <w:r>
            <w:rPr>
              <w:rStyle w:val="44"/>
              <w:rFonts w:eastAsia="仿宋_GB2312;仿宋" w:cs="Times New Roman"/>
              <w:sz w:val="22"/>
              <w:szCs w:val="22"/>
            </w:rPr>
            <w:t>83</w:t>
          </w:r>
          <w:r>
            <w:rPr>
              <w:rStyle w:val="44"/>
              <w:rFonts w:eastAsia="仿宋_GB2312;仿宋" w:cs="Times New Roman"/>
              <w:sz w:val="22"/>
              <w:szCs w:val="22"/>
            </w:rPr>
            <w:fldChar w:fldCharType="end"/>
          </w:r>
        </w:p>
        <w:p w14:paraId="438D024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"__RefHeading___Toc351203557" \h </w:instrText>
          </w:r>
          <w:r>
            <w:fldChar w:fldCharType="separate"/>
          </w:r>
          <w:r>
            <w:rPr>
              <w:rStyle w:val="44"/>
              <w:rFonts w:eastAsia="仿宋_GB2312;仿宋" w:cs="Times New Roman"/>
              <w:sz w:val="22"/>
              <w:szCs w:val="22"/>
            </w:rPr>
            <w:t xml:space="preserve">8.5 </w:t>
          </w:r>
          <w:r>
            <w:rPr>
              <w:rStyle w:val="44"/>
              <w:rFonts w:ascii="Times New Roman" w:hAnsi="Times New Roman" w:eastAsia="仿宋_GB2312;仿宋" w:cs="Times New Roman"/>
              <w:sz w:val="22"/>
              <w:szCs w:val="22"/>
            </w:rPr>
            <w:t>禁止使用不合格的材料和工程设备</w:t>
          </w:r>
          <w:r>
            <w:rPr>
              <w:rStyle w:val="44"/>
              <w:rFonts w:eastAsia="仿宋_GB2312;仿宋" w:cs="Times New Roman"/>
              <w:sz w:val="22"/>
              <w:szCs w:val="22"/>
            </w:rPr>
            <w:tab/>
          </w:r>
          <w:r>
            <w:rPr>
              <w:rStyle w:val="44"/>
              <w:rFonts w:eastAsia="仿宋_GB2312;仿宋" w:cs="Times New Roman"/>
              <w:sz w:val="22"/>
              <w:szCs w:val="22"/>
            </w:rPr>
            <w:t>84</w:t>
          </w:r>
          <w:r>
            <w:rPr>
              <w:rStyle w:val="44"/>
              <w:rFonts w:eastAsia="仿宋_GB2312;仿宋" w:cs="Times New Roman"/>
              <w:sz w:val="22"/>
              <w:szCs w:val="22"/>
            </w:rPr>
            <w:fldChar w:fldCharType="end"/>
          </w:r>
        </w:p>
        <w:p w14:paraId="0EC30A6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"__RefHeading___Toc351203558" \h </w:instrText>
          </w:r>
          <w:r>
            <w:fldChar w:fldCharType="separate"/>
          </w:r>
          <w:r>
            <w:rPr>
              <w:rStyle w:val="44"/>
              <w:rFonts w:eastAsia="仿宋_GB2312;仿宋" w:cs="Times New Roman"/>
              <w:sz w:val="22"/>
              <w:szCs w:val="22"/>
            </w:rPr>
            <w:t xml:space="preserve">8.6 </w:t>
          </w:r>
          <w:r>
            <w:rPr>
              <w:rStyle w:val="44"/>
              <w:rFonts w:ascii="Times New Roman" w:hAnsi="Times New Roman" w:eastAsia="仿宋_GB2312;仿宋" w:cs="Times New Roman"/>
              <w:sz w:val="22"/>
              <w:szCs w:val="22"/>
            </w:rPr>
            <w:t>样品</w:t>
          </w:r>
          <w:r>
            <w:rPr>
              <w:rStyle w:val="44"/>
              <w:rFonts w:eastAsia="仿宋_GB2312;仿宋" w:cs="Times New Roman"/>
              <w:sz w:val="22"/>
              <w:szCs w:val="22"/>
            </w:rPr>
            <w:tab/>
          </w:r>
          <w:r>
            <w:rPr>
              <w:rStyle w:val="44"/>
              <w:rFonts w:eastAsia="仿宋_GB2312;仿宋" w:cs="Times New Roman"/>
              <w:sz w:val="22"/>
              <w:szCs w:val="22"/>
            </w:rPr>
            <w:t>84</w:t>
          </w:r>
          <w:r>
            <w:rPr>
              <w:rStyle w:val="44"/>
              <w:rFonts w:eastAsia="仿宋_GB2312;仿宋" w:cs="Times New Roman"/>
              <w:sz w:val="22"/>
              <w:szCs w:val="22"/>
            </w:rPr>
            <w:fldChar w:fldCharType="end"/>
          </w:r>
        </w:p>
        <w:p w14:paraId="4482641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"__RefHeading___Toc351203559" \h </w:instrText>
          </w:r>
          <w:r>
            <w:fldChar w:fldCharType="separate"/>
          </w:r>
          <w:r>
            <w:rPr>
              <w:rStyle w:val="44"/>
              <w:rFonts w:eastAsia="仿宋_GB2312;仿宋" w:cs="Times New Roman"/>
              <w:sz w:val="22"/>
              <w:szCs w:val="22"/>
            </w:rPr>
            <w:t xml:space="preserve">8.7 </w:t>
          </w:r>
          <w:r>
            <w:rPr>
              <w:rStyle w:val="44"/>
              <w:rFonts w:ascii="Times New Roman" w:hAnsi="Times New Roman" w:eastAsia="仿宋_GB2312;仿宋" w:cs="Times New Roman"/>
              <w:sz w:val="22"/>
              <w:szCs w:val="22"/>
            </w:rPr>
            <w:t>材料与工程设备的替代</w:t>
          </w:r>
          <w:r>
            <w:rPr>
              <w:rStyle w:val="44"/>
              <w:rFonts w:eastAsia="仿宋_GB2312;仿宋" w:cs="Times New Roman"/>
              <w:sz w:val="22"/>
              <w:szCs w:val="22"/>
            </w:rPr>
            <w:tab/>
          </w:r>
          <w:r>
            <w:rPr>
              <w:rStyle w:val="44"/>
              <w:rFonts w:eastAsia="仿宋_GB2312;仿宋" w:cs="Times New Roman"/>
              <w:sz w:val="22"/>
              <w:szCs w:val="22"/>
            </w:rPr>
            <w:t>85</w:t>
          </w:r>
          <w:r>
            <w:rPr>
              <w:rStyle w:val="44"/>
              <w:rFonts w:eastAsia="仿宋_GB2312;仿宋" w:cs="Times New Roman"/>
              <w:sz w:val="22"/>
              <w:szCs w:val="22"/>
            </w:rPr>
            <w:fldChar w:fldCharType="end"/>
          </w:r>
        </w:p>
        <w:p w14:paraId="5281FBB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"__RefHeading___Toc351203560" \h </w:instrText>
          </w:r>
          <w:r>
            <w:fldChar w:fldCharType="separate"/>
          </w:r>
          <w:r>
            <w:rPr>
              <w:rStyle w:val="44"/>
              <w:rFonts w:eastAsia="仿宋_GB2312;仿宋" w:cs="Times New Roman"/>
              <w:sz w:val="22"/>
              <w:szCs w:val="22"/>
            </w:rPr>
            <w:t xml:space="preserve">8.8 </w:t>
          </w:r>
          <w:r>
            <w:rPr>
              <w:rStyle w:val="44"/>
              <w:rFonts w:ascii="Times New Roman" w:hAnsi="Times New Roman" w:eastAsia="仿宋_GB2312;仿宋" w:cs="Times New Roman"/>
              <w:sz w:val="22"/>
              <w:szCs w:val="22"/>
            </w:rPr>
            <w:t>施工设备和临时设施</w:t>
          </w:r>
          <w:r>
            <w:rPr>
              <w:rStyle w:val="44"/>
              <w:rFonts w:eastAsia="仿宋_GB2312;仿宋" w:cs="Times New Roman"/>
              <w:sz w:val="22"/>
              <w:szCs w:val="22"/>
            </w:rPr>
            <w:tab/>
          </w:r>
          <w:r>
            <w:rPr>
              <w:rStyle w:val="44"/>
              <w:rFonts w:eastAsia="仿宋_GB2312;仿宋" w:cs="Times New Roman"/>
              <w:sz w:val="22"/>
              <w:szCs w:val="22"/>
            </w:rPr>
            <w:t>85</w:t>
          </w:r>
          <w:r>
            <w:rPr>
              <w:rStyle w:val="44"/>
              <w:rFonts w:eastAsia="仿宋_GB2312;仿宋" w:cs="Times New Roman"/>
              <w:sz w:val="22"/>
              <w:szCs w:val="22"/>
            </w:rPr>
            <w:fldChar w:fldCharType="end"/>
          </w:r>
        </w:p>
        <w:p w14:paraId="24DDAB1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"__RefHeading___Toc351203561" \h </w:instrText>
          </w:r>
          <w:r>
            <w:fldChar w:fldCharType="separate"/>
          </w:r>
          <w:r>
            <w:rPr>
              <w:rStyle w:val="44"/>
              <w:rFonts w:eastAsia="仿宋_GB2312;仿宋" w:cs="Times New Roman"/>
              <w:sz w:val="22"/>
              <w:szCs w:val="22"/>
            </w:rPr>
            <w:t>8.9</w:t>
          </w:r>
          <w:r>
            <w:rPr>
              <w:rStyle w:val="44"/>
              <w:rFonts w:ascii="Times New Roman" w:hAnsi="Times New Roman" w:eastAsia="仿宋_GB2312;仿宋" w:cs="Times New Roman"/>
              <w:sz w:val="22"/>
              <w:szCs w:val="22"/>
            </w:rPr>
            <w:t>材料与设备专用要求</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0D1DAE5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"__RefHeading___Toc351203562" \h </w:instrText>
          </w:r>
          <w:r>
            <w:fldChar w:fldCharType="separate"/>
          </w:r>
          <w:r>
            <w:rPr>
              <w:rStyle w:val="44"/>
              <w:rFonts w:eastAsia="仿宋_GB2312;仿宋" w:cs="Times New Roman"/>
              <w:sz w:val="22"/>
              <w:szCs w:val="22"/>
            </w:rPr>
            <w:t xml:space="preserve">9. </w:t>
          </w:r>
          <w:r>
            <w:rPr>
              <w:rStyle w:val="44"/>
              <w:rFonts w:ascii="Times New Roman" w:hAnsi="Times New Roman" w:eastAsia="仿宋_GB2312;仿宋" w:cs="Times New Roman"/>
              <w:sz w:val="22"/>
              <w:szCs w:val="22"/>
            </w:rPr>
            <w:t>试验与检验</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5E6DD10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"__RefHeading___Toc351203563" \h </w:instrText>
          </w:r>
          <w:r>
            <w:fldChar w:fldCharType="separate"/>
          </w:r>
          <w:r>
            <w:rPr>
              <w:rStyle w:val="44"/>
              <w:rFonts w:eastAsia="仿宋_GB2312;仿宋" w:cs="Times New Roman"/>
              <w:sz w:val="22"/>
              <w:szCs w:val="22"/>
            </w:rPr>
            <w:t>9.1</w:t>
          </w:r>
          <w:r>
            <w:rPr>
              <w:rStyle w:val="44"/>
              <w:rFonts w:ascii="Times New Roman" w:hAnsi="Times New Roman" w:eastAsia="仿宋_GB2312;仿宋" w:cs="Times New Roman"/>
              <w:sz w:val="22"/>
              <w:szCs w:val="22"/>
            </w:rPr>
            <w:t>试验设备与试验人员</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79317C6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"__RefHeading___Toc351203564" \h </w:instrText>
          </w:r>
          <w:r>
            <w:fldChar w:fldCharType="separate"/>
          </w:r>
          <w:r>
            <w:rPr>
              <w:rStyle w:val="44"/>
              <w:rFonts w:eastAsia="仿宋_GB2312;仿宋" w:cs="Times New Roman"/>
              <w:sz w:val="22"/>
              <w:szCs w:val="22"/>
            </w:rPr>
            <w:t>9.2</w:t>
          </w:r>
          <w:r>
            <w:rPr>
              <w:rStyle w:val="44"/>
              <w:rFonts w:ascii="Times New Roman" w:hAnsi="Times New Roman" w:eastAsia="仿宋_GB2312;仿宋" w:cs="Times New Roman"/>
              <w:sz w:val="22"/>
              <w:szCs w:val="22"/>
            </w:rPr>
            <w:t>取样</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742BE54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"__RefHeading___Toc351203565" \h </w:instrText>
          </w:r>
          <w:r>
            <w:fldChar w:fldCharType="separate"/>
          </w:r>
          <w:r>
            <w:rPr>
              <w:rStyle w:val="44"/>
              <w:rFonts w:eastAsia="仿宋_GB2312;仿宋" w:cs="Times New Roman"/>
              <w:sz w:val="22"/>
              <w:szCs w:val="22"/>
            </w:rPr>
            <w:t xml:space="preserve">9.3 </w:t>
          </w:r>
          <w:r>
            <w:rPr>
              <w:rStyle w:val="44"/>
              <w:rFonts w:ascii="Times New Roman" w:hAnsi="Times New Roman" w:eastAsia="仿宋_GB2312;仿宋" w:cs="Times New Roman"/>
              <w:sz w:val="22"/>
              <w:szCs w:val="22"/>
            </w:rPr>
            <w:t>材料、工程设备和工程的试验和检验</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5F128CB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"__RefHeading___Toc351203566" \h </w:instrText>
          </w:r>
          <w:r>
            <w:fldChar w:fldCharType="separate"/>
          </w:r>
          <w:r>
            <w:rPr>
              <w:rStyle w:val="44"/>
              <w:rFonts w:eastAsia="仿宋_GB2312;仿宋" w:cs="Times New Roman"/>
              <w:sz w:val="22"/>
              <w:szCs w:val="22"/>
            </w:rPr>
            <w:t xml:space="preserve">9.4 </w:t>
          </w:r>
          <w:r>
            <w:rPr>
              <w:rStyle w:val="44"/>
              <w:rFonts w:ascii="Times New Roman" w:hAnsi="Times New Roman" w:eastAsia="仿宋_GB2312;仿宋" w:cs="Times New Roman"/>
              <w:sz w:val="22"/>
              <w:szCs w:val="22"/>
            </w:rPr>
            <w:t>现场工艺试验</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088CDAB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"__RefHeading___Toc351203567" \h </w:instrText>
          </w:r>
          <w:r>
            <w:fldChar w:fldCharType="separate"/>
          </w:r>
          <w:r>
            <w:rPr>
              <w:rStyle w:val="44"/>
              <w:rFonts w:eastAsia="仿宋_GB2312;仿宋" w:cs="Times New Roman"/>
              <w:sz w:val="22"/>
              <w:szCs w:val="22"/>
            </w:rPr>
            <w:t xml:space="preserve">10. </w:t>
          </w:r>
          <w:r>
            <w:rPr>
              <w:rStyle w:val="44"/>
              <w:rFonts w:ascii="Times New Roman" w:hAnsi="Times New Roman" w:eastAsia="仿宋_GB2312;仿宋" w:cs="Times New Roman"/>
              <w:sz w:val="22"/>
              <w:szCs w:val="22"/>
            </w:rPr>
            <w:t>变更</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5B74E51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"__RefHeading___Toc351203568" \h </w:instrText>
          </w:r>
          <w:r>
            <w:fldChar w:fldCharType="separate"/>
          </w:r>
          <w:r>
            <w:rPr>
              <w:rStyle w:val="44"/>
              <w:rFonts w:eastAsia="仿宋_GB2312;仿宋" w:cs="Times New Roman"/>
              <w:sz w:val="22"/>
              <w:szCs w:val="22"/>
            </w:rPr>
            <w:t>10.1</w:t>
          </w:r>
          <w:r>
            <w:rPr>
              <w:rStyle w:val="44"/>
              <w:rFonts w:ascii="Times New Roman" w:hAnsi="Times New Roman" w:eastAsia="仿宋_GB2312;仿宋" w:cs="Times New Roman"/>
              <w:sz w:val="22"/>
              <w:szCs w:val="22"/>
            </w:rPr>
            <w:t>变更的范围</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7C88B7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"__RefHeading___Toc351203569" \h </w:instrText>
          </w:r>
          <w:r>
            <w:fldChar w:fldCharType="separate"/>
          </w:r>
          <w:r>
            <w:rPr>
              <w:rStyle w:val="44"/>
              <w:rFonts w:eastAsia="仿宋_GB2312;仿宋" w:cs="Times New Roman"/>
              <w:sz w:val="22"/>
              <w:szCs w:val="22"/>
            </w:rPr>
            <w:t xml:space="preserve">10.2 </w:t>
          </w:r>
          <w:r>
            <w:rPr>
              <w:rStyle w:val="44"/>
              <w:rFonts w:ascii="Times New Roman" w:hAnsi="Times New Roman" w:eastAsia="仿宋_GB2312;仿宋" w:cs="Times New Roman"/>
              <w:sz w:val="22"/>
              <w:szCs w:val="22"/>
            </w:rPr>
            <w:t>变更权</w:t>
          </w:r>
          <w:r>
            <w:rPr>
              <w:rStyle w:val="44"/>
              <w:rFonts w:eastAsia="仿宋_GB2312;仿宋" w:cs="Times New Roman"/>
              <w:sz w:val="22"/>
              <w:szCs w:val="22"/>
            </w:rPr>
            <w:tab/>
          </w:r>
          <w:r>
            <w:rPr>
              <w:rStyle w:val="44"/>
              <w:rFonts w:eastAsia="仿宋_GB2312;仿宋" w:cs="Times New Roman"/>
              <w:sz w:val="22"/>
              <w:szCs w:val="22"/>
            </w:rPr>
            <w:t>88</w:t>
          </w:r>
          <w:r>
            <w:rPr>
              <w:rStyle w:val="44"/>
              <w:rFonts w:eastAsia="仿宋_GB2312;仿宋" w:cs="Times New Roman"/>
              <w:sz w:val="22"/>
              <w:szCs w:val="22"/>
            </w:rPr>
            <w:fldChar w:fldCharType="end"/>
          </w:r>
        </w:p>
        <w:p w14:paraId="6BD7803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"__RefHeading___Toc351203570" \h </w:instrText>
          </w:r>
          <w:r>
            <w:fldChar w:fldCharType="separate"/>
          </w:r>
          <w:r>
            <w:rPr>
              <w:rStyle w:val="44"/>
              <w:rFonts w:eastAsia="仿宋_GB2312;仿宋" w:cs="Times New Roman"/>
              <w:sz w:val="22"/>
              <w:szCs w:val="22"/>
            </w:rPr>
            <w:t>10.3</w:t>
          </w:r>
          <w:r>
            <w:rPr>
              <w:rStyle w:val="44"/>
              <w:rFonts w:ascii="Times New Roman" w:hAnsi="Times New Roman" w:eastAsia="仿宋_GB2312;仿宋" w:cs="Times New Roman"/>
              <w:sz w:val="22"/>
              <w:szCs w:val="22"/>
            </w:rPr>
            <w:t>变更程序</w:t>
          </w:r>
          <w:r>
            <w:rPr>
              <w:rStyle w:val="44"/>
              <w:rFonts w:eastAsia="仿宋_GB2312;仿宋" w:cs="Times New Roman"/>
              <w:sz w:val="22"/>
              <w:szCs w:val="22"/>
            </w:rPr>
            <w:tab/>
          </w:r>
          <w:r>
            <w:rPr>
              <w:rStyle w:val="44"/>
              <w:rFonts w:eastAsia="仿宋_GB2312;仿宋" w:cs="Times New Roman"/>
              <w:sz w:val="22"/>
              <w:szCs w:val="22"/>
            </w:rPr>
            <w:t>88</w:t>
          </w:r>
          <w:r>
            <w:rPr>
              <w:rStyle w:val="44"/>
              <w:rFonts w:eastAsia="仿宋_GB2312;仿宋" w:cs="Times New Roman"/>
              <w:sz w:val="22"/>
              <w:szCs w:val="22"/>
            </w:rPr>
            <w:fldChar w:fldCharType="end"/>
          </w:r>
        </w:p>
        <w:p w14:paraId="3E35B28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"__RefHeading___Toc351203571" \h </w:instrText>
          </w:r>
          <w:r>
            <w:fldChar w:fldCharType="separate"/>
          </w:r>
          <w:r>
            <w:rPr>
              <w:rStyle w:val="44"/>
              <w:rFonts w:eastAsia="仿宋_GB2312;仿宋" w:cs="Times New Roman"/>
              <w:sz w:val="22"/>
              <w:szCs w:val="22"/>
            </w:rPr>
            <w:t>10.4</w:t>
          </w:r>
          <w:r>
            <w:rPr>
              <w:rStyle w:val="44"/>
              <w:rFonts w:ascii="Times New Roman" w:hAnsi="Times New Roman" w:eastAsia="仿宋_GB2312;仿宋" w:cs="Times New Roman"/>
              <w:sz w:val="22"/>
              <w:szCs w:val="22"/>
            </w:rPr>
            <w:t>变更估价</w:t>
          </w:r>
          <w:r>
            <w:rPr>
              <w:rStyle w:val="44"/>
              <w:rFonts w:eastAsia="仿宋_GB2312;仿宋" w:cs="Times New Roman"/>
              <w:sz w:val="22"/>
              <w:szCs w:val="22"/>
            </w:rPr>
            <w:tab/>
          </w:r>
          <w:r>
            <w:rPr>
              <w:rStyle w:val="44"/>
              <w:rFonts w:eastAsia="仿宋_GB2312;仿宋" w:cs="Times New Roman"/>
              <w:sz w:val="22"/>
              <w:szCs w:val="22"/>
            </w:rPr>
            <w:t>88</w:t>
          </w:r>
          <w:r>
            <w:rPr>
              <w:rStyle w:val="44"/>
              <w:rFonts w:eastAsia="仿宋_GB2312;仿宋" w:cs="Times New Roman"/>
              <w:sz w:val="22"/>
              <w:szCs w:val="22"/>
            </w:rPr>
            <w:fldChar w:fldCharType="end"/>
          </w:r>
        </w:p>
        <w:p w14:paraId="19FF4FE4">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"__RefHeading___Toc351203572" \h </w:instrText>
          </w:r>
          <w:r>
            <w:fldChar w:fldCharType="separate"/>
          </w:r>
          <w:r>
            <w:rPr>
              <w:rStyle w:val="44"/>
              <w:rFonts w:eastAsia="仿宋_GB2312;仿宋" w:cs="Times New Roman"/>
              <w:sz w:val="22"/>
              <w:szCs w:val="22"/>
            </w:rPr>
            <w:t xml:space="preserve">10.5 </w:t>
          </w:r>
          <w:r>
            <w:rPr>
              <w:rStyle w:val="44"/>
              <w:rFonts w:ascii="Times New Roman" w:hAnsi="Times New Roman" w:eastAsia="仿宋_GB2312;仿宋" w:cs="Times New Roman"/>
              <w:sz w:val="22"/>
              <w:szCs w:val="22"/>
            </w:rPr>
            <w:t>承包人的合理化建议</w:t>
          </w:r>
          <w:r>
            <w:rPr>
              <w:rStyle w:val="44"/>
              <w:rFonts w:eastAsia="仿宋_GB2312;仿宋" w:cs="Times New Roman"/>
              <w:sz w:val="22"/>
              <w:szCs w:val="22"/>
            </w:rPr>
            <w:tab/>
          </w:r>
          <w:r>
            <w:rPr>
              <w:rStyle w:val="44"/>
              <w:rFonts w:eastAsia="仿宋_GB2312;仿宋" w:cs="Times New Roman"/>
              <w:sz w:val="22"/>
              <w:szCs w:val="22"/>
            </w:rPr>
            <w:t>89</w:t>
          </w:r>
          <w:r>
            <w:rPr>
              <w:rStyle w:val="44"/>
              <w:rFonts w:eastAsia="仿宋_GB2312;仿宋" w:cs="Times New Roman"/>
              <w:sz w:val="22"/>
              <w:szCs w:val="22"/>
            </w:rPr>
            <w:fldChar w:fldCharType="end"/>
          </w:r>
        </w:p>
        <w:p w14:paraId="637EC85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"__RefHeading___Toc351203573" \h </w:instrText>
          </w:r>
          <w:r>
            <w:fldChar w:fldCharType="separate"/>
          </w:r>
          <w:r>
            <w:rPr>
              <w:rStyle w:val="44"/>
              <w:rFonts w:eastAsia="仿宋_GB2312;仿宋" w:cs="Times New Roman"/>
              <w:sz w:val="22"/>
              <w:szCs w:val="22"/>
            </w:rPr>
            <w:t xml:space="preserve">10.6 </w:t>
          </w:r>
          <w:r>
            <w:rPr>
              <w:rStyle w:val="44"/>
              <w:rFonts w:ascii="Times New Roman" w:hAnsi="Times New Roman" w:eastAsia="仿宋_GB2312;仿宋" w:cs="Times New Roman"/>
              <w:sz w:val="22"/>
              <w:szCs w:val="22"/>
            </w:rPr>
            <w:t>变更引起的工期调整</w:t>
          </w:r>
          <w:r>
            <w:rPr>
              <w:rStyle w:val="44"/>
              <w:rFonts w:eastAsia="仿宋_GB2312;仿宋" w:cs="Times New Roman"/>
              <w:sz w:val="22"/>
              <w:szCs w:val="22"/>
            </w:rPr>
            <w:tab/>
          </w:r>
          <w:r>
            <w:rPr>
              <w:rStyle w:val="44"/>
              <w:rFonts w:eastAsia="仿宋_GB2312;仿宋" w:cs="Times New Roman"/>
              <w:sz w:val="22"/>
              <w:szCs w:val="22"/>
            </w:rPr>
            <w:t>89</w:t>
          </w:r>
          <w:r>
            <w:rPr>
              <w:rStyle w:val="44"/>
              <w:rFonts w:eastAsia="仿宋_GB2312;仿宋" w:cs="Times New Roman"/>
              <w:sz w:val="22"/>
              <w:szCs w:val="22"/>
            </w:rPr>
            <w:fldChar w:fldCharType="end"/>
          </w:r>
        </w:p>
        <w:p w14:paraId="13916EF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"__RefHeading___Toc351203574" \h </w:instrText>
          </w:r>
          <w:r>
            <w:fldChar w:fldCharType="separate"/>
          </w:r>
          <w:r>
            <w:rPr>
              <w:rStyle w:val="44"/>
              <w:rFonts w:eastAsia="仿宋_GB2312;仿宋" w:cs="Times New Roman"/>
              <w:sz w:val="22"/>
              <w:szCs w:val="22"/>
            </w:rPr>
            <w:t xml:space="preserve">10.7 </w:t>
          </w:r>
          <w:r>
            <w:rPr>
              <w:rStyle w:val="44"/>
              <w:rFonts w:ascii="Times New Roman" w:hAnsi="Times New Roman" w:eastAsia="仿宋_GB2312;仿宋" w:cs="Times New Roman"/>
              <w:sz w:val="22"/>
              <w:szCs w:val="22"/>
            </w:rPr>
            <w:t>暂估价</w:t>
          </w:r>
          <w:r>
            <w:rPr>
              <w:rStyle w:val="44"/>
              <w:rFonts w:eastAsia="仿宋_GB2312;仿宋" w:cs="Times New Roman"/>
              <w:sz w:val="22"/>
              <w:szCs w:val="22"/>
            </w:rPr>
            <w:tab/>
          </w:r>
          <w:r>
            <w:rPr>
              <w:rStyle w:val="44"/>
              <w:rFonts w:eastAsia="仿宋_GB2312;仿宋" w:cs="Times New Roman"/>
              <w:sz w:val="22"/>
              <w:szCs w:val="22"/>
            </w:rPr>
            <w:t>89</w:t>
          </w:r>
          <w:r>
            <w:rPr>
              <w:rStyle w:val="44"/>
              <w:rFonts w:eastAsia="仿宋_GB2312;仿宋" w:cs="Times New Roman"/>
              <w:sz w:val="22"/>
              <w:szCs w:val="22"/>
            </w:rPr>
            <w:fldChar w:fldCharType="end"/>
          </w:r>
        </w:p>
        <w:p w14:paraId="2DAFB12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"__RefHeading___Toc351203575" \h </w:instrText>
          </w:r>
          <w:r>
            <w:fldChar w:fldCharType="separate"/>
          </w:r>
          <w:r>
            <w:rPr>
              <w:rStyle w:val="44"/>
              <w:rFonts w:eastAsia="仿宋_GB2312;仿宋" w:cs="Times New Roman"/>
              <w:sz w:val="22"/>
              <w:szCs w:val="22"/>
            </w:rPr>
            <w:t xml:space="preserve">10.8 </w:t>
          </w:r>
          <w:r>
            <w:rPr>
              <w:rStyle w:val="44"/>
              <w:rFonts w:ascii="Times New Roman" w:hAnsi="Times New Roman" w:eastAsia="仿宋_GB2312;仿宋" w:cs="Times New Roman"/>
              <w:sz w:val="22"/>
              <w:szCs w:val="22"/>
            </w:rPr>
            <w:t>暂列金额</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72C652D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"__RefHeading___Toc351203576" \h </w:instrText>
          </w:r>
          <w:r>
            <w:fldChar w:fldCharType="separate"/>
          </w:r>
          <w:r>
            <w:rPr>
              <w:rStyle w:val="44"/>
              <w:rFonts w:eastAsia="仿宋_GB2312;仿宋" w:cs="Times New Roman"/>
              <w:sz w:val="22"/>
              <w:szCs w:val="22"/>
            </w:rPr>
            <w:t xml:space="preserve">10.9 </w:t>
          </w:r>
          <w:r>
            <w:rPr>
              <w:rStyle w:val="44"/>
              <w:rFonts w:ascii="Times New Roman" w:hAnsi="Times New Roman" w:eastAsia="仿宋_GB2312;仿宋" w:cs="Times New Roman"/>
              <w:sz w:val="22"/>
              <w:szCs w:val="22"/>
            </w:rPr>
            <w:t>计日工</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5671B33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"__RefHeading___Toc351203577" \h </w:instrText>
          </w:r>
          <w:r>
            <w:fldChar w:fldCharType="separate"/>
          </w:r>
          <w:r>
            <w:rPr>
              <w:rStyle w:val="44"/>
              <w:rFonts w:eastAsia="仿宋_GB2312;仿宋" w:cs="Times New Roman"/>
              <w:sz w:val="22"/>
              <w:szCs w:val="22"/>
            </w:rPr>
            <w:t xml:space="preserve">11. </w:t>
          </w:r>
          <w:r>
            <w:rPr>
              <w:rStyle w:val="44"/>
              <w:rFonts w:ascii="Times New Roman" w:hAnsi="Times New Roman" w:eastAsia="仿宋_GB2312;仿宋" w:cs="Times New Roman"/>
              <w:sz w:val="22"/>
              <w:szCs w:val="22"/>
            </w:rPr>
            <w:t>价格调整</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29FBB04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"__RefHeading___Toc351203578" \h </w:instrText>
          </w:r>
          <w:r>
            <w:fldChar w:fldCharType="separate"/>
          </w:r>
          <w:r>
            <w:rPr>
              <w:rStyle w:val="44"/>
              <w:rFonts w:eastAsia="仿宋_GB2312;仿宋" w:cs="Times New Roman"/>
              <w:sz w:val="22"/>
              <w:szCs w:val="22"/>
            </w:rPr>
            <w:t xml:space="preserve">11.1 </w:t>
          </w:r>
          <w:r>
            <w:rPr>
              <w:rStyle w:val="44"/>
              <w:rFonts w:ascii="Times New Roman" w:hAnsi="Times New Roman" w:eastAsia="仿宋_GB2312;仿宋" w:cs="Times New Roman"/>
              <w:sz w:val="22"/>
              <w:szCs w:val="22"/>
            </w:rPr>
            <w:t>市场价格波动引起的调整</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128B404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"__RefHeading___Toc351203579" \h </w:instrText>
          </w:r>
          <w:r>
            <w:fldChar w:fldCharType="separate"/>
          </w:r>
          <w:r>
            <w:rPr>
              <w:rStyle w:val="44"/>
              <w:rFonts w:eastAsia="仿宋_GB2312;仿宋" w:cs="Times New Roman"/>
              <w:sz w:val="22"/>
              <w:szCs w:val="22"/>
            </w:rPr>
            <w:t xml:space="preserve">11.2 </w:t>
          </w:r>
          <w:r>
            <w:rPr>
              <w:rStyle w:val="44"/>
              <w:rFonts w:ascii="Times New Roman" w:hAnsi="Times New Roman" w:eastAsia="仿宋_GB2312;仿宋" w:cs="Times New Roman"/>
              <w:sz w:val="22"/>
              <w:szCs w:val="22"/>
            </w:rPr>
            <w:t>法律变化引起的调整</w:t>
          </w:r>
          <w:r>
            <w:rPr>
              <w:rStyle w:val="44"/>
              <w:rFonts w:eastAsia="仿宋_GB2312;仿宋" w:cs="Times New Roman"/>
              <w:sz w:val="22"/>
              <w:szCs w:val="22"/>
            </w:rPr>
            <w:tab/>
          </w:r>
          <w:r>
            <w:rPr>
              <w:rStyle w:val="44"/>
              <w:rFonts w:eastAsia="仿宋_GB2312;仿宋" w:cs="Times New Roman"/>
              <w:sz w:val="22"/>
              <w:szCs w:val="22"/>
            </w:rPr>
            <w:t>94</w:t>
          </w:r>
          <w:r>
            <w:rPr>
              <w:rStyle w:val="44"/>
              <w:rFonts w:eastAsia="仿宋_GB2312;仿宋" w:cs="Times New Roman"/>
              <w:sz w:val="22"/>
              <w:szCs w:val="22"/>
            </w:rPr>
            <w:fldChar w:fldCharType="end"/>
          </w:r>
        </w:p>
        <w:p w14:paraId="5E205EFC">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"__RefHeading___Toc351203580" \h </w:instrText>
          </w:r>
          <w:r>
            <w:fldChar w:fldCharType="separate"/>
          </w:r>
          <w:r>
            <w:rPr>
              <w:rStyle w:val="44"/>
              <w:rFonts w:eastAsia="仿宋_GB2312;仿宋" w:cs="Times New Roman"/>
              <w:sz w:val="22"/>
              <w:szCs w:val="22"/>
            </w:rPr>
            <w:t xml:space="preserve">12. </w:t>
          </w:r>
          <w:r>
            <w:rPr>
              <w:rStyle w:val="44"/>
              <w:rFonts w:ascii="Times New Roman" w:hAnsi="Times New Roman" w:eastAsia="仿宋_GB2312;仿宋" w:cs="Times New Roman"/>
              <w:sz w:val="22"/>
              <w:szCs w:val="22"/>
            </w:rPr>
            <w:t>合同价格、计量与支付</w:t>
          </w:r>
          <w:r>
            <w:rPr>
              <w:rStyle w:val="44"/>
              <w:rFonts w:eastAsia="仿宋_GB2312;仿宋" w:cs="Times New Roman"/>
              <w:sz w:val="22"/>
              <w:szCs w:val="22"/>
            </w:rPr>
            <w:tab/>
          </w:r>
          <w:r>
            <w:rPr>
              <w:rStyle w:val="44"/>
              <w:rFonts w:eastAsia="仿宋_GB2312;仿宋" w:cs="Times New Roman"/>
              <w:sz w:val="22"/>
              <w:szCs w:val="22"/>
            </w:rPr>
            <w:t>94</w:t>
          </w:r>
          <w:r>
            <w:rPr>
              <w:rStyle w:val="44"/>
              <w:rFonts w:eastAsia="仿宋_GB2312;仿宋" w:cs="Times New Roman"/>
              <w:sz w:val="22"/>
              <w:szCs w:val="22"/>
            </w:rPr>
            <w:fldChar w:fldCharType="end"/>
          </w:r>
        </w:p>
        <w:p w14:paraId="0186DC3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"__RefHeading___Toc351203581" \h </w:instrText>
          </w:r>
          <w:r>
            <w:fldChar w:fldCharType="separate"/>
          </w:r>
          <w:r>
            <w:rPr>
              <w:rStyle w:val="44"/>
              <w:rFonts w:eastAsia="仿宋_GB2312;仿宋" w:cs="Times New Roman"/>
              <w:sz w:val="22"/>
              <w:szCs w:val="22"/>
            </w:rPr>
            <w:t xml:space="preserve">12.1 </w:t>
          </w:r>
          <w:r>
            <w:rPr>
              <w:rStyle w:val="44"/>
              <w:rFonts w:ascii="Times New Roman" w:hAnsi="Times New Roman" w:eastAsia="仿宋_GB2312;仿宋" w:cs="Times New Roman"/>
              <w:sz w:val="22"/>
              <w:szCs w:val="22"/>
            </w:rPr>
            <w:t>合同价格形式</w:t>
          </w:r>
          <w:r>
            <w:rPr>
              <w:rStyle w:val="44"/>
              <w:rFonts w:eastAsia="仿宋_GB2312;仿宋" w:cs="Times New Roman"/>
              <w:sz w:val="22"/>
              <w:szCs w:val="22"/>
            </w:rPr>
            <w:tab/>
          </w:r>
          <w:r>
            <w:rPr>
              <w:rStyle w:val="44"/>
              <w:rFonts w:eastAsia="仿宋_GB2312;仿宋" w:cs="Times New Roman"/>
              <w:sz w:val="22"/>
              <w:szCs w:val="22"/>
            </w:rPr>
            <w:t>94</w:t>
          </w:r>
          <w:r>
            <w:rPr>
              <w:rStyle w:val="44"/>
              <w:rFonts w:eastAsia="仿宋_GB2312;仿宋" w:cs="Times New Roman"/>
              <w:sz w:val="22"/>
              <w:szCs w:val="22"/>
            </w:rPr>
            <w:fldChar w:fldCharType="end"/>
          </w:r>
        </w:p>
        <w:p w14:paraId="49530C1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"__RefHeading___Toc351203582" \h </w:instrText>
          </w:r>
          <w:r>
            <w:fldChar w:fldCharType="separate"/>
          </w:r>
          <w:r>
            <w:rPr>
              <w:rStyle w:val="44"/>
              <w:rFonts w:eastAsia="仿宋_GB2312;仿宋" w:cs="Times New Roman"/>
              <w:sz w:val="22"/>
              <w:szCs w:val="22"/>
            </w:rPr>
            <w:t xml:space="preserve">12.2 </w:t>
          </w:r>
          <w:r>
            <w:rPr>
              <w:rStyle w:val="44"/>
              <w:rFonts w:ascii="Times New Roman" w:hAnsi="Times New Roman" w:eastAsia="仿宋_GB2312;仿宋" w:cs="Times New Roman"/>
              <w:sz w:val="22"/>
              <w:szCs w:val="22"/>
            </w:rPr>
            <w:t>预付款</w:t>
          </w:r>
          <w:r>
            <w:rPr>
              <w:rStyle w:val="44"/>
              <w:rFonts w:eastAsia="仿宋_GB2312;仿宋" w:cs="Times New Roman"/>
              <w:sz w:val="22"/>
              <w:szCs w:val="22"/>
            </w:rPr>
            <w:tab/>
          </w:r>
          <w:r>
            <w:rPr>
              <w:rStyle w:val="44"/>
              <w:rFonts w:eastAsia="仿宋_GB2312;仿宋" w:cs="Times New Roman"/>
              <w:sz w:val="22"/>
              <w:szCs w:val="22"/>
            </w:rPr>
            <w:t>95</w:t>
          </w:r>
          <w:r>
            <w:rPr>
              <w:rStyle w:val="44"/>
              <w:rFonts w:eastAsia="仿宋_GB2312;仿宋" w:cs="Times New Roman"/>
              <w:sz w:val="22"/>
              <w:szCs w:val="22"/>
            </w:rPr>
            <w:fldChar w:fldCharType="end"/>
          </w:r>
        </w:p>
        <w:p w14:paraId="7E34695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"__RefHeading___Toc351203583" \h </w:instrText>
          </w:r>
          <w:r>
            <w:fldChar w:fldCharType="separate"/>
          </w:r>
          <w:r>
            <w:rPr>
              <w:rStyle w:val="44"/>
              <w:rFonts w:eastAsia="仿宋_GB2312;仿宋" w:cs="Times New Roman"/>
              <w:sz w:val="22"/>
              <w:szCs w:val="22"/>
            </w:rPr>
            <w:t xml:space="preserve">12.3 </w:t>
          </w:r>
          <w:r>
            <w:rPr>
              <w:rStyle w:val="44"/>
              <w:rFonts w:ascii="Times New Roman" w:hAnsi="Times New Roman" w:eastAsia="仿宋_GB2312;仿宋" w:cs="Times New Roman"/>
              <w:sz w:val="22"/>
              <w:szCs w:val="22"/>
            </w:rPr>
            <w:t>计量</w:t>
          </w:r>
          <w:r>
            <w:rPr>
              <w:rStyle w:val="44"/>
              <w:rFonts w:eastAsia="仿宋_GB2312;仿宋" w:cs="Times New Roman"/>
              <w:sz w:val="22"/>
              <w:szCs w:val="22"/>
            </w:rPr>
            <w:tab/>
          </w:r>
          <w:r>
            <w:rPr>
              <w:rStyle w:val="44"/>
              <w:rFonts w:eastAsia="仿宋_GB2312;仿宋" w:cs="Times New Roman"/>
              <w:sz w:val="22"/>
              <w:szCs w:val="22"/>
            </w:rPr>
            <w:t>70</w:t>
          </w:r>
          <w:r>
            <w:rPr>
              <w:rStyle w:val="44"/>
              <w:rFonts w:eastAsia="仿宋_GB2312;仿宋" w:cs="Times New Roman"/>
              <w:sz w:val="22"/>
              <w:szCs w:val="22"/>
            </w:rPr>
            <w:fldChar w:fldCharType="end"/>
          </w:r>
        </w:p>
        <w:p w14:paraId="4131376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"__RefHeading___Toc351203584" \h </w:instrText>
          </w:r>
          <w:r>
            <w:fldChar w:fldCharType="separate"/>
          </w:r>
          <w:r>
            <w:rPr>
              <w:rStyle w:val="44"/>
              <w:rFonts w:eastAsia="仿宋_GB2312;仿宋" w:cs="Times New Roman"/>
              <w:sz w:val="22"/>
              <w:szCs w:val="22"/>
            </w:rPr>
            <w:t xml:space="preserve">12.4 </w:t>
          </w:r>
          <w:r>
            <w:rPr>
              <w:rStyle w:val="44"/>
              <w:rFonts w:ascii="Times New Roman" w:hAnsi="Times New Roman" w:eastAsia="仿宋_GB2312;仿宋" w:cs="Times New Roman"/>
              <w:sz w:val="22"/>
              <w:szCs w:val="22"/>
            </w:rPr>
            <w:t>工程进度款支付</w:t>
          </w:r>
          <w:r>
            <w:rPr>
              <w:rStyle w:val="44"/>
              <w:rFonts w:eastAsia="仿宋_GB2312;仿宋" w:cs="Times New Roman"/>
              <w:sz w:val="22"/>
              <w:szCs w:val="22"/>
            </w:rPr>
            <w:tab/>
          </w:r>
          <w:r>
            <w:rPr>
              <w:rStyle w:val="44"/>
              <w:rFonts w:eastAsia="仿宋_GB2312;仿宋" w:cs="Times New Roman"/>
              <w:sz w:val="22"/>
              <w:szCs w:val="22"/>
            </w:rPr>
            <w:t>96</w:t>
          </w:r>
          <w:r>
            <w:rPr>
              <w:rStyle w:val="44"/>
              <w:rFonts w:eastAsia="仿宋_GB2312;仿宋" w:cs="Times New Roman"/>
              <w:sz w:val="22"/>
              <w:szCs w:val="22"/>
            </w:rPr>
            <w:fldChar w:fldCharType="end"/>
          </w:r>
        </w:p>
        <w:p w14:paraId="6E2F368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"__RefHeading___Toc351203585" \h </w:instrText>
          </w:r>
          <w:r>
            <w:fldChar w:fldCharType="separate"/>
          </w:r>
          <w:r>
            <w:rPr>
              <w:rStyle w:val="44"/>
              <w:rFonts w:eastAsia="仿宋_GB2312;仿宋" w:cs="Times New Roman"/>
              <w:sz w:val="22"/>
              <w:szCs w:val="22"/>
            </w:rPr>
            <w:t xml:space="preserve">12.5 </w:t>
          </w:r>
          <w:r>
            <w:rPr>
              <w:rStyle w:val="44"/>
              <w:rFonts w:ascii="Times New Roman" w:hAnsi="Times New Roman" w:eastAsia="仿宋_GB2312;仿宋" w:cs="Times New Roman"/>
              <w:sz w:val="22"/>
              <w:szCs w:val="22"/>
            </w:rPr>
            <w:t>支付账户</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3BFD9C5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"__RefHeading___Toc351203586" \h </w:instrText>
          </w:r>
          <w:r>
            <w:fldChar w:fldCharType="separate"/>
          </w:r>
          <w:r>
            <w:rPr>
              <w:rStyle w:val="44"/>
              <w:rFonts w:eastAsia="仿宋_GB2312;仿宋" w:cs="Times New Roman"/>
              <w:sz w:val="22"/>
              <w:szCs w:val="22"/>
            </w:rPr>
            <w:t xml:space="preserve">13. </w:t>
          </w:r>
          <w:r>
            <w:rPr>
              <w:rStyle w:val="44"/>
              <w:rFonts w:ascii="Times New Roman" w:hAnsi="Times New Roman" w:eastAsia="仿宋_GB2312;仿宋" w:cs="Times New Roman"/>
              <w:sz w:val="22"/>
              <w:szCs w:val="22"/>
            </w:rPr>
            <w:t>验收和工程试车</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46C9FEC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"__RefHeading___Toc351203587" \h </w:instrText>
          </w:r>
          <w:r>
            <w:fldChar w:fldCharType="separate"/>
          </w:r>
          <w:r>
            <w:rPr>
              <w:rStyle w:val="44"/>
              <w:rFonts w:eastAsia="仿宋_GB2312;仿宋" w:cs="Times New Roman"/>
              <w:sz w:val="22"/>
              <w:szCs w:val="22"/>
            </w:rPr>
            <w:t xml:space="preserve">13.1 </w:t>
          </w:r>
          <w:r>
            <w:rPr>
              <w:rStyle w:val="44"/>
              <w:rFonts w:ascii="Times New Roman" w:hAnsi="Times New Roman" w:eastAsia="仿宋_GB2312;仿宋" w:cs="Times New Roman"/>
              <w:sz w:val="22"/>
              <w:szCs w:val="22"/>
            </w:rPr>
            <w:t>分部分项工程验收</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372B19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"__RefHeading___Toc351203588" \h </w:instrText>
          </w:r>
          <w:r>
            <w:fldChar w:fldCharType="separate"/>
          </w:r>
          <w:r>
            <w:rPr>
              <w:rStyle w:val="44"/>
              <w:rFonts w:eastAsia="仿宋_GB2312;仿宋" w:cs="Times New Roman"/>
              <w:sz w:val="22"/>
              <w:szCs w:val="22"/>
            </w:rPr>
            <w:t>13.2</w:t>
          </w:r>
          <w:r>
            <w:rPr>
              <w:rStyle w:val="44"/>
              <w:rFonts w:ascii="Times New Roman" w:hAnsi="Times New Roman" w:eastAsia="仿宋_GB2312;仿宋" w:cs="Times New Roman"/>
              <w:sz w:val="22"/>
              <w:szCs w:val="22"/>
            </w:rPr>
            <w:t>竣工验收</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1EA432A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"__RefHeading___Toc351203589" \h </w:instrText>
          </w:r>
          <w:r>
            <w:fldChar w:fldCharType="separate"/>
          </w:r>
          <w:r>
            <w:rPr>
              <w:rStyle w:val="44"/>
              <w:rFonts w:eastAsia="仿宋_GB2312;仿宋" w:cs="Times New Roman"/>
              <w:sz w:val="22"/>
              <w:szCs w:val="22"/>
            </w:rPr>
            <w:t>13.3</w:t>
          </w:r>
          <w:r>
            <w:rPr>
              <w:rStyle w:val="44"/>
              <w:rFonts w:ascii="Times New Roman" w:hAnsi="Times New Roman" w:eastAsia="仿宋_GB2312;仿宋" w:cs="Times New Roman"/>
              <w:sz w:val="22"/>
              <w:szCs w:val="22"/>
            </w:rPr>
            <w:t>工程试车</w:t>
          </w:r>
          <w:r>
            <w:rPr>
              <w:rStyle w:val="44"/>
              <w:rFonts w:eastAsia="仿宋_GB2312;仿宋" w:cs="Times New Roman"/>
              <w:sz w:val="22"/>
              <w:szCs w:val="22"/>
            </w:rPr>
            <w:tab/>
          </w:r>
          <w:r>
            <w:rPr>
              <w:rStyle w:val="44"/>
              <w:rFonts w:eastAsia="仿宋_GB2312;仿宋" w:cs="Times New Roman"/>
              <w:sz w:val="22"/>
              <w:szCs w:val="22"/>
            </w:rPr>
            <w:t>101</w:t>
          </w:r>
          <w:r>
            <w:rPr>
              <w:rStyle w:val="44"/>
              <w:rFonts w:eastAsia="仿宋_GB2312;仿宋" w:cs="Times New Roman"/>
              <w:sz w:val="22"/>
              <w:szCs w:val="22"/>
            </w:rPr>
            <w:fldChar w:fldCharType="end"/>
          </w:r>
        </w:p>
        <w:p w14:paraId="4B7D3F2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"__RefHeading___Toc351203590" \h </w:instrText>
          </w:r>
          <w:r>
            <w:fldChar w:fldCharType="separate"/>
          </w:r>
          <w:r>
            <w:rPr>
              <w:rStyle w:val="44"/>
              <w:rFonts w:eastAsia="仿宋_GB2312;仿宋" w:cs="Times New Roman"/>
              <w:sz w:val="22"/>
              <w:szCs w:val="22"/>
            </w:rPr>
            <w:t>13.4</w:t>
          </w:r>
          <w:r>
            <w:rPr>
              <w:rStyle w:val="44"/>
              <w:rFonts w:ascii="Times New Roman" w:hAnsi="Times New Roman" w:eastAsia="仿宋_GB2312;仿宋" w:cs="Times New Roman"/>
              <w:sz w:val="22"/>
              <w:szCs w:val="22"/>
            </w:rPr>
            <w:t>提前交付单位工程的验收</w:t>
          </w:r>
          <w:r>
            <w:rPr>
              <w:rStyle w:val="44"/>
              <w:rFonts w:eastAsia="仿宋_GB2312;仿宋" w:cs="Times New Roman"/>
              <w:sz w:val="22"/>
              <w:szCs w:val="22"/>
            </w:rPr>
            <w:tab/>
          </w:r>
          <w:r>
            <w:rPr>
              <w:rStyle w:val="44"/>
              <w:rFonts w:eastAsia="仿宋_GB2312;仿宋" w:cs="Times New Roman"/>
              <w:sz w:val="22"/>
              <w:szCs w:val="22"/>
            </w:rPr>
            <w:t>102</w:t>
          </w:r>
          <w:r>
            <w:rPr>
              <w:rStyle w:val="44"/>
              <w:rFonts w:eastAsia="仿宋_GB2312;仿宋" w:cs="Times New Roman"/>
              <w:sz w:val="22"/>
              <w:szCs w:val="22"/>
            </w:rPr>
            <w:fldChar w:fldCharType="end"/>
          </w:r>
        </w:p>
        <w:p w14:paraId="16AF2C8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"__RefHeading___Toc351203591" \h </w:instrText>
          </w:r>
          <w:r>
            <w:fldChar w:fldCharType="separate"/>
          </w:r>
          <w:r>
            <w:rPr>
              <w:rStyle w:val="44"/>
              <w:rFonts w:eastAsia="仿宋_GB2312;仿宋" w:cs="Times New Roman"/>
              <w:sz w:val="22"/>
              <w:szCs w:val="22"/>
            </w:rPr>
            <w:t xml:space="preserve">13.5 </w:t>
          </w:r>
          <w:r>
            <w:rPr>
              <w:rStyle w:val="44"/>
              <w:rFonts w:ascii="Times New Roman" w:hAnsi="Times New Roman" w:eastAsia="仿宋_GB2312;仿宋" w:cs="Times New Roman"/>
              <w:sz w:val="22"/>
              <w:szCs w:val="22"/>
            </w:rPr>
            <w:t>施工期运行</w:t>
          </w:r>
          <w:r>
            <w:rPr>
              <w:rStyle w:val="44"/>
              <w:rFonts w:eastAsia="仿宋_GB2312;仿宋" w:cs="Times New Roman"/>
              <w:sz w:val="22"/>
              <w:szCs w:val="22"/>
            </w:rPr>
            <w:tab/>
          </w:r>
          <w:r>
            <w:rPr>
              <w:rStyle w:val="44"/>
              <w:rFonts w:eastAsia="仿宋_GB2312;仿宋" w:cs="Times New Roman"/>
              <w:sz w:val="22"/>
              <w:szCs w:val="22"/>
            </w:rPr>
            <w:t>102</w:t>
          </w:r>
          <w:r>
            <w:rPr>
              <w:rStyle w:val="44"/>
              <w:rFonts w:eastAsia="仿宋_GB2312;仿宋" w:cs="Times New Roman"/>
              <w:sz w:val="22"/>
              <w:szCs w:val="22"/>
            </w:rPr>
            <w:fldChar w:fldCharType="end"/>
          </w:r>
        </w:p>
        <w:p w14:paraId="37C963D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"__RefHeading___Toc351203592" \h </w:instrText>
          </w:r>
          <w:r>
            <w:fldChar w:fldCharType="separate"/>
          </w:r>
          <w:r>
            <w:rPr>
              <w:rStyle w:val="44"/>
              <w:rFonts w:eastAsia="仿宋_GB2312;仿宋" w:cs="Times New Roman"/>
              <w:sz w:val="22"/>
              <w:szCs w:val="22"/>
            </w:rPr>
            <w:t xml:space="preserve">13.6 </w:t>
          </w:r>
          <w:r>
            <w:rPr>
              <w:rStyle w:val="44"/>
              <w:rFonts w:ascii="Times New Roman" w:hAnsi="Times New Roman" w:eastAsia="仿宋_GB2312;仿宋" w:cs="Times New Roman"/>
              <w:sz w:val="22"/>
              <w:szCs w:val="22"/>
            </w:rPr>
            <w:t>竣工退场</w:t>
          </w:r>
          <w:r>
            <w:rPr>
              <w:rStyle w:val="44"/>
              <w:rFonts w:eastAsia="仿宋_GB2312;仿宋" w:cs="Times New Roman"/>
              <w:sz w:val="22"/>
              <w:szCs w:val="22"/>
            </w:rPr>
            <w:tab/>
          </w:r>
          <w:r>
            <w:rPr>
              <w:rStyle w:val="44"/>
              <w:rFonts w:eastAsia="仿宋_GB2312;仿宋" w:cs="Times New Roman"/>
              <w:sz w:val="22"/>
              <w:szCs w:val="22"/>
            </w:rPr>
            <w:t>102</w:t>
          </w:r>
          <w:r>
            <w:rPr>
              <w:rStyle w:val="44"/>
              <w:rFonts w:eastAsia="仿宋_GB2312;仿宋" w:cs="Times New Roman"/>
              <w:sz w:val="22"/>
              <w:szCs w:val="22"/>
            </w:rPr>
            <w:fldChar w:fldCharType="end"/>
          </w:r>
        </w:p>
        <w:p w14:paraId="6CA8DFE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"__RefHeading___Toc351203593" \h </w:instrText>
          </w:r>
          <w:r>
            <w:fldChar w:fldCharType="separate"/>
          </w:r>
          <w:r>
            <w:rPr>
              <w:rStyle w:val="44"/>
              <w:rFonts w:eastAsia="仿宋_GB2312;仿宋" w:cs="Times New Roman"/>
              <w:sz w:val="22"/>
              <w:szCs w:val="22"/>
            </w:rPr>
            <w:t xml:space="preserve">14. </w:t>
          </w:r>
          <w:r>
            <w:rPr>
              <w:rStyle w:val="44"/>
              <w:rFonts w:ascii="Times New Roman" w:hAnsi="Times New Roman" w:eastAsia="仿宋_GB2312;仿宋" w:cs="Times New Roman"/>
              <w:sz w:val="22"/>
              <w:szCs w:val="22"/>
            </w:rPr>
            <w:t>竣工结算</w:t>
          </w:r>
          <w:r>
            <w:rPr>
              <w:rStyle w:val="44"/>
              <w:rFonts w:eastAsia="仿宋_GB2312;仿宋" w:cs="Times New Roman"/>
              <w:sz w:val="22"/>
              <w:szCs w:val="22"/>
            </w:rPr>
            <w:tab/>
          </w:r>
          <w:r>
            <w:rPr>
              <w:rStyle w:val="44"/>
              <w:rFonts w:eastAsia="仿宋_GB2312;仿宋" w:cs="Times New Roman"/>
              <w:sz w:val="22"/>
              <w:szCs w:val="22"/>
            </w:rPr>
            <w:t>103</w:t>
          </w:r>
          <w:r>
            <w:rPr>
              <w:rStyle w:val="44"/>
              <w:rFonts w:eastAsia="仿宋_GB2312;仿宋" w:cs="Times New Roman"/>
              <w:sz w:val="22"/>
              <w:szCs w:val="22"/>
            </w:rPr>
            <w:fldChar w:fldCharType="end"/>
          </w:r>
        </w:p>
        <w:p w14:paraId="3C06B0E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"__RefHeading___Toc351203594" \h </w:instrText>
          </w:r>
          <w:r>
            <w:fldChar w:fldCharType="separate"/>
          </w:r>
          <w:r>
            <w:rPr>
              <w:rStyle w:val="44"/>
              <w:rFonts w:eastAsia="仿宋_GB2312;仿宋" w:cs="Times New Roman"/>
              <w:sz w:val="22"/>
              <w:szCs w:val="22"/>
            </w:rPr>
            <w:t xml:space="preserve">14.1 </w:t>
          </w:r>
          <w:r>
            <w:rPr>
              <w:rStyle w:val="44"/>
              <w:rFonts w:ascii="Times New Roman" w:hAnsi="Times New Roman" w:eastAsia="仿宋_GB2312;仿宋" w:cs="Times New Roman"/>
              <w:sz w:val="22"/>
              <w:szCs w:val="22"/>
            </w:rPr>
            <w:t>竣工结算申请</w:t>
          </w:r>
          <w:r>
            <w:rPr>
              <w:rStyle w:val="44"/>
              <w:rFonts w:eastAsia="仿宋_GB2312;仿宋" w:cs="Times New Roman"/>
              <w:sz w:val="22"/>
              <w:szCs w:val="22"/>
            </w:rPr>
            <w:tab/>
          </w:r>
          <w:r>
            <w:rPr>
              <w:rStyle w:val="44"/>
              <w:rFonts w:eastAsia="仿宋_GB2312;仿宋" w:cs="Times New Roman"/>
              <w:sz w:val="22"/>
              <w:szCs w:val="22"/>
            </w:rPr>
            <w:t>103</w:t>
          </w:r>
          <w:r>
            <w:rPr>
              <w:rStyle w:val="44"/>
              <w:rFonts w:eastAsia="仿宋_GB2312;仿宋" w:cs="Times New Roman"/>
              <w:sz w:val="22"/>
              <w:szCs w:val="22"/>
            </w:rPr>
            <w:fldChar w:fldCharType="end"/>
          </w:r>
        </w:p>
        <w:p w14:paraId="388C836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"__RefHeading___Toc351203595" \h </w:instrText>
          </w:r>
          <w:r>
            <w:fldChar w:fldCharType="separate"/>
          </w:r>
          <w:r>
            <w:rPr>
              <w:rStyle w:val="44"/>
              <w:rFonts w:eastAsia="仿宋_GB2312;仿宋" w:cs="Times New Roman"/>
              <w:sz w:val="22"/>
              <w:szCs w:val="22"/>
            </w:rPr>
            <w:t xml:space="preserve">14.2 </w:t>
          </w:r>
          <w:r>
            <w:rPr>
              <w:rStyle w:val="44"/>
              <w:rFonts w:ascii="Times New Roman" w:hAnsi="Times New Roman" w:eastAsia="仿宋_GB2312;仿宋" w:cs="Times New Roman"/>
              <w:sz w:val="22"/>
              <w:szCs w:val="22"/>
            </w:rPr>
            <w:t>竣工结算审核</w:t>
          </w:r>
          <w:r>
            <w:rPr>
              <w:rStyle w:val="44"/>
              <w:rFonts w:eastAsia="仿宋_GB2312;仿宋" w:cs="Times New Roman"/>
              <w:sz w:val="22"/>
              <w:szCs w:val="22"/>
            </w:rPr>
            <w:tab/>
          </w:r>
          <w:r>
            <w:rPr>
              <w:rStyle w:val="44"/>
              <w:rFonts w:eastAsia="仿宋_GB2312;仿宋" w:cs="Times New Roman"/>
              <w:sz w:val="22"/>
              <w:szCs w:val="22"/>
            </w:rPr>
            <w:t>103</w:t>
          </w:r>
          <w:r>
            <w:rPr>
              <w:rStyle w:val="44"/>
              <w:rFonts w:eastAsia="仿宋_GB2312;仿宋" w:cs="Times New Roman"/>
              <w:sz w:val="22"/>
              <w:szCs w:val="22"/>
            </w:rPr>
            <w:fldChar w:fldCharType="end"/>
          </w:r>
        </w:p>
        <w:p w14:paraId="5E8D22A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"__RefHeading___Toc351203596" \h </w:instrText>
          </w:r>
          <w:r>
            <w:fldChar w:fldCharType="separate"/>
          </w:r>
          <w:r>
            <w:rPr>
              <w:rStyle w:val="44"/>
              <w:rFonts w:eastAsia="仿宋_GB2312;仿宋" w:cs="Times New Roman"/>
              <w:sz w:val="22"/>
              <w:szCs w:val="22"/>
            </w:rPr>
            <w:t xml:space="preserve">14.3 </w:t>
          </w:r>
          <w:r>
            <w:rPr>
              <w:rStyle w:val="44"/>
              <w:rFonts w:ascii="Times New Roman" w:hAnsi="Times New Roman" w:eastAsia="仿宋_GB2312;仿宋" w:cs="Times New Roman"/>
              <w:sz w:val="22"/>
              <w:szCs w:val="22"/>
            </w:rPr>
            <w:t>甩项竣工协议</w:t>
          </w:r>
          <w:r>
            <w:rPr>
              <w:rStyle w:val="44"/>
              <w:rFonts w:eastAsia="仿宋_GB2312;仿宋" w:cs="Times New Roman"/>
              <w:sz w:val="22"/>
              <w:szCs w:val="22"/>
            </w:rPr>
            <w:tab/>
          </w:r>
          <w:r>
            <w:rPr>
              <w:rStyle w:val="44"/>
              <w:rFonts w:eastAsia="仿宋_GB2312;仿宋" w:cs="Times New Roman"/>
              <w:sz w:val="22"/>
              <w:szCs w:val="22"/>
            </w:rPr>
            <w:t>104</w:t>
          </w:r>
          <w:r>
            <w:rPr>
              <w:rStyle w:val="44"/>
              <w:rFonts w:eastAsia="仿宋_GB2312;仿宋" w:cs="Times New Roman"/>
              <w:sz w:val="22"/>
              <w:szCs w:val="22"/>
            </w:rPr>
            <w:fldChar w:fldCharType="end"/>
          </w:r>
        </w:p>
        <w:p w14:paraId="5B21B93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"__RefHeading___Toc351203597" \h </w:instrText>
          </w:r>
          <w:r>
            <w:fldChar w:fldCharType="separate"/>
          </w:r>
          <w:r>
            <w:rPr>
              <w:rStyle w:val="44"/>
              <w:rFonts w:eastAsia="仿宋_GB2312;仿宋" w:cs="Times New Roman"/>
              <w:sz w:val="22"/>
              <w:szCs w:val="22"/>
            </w:rPr>
            <w:t xml:space="preserve">14.4 </w:t>
          </w:r>
          <w:r>
            <w:rPr>
              <w:rStyle w:val="44"/>
              <w:rFonts w:ascii="Times New Roman" w:hAnsi="Times New Roman" w:eastAsia="仿宋_GB2312;仿宋" w:cs="Times New Roman"/>
              <w:sz w:val="22"/>
              <w:szCs w:val="22"/>
            </w:rPr>
            <w:t>最终结清</w:t>
          </w:r>
          <w:r>
            <w:rPr>
              <w:rStyle w:val="44"/>
              <w:rFonts w:eastAsia="仿宋_GB2312;仿宋" w:cs="Times New Roman"/>
              <w:sz w:val="22"/>
              <w:szCs w:val="22"/>
            </w:rPr>
            <w:tab/>
          </w:r>
          <w:r>
            <w:rPr>
              <w:rStyle w:val="44"/>
              <w:rFonts w:eastAsia="仿宋_GB2312;仿宋" w:cs="Times New Roman"/>
              <w:sz w:val="22"/>
              <w:szCs w:val="22"/>
            </w:rPr>
            <w:t>104</w:t>
          </w:r>
          <w:r>
            <w:rPr>
              <w:rStyle w:val="44"/>
              <w:rFonts w:eastAsia="仿宋_GB2312;仿宋" w:cs="Times New Roman"/>
              <w:sz w:val="22"/>
              <w:szCs w:val="22"/>
            </w:rPr>
            <w:fldChar w:fldCharType="end"/>
          </w:r>
        </w:p>
        <w:p w14:paraId="23DF3D6B">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"__RefHeading___Toc351203598" \h </w:instrText>
          </w:r>
          <w:r>
            <w:fldChar w:fldCharType="separate"/>
          </w:r>
          <w:r>
            <w:rPr>
              <w:rStyle w:val="44"/>
              <w:rFonts w:eastAsia="仿宋_GB2312;仿宋" w:cs="Times New Roman"/>
              <w:sz w:val="22"/>
              <w:szCs w:val="22"/>
            </w:rPr>
            <w:t xml:space="preserve">15. </w:t>
          </w:r>
          <w:r>
            <w:rPr>
              <w:rStyle w:val="44"/>
              <w:rFonts w:ascii="Times New Roman" w:hAnsi="Times New Roman" w:eastAsia="仿宋_GB2312;仿宋" w:cs="Times New Roman"/>
              <w:sz w:val="22"/>
              <w:szCs w:val="22"/>
            </w:rPr>
            <w:t>缺陷责任与保修</w:t>
          </w:r>
          <w:r>
            <w:rPr>
              <w:rStyle w:val="44"/>
              <w:rFonts w:eastAsia="仿宋_GB2312;仿宋" w:cs="Times New Roman"/>
              <w:sz w:val="22"/>
              <w:szCs w:val="22"/>
            </w:rPr>
            <w:tab/>
          </w:r>
          <w:r>
            <w:rPr>
              <w:rStyle w:val="44"/>
              <w:rFonts w:eastAsia="仿宋_GB2312;仿宋" w:cs="Times New Roman"/>
              <w:sz w:val="22"/>
              <w:szCs w:val="22"/>
            </w:rPr>
            <w:t>105</w:t>
          </w:r>
          <w:r>
            <w:rPr>
              <w:rStyle w:val="44"/>
              <w:rFonts w:eastAsia="仿宋_GB2312;仿宋" w:cs="Times New Roman"/>
              <w:sz w:val="22"/>
              <w:szCs w:val="22"/>
            </w:rPr>
            <w:fldChar w:fldCharType="end"/>
          </w:r>
        </w:p>
        <w:p w14:paraId="740646F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"__RefHeading___Toc351203599" \h </w:instrText>
          </w:r>
          <w:r>
            <w:fldChar w:fldCharType="separate"/>
          </w:r>
          <w:r>
            <w:rPr>
              <w:rStyle w:val="44"/>
              <w:rFonts w:eastAsia="仿宋_GB2312;仿宋" w:cs="Times New Roman"/>
              <w:sz w:val="22"/>
              <w:szCs w:val="22"/>
            </w:rPr>
            <w:t xml:space="preserve">15.1 </w:t>
          </w:r>
          <w:r>
            <w:rPr>
              <w:rStyle w:val="44"/>
              <w:rFonts w:ascii="Times New Roman" w:hAnsi="Times New Roman" w:eastAsia="仿宋_GB2312;仿宋" w:cs="Times New Roman"/>
              <w:sz w:val="22"/>
              <w:szCs w:val="22"/>
            </w:rPr>
            <w:t>工程保修的原则</w:t>
          </w:r>
          <w:r>
            <w:rPr>
              <w:rStyle w:val="44"/>
              <w:rFonts w:eastAsia="仿宋_GB2312;仿宋" w:cs="Times New Roman"/>
              <w:sz w:val="22"/>
              <w:szCs w:val="22"/>
            </w:rPr>
            <w:tab/>
          </w:r>
          <w:r>
            <w:rPr>
              <w:rStyle w:val="44"/>
              <w:rFonts w:eastAsia="仿宋_GB2312;仿宋" w:cs="Times New Roman"/>
              <w:sz w:val="22"/>
              <w:szCs w:val="22"/>
            </w:rPr>
            <w:t>105</w:t>
          </w:r>
          <w:r>
            <w:rPr>
              <w:rStyle w:val="44"/>
              <w:rFonts w:eastAsia="仿宋_GB2312;仿宋" w:cs="Times New Roman"/>
              <w:sz w:val="22"/>
              <w:szCs w:val="22"/>
            </w:rPr>
            <w:fldChar w:fldCharType="end"/>
          </w:r>
        </w:p>
        <w:p w14:paraId="1848726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"__RefHeading___Toc351203600" \h </w:instrText>
          </w:r>
          <w:r>
            <w:fldChar w:fldCharType="separate"/>
          </w:r>
          <w:r>
            <w:rPr>
              <w:rStyle w:val="44"/>
              <w:rFonts w:eastAsia="仿宋_GB2312;仿宋" w:cs="Times New Roman"/>
              <w:sz w:val="22"/>
              <w:szCs w:val="22"/>
            </w:rPr>
            <w:t xml:space="preserve">15.2 </w:t>
          </w:r>
          <w:r>
            <w:rPr>
              <w:rStyle w:val="44"/>
              <w:rFonts w:ascii="Times New Roman" w:hAnsi="Times New Roman" w:eastAsia="仿宋_GB2312;仿宋" w:cs="Times New Roman"/>
              <w:sz w:val="22"/>
              <w:szCs w:val="22"/>
            </w:rPr>
            <w:t>缺陷责任期</w:t>
          </w:r>
          <w:r>
            <w:rPr>
              <w:rStyle w:val="44"/>
              <w:rFonts w:eastAsia="仿宋_GB2312;仿宋" w:cs="Times New Roman"/>
              <w:sz w:val="22"/>
              <w:szCs w:val="22"/>
            </w:rPr>
            <w:tab/>
          </w:r>
          <w:r>
            <w:rPr>
              <w:rStyle w:val="44"/>
              <w:rFonts w:eastAsia="仿宋_GB2312;仿宋" w:cs="Times New Roman"/>
              <w:sz w:val="22"/>
              <w:szCs w:val="22"/>
            </w:rPr>
            <w:t>105</w:t>
          </w:r>
          <w:r>
            <w:rPr>
              <w:rStyle w:val="44"/>
              <w:rFonts w:eastAsia="仿宋_GB2312;仿宋" w:cs="Times New Roman"/>
              <w:sz w:val="22"/>
              <w:szCs w:val="22"/>
            </w:rPr>
            <w:fldChar w:fldCharType="end"/>
          </w:r>
        </w:p>
        <w:p w14:paraId="1C45D4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"__RefHeading___Toc351203601" \h </w:instrText>
          </w:r>
          <w:r>
            <w:fldChar w:fldCharType="separate"/>
          </w:r>
          <w:r>
            <w:rPr>
              <w:rStyle w:val="44"/>
              <w:rFonts w:eastAsia="仿宋_GB2312;仿宋" w:cs="Times New Roman"/>
              <w:sz w:val="22"/>
              <w:szCs w:val="22"/>
            </w:rPr>
            <w:t xml:space="preserve">15.3 </w:t>
          </w:r>
          <w:r>
            <w:rPr>
              <w:rStyle w:val="44"/>
              <w:rFonts w:ascii="Times New Roman" w:hAnsi="Times New Roman" w:eastAsia="仿宋_GB2312;仿宋" w:cs="Times New Roman"/>
              <w:sz w:val="22"/>
              <w:szCs w:val="22"/>
            </w:rPr>
            <w:t>质量保证金</w:t>
          </w:r>
          <w:r>
            <w:rPr>
              <w:rStyle w:val="44"/>
              <w:rFonts w:eastAsia="仿宋_GB2312;仿宋" w:cs="Times New Roman"/>
              <w:sz w:val="22"/>
              <w:szCs w:val="22"/>
            </w:rPr>
            <w:tab/>
          </w:r>
          <w:r>
            <w:rPr>
              <w:rStyle w:val="44"/>
              <w:rFonts w:eastAsia="仿宋_GB2312;仿宋" w:cs="Times New Roman"/>
              <w:sz w:val="22"/>
              <w:szCs w:val="22"/>
            </w:rPr>
            <w:t>106</w:t>
          </w:r>
          <w:r>
            <w:rPr>
              <w:rStyle w:val="44"/>
              <w:rFonts w:eastAsia="仿宋_GB2312;仿宋" w:cs="Times New Roman"/>
              <w:sz w:val="22"/>
              <w:szCs w:val="22"/>
            </w:rPr>
            <w:fldChar w:fldCharType="end"/>
          </w:r>
        </w:p>
        <w:p w14:paraId="565FBCA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"__RefHeading___Toc351203602" \h </w:instrText>
          </w:r>
          <w:r>
            <w:fldChar w:fldCharType="separate"/>
          </w:r>
          <w:r>
            <w:rPr>
              <w:rStyle w:val="44"/>
              <w:rFonts w:eastAsia="仿宋_GB2312;仿宋" w:cs="Times New Roman"/>
              <w:sz w:val="22"/>
              <w:szCs w:val="22"/>
            </w:rPr>
            <w:t xml:space="preserve">15.4 </w:t>
          </w:r>
          <w:r>
            <w:rPr>
              <w:rStyle w:val="44"/>
              <w:rFonts w:ascii="Times New Roman" w:hAnsi="Times New Roman" w:eastAsia="仿宋_GB2312;仿宋" w:cs="Times New Roman"/>
              <w:sz w:val="22"/>
              <w:szCs w:val="22"/>
            </w:rPr>
            <w:t>保修</w:t>
          </w:r>
          <w:r>
            <w:rPr>
              <w:rStyle w:val="44"/>
              <w:rFonts w:eastAsia="仿宋_GB2312;仿宋" w:cs="Times New Roman"/>
              <w:sz w:val="22"/>
              <w:szCs w:val="22"/>
            </w:rPr>
            <w:tab/>
          </w:r>
          <w:r>
            <w:rPr>
              <w:rStyle w:val="44"/>
              <w:rFonts w:eastAsia="仿宋_GB2312;仿宋" w:cs="Times New Roman"/>
              <w:sz w:val="22"/>
              <w:szCs w:val="22"/>
            </w:rPr>
            <w:t>107</w:t>
          </w:r>
          <w:r>
            <w:rPr>
              <w:rStyle w:val="44"/>
              <w:rFonts w:eastAsia="仿宋_GB2312;仿宋" w:cs="Times New Roman"/>
              <w:sz w:val="22"/>
              <w:szCs w:val="22"/>
            </w:rPr>
            <w:fldChar w:fldCharType="end"/>
          </w:r>
        </w:p>
        <w:p w14:paraId="0D68FDE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"__RefHeading___Toc351203603" \h </w:instrText>
          </w:r>
          <w:r>
            <w:fldChar w:fldCharType="separate"/>
          </w:r>
          <w:r>
            <w:rPr>
              <w:rStyle w:val="44"/>
              <w:rFonts w:eastAsia="仿宋_GB2312;仿宋" w:cs="Times New Roman"/>
              <w:sz w:val="22"/>
              <w:szCs w:val="22"/>
            </w:rPr>
            <w:t xml:space="preserve">16. </w:t>
          </w:r>
          <w:r>
            <w:rPr>
              <w:rStyle w:val="44"/>
              <w:rFonts w:ascii="Times New Roman" w:hAnsi="Times New Roman" w:eastAsia="仿宋_GB2312;仿宋" w:cs="Times New Roman"/>
              <w:sz w:val="22"/>
              <w:szCs w:val="22"/>
            </w:rPr>
            <w:t>违约</w:t>
          </w:r>
          <w:r>
            <w:rPr>
              <w:rStyle w:val="44"/>
              <w:rFonts w:eastAsia="仿宋_GB2312;仿宋" w:cs="Times New Roman"/>
              <w:sz w:val="22"/>
              <w:szCs w:val="22"/>
            </w:rPr>
            <w:tab/>
          </w:r>
          <w:r>
            <w:rPr>
              <w:rStyle w:val="44"/>
              <w:rFonts w:eastAsia="仿宋_GB2312;仿宋" w:cs="Times New Roman"/>
              <w:sz w:val="22"/>
              <w:szCs w:val="22"/>
            </w:rPr>
            <w:t>108</w:t>
          </w:r>
          <w:r>
            <w:rPr>
              <w:rStyle w:val="44"/>
              <w:rFonts w:eastAsia="仿宋_GB2312;仿宋" w:cs="Times New Roman"/>
              <w:sz w:val="22"/>
              <w:szCs w:val="22"/>
            </w:rPr>
            <w:fldChar w:fldCharType="end"/>
          </w:r>
        </w:p>
        <w:p w14:paraId="554CC18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"__RefHeading___Toc351203604" \h </w:instrText>
          </w:r>
          <w:r>
            <w:fldChar w:fldCharType="separate"/>
          </w:r>
          <w:r>
            <w:rPr>
              <w:rStyle w:val="44"/>
              <w:rFonts w:eastAsia="仿宋_GB2312;仿宋" w:cs="Times New Roman"/>
              <w:sz w:val="22"/>
              <w:szCs w:val="22"/>
            </w:rPr>
            <w:t xml:space="preserve">16.1 </w:t>
          </w:r>
          <w:r>
            <w:rPr>
              <w:rStyle w:val="44"/>
              <w:rFonts w:ascii="Times New Roman" w:hAnsi="Times New Roman" w:eastAsia="仿宋_GB2312;仿宋" w:cs="Times New Roman"/>
              <w:sz w:val="22"/>
              <w:szCs w:val="22"/>
            </w:rPr>
            <w:t>发包人违约</w:t>
          </w:r>
          <w:r>
            <w:rPr>
              <w:rStyle w:val="44"/>
              <w:rFonts w:eastAsia="仿宋_GB2312;仿宋" w:cs="Times New Roman"/>
              <w:sz w:val="22"/>
              <w:szCs w:val="22"/>
            </w:rPr>
            <w:tab/>
          </w:r>
          <w:r>
            <w:rPr>
              <w:rStyle w:val="44"/>
              <w:rFonts w:eastAsia="仿宋_GB2312;仿宋" w:cs="Times New Roman"/>
              <w:sz w:val="22"/>
              <w:szCs w:val="22"/>
            </w:rPr>
            <w:t>108</w:t>
          </w:r>
          <w:r>
            <w:rPr>
              <w:rStyle w:val="44"/>
              <w:rFonts w:eastAsia="仿宋_GB2312;仿宋" w:cs="Times New Roman"/>
              <w:sz w:val="22"/>
              <w:szCs w:val="22"/>
            </w:rPr>
            <w:fldChar w:fldCharType="end"/>
          </w:r>
        </w:p>
        <w:p w14:paraId="613B589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"__RefHeading___Toc351203605" \h </w:instrText>
          </w:r>
          <w:r>
            <w:fldChar w:fldCharType="separate"/>
          </w:r>
          <w:r>
            <w:rPr>
              <w:rStyle w:val="44"/>
              <w:rFonts w:eastAsia="仿宋_GB2312;仿宋" w:cs="Times New Roman"/>
              <w:sz w:val="22"/>
              <w:szCs w:val="22"/>
            </w:rPr>
            <w:t xml:space="preserve">16.2 </w:t>
          </w:r>
          <w:r>
            <w:rPr>
              <w:rStyle w:val="44"/>
              <w:rFonts w:ascii="Times New Roman" w:hAnsi="Times New Roman" w:eastAsia="仿宋_GB2312;仿宋" w:cs="Times New Roman"/>
              <w:sz w:val="22"/>
              <w:szCs w:val="22"/>
            </w:rPr>
            <w:t>承包人违约</w:t>
          </w:r>
          <w:r>
            <w:rPr>
              <w:rStyle w:val="44"/>
              <w:rFonts w:eastAsia="仿宋_GB2312;仿宋" w:cs="Times New Roman"/>
              <w:sz w:val="22"/>
              <w:szCs w:val="22"/>
            </w:rPr>
            <w:tab/>
          </w:r>
          <w:r>
            <w:rPr>
              <w:rStyle w:val="44"/>
              <w:rFonts w:eastAsia="仿宋_GB2312;仿宋" w:cs="Times New Roman"/>
              <w:sz w:val="22"/>
              <w:szCs w:val="22"/>
            </w:rPr>
            <w:t>110</w:t>
          </w:r>
          <w:r>
            <w:rPr>
              <w:rStyle w:val="44"/>
              <w:rFonts w:eastAsia="仿宋_GB2312;仿宋" w:cs="Times New Roman"/>
              <w:sz w:val="22"/>
              <w:szCs w:val="22"/>
            </w:rPr>
            <w:fldChar w:fldCharType="end"/>
          </w:r>
        </w:p>
        <w:p w14:paraId="427C7B0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"__RefHeading___Toc351203606" \h </w:instrText>
          </w:r>
          <w:r>
            <w:fldChar w:fldCharType="separate"/>
          </w:r>
          <w:r>
            <w:rPr>
              <w:rStyle w:val="44"/>
              <w:rFonts w:eastAsia="仿宋_GB2312;仿宋" w:cs="Times New Roman"/>
              <w:sz w:val="22"/>
              <w:szCs w:val="22"/>
            </w:rPr>
            <w:t xml:space="preserve">16.3 </w:t>
          </w:r>
          <w:r>
            <w:rPr>
              <w:rStyle w:val="44"/>
              <w:rFonts w:ascii="Times New Roman" w:hAnsi="Times New Roman" w:eastAsia="仿宋_GB2312;仿宋" w:cs="Times New Roman"/>
              <w:sz w:val="22"/>
              <w:szCs w:val="22"/>
            </w:rPr>
            <w:t>第三人造成的违约</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5897EF6F">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"__RefHeading___Toc351203607" \h </w:instrText>
          </w:r>
          <w:r>
            <w:fldChar w:fldCharType="separate"/>
          </w:r>
          <w:r>
            <w:rPr>
              <w:rStyle w:val="44"/>
              <w:rFonts w:eastAsia="仿宋_GB2312;仿宋" w:cs="Times New Roman"/>
              <w:sz w:val="22"/>
              <w:szCs w:val="22"/>
            </w:rPr>
            <w:t xml:space="preserve">17. </w:t>
          </w:r>
          <w:r>
            <w:rPr>
              <w:rStyle w:val="44"/>
              <w:rFonts w:ascii="Times New Roman" w:hAnsi="Times New Roman" w:eastAsia="仿宋_GB2312;仿宋" w:cs="Times New Roman"/>
              <w:sz w:val="22"/>
              <w:szCs w:val="22"/>
            </w:rPr>
            <w:t>不可抗力</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6473F05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"__RefHeading___Toc351203608" \h </w:instrText>
          </w:r>
          <w:r>
            <w:fldChar w:fldCharType="separate"/>
          </w:r>
          <w:r>
            <w:rPr>
              <w:rStyle w:val="44"/>
              <w:rFonts w:eastAsia="仿宋_GB2312;仿宋" w:cs="Times New Roman"/>
              <w:sz w:val="22"/>
              <w:szCs w:val="22"/>
            </w:rPr>
            <w:t xml:space="preserve">17.1 </w:t>
          </w:r>
          <w:r>
            <w:rPr>
              <w:rStyle w:val="44"/>
              <w:rFonts w:ascii="Times New Roman" w:hAnsi="Times New Roman" w:eastAsia="仿宋_GB2312;仿宋" w:cs="Times New Roman"/>
              <w:sz w:val="22"/>
              <w:szCs w:val="22"/>
            </w:rPr>
            <w:t>不可抗力的确认</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6968187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"__RefHeading___Toc351203609" \h </w:instrText>
          </w:r>
          <w:r>
            <w:fldChar w:fldCharType="separate"/>
          </w:r>
          <w:r>
            <w:rPr>
              <w:rStyle w:val="44"/>
              <w:rFonts w:eastAsia="仿宋_GB2312;仿宋" w:cs="Times New Roman"/>
              <w:sz w:val="22"/>
              <w:szCs w:val="22"/>
            </w:rPr>
            <w:t xml:space="preserve">17.2 </w:t>
          </w:r>
          <w:r>
            <w:rPr>
              <w:rStyle w:val="44"/>
              <w:rFonts w:ascii="Times New Roman" w:hAnsi="Times New Roman" w:eastAsia="仿宋_GB2312;仿宋" w:cs="Times New Roman"/>
              <w:sz w:val="22"/>
              <w:szCs w:val="22"/>
            </w:rPr>
            <w:t>不可抗力的通知</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5EBBDF9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"__RefHeading___Toc351203610" \h </w:instrText>
          </w:r>
          <w:r>
            <w:fldChar w:fldCharType="separate"/>
          </w:r>
          <w:r>
            <w:rPr>
              <w:rStyle w:val="44"/>
              <w:rFonts w:eastAsia="仿宋_GB2312;仿宋" w:cs="Times New Roman"/>
              <w:sz w:val="22"/>
              <w:szCs w:val="22"/>
            </w:rPr>
            <w:t xml:space="preserve">17.3 </w:t>
          </w:r>
          <w:r>
            <w:rPr>
              <w:rStyle w:val="44"/>
              <w:rFonts w:ascii="Times New Roman" w:hAnsi="Times New Roman" w:eastAsia="仿宋_GB2312;仿宋" w:cs="Times New Roman"/>
              <w:sz w:val="22"/>
              <w:szCs w:val="22"/>
            </w:rPr>
            <w:t>不可抗力后果的承担</w:t>
          </w:r>
          <w:r>
            <w:rPr>
              <w:rStyle w:val="44"/>
              <w:rFonts w:eastAsia="仿宋_GB2312;仿宋" w:cs="Times New Roman"/>
              <w:sz w:val="22"/>
              <w:szCs w:val="22"/>
            </w:rPr>
            <w:tab/>
          </w:r>
          <w:r>
            <w:rPr>
              <w:rStyle w:val="44"/>
              <w:rFonts w:eastAsia="仿宋_GB2312;仿宋" w:cs="Times New Roman"/>
              <w:sz w:val="22"/>
              <w:szCs w:val="22"/>
            </w:rPr>
            <w:t>112</w:t>
          </w:r>
          <w:r>
            <w:rPr>
              <w:rStyle w:val="44"/>
              <w:rFonts w:eastAsia="仿宋_GB2312;仿宋" w:cs="Times New Roman"/>
              <w:sz w:val="22"/>
              <w:szCs w:val="22"/>
            </w:rPr>
            <w:fldChar w:fldCharType="end"/>
          </w:r>
        </w:p>
        <w:p w14:paraId="66D6D89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"__RefHeading___Toc351203611" \h </w:instrText>
          </w:r>
          <w:r>
            <w:fldChar w:fldCharType="separate"/>
          </w:r>
          <w:r>
            <w:rPr>
              <w:rStyle w:val="44"/>
              <w:rFonts w:eastAsia="仿宋_GB2312;仿宋" w:cs="Times New Roman"/>
              <w:sz w:val="22"/>
              <w:szCs w:val="22"/>
            </w:rPr>
            <w:t xml:space="preserve">17.4 </w:t>
          </w:r>
          <w:r>
            <w:rPr>
              <w:rStyle w:val="44"/>
              <w:rFonts w:ascii="Times New Roman" w:hAnsi="Times New Roman" w:eastAsia="仿宋_GB2312;仿宋" w:cs="Times New Roman"/>
              <w:sz w:val="22"/>
              <w:szCs w:val="22"/>
            </w:rPr>
            <w:t>因不可抗力解除合同</w:t>
          </w:r>
          <w:r>
            <w:rPr>
              <w:rStyle w:val="44"/>
              <w:rFonts w:eastAsia="仿宋_GB2312;仿宋" w:cs="Times New Roman"/>
              <w:sz w:val="22"/>
              <w:szCs w:val="22"/>
            </w:rPr>
            <w:tab/>
          </w:r>
          <w:r>
            <w:rPr>
              <w:rStyle w:val="44"/>
              <w:rFonts w:eastAsia="仿宋_GB2312;仿宋" w:cs="Times New Roman"/>
              <w:sz w:val="22"/>
              <w:szCs w:val="22"/>
            </w:rPr>
            <w:t>112</w:t>
          </w:r>
          <w:r>
            <w:rPr>
              <w:rStyle w:val="44"/>
              <w:rFonts w:eastAsia="仿宋_GB2312;仿宋" w:cs="Times New Roman"/>
              <w:sz w:val="22"/>
              <w:szCs w:val="22"/>
            </w:rPr>
            <w:fldChar w:fldCharType="end"/>
          </w:r>
        </w:p>
        <w:p w14:paraId="1771550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"__RefHeading___Toc351203612" \h </w:instrText>
          </w:r>
          <w:r>
            <w:fldChar w:fldCharType="separate"/>
          </w:r>
          <w:r>
            <w:rPr>
              <w:rStyle w:val="44"/>
              <w:rFonts w:eastAsia="仿宋_GB2312;仿宋" w:cs="Times New Roman"/>
              <w:sz w:val="22"/>
              <w:szCs w:val="22"/>
            </w:rPr>
            <w:t xml:space="preserve">18. </w:t>
          </w:r>
          <w:r>
            <w:rPr>
              <w:rStyle w:val="44"/>
              <w:rFonts w:ascii="Times New Roman" w:hAnsi="Times New Roman" w:eastAsia="仿宋_GB2312;仿宋" w:cs="Times New Roman"/>
              <w:sz w:val="22"/>
              <w:szCs w:val="22"/>
            </w:rPr>
            <w:t>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410925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"__RefHeading___Toc351203613" \h </w:instrText>
          </w:r>
          <w:r>
            <w:fldChar w:fldCharType="separate"/>
          </w:r>
          <w:r>
            <w:rPr>
              <w:rStyle w:val="44"/>
              <w:rFonts w:eastAsia="仿宋_GB2312;仿宋" w:cs="Times New Roman"/>
              <w:sz w:val="22"/>
              <w:szCs w:val="22"/>
            </w:rPr>
            <w:t xml:space="preserve">18.1 </w:t>
          </w:r>
          <w:r>
            <w:rPr>
              <w:rStyle w:val="44"/>
              <w:rFonts w:ascii="Times New Roman" w:hAnsi="Times New Roman" w:eastAsia="仿宋_GB2312;仿宋" w:cs="Times New Roman"/>
              <w:sz w:val="22"/>
              <w:szCs w:val="22"/>
            </w:rPr>
            <w:t>工程保险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3CF4DAB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"__RefHeading___Toc351203614" \h </w:instrText>
          </w:r>
          <w:r>
            <w:fldChar w:fldCharType="separate"/>
          </w:r>
          <w:r>
            <w:rPr>
              <w:rStyle w:val="44"/>
              <w:rFonts w:eastAsia="仿宋_GB2312;仿宋" w:cs="Times New Roman"/>
              <w:sz w:val="22"/>
              <w:szCs w:val="22"/>
            </w:rPr>
            <w:t xml:space="preserve">18.2 </w:t>
          </w:r>
          <w:r>
            <w:rPr>
              <w:rStyle w:val="44"/>
              <w:rFonts w:ascii="Times New Roman" w:hAnsi="Times New Roman" w:eastAsia="仿宋_GB2312;仿宋" w:cs="Times New Roman"/>
              <w:sz w:val="22"/>
              <w:szCs w:val="22"/>
            </w:rPr>
            <w:t>工伤保险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71642FF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"__RefHeading___Toc351203615" \h </w:instrText>
          </w:r>
          <w:r>
            <w:fldChar w:fldCharType="separate"/>
          </w:r>
          <w:r>
            <w:rPr>
              <w:rStyle w:val="44"/>
              <w:rFonts w:eastAsia="仿宋_GB2312;仿宋" w:cs="Times New Roman"/>
              <w:sz w:val="22"/>
              <w:szCs w:val="22"/>
            </w:rPr>
            <w:t xml:space="preserve">18.3 </w:t>
          </w:r>
          <w:r>
            <w:rPr>
              <w:rStyle w:val="44"/>
              <w:rFonts w:ascii="Times New Roman" w:hAnsi="Times New Roman" w:eastAsia="仿宋_GB2312;仿宋" w:cs="Times New Roman"/>
              <w:sz w:val="22"/>
              <w:szCs w:val="22"/>
            </w:rPr>
            <w:t>其他保险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4A95860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"__RefHeading___Toc351203616" \h </w:instrText>
          </w:r>
          <w:r>
            <w:fldChar w:fldCharType="separate"/>
          </w:r>
          <w:r>
            <w:rPr>
              <w:rStyle w:val="44"/>
              <w:rFonts w:eastAsia="仿宋_GB2312;仿宋" w:cs="Times New Roman"/>
              <w:sz w:val="22"/>
              <w:szCs w:val="22"/>
            </w:rPr>
            <w:t xml:space="preserve">18.4 </w:t>
          </w:r>
          <w:r>
            <w:rPr>
              <w:rStyle w:val="44"/>
              <w:rFonts w:ascii="Times New Roman" w:hAnsi="Times New Roman" w:eastAsia="仿宋_GB2312;仿宋" w:cs="Times New Roman"/>
              <w:sz w:val="22"/>
              <w:szCs w:val="22"/>
            </w:rPr>
            <w:t>持续保险</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048BB17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"__RefHeading___Toc351203617" \h </w:instrText>
          </w:r>
          <w:r>
            <w:fldChar w:fldCharType="separate"/>
          </w:r>
          <w:r>
            <w:rPr>
              <w:rStyle w:val="44"/>
              <w:rFonts w:eastAsia="仿宋_GB2312;仿宋" w:cs="Times New Roman"/>
              <w:sz w:val="22"/>
              <w:szCs w:val="22"/>
            </w:rPr>
            <w:t xml:space="preserve">18.5 </w:t>
          </w:r>
          <w:r>
            <w:rPr>
              <w:rStyle w:val="44"/>
              <w:rFonts w:ascii="Times New Roman" w:hAnsi="Times New Roman" w:eastAsia="仿宋_GB2312;仿宋" w:cs="Times New Roman"/>
              <w:sz w:val="22"/>
              <w:szCs w:val="22"/>
            </w:rPr>
            <w:t>保险凭证</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1BC6037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"__RefHeading___Toc351203618" \h </w:instrText>
          </w:r>
          <w:r>
            <w:fldChar w:fldCharType="separate"/>
          </w:r>
          <w:r>
            <w:rPr>
              <w:rStyle w:val="44"/>
              <w:rFonts w:eastAsia="仿宋_GB2312;仿宋" w:cs="Times New Roman"/>
              <w:sz w:val="22"/>
              <w:szCs w:val="22"/>
            </w:rPr>
            <w:t xml:space="preserve">18.6 </w:t>
          </w:r>
          <w:r>
            <w:rPr>
              <w:rStyle w:val="44"/>
              <w:rFonts w:ascii="Times New Roman" w:hAnsi="Times New Roman" w:eastAsia="仿宋_GB2312;仿宋" w:cs="Times New Roman"/>
              <w:sz w:val="22"/>
              <w:szCs w:val="22"/>
            </w:rPr>
            <w:t>未按约定投保的补救</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3F9C19E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"__RefHeading___Toc351203619" \h </w:instrText>
          </w:r>
          <w:r>
            <w:fldChar w:fldCharType="separate"/>
          </w:r>
          <w:r>
            <w:rPr>
              <w:rStyle w:val="44"/>
              <w:rFonts w:eastAsia="仿宋_GB2312;仿宋" w:cs="Times New Roman"/>
              <w:sz w:val="22"/>
              <w:szCs w:val="22"/>
            </w:rPr>
            <w:t xml:space="preserve">18.7 </w:t>
          </w:r>
          <w:r>
            <w:rPr>
              <w:rStyle w:val="44"/>
              <w:rFonts w:ascii="Times New Roman" w:hAnsi="Times New Roman" w:eastAsia="仿宋_GB2312;仿宋" w:cs="Times New Roman"/>
              <w:sz w:val="22"/>
              <w:szCs w:val="22"/>
            </w:rPr>
            <w:t>通知义务</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41417459">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"__RefHeading___Toc351203620" \h </w:instrText>
          </w:r>
          <w:r>
            <w:fldChar w:fldCharType="separate"/>
          </w:r>
          <w:r>
            <w:rPr>
              <w:rStyle w:val="44"/>
              <w:rFonts w:eastAsia="仿宋_GB2312;仿宋" w:cs="Times New Roman"/>
              <w:sz w:val="22"/>
              <w:szCs w:val="22"/>
            </w:rPr>
            <w:t xml:space="preserve">19. </w:t>
          </w:r>
          <w:r>
            <w:rPr>
              <w:rStyle w:val="44"/>
              <w:rFonts w:ascii="Times New Roman" w:hAnsi="Times New Roman" w:eastAsia="仿宋_GB2312;仿宋" w:cs="Times New Roman"/>
              <w:sz w:val="22"/>
              <w:szCs w:val="22"/>
            </w:rPr>
            <w:t>索赔</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494E3A0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"__RefHeading___Toc351203621" \h </w:instrText>
          </w:r>
          <w:r>
            <w:fldChar w:fldCharType="separate"/>
          </w:r>
          <w:r>
            <w:rPr>
              <w:rStyle w:val="44"/>
              <w:rFonts w:eastAsia="仿宋_GB2312;仿宋" w:cs="Times New Roman"/>
              <w:sz w:val="22"/>
              <w:szCs w:val="22"/>
            </w:rPr>
            <w:t xml:space="preserve">19.1 </w:t>
          </w:r>
          <w:r>
            <w:rPr>
              <w:rStyle w:val="44"/>
              <w:rFonts w:ascii="Times New Roman" w:hAnsi="Times New Roman" w:eastAsia="仿宋_GB2312;仿宋" w:cs="Times New Roman"/>
              <w:sz w:val="22"/>
              <w:szCs w:val="22"/>
            </w:rPr>
            <w:t>承包人的索赔</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539D939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"__RefHeading___Toc351203622" \h </w:instrText>
          </w:r>
          <w:r>
            <w:fldChar w:fldCharType="separate"/>
          </w:r>
          <w:r>
            <w:rPr>
              <w:rStyle w:val="44"/>
              <w:rFonts w:eastAsia="仿宋_GB2312;仿宋" w:cs="Times New Roman"/>
              <w:sz w:val="22"/>
              <w:szCs w:val="22"/>
            </w:rPr>
            <w:t xml:space="preserve">19.2 </w:t>
          </w:r>
          <w:r>
            <w:rPr>
              <w:rStyle w:val="44"/>
              <w:rFonts w:ascii="Times New Roman" w:hAnsi="Times New Roman" w:eastAsia="仿宋_GB2312;仿宋" w:cs="Times New Roman"/>
              <w:sz w:val="22"/>
              <w:szCs w:val="22"/>
            </w:rPr>
            <w:t>对承包人索赔的处理</w:t>
          </w:r>
          <w:r>
            <w:rPr>
              <w:rStyle w:val="44"/>
              <w:rFonts w:eastAsia="仿宋_GB2312;仿宋" w:cs="Times New Roman"/>
              <w:sz w:val="22"/>
              <w:szCs w:val="22"/>
            </w:rPr>
            <w:tab/>
          </w:r>
          <w:r>
            <w:rPr>
              <w:rStyle w:val="44"/>
              <w:rFonts w:eastAsia="仿宋_GB2312;仿宋" w:cs="Times New Roman"/>
              <w:sz w:val="22"/>
              <w:szCs w:val="22"/>
            </w:rPr>
            <w:t>115</w:t>
          </w:r>
          <w:r>
            <w:rPr>
              <w:rStyle w:val="44"/>
              <w:rFonts w:eastAsia="仿宋_GB2312;仿宋" w:cs="Times New Roman"/>
              <w:sz w:val="22"/>
              <w:szCs w:val="22"/>
            </w:rPr>
            <w:fldChar w:fldCharType="end"/>
          </w:r>
        </w:p>
        <w:p w14:paraId="73F9C6D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"__RefHeading___Toc351203623" \h </w:instrText>
          </w:r>
          <w:r>
            <w:fldChar w:fldCharType="separate"/>
          </w:r>
          <w:r>
            <w:rPr>
              <w:rStyle w:val="44"/>
              <w:rFonts w:eastAsia="仿宋_GB2312;仿宋" w:cs="Times New Roman"/>
              <w:sz w:val="22"/>
              <w:szCs w:val="22"/>
            </w:rPr>
            <w:t xml:space="preserve">19.3 </w:t>
          </w:r>
          <w:r>
            <w:rPr>
              <w:rStyle w:val="44"/>
              <w:rFonts w:ascii="Times New Roman" w:hAnsi="Times New Roman" w:eastAsia="仿宋_GB2312;仿宋" w:cs="Times New Roman"/>
              <w:sz w:val="22"/>
              <w:szCs w:val="22"/>
            </w:rPr>
            <w:t>发包人的索赔</w:t>
          </w:r>
          <w:r>
            <w:rPr>
              <w:rStyle w:val="44"/>
              <w:rFonts w:eastAsia="仿宋_GB2312;仿宋" w:cs="Times New Roman"/>
              <w:sz w:val="22"/>
              <w:szCs w:val="22"/>
            </w:rPr>
            <w:tab/>
          </w:r>
          <w:r>
            <w:rPr>
              <w:rStyle w:val="44"/>
              <w:rFonts w:eastAsia="仿宋_GB2312;仿宋" w:cs="Times New Roman"/>
              <w:sz w:val="22"/>
              <w:szCs w:val="22"/>
            </w:rPr>
            <w:t>100</w:t>
          </w:r>
          <w:r>
            <w:rPr>
              <w:rStyle w:val="44"/>
              <w:rFonts w:eastAsia="仿宋_GB2312;仿宋" w:cs="Times New Roman"/>
              <w:sz w:val="22"/>
              <w:szCs w:val="22"/>
            </w:rPr>
            <w:fldChar w:fldCharType="end"/>
          </w:r>
        </w:p>
        <w:p w14:paraId="2F2798E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"__RefHeading___Toc351203624" \h </w:instrText>
          </w:r>
          <w:r>
            <w:fldChar w:fldCharType="separate"/>
          </w:r>
          <w:r>
            <w:rPr>
              <w:rStyle w:val="44"/>
              <w:rFonts w:eastAsia="仿宋_GB2312;仿宋" w:cs="Times New Roman"/>
              <w:sz w:val="22"/>
              <w:szCs w:val="22"/>
            </w:rPr>
            <w:t xml:space="preserve">19.4 </w:t>
          </w:r>
          <w:r>
            <w:rPr>
              <w:rStyle w:val="44"/>
              <w:rFonts w:ascii="Times New Roman" w:hAnsi="Times New Roman" w:eastAsia="仿宋_GB2312;仿宋" w:cs="Times New Roman"/>
              <w:sz w:val="22"/>
              <w:szCs w:val="22"/>
            </w:rPr>
            <w:t>对发包人索赔的处理</w:t>
          </w:r>
          <w:r>
            <w:rPr>
              <w:rStyle w:val="44"/>
              <w:rFonts w:eastAsia="仿宋_GB2312;仿宋" w:cs="Times New Roman"/>
              <w:sz w:val="22"/>
              <w:szCs w:val="22"/>
            </w:rPr>
            <w:tab/>
          </w:r>
          <w:r>
            <w:rPr>
              <w:rStyle w:val="44"/>
              <w:rFonts w:eastAsia="仿宋_GB2312;仿宋" w:cs="Times New Roman"/>
              <w:sz w:val="22"/>
              <w:szCs w:val="22"/>
            </w:rPr>
            <w:t>115</w:t>
          </w:r>
          <w:r>
            <w:rPr>
              <w:rStyle w:val="44"/>
              <w:rFonts w:eastAsia="仿宋_GB2312;仿宋" w:cs="Times New Roman"/>
              <w:sz w:val="22"/>
              <w:szCs w:val="22"/>
            </w:rPr>
            <w:fldChar w:fldCharType="end"/>
          </w:r>
        </w:p>
        <w:p w14:paraId="2F38572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"__RefHeading___Toc351203625" \h </w:instrText>
          </w:r>
          <w:r>
            <w:fldChar w:fldCharType="separate"/>
          </w:r>
          <w:r>
            <w:rPr>
              <w:rStyle w:val="44"/>
              <w:rFonts w:eastAsia="仿宋_GB2312;仿宋" w:cs="Times New Roman"/>
              <w:sz w:val="22"/>
              <w:szCs w:val="22"/>
            </w:rPr>
            <w:t xml:space="preserve">19.5 </w:t>
          </w:r>
          <w:r>
            <w:rPr>
              <w:rStyle w:val="44"/>
              <w:rFonts w:ascii="Times New Roman" w:hAnsi="Times New Roman" w:eastAsia="仿宋_GB2312;仿宋" w:cs="Times New Roman"/>
              <w:sz w:val="22"/>
              <w:szCs w:val="22"/>
            </w:rPr>
            <w:t>提出索赔的期限</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45C5FF7B">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"__RefHeading___Toc351203626" \h </w:instrText>
          </w:r>
          <w:r>
            <w:fldChar w:fldCharType="separate"/>
          </w:r>
          <w:r>
            <w:rPr>
              <w:rStyle w:val="44"/>
              <w:rFonts w:eastAsia="仿宋_GB2312;仿宋" w:cs="Times New Roman"/>
              <w:sz w:val="22"/>
              <w:szCs w:val="22"/>
            </w:rPr>
            <w:t xml:space="preserve">20. </w:t>
          </w:r>
          <w:r>
            <w:rPr>
              <w:rStyle w:val="44"/>
              <w:rFonts w:ascii="Times New Roman" w:hAnsi="Times New Roman" w:eastAsia="仿宋_GB2312;仿宋" w:cs="Times New Roman"/>
              <w:sz w:val="22"/>
              <w:szCs w:val="22"/>
            </w:rPr>
            <w:t>争议解决</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320976C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"__RefHeading___Toc351203627" \h </w:instrText>
          </w:r>
          <w:r>
            <w:fldChar w:fldCharType="separate"/>
          </w:r>
          <w:r>
            <w:rPr>
              <w:rStyle w:val="44"/>
              <w:rFonts w:eastAsia="仿宋_GB2312;仿宋" w:cs="Times New Roman"/>
              <w:sz w:val="22"/>
              <w:szCs w:val="22"/>
            </w:rPr>
            <w:t>20.1</w:t>
          </w:r>
          <w:r>
            <w:rPr>
              <w:rStyle w:val="44"/>
              <w:rFonts w:ascii="Times New Roman" w:hAnsi="Times New Roman" w:eastAsia="仿宋_GB2312;仿宋" w:cs="Times New Roman"/>
              <w:sz w:val="22"/>
              <w:szCs w:val="22"/>
            </w:rPr>
            <w:t>和解</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0E18FBA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"__RefHeading___Toc351203628" \h </w:instrText>
          </w:r>
          <w:r>
            <w:fldChar w:fldCharType="separate"/>
          </w:r>
          <w:r>
            <w:rPr>
              <w:rStyle w:val="44"/>
              <w:rFonts w:eastAsia="仿宋_GB2312;仿宋" w:cs="Times New Roman"/>
              <w:sz w:val="22"/>
              <w:szCs w:val="22"/>
            </w:rPr>
            <w:t>20.2</w:t>
          </w:r>
          <w:r>
            <w:rPr>
              <w:rStyle w:val="44"/>
              <w:rFonts w:ascii="Times New Roman" w:hAnsi="Times New Roman" w:eastAsia="仿宋_GB2312;仿宋" w:cs="Times New Roman"/>
              <w:sz w:val="22"/>
              <w:szCs w:val="22"/>
            </w:rPr>
            <w:t>调解</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1B64D86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"__RefHeading___Toc351203629" \h </w:instrText>
          </w:r>
          <w:r>
            <w:fldChar w:fldCharType="separate"/>
          </w:r>
          <w:r>
            <w:rPr>
              <w:rStyle w:val="44"/>
              <w:rFonts w:eastAsia="仿宋_GB2312;仿宋" w:cs="Times New Roman"/>
              <w:sz w:val="22"/>
              <w:szCs w:val="22"/>
            </w:rPr>
            <w:t>20.3</w:t>
          </w:r>
          <w:r>
            <w:rPr>
              <w:rStyle w:val="44"/>
              <w:rFonts w:ascii="Times New Roman" w:hAnsi="Times New Roman" w:eastAsia="仿宋_GB2312;仿宋" w:cs="Times New Roman"/>
              <w:sz w:val="22"/>
              <w:szCs w:val="22"/>
            </w:rPr>
            <w:t>争议评审</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3AA95B0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"__RefHeading___Toc351203630" \h </w:instrText>
          </w:r>
          <w:r>
            <w:fldChar w:fldCharType="separate"/>
          </w:r>
          <w:r>
            <w:rPr>
              <w:rStyle w:val="44"/>
              <w:rFonts w:eastAsia="仿宋_GB2312;仿宋" w:cs="Times New Roman"/>
              <w:sz w:val="22"/>
              <w:szCs w:val="22"/>
            </w:rPr>
            <w:t>20.4</w:t>
          </w:r>
          <w:r>
            <w:rPr>
              <w:rStyle w:val="44"/>
              <w:rFonts w:ascii="Times New Roman" w:hAnsi="Times New Roman" w:eastAsia="仿宋_GB2312;仿宋" w:cs="Times New Roman"/>
              <w:sz w:val="22"/>
              <w:szCs w:val="22"/>
            </w:rPr>
            <w:t>仲裁或诉讼</w:t>
          </w:r>
          <w:r>
            <w:rPr>
              <w:rStyle w:val="44"/>
              <w:rFonts w:eastAsia="仿宋_GB2312;仿宋" w:cs="Times New Roman"/>
              <w:sz w:val="22"/>
              <w:szCs w:val="22"/>
            </w:rPr>
            <w:tab/>
          </w:r>
          <w:r>
            <w:rPr>
              <w:rStyle w:val="44"/>
              <w:rFonts w:eastAsia="仿宋_GB2312;仿宋" w:cs="Times New Roman"/>
              <w:sz w:val="22"/>
              <w:szCs w:val="22"/>
            </w:rPr>
            <w:t>117</w:t>
          </w:r>
          <w:r>
            <w:rPr>
              <w:rStyle w:val="44"/>
              <w:rFonts w:eastAsia="仿宋_GB2312;仿宋" w:cs="Times New Roman"/>
              <w:sz w:val="22"/>
              <w:szCs w:val="22"/>
            </w:rPr>
            <w:fldChar w:fldCharType="end"/>
          </w:r>
        </w:p>
        <w:p w14:paraId="3D211D9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"__RefHeading___Toc351203631" \h </w:instrText>
          </w:r>
          <w:r>
            <w:fldChar w:fldCharType="separate"/>
          </w:r>
          <w:r>
            <w:rPr>
              <w:rStyle w:val="44"/>
              <w:rFonts w:eastAsia="仿宋_GB2312;仿宋" w:cs="Times New Roman"/>
              <w:sz w:val="22"/>
              <w:szCs w:val="22"/>
            </w:rPr>
            <w:t>20.5</w:t>
          </w:r>
          <w:r>
            <w:rPr>
              <w:rStyle w:val="44"/>
              <w:rFonts w:ascii="Times New Roman" w:hAnsi="Times New Roman" w:eastAsia="仿宋_GB2312;仿宋" w:cs="Times New Roman"/>
              <w:sz w:val="22"/>
              <w:szCs w:val="22"/>
            </w:rPr>
            <w:t>争议解决条款效力</w:t>
          </w:r>
          <w:r>
            <w:rPr>
              <w:rStyle w:val="44"/>
              <w:rFonts w:eastAsia="仿宋_GB2312;仿宋" w:cs="Times New Roman"/>
              <w:sz w:val="22"/>
              <w:szCs w:val="22"/>
            </w:rPr>
            <w:tab/>
          </w:r>
          <w:r>
            <w:rPr>
              <w:rStyle w:val="44"/>
              <w:rFonts w:eastAsia="仿宋_GB2312;仿宋" w:cs="Times New Roman"/>
              <w:sz w:val="22"/>
              <w:szCs w:val="22"/>
            </w:rPr>
            <w:t>117</w:t>
          </w:r>
          <w:r>
            <w:rPr>
              <w:rStyle w:val="44"/>
              <w:rFonts w:eastAsia="仿宋_GB2312;仿宋" w:cs="Times New Roman"/>
              <w:sz w:val="22"/>
              <w:szCs w:val="22"/>
            </w:rPr>
            <w:fldChar w:fldCharType="end"/>
          </w:r>
        </w:p>
        <w:p w14:paraId="3C469D60">
          <w:pPr>
            <w:pStyle w:val="12"/>
            <w:tabs>
              <w:tab w:val="right" w:leader="dot" w:pos="8810"/>
            </w:tabs>
            <w:ind w:left="0" w:firstLine="240"/>
            <w:rPr>
              <w:rFonts w:ascii="Times New Roman" w:hAnsi="Times New Roman" w:eastAsia="仿宋_GB2312;仿宋" w:cs="Times New Roman"/>
              <w:sz w:val="24"/>
              <w:szCs w:val="24"/>
            </w:rPr>
          </w:pPr>
          <w:r>
            <w:fldChar w:fldCharType="begin"/>
          </w:r>
          <w:r>
            <w:instrText xml:space="preserve"> HYPERLINK \l "__RefHeading___Toc351203632" \h </w:instrText>
          </w:r>
          <w:r>
            <w:fldChar w:fldCharType="separate"/>
          </w:r>
          <w:r>
            <w:rPr>
              <w:rStyle w:val="44"/>
              <w:rFonts w:ascii="Times New Roman" w:hAnsi="Times New Roman" w:eastAsia="仿宋_GB2312;仿宋" w:cs="Times New Roman"/>
              <w:b/>
              <w:sz w:val="24"/>
              <w:szCs w:val="24"/>
            </w:rPr>
            <w:t>第三部分</w:t>
          </w:r>
          <w:r>
            <w:rPr>
              <w:rStyle w:val="44"/>
              <w:rFonts w:ascii="Times New Roman" w:hAnsi="Times New Roman" w:eastAsia="Times New Roman" w:cs="Times New Roman"/>
              <w:b/>
              <w:sz w:val="24"/>
              <w:szCs w:val="24"/>
            </w:rPr>
            <w:t xml:space="preserve"> </w:t>
          </w:r>
          <w:r>
            <w:rPr>
              <w:rStyle w:val="44"/>
              <w:rFonts w:ascii="Times New Roman" w:hAnsi="Times New Roman" w:eastAsia="仿宋_GB2312;仿宋" w:cs="Times New Roman"/>
              <w:b/>
              <w:sz w:val="24"/>
              <w:szCs w:val="24"/>
            </w:rPr>
            <w:t>专用合同条款</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lang w:val="en-US" w:eastAsia="zh-CN"/>
            </w:rPr>
            <w:t>................................</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rPr>
            <w:fldChar w:fldCharType="end"/>
          </w:r>
          <w:r>
            <w:rPr>
              <w:rFonts w:ascii="Times New Roman" w:hAnsi="Times New Roman" w:eastAsia="仿宋_GB2312;仿宋" w:cs="Times New Roman"/>
              <w:sz w:val="24"/>
              <w:szCs w:val="24"/>
            </w:rPr>
            <w:t>104</w:t>
          </w:r>
        </w:p>
        <w:p w14:paraId="7979F02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"__RefHeading___Toc351203633" \h </w:instrText>
          </w:r>
          <w:r>
            <w:fldChar w:fldCharType="separate"/>
          </w:r>
          <w:r>
            <w:rPr>
              <w:rStyle w:val="44"/>
              <w:rFonts w:eastAsia="仿宋_GB2312;仿宋" w:cs="Times New Roman"/>
              <w:sz w:val="22"/>
              <w:szCs w:val="22"/>
            </w:rPr>
            <w:t xml:space="preserve">1. </w:t>
          </w:r>
          <w:r>
            <w:rPr>
              <w:rStyle w:val="44"/>
              <w:rFonts w:ascii="Times New Roman" w:hAnsi="Times New Roman" w:eastAsia="仿宋_GB2312;仿宋" w:cs="Times New Roman"/>
              <w:sz w:val="22"/>
              <w:szCs w:val="22"/>
            </w:rPr>
            <w:t>一般约定</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04</w:t>
          </w:r>
        </w:p>
        <w:p w14:paraId="0BB4622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"__RefHeading___Toc351203634" \h </w:instrText>
          </w:r>
          <w:r>
            <w:fldChar w:fldCharType="separate"/>
          </w:r>
          <w:r>
            <w:rPr>
              <w:rStyle w:val="44"/>
              <w:rFonts w:eastAsia="仿宋_GB2312;仿宋" w:cs="Times New Roman"/>
              <w:sz w:val="22"/>
              <w:szCs w:val="22"/>
            </w:rPr>
            <w:t xml:space="preserve">2. </w:t>
          </w:r>
          <w:r>
            <w:rPr>
              <w:rStyle w:val="44"/>
              <w:rFonts w:ascii="Times New Roman" w:hAnsi="Times New Roman" w:eastAsia="仿宋_GB2312;仿宋" w:cs="Times New Roman"/>
              <w:sz w:val="22"/>
              <w:szCs w:val="22"/>
            </w:rPr>
            <w:t>发包人</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08</w:t>
          </w:r>
        </w:p>
        <w:p w14:paraId="0C60BB4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"__RefHeading___Toc351203635" \h </w:instrText>
          </w:r>
          <w:r>
            <w:fldChar w:fldCharType="separate"/>
          </w:r>
          <w:r>
            <w:rPr>
              <w:rStyle w:val="44"/>
              <w:rFonts w:eastAsia="仿宋_GB2312;仿宋" w:cs="Times New Roman"/>
              <w:sz w:val="22"/>
              <w:szCs w:val="22"/>
            </w:rPr>
            <w:t xml:space="preserve">3. </w:t>
          </w:r>
          <w:r>
            <w:rPr>
              <w:rStyle w:val="44"/>
              <w:rFonts w:ascii="Times New Roman" w:hAnsi="Times New Roman" w:eastAsia="仿宋_GB2312;仿宋" w:cs="Times New Roman"/>
              <w:sz w:val="22"/>
              <w:szCs w:val="22"/>
            </w:rPr>
            <w:t>承包人</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09</w:t>
          </w:r>
        </w:p>
        <w:p w14:paraId="2DF7DA3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"__RefHeading___Toc351203636" \h </w:instrText>
          </w:r>
          <w:r>
            <w:fldChar w:fldCharType="separate"/>
          </w:r>
          <w:r>
            <w:rPr>
              <w:rStyle w:val="44"/>
              <w:rFonts w:eastAsia="仿宋_GB2312;仿宋" w:cs="Times New Roman"/>
              <w:sz w:val="22"/>
              <w:szCs w:val="22"/>
            </w:rPr>
            <w:t xml:space="preserve">4. </w:t>
          </w:r>
          <w:r>
            <w:rPr>
              <w:rStyle w:val="44"/>
              <w:rFonts w:ascii="Times New Roman" w:hAnsi="Times New Roman" w:eastAsia="仿宋_GB2312;仿宋" w:cs="Times New Roman"/>
              <w:sz w:val="22"/>
              <w:szCs w:val="22"/>
            </w:rPr>
            <w:t>监理人</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12</w:t>
          </w:r>
        </w:p>
        <w:p w14:paraId="369F866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"__RefHeading___Toc351203637" \h </w:instrText>
          </w:r>
          <w:r>
            <w:fldChar w:fldCharType="separate"/>
          </w:r>
          <w:r>
            <w:rPr>
              <w:rStyle w:val="44"/>
              <w:rFonts w:eastAsia="仿宋_GB2312;仿宋" w:cs="Times New Roman"/>
              <w:sz w:val="22"/>
              <w:szCs w:val="22"/>
            </w:rPr>
            <w:t xml:space="preserve">5. </w:t>
          </w:r>
          <w:r>
            <w:rPr>
              <w:rStyle w:val="44"/>
              <w:rFonts w:ascii="Times New Roman" w:hAnsi="Times New Roman" w:eastAsia="仿宋_GB2312;仿宋" w:cs="Times New Roman"/>
              <w:sz w:val="22"/>
              <w:szCs w:val="22"/>
            </w:rPr>
            <w:t>工程质量</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13</w:t>
          </w:r>
        </w:p>
        <w:p w14:paraId="00FF15A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"__RefHeading___Toc351203638" \h </w:instrText>
          </w:r>
          <w:r>
            <w:fldChar w:fldCharType="separate"/>
          </w:r>
          <w:r>
            <w:rPr>
              <w:rStyle w:val="44"/>
              <w:rFonts w:eastAsia="仿宋_GB2312;仿宋" w:cs="Times New Roman"/>
              <w:sz w:val="22"/>
              <w:szCs w:val="22"/>
            </w:rPr>
            <w:t xml:space="preserve">6. </w:t>
          </w:r>
          <w:r>
            <w:rPr>
              <w:rStyle w:val="44"/>
              <w:rFonts w:ascii="Times New Roman" w:hAnsi="Times New Roman" w:eastAsia="仿宋_GB2312;仿宋" w:cs="Times New Roman"/>
              <w:sz w:val="22"/>
              <w:szCs w:val="22"/>
            </w:rPr>
            <w:t>安全文明施工与环境保护</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14</w:t>
          </w:r>
        </w:p>
        <w:p w14:paraId="3A4D8C71">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"__RefHeading___Toc351203639" \h </w:instrText>
          </w:r>
          <w:r>
            <w:fldChar w:fldCharType="separate"/>
          </w:r>
          <w:r>
            <w:rPr>
              <w:rStyle w:val="44"/>
              <w:rFonts w:eastAsia="仿宋_GB2312;仿宋" w:cs="Times New Roman"/>
              <w:sz w:val="22"/>
              <w:szCs w:val="22"/>
            </w:rPr>
            <w:t xml:space="preserve">7. </w:t>
          </w:r>
          <w:r>
            <w:rPr>
              <w:rStyle w:val="44"/>
              <w:rFonts w:ascii="Times New Roman" w:hAnsi="Times New Roman" w:eastAsia="仿宋_GB2312;仿宋" w:cs="Times New Roman"/>
              <w:sz w:val="22"/>
              <w:szCs w:val="22"/>
            </w:rPr>
            <w:t>工期和进度</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14</w:t>
          </w:r>
        </w:p>
        <w:p w14:paraId="2BACFA85">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"__RefHeading___Toc351203640" \h </w:instrText>
          </w:r>
          <w:r>
            <w:fldChar w:fldCharType="separate"/>
          </w:r>
          <w:r>
            <w:rPr>
              <w:rStyle w:val="44"/>
              <w:rFonts w:eastAsia="仿宋_GB2312;仿宋" w:cs="Times New Roman"/>
              <w:sz w:val="22"/>
              <w:szCs w:val="22"/>
            </w:rPr>
            <w:t xml:space="preserve">8. </w:t>
          </w:r>
          <w:r>
            <w:rPr>
              <w:rStyle w:val="44"/>
              <w:rFonts w:ascii="Times New Roman" w:hAnsi="Times New Roman" w:eastAsia="仿宋_GB2312;仿宋" w:cs="Times New Roman"/>
              <w:sz w:val="22"/>
              <w:szCs w:val="22"/>
            </w:rPr>
            <w:t>材料与设备</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16</w:t>
          </w:r>
        </w:p>
        <w:p w14:paraId="2A84E7A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"__RefHeading___Toc351203641" \h </w:instrText>
          </w:r>
          <w:r>
            <w:fldChar w:fldCharType="separate"/>
          </w:r>
          <w:r>
            <w:rPr>
              <w:rStyle w:val="44"/>
              <w:rFonts w:eastAsia="仿宋_GB2312;仿宋" w:cs="Times New Roman"/>
              <w:sz w:val="22"/>
              <w:szCs w:val="22"/>
            </w:rPr>
            <w:t xml:space="preserve">9. </w:t>
          </w:r>
          <w:r>
            <w:rPr>
              <w:rStyle w:val="44"/>
              <w:rFonts w:ascii="Times New Roman" w:hAnsi="Times New Roman" w:eastAsia="仿宋_GB2312;仿宋" w:cs="Times New Roman"/>
              <w:sz w:val="22"/>
              <w:szCs w:val="22"/>
            </w:rPr>
            <w:t>试验与检验</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17</w:t>
          </w:r>
        </w:p>
        <w:p w14:paraId="303F3FA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"__RefHeading___Toc351203642" \h </w:instrText>
          </w:r>
          <w:r>
            <w:fldChar w:fldCharType="separate"/>
          </w:r>
          <w:r>
            <w:rPr>
              <w:rStyle w:val="44"/>
              <w:rFonts w:eastAsia="仿宋_GB2312;仿宋" w:cs="Times New Roman"/>
              <w:sz w:val="22"/>
              <w:szCs w:val="22"/>
            </w:rPr>
            <w:t xml:space="preserve">10. </w:t>
          </w:r>
          <w:r>
            <w:rPr>
              <w:rStyle w:val="44"/>
              <w:rFonts w:ascii="Times New Roman" w:hAnsi="Times New Roman" w:eastAsia="仿宋_GB2312;仿宋" w:cs="Times New Roman"/>
              <w:sz w:val="22"/>
              <w:szCs w:val="22"/>
            </w:rPr>
            <w:t>变更</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18</w:t>
          </w:r>
        </w:p>
        <w:p w14:paraId="742C2A4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"__RefHeading___Toc351203643" \h </w:instrText>
          </w:r>
          <w:r>
            <w:fldChar w:fldCharType="separate"/>
          </w:r>
          <w:r>
            <w:rPr>
              <w:rStyle w:val="44"/>
              <w:rFonts w:eastAsia="仿宋_GB2312;仿宋" w:cs="Times New Roman"/>
              <w:sz w:val="22"/>
              <w:szCs w:val="22"/>
            </w:rPr>
            <w:t xml:space="preserve">11. </w:t>
          </w:r>
          <w:r>
            <w:rPr>
              <w:rStyle w:val="44"/>
              <w:rFonts w:ascii="Times New Roman" w:hAnsi="Times New Roman" w:eastAsia="仿宋_GB2312;仿宋" w:cs="Times New Roman"/>
              <w:sz w:val="22"/>
              <w:szCs w:val="22"/>
            </w:rPr>
            <w:t>价格调整</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19</w:t>
          </w:r>
        </w:p>
        <w:p w14:paraId="1741CCC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"__RefHeading___Toc351203644" \h </w:instrText>
          </w:r>
          <w:r>
            <w:fldChar w:fldCharType="separate"/>
          </w:r>
          <w:r>
            <w:rPr>
              <w:rStyle w:val="44"/>
              <w:rFonts w:eastAsia="仿宋_GB2312;仿宋" w:cs="Times New Roman"/>
              <w:sz w:val="22"/>
              <w:szCs w:val="22"/>
            </w:rPr>
            <w:t xml:space="preserve">12. </w:t>
          </w:r>
          <w:r>
            <w:rPr>
              <w:rStyle w:val="44"/>
              <w:rFonts w:ascii="Times New Roman" w:hAnsi="Times New Roman" w:eastAsia="仿宋_GB2312;仿宋" w:cs="Times New Roman"/>
              <w:sz w:val="22"/>
              <w:szCs w:val="22"/>
            </w:rPr>
            <w:t>合同价格、计量与支付</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20</w:t>
          </w:r>
        </w:p>
        <w:p w14:paraId="44F1296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"__RefHeading___Toc351203645" \h </w:instrText>
          </w:r>
          <w:r>
            <w:fldChar w:fldCharType="separate"/>
          </w:r>
          <w:r>
            <w:rPr>
              <w:rStyle w:val="44"/>
              <w:rFonts w:eastAsia="仿宋_GB2312;仿宋" w:cs="Times New Roman"/>
              <w:sz w:val="22"/>
              <w:szCs w:val="22"/>
            </w:rPr>
            <w:t xml:space="preserve">13. </w:t>
          </w:r>
          <w:r>
            <w:rPr>
              <w:rStyle w:val="44"/>
              <w:rFonts w:ascii="Times New Roman" w:hAnsi="Times New Roman" w:eastAsia="仿宋_GB2312;仿宋" w:cs="Times New Roman"/>
              <w:sz w:val="22"/>
              <w:szCs w:val="22"/>
            </w:rPr>
            <w:t>验收和工程试车</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23</w:t>
          </w:r>
        </w:p>
        <w:p w14:paraId="735ED3E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"__RefHeading___Toc351203646" \h </w:instrText>
          </w:r>
          <w:r>
            <w:fldChar w:fldCharType="separate"/>
          </w:r>
          <w:r>
            <w:rPr>
              <w:rStyle w:val="44"/>
              <w:rFonts w:eastAsia="仿宋_GB2312;仿宋" w:cs="Times New Roman"/>
              <w:sz w:val="22"/>
              <w:szCs w:val="22"/>
            </w:rPr>
            <w:t xml:space="preserve">14. </w:t>
          </w:r>
          <w:r>
            <w:rPr>
              <w:rStyle w:val="44"/>
              <w:rFonts w:ascii="Times New Roman" w:hAnsi="Times New Roman" w:eastAsia="仿宋_GB2312;仿宋" w:cs="Times New Roman"/>
              <w:sz w:val="22"/>
              <w:szCs w:val="22"/>
            </w:rPr>
            <w:t>竣工结算</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24</w:t>
          </w:r>
        </w:p>
        <w:p w14:paraId="55BBC931">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"__RefHeading___Toc351203647" \h </w:instrText>
          </w:r>
          <w:r>
            <w:fldChar w:fldCharType="separate"/>
          </w:r>
          <w:r>
            <w:rPr>
              <w:rStyle w:val="44"/>
              <w:rFonts w:eastAsia="仿宋_GB2312;仿宋" w:cs="Times New Roman"/>
              <w:sz w:val="22"/>
              <w:szCs w:val="22"/>
            </w:rPr>
            <w:t xml:space="preserve">15. </w:t>
          </w:r>
          <w:r>
            <w:rPr>
              <w:rStyle w:val="44"/>
              <w:rFonts w:ascii="Times New Roman" w:hAnsi="Times New Roman" w:eastAsia="仿宋_GB2312;仿宋" w:cs="Times New Roman"/>
              <w:sz w:val="22"/>
              <w:szCs w:val="22"/>
            </w:rPr>
            <w:t>缺陷责任期与保修</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25</w:t>
          </w:r>
        </w:p>
        <w:p w14:paraId="3393799A">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"__RefHeading___Toc351203648" \h </w:instrText>
          </w:r>
          <w:r>
            <w:fldChar w:fldCharType="separate"/>
          </w:r>
          <w:r>
            <w:rPr>
              <w:rStyle w:val="44"/>
              <w:rFonts w:eastAsia="仿宋_GB2312;仿宋" w:cs="Times New Roman"/>
              <w:sz w:val="22"/>
              <w:szCs w:val="22"/>
            </w:rPr>
            <w:t xml:space="preserve">16. </w:t>
          </w:r>
          <w:r>
            <w:rPr>
              <w:rStyle w:val="44"/>
              <w:rFonts w:ascii="Times New Roman" w:hAnsi="Times New Roman" w:eastAsia="仿宋_GB2312;仿宋" w:cs="Times New Roman"/>
              <w:sz w:val="22"/>
              <w:szCs w:val="22"/>
            </w:rPr>
            <w:t>违约</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26</w:t>
          </w:r>
        </w:p>
        <w:p w14:paraId="70F476B4">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"__RefHeading___Toc351203649" \h </w:instrText>
          </w:r>
          <w:r>
            <w:fldChar w:fldCharType="separate"/>
          </w:r>
          <w:r>
            <w:rPr>
              <w:rStyle w:val="44"/>
              <w:rFonts w:eastAsia="仿宋_GB2312;仿宋" w:cs="Times New Roman"/>
              <w:sz w:val="22"/>
              <w:szCs w:val="22"/>
            </w:rPr>
            <w:t xml:space="preserve">17. </w:t>
          </w:r>
          <w:r>
            <w:rPr>
              <w:rStyle w:val="44"/>
              <w:rFonts w:ascii="Times New Roman" w:hAnsi="Times New Roman" w:eastAsia="仿宋_GB2312;仿宋" w:cs="Times New Roman"/>
              <w:sz w:val="22"/>
              <w:szCs w:val="22"/>
            </w:rPr>
            <w:t>不可抗力</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28</w:t>
          </w:r>
        </w:p>
        <w:p w14:paraId="676B8715">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"__RefHeading___Toc351203650" \h </w:instrText>
          </w:r>
          <w:r>
            <w:fldChar w:fldCharType="separate"/>
          </w:r>
          <w:r>
            <w:rPr>
              <w:rStyle w:val="44"/>
              <w:rFonts w:eastAsia="仿宋_GB2312;仿宋" w:cs="Times New Roman"/>
              <w:sz w:val="22"/>
              <w:szCs w:val="22"/>
            </w:rPr>
            <w:t xml:space="preserve">18. </w:t>
          </w:r>
          <w:r>
            <w:rPr>
              <w:rStyle w:val="44"/>
              <w:rFonts w:ascii="Times New Roman" w:hAnsi="Times New Roman" w:eastAsia="仿宋_GB2312;仿宋" w:cs="Times New Roman"/>
              <w:sz w:val="22"/>
              <w:szCs w:val="22"/>
            </w:rPr>
            <w:t>保险</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29</w:t>
          </w:r>
        </w:p>
        <w:p w14:paraId="6287B9D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"__RefHeading___Toc351203651" \h </w:instrText>
          </w:r>
          <w:r>
            <w:fldChar w:fldCharType="separate"/>
          </w:r>
          <w:r>
            <w:rPr>
              <w:rStyle w:val="44"/>
              <w:rFonts w:eastAsia="仿宋_GB2312;仿宋" w:cs="Times New Roman"/>
              <w:sz w:val="22"/>
              <w:szCs w:val="22"/>
            </w:rPr>
            <w:t xml:space="preserve">20. </w:t>
          </w:r>
          <w:r>
            <w:rPr>
              <w:rStyle w:val="44"/>
              <w:rFonts w:ascii="Times New Roman" w:hAnsi="Times New Roman" w:eastAsia="仿宋_GB2312;仿宋" w:cs="Times New Roman"/>
              <w:sz w:val="22"/>
              <w:szCs w:val="22"/>
            </w:rPr>
            <w:t>争议解决</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29</w:t>
          </w:r>
        </w:p>
        <w:p w14:paraId="691628E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"__RefHeading___Toc351203652" \h </w:instrText>
          </w:r>
          <w:r>
            <w:fldChar w:fldCharType="separate"/>
          </w:r>
          <w:r>
            <w:rPr>
              <w:rStyle w:val="44"/>
              <w:rFonts w:ascii="Times New Roman" w:hAnsi="Times New Roman" w:eastAsia="仿宋_GB2312;仿宋" w:cs="Times New Roman"/>
              <w:sz w:val="22"/>
              <w:szCs w:val="22"/>
            </w:rPr>
            <w:t>附件</w:t>
          </w:r>
          <w:r>
            <w:rPr>
              <w:rStyle w:val="44"/>
              <w:rFonts w:eastAsia="仿宋_GB2312;仿宋" w:cs="Times New Roman"/>
              <w:sz w:val="22"/>
              <w:szCs w:val="22"/>
            </w:rPr>
            <w:t>..................................................</w:t>
          </w:r>
          <w:r>
            <w:rPr>
              <w:rStyle w:val="44"/>
              <w:rFonts w:eastAsia="仿宋_GB2312;仿宋" w:cs="Times New Roman"/>
              <w:sz w:val="22"/>
              <w:szCs w:val="22"/>
              <w:lang w:val="en-US" w:eastAsia="zh-CN"/>
            </w:rPr>
            <w:t>...................</w:t>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31</w:t>
          </w:r>
          <w:r>
            <w:rPr>
              <w:rFonts w:ascii="Times New Roman" w:hAnsi="Times New Roman" w:eastAsia="仿宋_GB2312;仿宋" w:cs="Times New Roman"/>
              <w:sz w:val="22"/>
              <w:szCs w:val="22"/>
            </w:rPr>
            <w:fldChar w:fldCharType="end"/>
          </w:r>
        </w:p>
      </w:sdtContent>
    </w:sdt>
    <w:p w14:paraId="3F959371">
      <w:pPr>
        <w:pStyle w:val="4"/>
        <w:numPr>
          <w:ilvl w:val="0"/>
          <w:numId w:val="0"/>
        </w:numPr>
        <w:rPr>
          <w:rFonts w:ascii="Times New Roman" w:hAnsi="Times New Roman" w:eastAsia="仿宋_GB2312;仿宋" w:cs="Times New Roman"/>
          <w:sz w:val="22"/>
          <w:szCs w:val="22"/>
        </w:rPr>
        <w:sectPr>
          <w:headerReference r:id="rId12" w:type="first"/>
          <w:footerReference r:id="rId14" w:type="first"/>
          <w:headerReference r:id="rId11" w:type="default"/>
          <w:footerReference r:id="rId13" w:type="default"/>
          <w:pgSz w:w="11906" w:h="16838"/>
          <w:pgMar w:top="1418" w:right="1555" w:bottom="1418" w:left="1531" w:header="851" w:footer="992" w:gutter="0"/>
          <w:pgNumType w:fmt="decimal"/>
          <w:cols w:space="720" w:num="1"/>
          <w:formProt w:val="0"/>
          <w:titlePg/>
          <w:docGrid w:type="lines" w:linePitch="312" w:charSpace="0"/>
        </w:sectPr>
      </w:pPr>
    </w:p>
    <w:p w14:paraId="398B30B2">
      <w:pPr>
        <w:pStyle w:val="4"/>
        <w:jc w:val="center"/>
        <w:rPr>
          <w:rFonts w:ascii="Times New Roman" w:hAnsi="Times New Roman" w:eastAsia="华文中宋;宋体" w:cs="Times New Roman"/>
          <w:b w:val="0"/>
          <w:color w:val="000000"/>
          <w:sz w:val="36"/>
          <w:szCs w:val="36"/>
        </w:rPr>
      </w:pPr>
      <w:bookmarkStart w:id="12" w:name="__RefHeading___Toc351203480"/>
      <w:r>
        <w:rPr>
          <w:rFonts w:ascii="华文中宋;宋体" w:hAnsi="华文中宋;宋体" w:eastAsia="华文中宋;宋体" w:cs="华文中宋;宋体"/>
          <w:sz w:val="36"/>
          <w:szCs w:val="36"/>
        </w:rPr>
        <w:t>第一部分 合同协议书</w:t>
      </w:r>
      <w:bookmarkEnd w:id="12"/>
    </w:p>
    <w:p w14:paraId="35BA4495">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发包人（全称）：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3FC73019">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承包人（全称）：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15BFC2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仿宋_GB2312;仿宋" w:cs="Times New Roman"/>
          <w:color w:val="000000"/>
          <w:sz w:val="24"/>
          <w:szCs w:val="24"/>
          <w:lang w:eastAsia="zh-CN"/>
        </w:rPr>
        <w:t>中华人民共和国民法典</w:t>
      </w:r>
      <w:r>
        <w:rPr>
          <w:rFonts w:ascii="Times New Roman" w:hAnsi="Times New Roman" w:eastAsia="仿宋_GB2312;仿宋" w:cs="Times New Roman"/>
          <w:color w:val="000000"/>
          <w:sz w:val="24"/>
          <w:szCs w:val="24"/>
        </w:rPr>
        <w:t>》、《中华人民共和国建筑法》及有关法律规定，遵循平等、自愿、公平和诚实信用的原则，双方就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工程施工及有关事项协商一致，共同达成如下协议：</w:t>
      </w:r>
    </w:p>
    <w:p w14:paraId="1D696758">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3" w:name="__RefHeading___Toc351203481"/>
      <w:r>
        <w:rPr>
          <w:rFonts w:ascii="Times New Roman" w:hAnsi="Times New Roman" w:cs="Times New Roman"/>
          <w:b w:val="0"/>
          <w:color w:val="000000"/>
          <w:sz w:val="24"/>
          <w:szCs w:val="24"/>
        </w:rPr>
        <w:t>一、工程概况</w:t>
      </w:r>
      <w:bookmarkEnd w:id="13"/>
    </w:p>
    <w:p w14:paraId="1B3A89AC">
      <w:pPr>
        <w:spacing w:line="360" w:lineRule="auto"/>
        <w:ind w:firstLine="470"/>
        <w:rPr>
          <w:rFonts w:ascii="Times New Roman" w:hAnsi="Times New Roman" w:eastAsia="仿宋_GB2312;仿宋" w:cs="Times New Roman"/>
          <w:color w:val="000000"/>
          <w:sz w:val="24"/>
          <w:szCs w:val="24"/>
          <w:u w:val="single"/>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工程名称</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646E2E">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工程地点：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9B89E8">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工程立项批准文号：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52627D59">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4.</w:t>
      </w:r>
      <w:r>
        <w:rPr>
          <w:rFonts w:ascii="Times New Roman" w:hAnsi="Times New Roman" w:eastAsia="仿宋_GB2312;仿宋" w:cs="Times New Roman"/>
          <w:bCs/>
          <w:color w:val="000000"/>
          <w:sz w:val="24"/>
          <w:szCs w:val="24"/>
        </w:rPr>
        <w:t>资金来源：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71A8EC40">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5.</w:t>
      </w:r>
      <w:r>
        <w:rPr>
          <w:rFonts w:ascii="Times New Roman" w:hAnsi="Times New Roman" w:eastAsia="仿宋_GB2312;仿宋" w:cs="Times New Roman"/>
          <w:bCs/>
          <w:color w:val="000000"/>
          <w:sz w:val="24"/>
          <w:szCs w:val="24"/>
        </w:rPr>
        <w:t>工程内容：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1D39FBD5">
      <w:pPr>
        <w:spacing w:line="360" w:lineRule="auto"/>
        <w:ind w:firstLine="470"/>
        <w:rPr>
          <w:rFonts w:ascii="Times New Roman" w:hAnsi="Times New Roman" w:eastAsia="仿宋_GB2312;仿宋" w:cs="Times New Roman"/>
          <w:bCs/>
          <w:color w:val="000000"/>
          <w:sz w:val="24"/>
          <w:szCs w:val="24"/>
        </w:rPr>
      </w:pPr>
      <w:r>
        <w:rPr>
          <w:rFonts w:ascii="Times New Roman" w:hAnsi="Times New Roman" w:eastAsia="仿宋_GB2312;仿宋" w:cs="Times New Roman"/>
          <w:color w:val="000000"/>
          <w:sz w:val="24"/>
          <w:szCs w:val="24"/>
        </w:rPr>
        <w:t>群体工程应附《承包人承揽工程项目一览表》（附件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w:t>
      </w:r>
    </w:p>
    <w:p w14:paraId="75107AD2">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6.</w:t>
      </w:r>
      <w:r>
        <w:rPr>
          <w:rFonts w:ascii="Times New Roman" w:hAnsi="Times New Roman" w:eastAsia="仿宋_GB2312;仿宋" w:cs="Times New Roman"/>
          <w:bCs/>
          <w:color w:val="000000"/>
          <w:sz w:val="24"/>
          <w:szCs w:val="24"/>
        </w:rPr>
        <w:t>工程承包范围：</w:t>
      </w:r>
    </w:p>
    <w:p w14:paraId="5EB04FA8">
      <w:pPr>
        <w:spacing w:line="360" w:lineRule="auto"/>
        <w:ind w:firstLine="463"/>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p>
    <w:p w14:paraId="1C6621C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DA6E392">
      <w:pPr>
        <w:pStyle w:val="5"/>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 w:val="0"/>
          <w:color w:val="000000"/>
          <w:sz w:val="24"/>
          <w:szCs w:val="24"/>
        </w:rPr>
        <w:t xml:space="preserve">   </w:t>
      </w:r>
      <w:bookmarkStart w:id="14" w:name="__RefHeading___Toc351203482"/>
      <w:r>
        <w:rPr>
          <w:rFonts w:ascii="Times New Roman" w:hAnsi="Times New Roman" w:cs="Times New Roman"/>
          <w:b w:val="0"/>
          <w:color w:val="000000"/>
          <w:sz w:val="24"/>
          <w:szCs w:val="24"/>
        </w:rPr>
        <w:t>二、合同工期</w:t>
      </w:r>
      <w:bookmarkEnd w:id="14"/>
    </w:p>
    <w:p w14:paraId="728018F2">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计划开工日期：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23F2A69B">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计划竣工日期：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08C98061">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工期总日历天数：</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天。工期总日历天数与根据前述计划开竣工日期计算的工期天数不一致的，以工期总日历天数为准。</w:t>
      </w:r>
    </w:p>
    <w:p w14:paraId="08CCFD40">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15" w:name="__RefHeading___Toc351203483"/>
      <w:r>
        <w:rPr>
          <w:rFonts w:ascii="Times New Roman" w:hAnsi="Times New Roman" w:cs="Times New Roman"/>
          <w:b w:val="0"/>
          <w:color w:val="000000"/>
          <w:sz w:val="24"/>
          <w:szCs w:val="24"/>
        </w:rPr>
        <w:t>三、质量标准</w:t>
      </w:r>
      <w:bookmarkEnd w:id="15"/>
    </w:p>
    <w:p w14:paraId="6970C0A8">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工程质量符合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标准。</w:t>
      </w:r>
    </w:p>
    <w:p w14:paraId="15FC4A98">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6" w:name="__RefHeading___Toc351203484"/>
      <w:r>
        <w:rPr>
          <w:rFonts w:ascii="Times New Roman" w:hAnsi="Times New Roman" w:cs="Times New Roman"/>
          <w:b w:val="0"/>
          <w:color w:val="000000"/>
          <w:sz w:val="24"/>
          <w:szCs w:val="24"/>
        </w:rPr>
        <w:t>四、签约合同价与合同价格形式</w:t>
      </w:r>
      <w:bookmarkEnd w:id="16"/>
      <w:r>
        <w:rPr>
          <w:rFonts w:ascii="Times New Roman" w:hAnsi="Times New Roman" w:eastAsia="黑体" w:cs="Times New Roman"/>
          <w:b w:val="0"/>
          <w:color w:val="000000"/>
          <w:sz w:val="24"/>
          <w:szCs w:val="24"/>
        </w:rPr>
        <w:tab/>
      </w:r>
    </w:p>
    <w:p w14:paraId="55487932">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签约合同价为：</w:t>
      </w:r>
    </w:p>
    <w:p w14:paraId="3A5081E4">
      <w:pPr>
        <w:spacing w:line="360" w:lineRule="auto"/>
        <w:ind w:firstLine="60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CA14B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其中：</w:t>
      </w:r>
    </w:p>
    <w:p w14:paraId="74BD782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）安全文明施工费：</w:t>
      </w:r>
    </w:p>
    <w:p w14:paraId="524EEB8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374D5B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）材料和工程设备暂估价金额：</w:t>
      </w:r>
    </w:p>
    <w:p w14:paraId="7D05497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2714BF1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）专业工程暂估价金额：</w:t>
      </w:r>
    </w:p>
    <w:p w14:paraId="0E416183">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37D57F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）暂列金额：</w:t>
      </w:r>
    </w:p>
    <w:p w14:paraId="31ED8728">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01D3A26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合同价格形式：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F0B5B0F">
      <w:pPr>
        <w:pStyle w:val="5"/>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7" w:name="__RefHeading___Toc351203485"/>
      <w:r>
        <w:rPr>
          <w:rFonts w:ascii="Times New Roman" w:hAnsi="Times New Roman" w:cs="Times New Roman"/>
          <w:b w:val="0"/>
          <w:color w:val="000000"/>
          <w:sz w:val="24"/>
          <w:szCs w:val="24"/>
        </w:rPr>
        <w:t>五、</w:t>
      </w:r>
      <w:bookmarkEnd w:id="17"/>
      <w:r>
        <w:rPr>
          <w:rFonts w:ascii="Times New Roman" w:hAnsi="Times New Roman" w:cs="Times New Roman"/>
          <w:b w:val="0"/>
          <w:color w:val="000000"/>
          <w:sz w:val="24"/>
          <w:szCs w:val="24"/>
        </w:rPr>
        <w:t>项目经理</w:t>
      </w:r>
    </w:p>
    <w:p w14:paraId="45BB324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承包人项目经理：</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8CE231">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8" w:name="__RefHeading___Toc351203486"/>
      <w:r>
        <w:rPr>
          <w:rFonts w:ascii="Times New Roman" w:hAnsi="Times New Roman" w:cs="Times New Roman"/>
          <w:b w:val="0"/>
          <w:color w:val="000000"/>
          <w:sz w:val="24"/>
          <w:szCs w:val="24"/>
        </w:rPr>
        <w:t>六、合同文件构成</w:t>
      </w:r>
      <w:bookmarkEnd w:id="18"/>
    </w:p>
    <w:p w14:paraId="0CC50B1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本协议书与下列文件一起构成合同文件：</w:t>
      </w:r>
    </w:p>
    <w:p w14:paraId="45C92D00">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）成交通知书（如果有）；</w:t>
      </w:r>
    </w:p>
    <w:p w14:paraId="00187CA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）响应函及其附录（如果有）；</w:t>
      </w:r>
      <w:r>
        <w:rPr>
          <w:rFonts w:ascii="Times New Roman" w:hAnsi="Times New Roman" w:eastAsia="Times New Roman" w:cs="Times New Roman"/>
          <w:color w:val="000000"/>
          <w:sz w:val="24"/>
          <w:szCs w:val="24"/>
        </w:rPr>
        <w:t xml:space="preserve"> </w:t>
      </w:r>
    </w:p>
    <w:p w14:paraId="3583C0F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）专用合同条款及其附件；</w:t>
      </w:r>
    </w:p>
    <w:p w14:paraId="57785FF2">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）通用合同条款；</w:t>
      </w:r>
    </w:p>
    <w:p w14:paraId="62F59D5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）技术标准和要求；</w:t>
      </w:r>
    </w:p>
    <w:p w14:paraId="6CFA7E18">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）图纸；</w:t>
      </w:r>
    </w:p>
    <w:p w14:paraId="00F97963">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）已标价工程量清单或预算书；</w:t>
      </w:r>
    </w:p>
    <w:p w14:paraId="69438E26">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）其他合同文件。</w:t>
      </w:r>
    </w:p>
    <w:p w14:paraId="6B43F8E1">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w:t>
      </w:r>
    </w:p>
    <w:p w14:paraId="12FDCAA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上述各项合同文件包括合同当事人就该项合同文件所作出的补充和修改，属于同一类内容的文件，应以最新签署的为准。专用合同条款及其附件须经合同当事人签字或盖章。</w:t>
      </w:r>
    </w:p>
    <w:p w14:paraId="6E8EB8A6">
      <w:pPr>
        <w:pStyle w:val="5"/>
        <w:spacing w:before="120" w:after="120" w:line="360" w:lineRule="auto"/>
        <w:rPr>
          <w:rFonts w:ascii="Times New Roman" w:hAnsi="Times New Roman" w:eastAsia="黑体"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9" w:name="__RefHeading___Toc351203487"/>
      <w:r>
        <w:rPr>
          <w:rFonts w:ascii="Times New Roman" w:hAnsi="Times New Roman" w:cs="Times New Roman"/>
          <w:b w:val="0"/>
          <w:color w:val="000000"/>
          <w:sz w:val="24"/>
          <w:szCs w:val="24"/>
        </w:rPr>
        <w:t>七、承诺</w:t>
      </w:r>
      <w:bookmarkEnd w:id="19"/>
    </w:p>
    <w:p w14:paraId="72CB6F99">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发包人承诺按照法律规定履行项目审批手续、筹集工程建设资金并按照合同约定的期限和方式支付合同价款。</w:t>
      </w:r>
    </w:p>
    <w:p w14:paraId="50026FC1">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承包人承诺按照法律规定及合同约定组织完成工程施工，确保工程质量和安全，不进行转包及违法分包，并在缺陷责任期及保修期内承担相应的工程维修责任。</w:t>
      </w:r>
    </w:p>
    <w:p w14:paraId="74CC4EA2">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发包人和承包人通过采购形式签订合同的，双方理解并承诺不再就同一工程另行签订与合同实质性内容相背离的协议。</w:t>
      </w:r>
    </w:p>
    <w:p w14:paraId="04A22D54">
      <w:pPr>
        <w:spacing w:line="360" w:lineRule="auto"/>
        <w:rPr>
          <w:rFonts w:ascii="Times New Roman" w:hAnsi="Times New Roman" w:eastAsia="黑体" w:cs="Times New Roman"/>
          <w:bCs/>
          <w:color w:val="000000"/>
          <w:sz w:val="24"/>
          <w:szCs w:val="24"/>
        </w:rPr>
      </w:pPr>
      <w:bookmarkStart w:id="20" w:name="__RefHeading___Toc351203488"/>
      <w:bookmarkEnd w:id="20"/>
      <w:r>
        <w:rPr>
          <w:rFonts w:eastAsia="Times New Roman" w:cs="Times New Roman"/>
          <w:b/>
          <w:color w:val="000000"/>
          <w:sz w:val="24"/>
          <w:szCs w:val="24"/>
        </w:rPr>
        <w:t xml:space="preserve">    </w:t>
      </w:r>
      <w:r>
        <w:rPr>
          <w:rFonts w:ascii="Times New Roman" w:hAnsi="Times New Roman" w:eastAsia="黑体" w:cs="Times New Roman"/>
          <w:b/>
          <w:color w:val="000000"/>
          <w:sz w:val="24"/>
          <w:szCs w:val="24"/>
        </w:rPr>
        <w:t>八、词语含义</w:t>
      </w:r>
    </w:p>
    <w:p w14:paraId="116A39D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本协议书中词语含义与第二部分通用合同条款中赋予的含义相同。</w:t>
      </w:r>
    </w:p>
    <w:p w14:paraId="73A8E7C0">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21" w:name="__RefHeading___Toc351203489"/>
      <w:r>
        <w:rPr>
          <w:rFonts w:ascii="Times New Roman" w:hAnsi="Times New Roman" w:cs="Times New Roman"/>
          <w:b w:val="0"/>
          <w:color w:val="000000"/>
          <w:sz w:val="24"/>
          <w:szCs w:val="24"/>
        </w:rPr>
        <w:t>九、签订时间</w:t>
      </w:r>
      <w:bookmarkEnd w:id="21"/>
    </w:p>
    <w:p w14:paraId="76DC1057">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本合同于</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年</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月</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日签订。</w:t>
      </w:r>
    </w:p>
    <w:p w14:paraId="065710DD">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2" w:name="__RefHeading___Toc351203490"/>
      <w:r>
        <w:rPr>
          <w:rFonts w:ascii="Times New Roman" w:hAnsi="Times New Roman" w:cs="Times New Roman"/>
          <w:b w:val="0"/>
          <w:color w:val="000000"/>
          <w:sz w:val="24"/>
          <w:szCs w:val="24"/>
        </w:rPr>
        <w:t>十、签订地点</w:t>
      </w:r>
      <w:bookmarkEnd w:id="22"/>
    </w:p>
    <w:p w14:paraId="1F3B0D68">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本合同在</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签订。</w:t>
      </w:r>
    </w:p>
    <w:p w14:paraId="6FD73A2D">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3" w:name="__RefHeading___Toc351203491"/>
      <w:r>
        <w:rPr>
          <w:rFonts w:ascii="Times New Roman" w:hAnsi="Times New Roman" w:cs="Times New Roman"/>
          <w:b w:val="0"/>
          <w:color w:val="000000"/>
          <w:sz w:val="24"/>
          <w:szCs w:val="24"/>
        </w:rPr>
        <w:t>十一、补充协议</w:t>
      </w:r>
      <w:bookmarkEnd w:id="23"/>
    </w:p>
    <w:p w14:paraId="362320E1">
      <w:pPr>
        <w:spacing w:line="360" w:lineRule="auto"/>
        <w:ind w:firstLine="480"/>
        <w:rPr>
          <w:rFonts w:ascii="Times New Roman" w:hAnsi="Times New Roman" w:eastAsia="仿宋_GB2312;仿宋" w:cs="Times New Roman"/>
          <w:b/>
          <w:bCs/>
          <w:color w:val="000000"/>
          <w:sz w:val="24"/>
          <w:szCs w:val="24"/>
        </w:rPr>
      </w:pPr>
      <w:r>
        <w:rPr>
          <w:rFonts w:ascii="Times New Roman" w:hAnsi="Times New Roman" w:eastAsia="仿宋_GB2312;仿宋" w:cs="Times New Roman"/>
          <w:bCs/>
          <w:color w:val="000000"/>
          <w:sz w:val="24"/>
          <w:szCs w:val="24"/>
        </w:rPr>
        <w:t>合同未尽事宜，合同当事人另行签订补充协议，补充协议是合同的组成部分。</w:t>
      </w:r>
    </w:p>
    <w:p w14:paraId="3797F18C">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4" w:name="__RefHeading___Toc351203492"/>
      <w:r>
        <w:rPr>
          <w:rFonts w:ascii="Times New Roman" w:hAnsi="Times New Roman" w:cs="Times New Roman"/>
          <w:b w:val="0"/>
          <w:color w:val="000000"/>
          <w:sz w:val="24"/>
          <w:szCs w:val="24"/>
        </w:rPr>
        <w:t>十二、合同生效</w:t>
      </w:r>
      <w:bookmarkEnd w:id="24"/>
    </w:p>
    <w:p w14:paraId="5932A87F">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本合同自</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生效。</w:t>
      </w:r>
    </w:p>
    <w:p w14:paraId="22EA9B1C">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5" w:name="__RefHeading___Toc351203493"/>
      <w:r>
        <w:rPr>
          <w:rFonts w:ascii="Times New Roman" w:hAnsi="Times New Roman" w:cs="Times New Roman"/>
          <w:b w:val="0"/>
          <w:color w:val="000000"/>
          <w:sz w:val="24"/>
          <w:szCs w:val="24"/>
        </w:rPr>
        <w:t>十三、合同份数</w:t>
      </w:r>
      <w:bookmarkEnd w:id="25"/>
    </w:p>
    <w:p w14:paraId="024681E1">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本合同一式</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份，均具有同等法律效力，发包人执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份，承包人执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w:t>
      </w:r>
    </w:p>
    <w:p w14:paraId="02284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p>
    <w:p w14:paraId="17FB722E">
      <w:pPr>
        <w:spacing w:line="360" w:lineRule="auto"/>
        <w:rPr>
          <w:rFonts w:ascii="Times New Roman" w:hAnsi="Times New Roman" w:eastAsia="仿宋_GB2312;仿宋" w:cs="Times New Roman"/>
          <w:color w:val="000000"/>
          <w:sz w:val="24"/>
          <w:szCs w:val="24"/>
          <w:u w:val="single"/>
        </w:rPr>
      </w:pPr>
      <w:r>
        <w:rPr>
          <w:rFonts w:eastAsia="Times New Roman" w:cs="Times New Roman"/>
          <w:color w:val="000000"/>
          <w:sz w:val="24"/>
          <w:szCs w:val="24"/>
        </w:rPr>
        <w:t xml:space="preserve">                              </w:t>
      </w:r>
    </w:p>
    <w:p w14:paraId="544F5F0E">
      <w:pPr>
        <w:spacing w:line="360" w:lineRule="auto"/>
        <w:rPr>
          <w:rFonts w:ascii="Times New Roman" w:hAnsi="Times New Roman" w:eastAsia="仿宋_GB2312;仿宋" w:cs="Times New Roman"/>
          <w:color w:val="000000"/>
          <w:sz w:val="24"/>
          <w:szCs w:val="24"/>
          <w:u w:val="single"/>
        </w:rPr>
      </w:pPr>
    </w:p>
    <w:p w14:paraId="0606A03A">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法定代表人或其委托代理人：</w:t>
      </w:r>
    </w:p>
    <w:p w14:paraId="2FDA76E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（签字）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（签字）</w:t>
      </w:r>
    </w:p>
    <w:p w14:paraId="139D7A39">
      <w:pPr>
        <w:tabs>
          <w:tab w:val="left" w:pos="4410"/>
        </w:tabs>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DCC84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4AEF84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85E5A1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1094861">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ACE439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0CDDE878">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9615D4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1D03077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F9EC00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33DE770F">
      <w:pPr>
        <w:pStyle w:val="4"/>
        <w:jc w:val="center"/>
        <w:rPr>
          <w:rFonts w:ascii="华文中宋;宋体" w:hAnsi="华文中宋;宋体" w:eastAsia="华文中宋;宋体" w:cs="华文中宋;宋体"/>
          <w:sz w:val="36"/>
          <w:szCs w:val="36"/>
        </w:rPr>
      </w:pPr>
      <w:bookmarkStart w:id="26" w:name="__RefHeading___Toc351203494"/>
      <w:bookmarkEnd w:id="26"/>
      <w:r>
        <w:rPr>
          <w:rFonts w:ascii="华文中宋;宋体" w:hAnsi="华文中宋;宋体" w:eastAsia="华文中宋;宋体" w:cs="华文中宋;宋体"/>
          <w:sz w:val="36"/>
          <w:szCs w:val="36"/>
        </w:rPr>
        <w:t>第二部分 通用合同条款</w:t>
      </w:r>
    </w:p>
    <w:p w14:paraId="2FB964FA">
      <w:pPr>
        <w:pStyle w:val="5"/>
        <w:spacing w:before="120" w:after="120" w:line="360" w:lineRule="auto"/>
        <w:rPr>
          <w:rFonts w:ascii="Times New Roman" w:hAnsi="Times New Roman" w:eastAsia="黑体" w:cs="Times New Roman"/>
          <w:b w:val="0"/>
          <w:color w:val="000000"/>
          <w:sz w:val="24"/>
          <w:szCs w:val="24"/>
        </w:rPr>
      </w:pPr>
      <w:bookmarkStart w:id="27" w:name="__RefHeading___Toc351203495"/>
      <w:bookmarkEnd w:id="27"/>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672E24E3">
      <w:pPr>
        <w:pStyle w:val="6"/>
        <w:spacing w:before="120" w:after="120" w:line="360" w:lineRule="auto"/>
        <w:ind w:firstLine="480"/>
        <w:rPr>
          <w:rFonts w:ascii="Times New Roman" w:hAnsi="Times New Roman" w:eastAsia="黑体" w:cs="Times New Roman"/>
          <w:b w:val="0"/>
          <w:color w:val="000000"/>
          <w:sz w:val="24"/>
          <w:szCs w:val="24"/>
        </w:rPr>
      </w:pPr>
      <w:bookmarkStart w:id="28" w:name="__RefHeading___Toc351203496"/>
      <w:bookmarkEnd w:id="28"/>
      <w:r>
        <w:rPr>
          <w:rFonts w:eastAsia="黑体" w:cs="Times New Roman"/>
          <w:b w:val="0"/>
          <w:color w:val="000000"/>
          <w:sz w:val="24"/>
          <w:szCs w:val="24"/>
        </w:rPr>
        <w:t>1.1</w:t>
      </w:r>
      <w:r>
        <w:rPr>
          <w:rFonts w:ascii="Times New Roman" w:hAnsi="Times New Roman" w:eastAsia="黑体" w:cs="Times New Roman"/>
          <w:b w:val="0"/>
          <w:color w:val="000000"/>
          <w:sz w:val="24"/>
          <w:szCs w:val="24"/>
        </w:rPr>
        <w:t>词语定义与解释</w:t>
      </w:r>
    </w:p>
    <w:p w14:paraId="192727A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合同协议书、通用合同条款、专用合同条款中的下列词语具有本款所赋予的含义：</w:t>
      </w:r>
    </w:p>
    <w:p w14:paraId="5F387E5F">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1.1.1 </w:t>
      </w:r>
      <w:r>
        <w:rPr>
          <w:rFonts w:ascii="Times New Roman" w:hAnsi="Times New Roman" w:eastAsia="仿宋_GB2312;仿宋" w:cs="Times New Roman"/>
          <w:color w:val="000000"/>
          <w:kern w:val="0"/>
          <w:sz w:val="24"/>
          <w:szCs w:val="24"/>
        </w:rPr>
        <w:t>合同</w:t>
      </w:r>
    </w:p>
    <w:p w14:paraId="735DA0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合同：是指根据法律规定和合同当事人约定具有约束力的文件，构成合同的文件包括合同协议书、成交通知书（如果有）、响应函及其附录（如果有）、专用合同条款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、通用合同条款、技术标准和要求、图纸、已标价工程量清单或预算书以及其他合同文件。</w:t>
      </w:r>
    </w:p>
    <w:p w14:paraId="7084066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合同协议书：是指构成合同的由发包人和承包人共同签署的称为“合同协议书”的书面文件。</w:t>
      </w:r>
    </w:p>
    <w:p w14:paraId="03C47F4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成交通知书：是指构成合同的由发包人通知承包人成交的书面文件。</w:t>
      </w:r>
    </w:p>
    <w:p w14:paraId="7991D2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1.1.1.4 </w:t>
      </w:r>
      <w:r>
        <w:rPr>
          <w:rFonts w:ascii="Times New Roman" w:hAnsi="Times New Roman" w:eastAsia="仿宋_GB2312;仿宋" w:cs="Times New Roman"/>
          <w:color w:val="000000"/>
          <w:kern w:val="0"/>
          <w:sz w:val="24"/>
          <w:szCs w:val="24"/>
        </w:rPr>
        <w:t>响应函：是指构成合同的由承包人填写并签署的用于响应的称为“响应函”的文件。</w:t>
      </w:r>
    </w:p>
    <w:p w14:paraId="53AA16D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1.1.1.5 </w:t>
      </w:r>
      <w:r>
        <w:rPr>
          <w:rFonts w:ascii="Times New Roman" w:hAnsi="Times New Roman" w:eastAsia="仿宋_GB2312;仿宋" w:cs="Times New Roman"/>
          <w:color w:val="000000"/>
          <w:kern w:val="0"/>
          <w:sz w:val="24"/>
          <w:szCs w:val="24"/>
        </w:rPr>
        <w:t>响应函附录：是指构成合同的附在响应函后的称为“响应函附录”的文件。</w:t>
      </w:r>
    </w:p>
    <w:p w14:paraId="179B8E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1.1.1.6 </w:t>
      </w:r>
      <w:r>
        <w:rPr>
          <w:rFonts w:ascii="Times New Roman" w:hAnsi="Times New Roman" w:eastAsia="仿宋_GB2312;仿宋" w:cs="Times New Roman"/>
          <w:color w:val="000000"/>
          <w:kern w:val="0"/>
          <w:sz w:val="24"/>
          <w:szCs w:val="24"/>
        </w:rPr>
        <w:t>技术标准和要求：是指构成合同的施工应当遵守的或指导施工的国家、行业或地方的技术标准和要求，以及合同约定的技术标准和要求。</w:t>
      </w:r>
    </w:p>
    <w:p w14:paraId="2C5B2B8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1.1.1.7 </w:t>
      </w:r>
      <w:r>
        <w:rPr>
          <w:rFonts w:ascii="Times New Roman" w:hAnsi="Times New Roman" w:eastAsia="仿宋_GB2312;仿宋" w:cs="Times New Roman"/>
          <w:color w:val="000000"/>
          <w:kern w:val="0"/>
          <w:sz w:val="24"/>
          <w:szCs w:val="24"/>
        </w:rPr>
        <w:t>图纸：是指构成合同的图纸，包括由发包人按照合同约定提供或经发包人批准的设计文件、施工图、鸟瞰图及模型等，以及在合同履行过程中形成的图纸文件。图纸应当按照法律规定审查合格。</w:t>
      </w:r>
    </w:p>
    <w:p w14:paraId="624F1E0E">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1.1.1.8 </w:t>
      </w:r>
      <w:r>
        <w:rPr>
          <w:rFonts w:ascii="Times New Roman" w:hAnsi="Times New Roman" w:eastAsia="仿宋_GB2312;仿宋" w:cs="Times New Roman"/>
          <w:color w:val="000000"/>
          <w:kern w:val="0"/>
          <w:sz w:val="24"/>
          <w:szCs w:val="24"/>
        </w:rPr>
        <w:t>已标价工程量清单：是指构成合同的由承包人按照规定的格式和要求填写并标明价格的工程量清单，包括说明和表格。</w:t>
      </w:r>
    </w:p>
    <w:p w14:paraId="2D6B0BF4">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1.1.1.9 </w:t>
      </w:r>
      <w:r>
        <w:rPr>
          <w:rFonts w:ascii="Times New Roman" w:hAnsi="Times New Roman" w:eastAsia="仿宋_GB2312;仿宋" w:cs="Times New Roman"/>
          <w:color w:val="000000"/>
          <w:kern w:val="0"/>
          <w:sz w:val="24"/>
          <w:szCs w:val="24"/>
        </w:rPr>
        <w:t>预算书：是指构成合同的由承包人按照发包人规定的格式和要求编制的工程预算文件。</w:t>
      </w:r>
    </w:p>
    <w:p w14:paraId="39E1249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1.1.1.10 </w:t>
      </w:r>
      <w:r>
        <w:rPr>
          <w:rFonts w:ascii="Times New Roman" w:hAnsi="Times New Roman" w:eastAsia="仿宋_GB2312;仿宋" w:cs="Times New Roman"/>
          <w:color w:val="000000"/>
          <w:kern w:val="0"/>
          <w:sz w:val="24"/>
          <w:szCs w:val="24"/>
        </w:rPr>
        <w:t>其他合同文件：是指经合同当事人约定的与工程施工有关的具有合同约束力的文件或书面协议。合同当事人可以在专用合同条款中进行约定。</w:t>
      </w:r>
    </w:p>
    <w:p w14:paraId="4D917C85">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1.1.2 </w:t>
      </w:r>
      <w:r>
        <w:rPr>
          <w:rFonts w:ascii="Times New Roman" w:hAnsi="Times New Roman" w:eastAsia="仿宋_GB2312;仿宋" w:cs="Times New Roman"/>
          <w:color w:val="000000"/>
          <w:kern w:val="0"/>
          <w:sz w:val="24"/>
          <w:szCs w:val="24"/>
        </w:rPr>
        <w:t>合同当事人及其他相关方</w:t>
      </w:r>
    </w:p>
    <w:p w14:paraId="51CC469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1.1.2.1 </w:t>
      </w:r>
      <w:r>
        <w:rPr>
          <w:rFonts w:ascii="Times New Roman" w:hAnsi="Times New Roman" w:eastAsia="仿宋_GB2312;仿宋" w:cs="Times New Roman"/>
          <w:color w:val="000000"/>
          <w:kern w:val="0"/>
          <w:sz w:val="24"/>
          <w:szCs w:val="24"/>
        </w:rPr>
        <w:t>合同当事人：是指发包人和（或）承包人。</w:t>
      </w:r>
    </w:p>
    <w:p w14:paraId="6CA512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1.1.2.2 </w:t>
      </w:r>
      <w:r>
        <w:rPr>
          <w:rFonts w:ascii="Times New Roman" w:hAnsi="Times New Roman" w:eastAsia="仿宋_GB2312;仿宋" w:cs="Times New Roman"/>
          <w:color w:val="000000"/>
          <w:kern w:val="0"/>
          <w:sz w:val="24"/>
          <w:szCs w:val="24"/>
        </w:rPr>
        <w:t>发包人：是指与承包人签订合同协议书的当事人及取得该当事人资格的合法继承人。</w:t>
      </w:r>
    </w:p>
    <w:p w14:paraId="4A4CD6F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1.1.2.3 </w:t>
      </w:r>
      <w:r>
        <w:rPr>
          <w:rFonts w:ascii="Times New Roman" w:hAnsi="Times New Roman" w:eastAsia="仿宋_GB2312;仿宋" w:cs="Times New Roman"/>
          <w:color w:val="000000"/>
          <w:kern w:val="0"/>
          <w:sz w:val="24"/>
          <w:szCs w:val="24"/>
        </w:rPr>
        <w:t>承包人：是指与发包人签订合同协议书的，具有相应工程施工承包资质的当事人及取得该当事人资格的合法继承人。</w:t>
      </w:r>
    </w:p>
    <w:p w14:paraId="06BF081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1.1.2.4 </w:t>
      </w:r>
      <w:r>
        <w:rPr>
          <w:rFonts w:ascii="Times New Roman" w:hAnsi="Times New Roman" w:eastAsia="仿宋_GB2312;仿宋" w:cs="Times New Roman"/>
          <w:color w:val="000000"/>
          <w:kern w:val="0"/>
          <w:sz w:val="24"/>
          <w:szCs w:val="24"/>
        </w:rPr>
        <w:t>监理人：是指在专用合同条款中指明的，受发包人委托按照法律规定进行工程监督管理的法人或其他组织。</w:t>
      </w:r>
    </w:p>
    <w:p w14:paraId="2D79812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1.1.2.5 </w:t>
      </w:r>
      <w:r>
        <w:rPr>
          <w:rFonts w:ascii="Times New Roman" w:hAnsi="Times New Roman" w:eastAsia="仿宋_GB2312;仿宋" w:cs="Times New Roman"/>
          <w:color w:val="000000"/>
          <w:kern w:val="0"/>
          <w:sz w:val="24"/>
          <w:szCs w:val="24"/>
        </w:rPr>
        <w:t>设计人：是指在专用合同条款中指明的，受发包人委托负责工程设计并具备相应工程设计资质的法人或其他组织。</w:t>
      </w:r>
    </w:p>
    <w:p w14:paraId="624249A3">
      <w:pPr>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1.1.2.6 </w:t>
      </w:r>
      <w:r>
        <w:rPr>
          <w:rFonts w:ascii="Times New Roman" w:hAnsi="Times New Roman" w:eastAsia="仿宋_GB2312;仿宋" w:cs="Times New Roman"/>
          <w:color w:val="000000"/>
          <w:kern w:val="0"/>
          <w:sz w:val="24"/>
          <w:szCs w:val="24"/>
        </w:rPr>
        <w:t>分包人：</w:t>
      </w:r>
      <w:bookmarkStart w:id="29" w:name="%23go5"/>
      <w:bookmarkEnd w:id="29"/>
      <w:r>
        <w:rPr>
          <w:rFonts w:ascii="Times New Roman" w:hAnsi="Times New Roman" w:eastAsia="仿宋_GB2312;仿宋" w:cs="Times New Roman"/>
          <w:color w:val="000000"/>
          <w:kern w:val="0"/>
          <w:sz w:val="24"/>
          <w:szCs w:val="24"/>
        </w:rPr>
        <w:t>是指按照法律规定和合同约定，分包部分工程或工作，并与承包人签订分包合同的具有相应资质的法人。</w:t>
      </w:r>
    </w:p>
    <w:p w14:paraId="42317CB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1.1.2.7 </w:t>
      </w:r>
      <w:r>
        <w:rPr>
          <w:rFonts w:ascii="Times New Roman" w:hAnsi="Times New Roman" w:eastAsia="仿宋_GB2312;仿宋" w:cs="Times New Roman"/>
          <w:color w:val="000000"/>
          <w:kern w:val="0"/>
          <w:sz w:val="24"/>
          <w:szCs w:val="24"/>
        </w:rPr>
        <w:t>发包人代表：是指由发包人任命并派驻施工现场在发包人授权范围内行使发包人权利的人。</w:t>
      </w:r>
    </w:p>
    <w:p w14:paraId="10A24B2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1.1.2.8 </w:t>
      </w:r>
      <w:r>
        <w:rPr>
          <w:rFonts w:ascii="Times New Roman" w:hAnsi="Times New Roman" w:eastAsia="仿宋_GB2312;仿宋" w:cs="Times New Roman"/>
          <w:color w:val="000000"/>
          <w:kern w:val="0"/>
          <w:sz w:val="24"/>
          <w:szCs w:val="24"/>
        </w:rPr>
        <w:t>项目经理：是指由承包人任命并派驻施工现场，在承包人授权范围内负责合同履行，且按照法律规定具有相应资格的项目负责人。</w:t>
      </w:r>
    </w:p>
    <w:p w14:paraId="7A60B5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1.1.2.9 </w:t>
      </w:r>
      <w:r>
        <w:rPr>
          <w:rFonts w:ascii="Times New Roman" w:hAnsi="Times New Roman" w:eastAsia="仿宋_GB2312;仿宋" w:cs="Times New Roman"/>
          <w:color w:val="000000"/>
          <w:kern w:val="0"/>
          <w:sz w:val="24"/>
          <w:szCs w:val="24"/>
        </w:rPr>
        <w:t>总监理工程师：是指由监理人任命并派驻施工现场进行工程监理的总负责人。</w:t>
      </w:r>
    </w:p>
    <w:p w14:paraId="438867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 </w:t>
      </w:r>
      <w:r>
        <w:rPr>
          <w:rFonts w:ascii="Times New Roman" w:hAnsi="Times New Roman" w:eastAsia="仿宋_GB2312;仿宋" w:cs="Times New Roman"/>
          <w:color w:val="000000"/>
          <w:kern w:val="0"/>
          <w:sz w:val="24"/>
          <w:szCs w:val="24"/>
        </w:rPr>
        <w:t>工程和设备</w:t>
      </w:r>
    </w:p>
    <w:p w14:paraId="40EE1A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 </w:t>
      </w:r>
      <w:r>
        <w:rPr>
          <w:rFonts w:ascii="Times New Roman" w:hAnsi="Times New Roman" w:eastAsia="仿宋_GB2312;仿宋" w:cs="Times New Roman"/>
          <w:color w:val="000000"/>
          <w:kern w:val="0"/>
          <w:sz w:val="24"/>
          <w:szCs w:val="24"/>
        </w:rPr>
        <w:t>工程：是指与合同协议书中工程承包范围对应的永久工程和（或）临时工程。</w:t>
      </w:r>
    </w:p>
    <w:p w14:paraId="5CF1AB8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1.1.3.2 </w:t>
      </w:r>
      <w:r>
        <w:rPr>
          <w:rFonts w:ascii="Times New Roman" w:hAnsi="Times New Roman" w:eastAsia="仿宋_GB2312;仿宋" w:cs="Times New Roman"/>
          <w:color w:val="000000"/>
          <w:kern w:val="0"/>
          <w:sz w:val="24"/>
          <w:szCs w:val="24"/>
        </w:rPr>
        <w:t>永久工程：是指按合同约定建造并移交给发包人的工程，包括工程设备。</w:t>
      </w:r>
    </w:p>
    <w:p w14:paraId="57D9469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1.1.3.3 </w:t>
      </w:r>
      <w:r>
        <w:rPr>
          <w:rFonts w:ascii="Times New Roman" w:hAnsi="Times New Roman" w:eastAsia="仿宋_GB2312;仿宋" w:cs="Times New Roman"/>
          <w:color w:val="000000"/>
          <w:kern w:val="0"/>
          <w:sz w:val="24"/>
          <w:szCs w:val="24"/>
        </w:rPr>
        <w:t>临时工程：是指为完成合同约定的永久工程所修建的各类临时性工程，不包括施工设备。</w:t>
      </w:r>
    </w:p>
    <w:p w14:paraId="64DBBC3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1.1.3.4 </w:t>
      </w:r>
      <w:r>
        <w:rPr>
          <w:rFonts w:ascii="Times New Roman" w:hAnsi="Times New Roman" w:eastAsia="仿宋_GB2312;仿宋" w:cs="Times New Roman"/>
          <w:color w:val="000000"/>
          <w:kern w:val="0"/>
          <w:sz w:val="24"/>
          <w:szCs w:val="24"/>
        </w:rPr>
        <w:t>单位工程：是指在合同协议书中指明的，具备独立施工条件并能形成独立使用功能的永久工程。</w:t>
      </w:r>
    </w:p>
    <w:p w14:paraId="259ABDF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1.1.3.5 </w:t>
      </w:r>
      <w:r>
        <w:rPr>
          <w:rFonts w:ascii="Times New Roman" w:hAnsi="Times New Roman" w:eastAsia="仿宋_GB2312;仿宋" w:cs="Times New Roman"/>
          <w:color w:val="000000"/>
          <w:kern w:val="0"/>
          <w:sz w:val="24"/>
          <w:szCs w:val="24"/>
        </w:rPr>
        <w:t>工程设备：是指构成永久工程的机电设备、金属结构设备、仪器及其他类似的设备和装置。</w:t>
      </w:r>
    </w:p>
    <w:p w14:paraId="6AC3916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1.1.3.6 </w:t>
      </w:r>
      <w:r>
        <w:rPr>
          <w:rFonts w:ascii="Times New Roman" w:hAnsi="Times New Roman" w:eastAsia="仿宋_GB2312;仿宋" w:cs="Times New Roman"/>
          <w:color w:val="000000"/>
          <w:kern w:val="0"/>
          <w:sz w:val="24"/>
          <w:szCs w:val="24"/>
        </w:rPr>
        <w:t>施工设备：是指为完成合同约定的各项工作所需的设备、器具和其他物品，但不包括工程设备、临时工程和材料。</w:t>
      </w:r>
    </w:p>
    <w:p w14:paraId="2859A4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1.1.3.7 </w:t>
      </w:r>
      <w:r>
        <w:rPr>
          <w:rFonts w:ascii="Times New Roman" w:hAnsi="Times New Roman" w:eastAsia="仿宋_GB2312;仿宋" w:cs="Times New Roman"/>
          <w:color w:val="000000"/>
          <w:kern w:val="0"/>
          <w:sz w:val="24"/>
          <w:szCs w:val="24"/>
        </w:rPr>
        <w:t>施工现场：是指用于工程施工的场所，以及在专用合同条款中指明作为施工场所组成部分的其他场所，包括永久占地和临时占地。</w:t>
      </w:r>
    </w:p>
    <w:p w14:paraId="323088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1.1.3.8</w:t>
      </w:r>
      <w:r>
        <w:rPr>
          <w:rFonts w:ascii="Times New Roman" w:hAnsi="Times New Roman" w:eastAsia="仿宋_GB2312;仿宋" w:cs="Times New Roman"/>
          <w:color w:val="000000"/>
          <w:kern w:val="0"/>
          <w:sz w:val="24"/>
          <w:szCs w:val="24"/>
        </w:rPr>
        <w:t>临时设施：是指为完成合同约定的各项工作所服务的临时性生产和生活设施。</w:t>
      </w:r>
    </w:p>
    <w:p w14:paraId="6884676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永久占地：是指专用合同条款中指明为实施工程需永久占用的土地。</w:t>
      </w:r>
    </w:p>
    <w:p w14:paraId="1DF5CDC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临时占地：是指专用合同条款中指明为实施工程需要临时占用的土地。</w:t>
      </w:r>
    </w:p>
    <w:p w14:paraId="505A6BE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 </w:t>
      </w:r>
      <w:r>
        <w:rPr>
          <w:rFonts w:ascii="Times New Roman" w:hAnsi="Times New Roman" w:eastAsia="仿宋_GB2312;仿宋" w:cs="Times New Roman"/>
          <w:color w:val="000000"/>
          <w:kern w:val="0"/>
          <w:sz w:val="24"/>
          <w:szCs w:val="24"/>
        </w:rPr>
        <w:t>日期和期限</w:t>
      </w:r>
    </w:p>
    <w:p w14:paraId="5EC202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1.1.4.1 </w:t>
      </w:r>
      <w:r>
        <w:rPr>
          <w:rFonts w:ascii="Times New Roman" w:hAnsi="Times New Roman" w:eastAsia="仿宋_GB2312;仿宋" w:cs="Times New Roman"/>
          <w:color w:val="000000"/>
          <w:kern w:val="0"/>
          <w:sz w:val="24"/>
          <w:szCs w:val="24"/>
        </w:rPr>
        <w:t>开工日期：包括计划开工日期和实际开工日期。计划开工日期是指合同协议书约定的开工日期；实际开工日期是指监理人按照第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项〔开工通知〕约定发出的符合法律规定的开工通知中载明的开工日期。</w:t>
      </w:r>
    </w:p>
    <w:p w14:paraId="10F89AD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1.1.4.2 </w:t>
      </w:r>
      <w:r>
        <w:rPr>
          <w:rFonts w:ascii="Times New Roman" w:hAnsi="Times New Roman" w:eastAsia="仿宋_GB2312;仿宋" w:cs="Times New Roman"/>
          <w:color w:val="000000"/>
          <w:kern w:val="0"/>
          <w:sz w:val="24"/>
          <w:szCs w:val="24"/>
        </w:rPr>
        <w:t>竣工日期：包括计划竣工日期和实际竣工日期。计划竣工日期是指合同协议书约定的竣工日期；实际竣工日期按照第</w:t>
      </w: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项〔竣工日期〕的约定确定。</w:t>
      </w:r>
      <w:r>
        <w:rPr>
          <w:rFonts w:ascii="Times New Roman" w:hAnsi="Times New Roman" w:eastAsia="Times New Roman" w:cs="Times New Roman"/>
          <w:color w:val="000000"/>
          <w:kern w:val="0"/>
          <w:sz w:val="24"/>
          <w:szCs w:val="24"/>
        </w:rPr>
        <w:t xml:space="preserve"> </w:t>
      </w:r>
    </w:p>
    <w:p w14:paraId="4C21E536">
      <w:pPr>
        <w:spacing w:line="360" w:lineRule="auto"/>
        <w:ind w:firstLine="487"/>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1.1.4.3 </w:t>
      </w:r>
      <w:r>
        <w:rPr>
          <w:rFonts w:ascii="Times New Roman" w:hAnsi="Times New Roman" w:eastAsia="仿宋_GB2312;仿宋" w:cs="Times New Roman"/>
          <w:color w:val="000000"/>
          <w:kern w:val="0"/>
          <w:sz w:val="24"/>
          <w:szCs w:val="24"/>
        </w:rPr>
        <w:t>工期：是指在合同协议书约定的承包人完成工程所需的期限，包括按照合同约定所作的期限变更。</w:t>
      </w:r>
    </w:p>
    <w:p w14:paraId="64638B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1.1.4.4 </w:t>
      </w:r>
      <w:r>
        <w:rPr>
          <w:rFonts w:ascii="Times New Roman" w:hAnsi="Times New Roman" w:eastAsia="仿宋_GB2312;仿宋" w:cs="Times New Roman"/>
          <w:color w:val="000000"/>
          <w:kern w:val="0"/>
          <w:sz w:val="24"/>
          <w:szCs w:val="24"/>
        </w:rPr>
        <w:t>缺陷责任期：是指承包人按照合同约定承担缺陷修复义务，且发包人预留质量保证金</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已缴纳履约保证金的除外</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的期限，自工程实际竣工日期起计算。</w:t>
      </w:r>
    </w:p>
    <w:p w14:paraId="0C4F81F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1.1.4.5 </w:t>
      </w:r>
      <w:r>
        <w:rPr>
          <w:rFonts w:ascii="Times New Roman" w:hAnsi="Times New Roman" w:eastAsia="仿宋_GB2312;仿宋" w:cs="Times New Roman"/>
          <w:color w:val="000000"/>
          <w:kern w:val="0"/>
          <w:sz w:val="24"/>
          <w:szCs w:val="24"/>
        </w:rPr>
        <w:t>保修期：是指承包人按照合同约定对工程承担保修责任的期限，从工程竣工验收合格之日起计算。</w:t>
      </w:r>
    </w:p>
    <w:p w14:paraId="6815D8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1.1.4.6 </w:t>
      </w:r>
      <w:r>
        <w:rPr>
          <w:rFonts w:ascii="Times New Roman" w:hAnsi="Times New Roman" w:eastAsia="仿宋_GB2312;仿宋" w:cs="Times New Roman"/>
          <w:color w:val="000000"/>
          <w:kern w:val="0"/>
          <w:sz w:val="24"/>
          <w:szCs w:val="24"/>
        </w:rPr>
        <w:t>基准日期：采购发包的工程以响应文件递交截止日前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天的日期为基准日期，直接发包的工程以合同签订日前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w:t>
      </w:r>
    </w:p>
    <w:p w14:paraId="67F3445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1.1.4.7 </w:t>
      </w:r>
      <w:r>
        <w:rPr>
          <w:rFonts w:ascii="Times New Roman" w:hAnsi="Times New Roman" w:eastAsia="仿宋_GB2312;仿宋" w:cs="Times New Roman"/>
          <w:color w:val="000000"/>
          <w:kern w:val="0"/>
          <w:sz w:val="24"/>
          <w:szCs w:val="24"/>
        </w:rPr>
        <w:t>天：除特别指明外，均指日历天。合同中按天计算时间的，开始当天不计入，从次日开始计算，期限最后一天的截止时间为当天</w:t>
      </w:r>
      <w:r>
        <w:rPr>
          <w:rFonts w:eastAsia="仿宋_GB2312;仿宋" w:cs="Times New Roman"/>
          <w:color w:val="000000"/>
          <w:kern w:val="0"/>
          <w:sz w:val="24"/>
          <w:szCs w:val="24"/>
        </w:rPr>
        <w:t>24:00</w:t>
      </w:r>
      <w:r>
        <w:rPr>
          <w:rFonts w:ascii="Times New Roman" w:hAnsi="Times New Roman" w:eastAsia="仿宋_GB2312;仿宋" w:cs="Times New Roman"/>
          <w:color w:val="000000"/>
          <w:kern w:val="0"/>
          <w:sz w:val="24"/>
          <w:szCs w:val="24"/>
        </w:rPr>
        <w:t>时。</w:t>
      </w:r>
    </w:p>
    <w:p w14:paraId="44CF75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 </w:t>
      </w:r>
      <w:r>
        <w:rPr>
          <w:rFonts w:ascii="Times New Roman" w:hAnsi="Times New Roman" w:eastAsia="仿宋_GB2312;仿宋" w:cs="Times New Roman"/>
          <w:color w:val="000000"/>
          <w:kern w:val="0"/>
          <w:sz w:val="24"/>
          <w:szCs w:val="24"/>
        </w:rPr>
        <w:t>合同价格和费用</w:t>
      </w:r>
    </w:p>
    <w:p w14:paraId="4D4DAB5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1.1.5.1 </w:t>
      </w:r>
      <w:r>
        <w:rPr>
          <w:rFonts w:ascii="Times New Roman" w:hAnsi="Times New Roman" w:eastAsia="仿宋_GB2312;仿宋" w:cs="Times New Roman"/>
          <w:color w:val="000000"/>
          <w:kern w:val="0"/>
          <w:sz w:val="24"/>
          <w:szCs w:val="24"/>
        </w:rPr>
        <w:t>签约合同价：是指</w:t>
      </w:r>
      <w:r>
        <w:rPr>
          <w:rFonts w:ascii="Times New Roman" w:hAnsi="Times New Roman" w:eastAsia="仿宋_GB2312;仿宋" w:cs="Times New Roman"/>
          <w:color w:val="000000"/>
          <w:sz w:val="24"/>
          <w:szCs w:val="24"/>
        </w:rPr>
        <w:t>发包人和承包人在合同协议书中确定的总金额，包括安全文明施工费、暂估价及暂列金额等。</w:t>
      </w:r>
    </w:p>
    <w:p w14:paraId="560B437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1.1.5.2 </w:t>
      </w:r>
      <w:r>
        <w:rPr>
          <w:rFonts w:ascii="Times New Roman" w:hAnsi="Times New Roman" w:eastAsia="仿宋_GB2312;仿宋" w:cs="Times New Roman"/>
          <w:color w:val="000000"/>
          <w:kern w:val="0"/>
          <w:sz w:val="24"/>
          <w:szCs w:val="24"/>
        </w:rPr>
        <w:t>合同价格：是指发包人用于支付承包人按照合同约定完成承包范围内全部工作的金额，包括合同履行过程中按合同约定发生的价格变化。</w:t>
      </w:r>
    </w:p>
    <w:p w14:paraId="6D230E8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1.1.5.3 </w:t>
      </w:r>
      <w:r>
        <w:rPr>
          <w:rFonts w:ascii="Times New Roman" w:hAnsi="Times New Roman" w:eastAsia="仿宋_GB2312;仿宋" w:cs="Times New Roman"/>
          <w:color w:val="000000"/>
          <w:kern w:val="0"/>
          <w:sz w:val="24"/>
          <w:szCs w:val="24"/>
        </w:rPr>
        <w:t>费用：是指为履行合同所发生的或将要发生的所有必需的开支，包括管理费和应分摊的其他费用，但不包括利润。</w:t>
      </w:r>
    </w:p>
    <w:p w14:paraId="13B328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1.1.5.4 </w:t>
      </w:r>
      <w:r>
        <w:rPr>
          <w:rFonts w:ascii="Times New Roman" w:hAnsi="Times New Roman" w:eastAsia="仿宋_GB2312;仿宋" w:cs="Times New Roman"/>
          <w:color w:val="000000"/>
          <w:kern w:val="0"/>
          <w:sz w:val="24"/>
          <w:szCs w:val="24"/>
        </w:rPr>
        <w:t>暂估价：是指发包人在工程量清单或预算书中提供的用于支付必然发生但暂时不能确定价格的材料、工程设备的单价、专业工程以及服务工作的金额。</w:t>
      </w:r>
    </w:p>
    <w:p w14:paraId="30F7C85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1.1.5.5 </w:t>
      </w:r>
      <w:r>
        <w:rPr>
          <w:rFonts w:ascii="Times New Roman" w:hAnsi="Times New Roman" w:eastAsia="仿宋_GB2312;仿宋" w:cs="Times New Roman"/>
          <w:color w:val="000000"/>
          <w:kern w:val="0"/>
          <w:sz w:val="24"/>
          <w:szCs w:val="24"/>
        </w:rPr>
        <w:t>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03C34A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1.1.5.6 </w:t>
      </w:r>
      <w:r>
        <w:rPr>
          <w:rFonts w:ascii="Times New Roman" w:hAnsi="Times New Roman" w:eastAsia="仿宋_GB2312;仿宋" w:cs="Times New Roman"/>
          <w:color w:val="000000"/>
          <w:kern w:val="0"/>
          <w:sz w:val="24"/>
          <w:szCs w:val="24"/>
        </w:rPr>
        <w:t>计日工：是指合同履行过程中，承包人完成发包人提出的零星工作或需要采用计日工计价的变更工作时，按合同中约定的单价计价的一种方式。</w:t>
      </w:r>
    </w:p>
    <w:p w14:paraId="5DD69CF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1.1.5.7 </w:t>
      </w:r>
      <w:r>
        <w:rPr>
          <w:rFonts w:ascii="Times New Roman" w:hAnsi="Times New Roman" w:eastAsia="仿宋_GB2312;仿宋" w:cs="Times New Roman"/>
          <w:color w:val="000000"/>
          <w:kern w:val="0"/>
          <w:sz w:val="24"/>
          <w:szCs w:val="24"/>
        </w:rPr>
        <w:t>质量保证金</w:t>
      </w:r>
      <w:bookmarkStart w:id="30" w:name="%23go2"/>
      <w:bookmarkEnd w:id="30"/>
      <w:r>
        <w:rPr>
          <w:rFonts w:ascii="Times New Roman" w:hAnsi="Times New Roman" w:eastAsia="仿宋_GB2312;仿宋" w:cs="Times New Roman"/>
          <w:color w:val="000000"/>
          <w:kern w:val="0"/>
          <w:sz w:val="24"/>
          <w:szCs w:val="24"/>
        </w:rPr>
        <w:t>：是指按照第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款〔质量保证金〕约定承包人用于保证其在缺陷责任期内履行缺陷修补义务的担保</w:t>
      </w:r>
      <w:r>
        <w:rPr>
          <w:rFonts w:ascii="Times New Roman" w:hAnsi="Times New Roman" w:eastAsia="仿宋_GB2312;仿宋" w:cs="Times New Roman"/>
          <w:color w:val="000000"/>
          <w:sz w:val="24"/>
          <w:szCs w:val="24"/>
        </w:rPr>
        <w:t>。</w:t>
      </w:r>
    </w:p>
    <w:p w14:paraId="739517F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1.1.5.8 </w:t>
      </w:r>
      <w:r>
        <w:rPr>
          <w:rFonts w:ascii="Times New Roman" w:hAnsi="Times New Roman" w:eastAsia="仿宋_GB2312;仿宋" w:cs="Times New Roman"/>
          <w:color w:val="000000"/>
          <w:kern w:val="0"/>
          <w:sz w:val="24"/>
          <w:szCs w:val="24"/>
        </w:rPr>
        <w:t>总价项目：是指在现行国家、行业以及地方的计量规则中无工程量计算规则，在已标价工程量清单或预算书中以总价或以费率形式计算的项目。</w:t>
      </w:r>
    </w:p>
    <w:p w14:paraId="2CDC615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 </w:t>
      </w:r>
      <w:r>
        <w:rPr>
          <w:rFonts w:ascii="Times New Roman" w:hAnsi="Times New Roman" w:eastAsia="仿宋_GB2312;仿宋" w:cs="Times New Roman"/>
          <w:color w:val="000000"/>
          <w:sz w:val="24"/>
          <w:szCs w:val="24"/>
        </w:rPr>
        <w:t>其他</w:t>
      </w:r>
    </w:p>
    <w:p w14:paraId="199338CA">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1.1.6.1 </w:t>
      </w:r>
      <w:r>
        <w:rPr>
          <w:rFonts w:ascii="Times New Roman" w:hAnsi="Times New Roman" w:eastAsia="仿宋_GB2312;仿宋" w:cs="Times New Roman"/>
          <w:color w:val="000000"/>
          <w:sz w:val="24"/>
          <w:szCs w:val="24"/>
        </w:rPr>
        <w:t>书面形式：是指合同文件、信函、电报、传真等可以有形地表现所载内容的形式。</w:t>
      </w:r>
    </w:p>
    <w:p w14:paraId="660F91DE">
      <w:pPr>
        <w:pStyle w:val="6"/>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31" w:name="__RefHeading___Toc351203497"/>
      <w:r>
        <w:rPr>
          <w:rFonts w:eastAsia="黑体" w:cs="Times New Roman"/>
          <w:b w:val="0"/>
          <w:color w:val="000000"/>
          <w:sz w:val="24"/>
          <w:szCs w:val="24"/>
        </w:rPr>
        <w:t>1.2</w:t>
      </w:r>
      <w:r>
        <w:rPr>
          <w:rFonts w:ascii="Times New Roman" w:hAnsi="Times New Roman" w:eastAsia="黑体" w:cs="Times New Roman"/>
          <w:b w:val="0"/>
          <w:color w:val="000000"/>
          <w:sz w:val="24"/>
          <w:szCs w:val="24"/>
        </w:rPr>
        <w:t>语言文字</w:t>
      </w:r>
      <w:bookmarkEnd w:id="31"/>
    </w:p>
    <w:p w14:paraId="365C0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合同以中国的汉语简体文字编写、解释和说明。合同当事人在专用合同条款中约定使用两种以上语言时，汉语为优先解释和说明合同的语言。</w:t>
      </w:r>
    </w:p>
    <w:p w14:paraId="43DEF7CE">
      <w:pPr>
        <w:pStyle w:val="6"/>
        <w:spacing w:before="120" w:after="120" w:line="360" w:lineRule="auto"/>
        <w:ind w:firstLine="480"/>
        <w:rPr>
          <w:rFonts w:ascii="Times New Roman" w:hAnsi="Times New Roman" w:eastAsia="黑体" w:cs="Times New Roman"/>
          <w:b w:val="0"/>
          <w:color w:val="000000"/>
          <w:sz w:val="24"/>
          <w:szCs w:val="24"/>
        </w:rPr>
      </w:pPr>
      <w:bookmarkStart w:id="32" w:name="__RefHeading___Toc351203498"/>
      <w:bookmarkEnd w:id="32"/>
      <w:r>
        <w:rPr>
          <w:rFonts w:eastAsia="黑体" w:cs="Times New Roman"/>
          <w:b w:val="0"/>
          <w:color w:val="000000"/>
          <w:sz w:val="24"/>
          <w:szCs w:val="24"/>
        </w:rPr>
        <w:t>1.3</w:t>
      </w:r>
      <w:r>
        <w:rPr>
          <w:rFonts w:ascii="Times New Roman" w:hAnsi="Times New Roman" w:eastAsia="黑体" w:cs="Times New Roman"/>
          <w:b w:val="0"/>
          <w:color w:val="000000"/>
          <w:sz w:val="24"/>
          <w:szCs w:val="24"/>
        </w:rPr>
        <w:t>法律</w:t>
      </w:r>
    </w:p>
    <w:p w14:paraId="0BE2674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合同所称法律是指中华人民共和国法律、行政法规、部门规章，以及工程所在地的地方性法规、自治条例、单行条例和地方政府规章等。</w:t>
      </w:r>
    </w:p>
    <w:p w14:paraId="7F92E1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合同当事人可以在专用合同条款中约定合同适用的其他规范性文件。</w:t>
      </w:r>
    </w:p>
    <w:p w14:paraId="5E6C44D3">
      <w:pPr>
        <w:pStyle w:val="6"/>
        <w:spacing w:before="120" w:after="120" w:line="360" w:lineRule="auto"/>
        <w:ind w:firstLine="480"/>
        <w:rPr>
          <w:rFonts w:ascii="Times New Roman" w:hAnsi="Times New Roman" w:eastAsia="黑体" w:cs="Times New Roman"/>
          <w:b w:val="0"/>
          <w:color w:val="000000"/>
          <w:sz w:val="24"/>
          <w:szCs w:val="24"/>
        </w:rPr>
      </w:pPr>
      <w:bookmarkStart w:id="33" w:name="__RefHeading___Toc351203499"/>
      <w:bookmarkEnd w:id="33"/>
      <w:r>
        <w:rPr>
          <w:rFonts w:eastAsia="黑体" w:cs="Times New Roman"/>
          <w:b w:val="0"/>
          <w:color w:val="000000"/>
          <w:sz w:val="24"/>
          <w:szCs w:val="24"/>
        </w:rPr>
        <w:t xml:space="preserve">1.4 </w:t>
      </w:r>
      <w:r>
        <w:rPr>
          <w:rFonts w:ascii="Times New Roman" w:hAnsi="Times New Roman" w:eastAsia="黑体" w:cs="Times New Roman"/>
          <w:b w:val="0"/>
          <w:color w:val="000000"/>
          <w:sz w:val="24"/>
          <w:szCs w:val="24"/>
        </w:rPr>
        <w:t>标准和规范</w:t>
      </w:r>
    </w:p>
    <w:p w14:paraId="54B31593">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1.4.1 </w:t>
      </w:r>
      <w:r>
        <w:rPr>
          <w:rFonts w:ascii="Times New Roman" w:hAnsi="Times New Roman" w:eastAsia="仿宋_GB2312;仿宋" w:cs="Times New Roman"/>
          <w:color w:val="000000"/>
          <w:kern w:val="0"/>
          <w:sz w:val="24"/>
          <w:szCs w:val="24"/>
        </w:rPr>
        <w:t>适用于工程的国家标准、行业标准、工程所在地的地方性标准，以及相应的规范、规程等，合同当事人有特别要求的，应在专用合同条款中约定。</w:t>
      </w:r>
    </w:p>
    <w:p w14:paraId="1F71F4B6">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发包人要求使用国外标准、规范的，发包人负责提供原文版本和中文译本，并在专用合同条款中约定提供标准规范的名称、份数和时间。</w:t>
      </w:r>
    </w:p>
    <w:p w14:paraId="6A82A96C">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1.4.3 </w:t>
      </w:r>
      <w:r>
        <w:rPr>
          <w:rFonts w:ascii="Times New Roman" w:hAnsi="Times New Roman" w:eastAsia="仿宋_GB2312;仿宋" w:cs="Times New Roman"/>
          <w:color w:val="000000"/>
          <w:kern w:val="0"/>
          <w:sz w:val="24"/>
          <w:szCs w:val="24"/>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33E40DEB">
      <w:pPr>
        <w:pStyle w:val="6"/>
        <w:spacing w:before="120" w:after="120" w:line="360" w:lineRule="auto"/>
        <w:ind w:firstLine="480"/>
        <w:rPr>
          <w:rFonts w:ascii="Times New Roman" w:hAnsi="Times New Roman" w:eastAsia="黑体" w:cs="Times New Roman"/>
          <w:b w:val="0"/>
          <w:color w:val="000000"/>
          <w:sz w:val="24"/>
          <w:szCs w:val="24"/>
        </w:rPr>
      </w:pPr>
      <w:bookmarkStart w:id="34" w:name="__RefHeading___Toc351203500"/>
      <w:bookmarkEnd w:id="34"/>
      <w:r>
        <w:rPr>
          <w:rFonts w:eastAsia="黑体" w:cs="Times New Roman"/>
          <w:b w:val="0"/>
          <w:color w:val="000000"/>
          <w:sz w:val="24"/>
          <w:szCs w:val="24"/>
        </w:rPr>
        <w:t xml:space="preserve">1.5 </w:t>
      </w:r>
      <w:r>
        <w:rPr>
          <w:rFonts w:ascii="Times New Roman" w:hAnsi="Times New Roman" w:eastAsia="黑体" w:cs="Times New Roman"/>
          <w:b w:val="0"/>
          <w:color w:val="000000"/>
          <w:sz w:val="24"/>
          <w:szCs w:val="24"/>
        </w:rPr>
        <w:t>合同文件的优先顺序</w:t>
      </w:r>
    </w:p>
    <w:p w14:paraId="76E1768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组成合同的各项文件应互相解释，互为说明。除专用合同条款另有约定外，解释合同文件的优先顺序如下：</w:t>
      </w:r>
    </w:p>
    <w:p w14:paraId="0D09058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）合同协议书；</w:t>
      </w:r>
    </w:p>
    <w:p w14:paraId="09690F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）成交通知书（如果有）；</w:t>
      </w:r>
    </w:p>
    <w:p w14:paraId="793C2B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）响应函及其附录（如果有）；</w:t>
      </w:r>
    </w:p>
    <w:p w14:paraId="62D22E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w:t>
      </w:r>
    </w:p>
    <w:p w14:paraId="630C4A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）通用合同条款；</w:t>
      </w:r>
    </w:p>
    <w:p w14:paraId="442848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）技术标准和要求；</w:t>
      </w:r>
    </w:p>
    <w:p w14:paraId="480A79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）图纸；</w:t>
      </w:r>
    </w:p>
    <w:p w14:paraId="546F5BC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）已标价工程量清单或预算书；</w:t>
      </w:r>
    </w:p>
    <w:p w14:paraId="1D3DDFE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）其他合同文件。</w:t>
      </w:r>
    </w:p>
    <w:p w14:paraId="5C21A2BE">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w:t>
      </w:r>
    </w:p>
    <w:p w14:paraId="6C5403C8">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在合同订立及履行过程中形成的与合同有关的文件均构成合同文件组成部分，并根据其性质确定优先解释顺序。</w:t>
      </w:r>
    </w:p>
    <w:p w14:paraId="2ABB7B15">
      <w:pPr>
        <w:pStyle w:val="6"/>
        <w:spacing w:before="120" w:after="120" w:line="360" w:lineRule="auto"/>
        <w:ind w:firstLine="480"/>
        <w:rPr>
          <w:rFonts w:ascii="Times New Roman" w:hAnsi="Times New Roman" w:eastAsia="黑体" w:cs="Times New Roman"/>
          <w:b w:val="0"/>
          <w:color w:val="000000"/>
          <w:sz w:val="24"/>
          <w:szCs w:val="24"/>
        </w:rPr>
      </w:pPr>
      <w:bookmarkStart w:id="35" w:name="__RefHeading___Toc351203501"/>
      <w:bookmarkEnd w:id="35"/>
      <w:r>
        <w:rPr>
          <w:rFonts w:eastAsia="黑体" w:cs="Times New Roman"/>
          <w:b w:val="0"/>
          <w:color w:val="000000"/>
          <w:sz w:val="24"/>
          <w:szCs w:val="24"/>
        </w:rPr>
        <w:t>1.6</w:t>
      </w:r>
      <w:r>
        <w:rPr>
          <w:rFonts w:ascii="Times New Roman" w:hAnsi="Times New Roman" w:eastAsia="黑体" w:cs="Times New Roman"/>
          <w:b w:val="0"/>
          <w:color w:val="000000"/>
          <w:sz w:val="24"/>
          <w:szCs w:val="24"/>
        </w:rPr>
        <w:t>图纸和承包人文件</w:t>
      </w:r>
    </w:p>
    <w:p w14:paraId="37FB2C9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 </w:t>
      </w:r>
      <w:r>
        <w:rPr>
          <w:rFonts w:ascii="Times New Roman" w:hAnsi="Times New Roman" w:eastAsia="仿宋_GB2312;仿宋" w:cs="Times New Roman"/>
          <w:color w:val="000000"/>
          <w:kern w:val="0"/>
          <w:sz w:val="24"/>
          <w:szCs w:val="24"/>
        </w:rPr>
        <w:t>图纸的提供和交底</w:t>
      </w:r>
    </w:p>
    <w:p w14:paraId="1F103F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发包人应按照专用合同条款约定的期限、数量和内容向承包人免费提供图纸，并组织承包人、监理人和设计人进行图纸会审和设计交底。发包人至迟不得晚于第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天向承包人提供图纸。</w:t>
      </w:r>
    </w:p>
    <w:p w14:paraId="089E024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因发包人未按合同约定提供图纸导致承包人费用增加和（或）工期延误的，按照第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1F49EAC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 </w:t>
      </w:r>
      <w:r>
        <w:rPr>
          <w:rFonts w:ascii="Times New Roman" w:hAnsi="Times New Roman" w:eastAsia="仿宋_GB2312;仿宋" w:cs="Times New Roman"/>
          <w:color w:val="000000"/>
          <w:kern w:val="0"/>
          <w:sz w:val="24"/>
          <w:szCs w:val="24"/>
        </w:rPr>
        <w:t>图纸的错误</w:t>
      </w:r>
    </w:p>
    <w:p w14:paraId="7427B5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51F79D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1.6.3 </w:t>
      </w:r>
      <w:r>
        <w:rPr>
          <w:rFonts w:ascii="Times New Roman" w:hAnsi="Times New Roman" w:eastAsia="仿宋_GB2312;仿宋" w:cs="Times New Roman"/>
          <w:color w:val="000000"/>
          <w:kern w:val="0"/>
          <w:sz w:val="24"/>
          <w:szCs w:val="24"/>
        </w:rPr>
        <w:t>图纸的修改和补充</w:t>
      </w:r>
    </w:p>
    <w:p w14:paraId="43F7F7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图纸需要修改和补充的，应经图纸原设计人及审批部门同意，并由监理人在工程或工程相应部位施工前将修改后的图纸或补充图纸提交给承包人，承包人应按修改或补充后的图纸施工。</w:t>
      </w:r>
    </w:p>
    <w:p w14:paraId="4042FDD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1.6.4 </w:t>
      </w:r>
      <w:r>
        <w:rPr>
          <w:rFonts w:ascii="Times New Roman" w:hAnsi="Times New Roman" w:eastAsia="仿宋_GB2312;仿宋" w:cs="Times New Roman"/>
          <w:color w:val="000000"/>
          <w:kern w:val="0"/>
          <w:sz w:val="24"/>
          <w:szCs w:val="24"/>
        </w:rPr>
        <w:t>承包人文件</w:t>
      </w:r>
    </w:p>
    <w:p w14:paraId="4415D50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承包人应按照专用合同条款的约定提供应当由其编制的与工程施工有关的文件，并按照专用合同条款约定的期限、数量和形式提交监理人，并由监理人报送发包人。</w:t>
      </w:r>
    </w:p>
    <w:p w14:paraId="309F425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除专用合同条款另有约定外，监理人应在收到承包人文件后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天内审查完毕，监理人对承包人文件有异议的，承包人应予以修改，并重新报送监理人。监理人的审查并不减轻或免除承包人根据合同约定应当承担的责任。</w:t>
      </w:r>
    </w:p>
    <w:p w14:paraId="3A3BAC5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1.6.5 </w:t>
      </w:r>
      <w:r>
        <w:rPr>
          <w:rFonts w:ascii="Times New Roman" w:hAnsi="Times New Roman" w:eastAsia="仿宋_GB2312;仿宋" w:cs="Times New Roman"/>
          <w:color w:val="000000"/>
          <w:kern w:val="0"/>
          <w:sz w:val="24"/>
          <w:szCs w:val="24"/>
        </w:rPr>
        <w:t>图纸和承包人文件的保管</w:t>
      </w:r>
    </w:p>
    <w:p w14:paraId="088B5A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除专用合同条款另有约定外，承包人应在施工现场另外保存一套完整的图纸和承包人文件，供发包人、监理人及有关人员进行工程检查时使用。</w:t>
      </w:r>
    </w:p>
    <w:p w14:paraId="4F2011A8">
      <w:pPr>
        <w:pStyle w:val="6"/>
        <w:spacing w:before="120" w:after="120" w:line="360" w:lineRule="auto"/>
        <w:ind w:firstLine="480"/>
        <w:rPr>
          <w:rFonts w:ascii="Times New Roman" w:hAnsi="Times New Roman" w:eastAsia="黑体" w:cs="Times New Roman"/>
          <w:b w:val="0"/>
          <w:color w:val="000000"/>
          <w:sz w:val="24"/>
          <w:szCs w:val="24"/>
        </w:rPr>
      </w:pPr>
      <w:bookmarkStart w:id="36" w:name="__RefHeading___Toc351203502"/>
      <w:bookmarkEnd w:id="36"/>
      <w:r>
        <w:rPr>
          <w:rFonts w:eastAsia="黑体" w:cs="Times New Roman"/>
          <w:b w:val="0"/>
          <w:color w:val="000000"/>
          <w:sz w:val="24"/>
          <w:szCs w:val="24"/>
        </w:rPr>
        <w:t>1.7</w:t>
      </w:r>
      <w:r>
        <w:rPr>
          <w:rFonts w:ascii="Times New Roman" w:hAnsi="Times New Roman" w:eastAsia="黑体" w:cs="Times New Roman"/>
          <w:b w:val="0"/>
          <w:color w:val="000000"/>
          <w:sz w:val="24"/>
          <w:szCs w:val="24"/>
        </w:rPr>
        <w:t>联络</w:t>
      </w:r>
    </w:p>
    <w:p w14:paraId="52B0C7D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1.7.1 </w:t>
      </w:r>
      <w:r>
        <w:rPr>
          <w:rFonts w:ascii="Times New Roman" w:hAnsi="Times New Roman" w:eastAsia="仿宋_GB2312;仿宋" w:cs="Times New Roman"/>
          <w:color w:val="000000"/>
          <w:kern w:val="0"/>
          <w:sz w:val="24"/>
          <w:szCs w:val="24"/>
        </w:rPr>
        <w:t>与合同有关的通知、批准、证明、证书、指示、指令、要求、请求、同意、意见、确定和决定等，均应采用书面形式，并应在合同约定的期限内送达接收人和送达地点。</w:t>
      </w:r>
    </w:p>
    <w:p w14:paraId="75D84C8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发包人和承包人应在专用合同条款中约定各自的送达接收人和送达地点。任何一方合同当事人指定的接收人或送达地点发生变动的，应提前</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天以书面形式通知对方。</w:t>
      </w:r>
    </w:p>
    <w:p w14:paraId="4B005603">
      <w:pPr>
        <w:autoSpaceDE w:val="0"/>
        <w:spacing w:line="360" w:lineRule="auto"/>
        <w:ind w:firstLine="480"/>
        <w:jc w:val="left"/>
        <w:rPr>
          <w:rFonts w:ascii="Times New Roman" w:hAnsi="Times New Roman" w:eastAsia="仿宋_GB2312;仿宋" w:cs="Times New Roman"/>
          <w:color w:val="FF0000"/>
          <w:kern w:val="0"/>
          <w:sz w:val="24"/>
          <w:szCs w:val="24"/>
        </w:rPr>
      </w:pPr>
      <w:r>
        <w:rPr>
          <w:rFonts w:eastAsia="仿宋_GB2312;仿宋" w:cs="Times New Roman"/>
          <w:color w:val="000000"/>
          <w:kern w:val="0"/>
          <w:sz w:val="24"/>
          <w:szCs w:val="24"/>
        </w:rPr>
        <w:t xml:space="preserve">1.7.3 </w:t>
      </w:r>
      <w:r>
        <w:rPr>
          <w:rFonts w:ascii="Times New Roman" w:hAnsi="Times New Roman" w:eastAsia="仿宋_GB2312;仿宋" w:cs="Times New Roman"/>
          <w:color w:val="000000"/>
          <w:kern w:val="0"/>
          <w:sz w:val="24"/>
          <w:szCs w:val="24"/>
        </w:rPr>
        <w:t>发包人和承包人应当及时签收另一方送达至送达地点和指定接收人的来往信函。拒不签收的，由此增加的费用和（或）延误的工期由拒绝接收一方承担。</w:t>
      </w:r>
    </w:p>
    <w:p w14:paraId="2101BD41">
      <w:pPr>
        <w:pStyle w:val="6"/>
        <w:spacing w:before="120" w:after="120" w:line="360" w:lineRule="auto"/>
        <w:ind w:firstLine="480"/>
        <w:rPr>
          <w:rFonts w:ascii="Times New Roman" w:hAnsi="Times New Roman" w:eastAsia="黑体" w:cs="Times New Roman"/>
          <w:b w:val="0"/>
          <w:color w:val="000000"/>
          <w:sz w:val="24"/>
          <w:szCs w:val="24"/>
        </w:rPr>
      </w:pPr>
      <w:bookmarkStart w:id="37" w:name="__RefHeading___Toc351203503"/>
      <w:bookmarkEnd w:id="37"/>
      <w:r>
        <w:rPr>
          <w:rFonts w:eastAsia="黑体" w:cs="Times New Roman"/>
          <w:b w:val="0"/>
          <w:color w:val="000000"/>
          <w:sz w:val="24"/>
          <w:szCs w:val="24"/>
        </w:rPr>
        <w:t>1.8</w:t>
      </w:r>
      <w:r>
        <w:rPr>
          <w:rFonts w:ascii="Times New Roman" w:hAnsi="Times New Roman" w:eastAsia="黑体" w:cs="Times New Roman"/>
          <w:b w:val="0"/>
          <w:color w:val="000000"/>
          <w:sz w:val="24"/>
          <w:szCs w:val="24"/>
        </w:rPr>
        <w:t>严禁贿赂</w:t>
      </w:r>
    </w:p>
    <w:p w14:paraId="19AF49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合同当事人不得以贿赂或变相贿赂的方式，谋取非法利益或损害对方权益。因一方合同当事人的贿赂造成对方损失的，应赔偿损失，并承担相应的法律责任。</w:t>
      </w:r>
    </w:p>
    <w:p w14:paraId="0868EF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承包人不得与监理人或发包人聘请的第三方串通损害发包人利益。未经发包人书面同意，承包人不得为监理人提供合同约定以外的通讯设备、交通工具及其他任何形式的利益，不得向监理人支付报酬。</w:t>
      </w:r>
    </w:p>
    <w:p w14:paraId="0341EF4E">
      <w:pPr>
        <w:pStyle w:val="6"/>
        <w:spacing w:before="120" w:after="120" w:line="360" w:lineRule="auto"/>
        <w:ind w:firstLine="480"/>
        <w:rPr>
          <w:rFonts w:ascii="Times New Roman" w:hAnsi="Times New Roman" w:eastAsia="黑体" w:cs="Times New Roman"/>
          <w:b w:val="0"/>
          <w:color w:val="000000"/>
          <w:sz w:val="24"/>
          <w:szCs w:val="24"/>
        </w:rPr>
      </w:pPr>
      <w:bookmarkStart w:id="38" w:name="__RefHeading___Toc351203504"/>
      <w:bookmarkEnd w:id="38"/>
      <w:r>
        <w:rPr>
          <w:rFonts w:eastAsia="黑体" w:cs="Times New Roman"/>
          <w:b w:val="0"/>
          <w:color w:val="000000"/>
          <w:sz w:val="24"/>
          <w:szCs w:val="24"/>
        </w:rPr>
        <w:t>1.9</w:t>
      </w:r>
      <w:r>
        <w:rPr>
          <w:rFonts w:ascii="Times New Roman" w:hAnsi="Times New Roman" w:eastAsia="黑体" w:cs="Times New Roman"/>
          <w:b w:val="0"/>
          <w:color w:val="000000"/>
          <w:sz w:val="24"/>
          <w:szCs w:val="24"/>
        </w:rPr>
        <w:t>化石、文物</w:t>
      </w:r>
    </w:p>
    <w:p w14:paraId="51520E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033D17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发包人、监理人和承包人应按有关政府行政管理部门要求采取妥善的保护措施，由此增加的费用和（或）延误的工期由发包人承担。</w:t>
      </w:r>
    </w:p>
    <w:p w14:paraId="30F619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承包人发现文物后不及时报告或隐瞒不报，致使文物丢失或损坏的，应赔偿损失，并承担相应的法律责任。</w:t>
      </w:r>
    </w:p>
    <w:p w14:paraId="3F9171F2">
      <w:pPr>
        <w:pStyle w:val="6"/>
        <w:spacing w:before="120" w:after="120" w:line="360" w:lineRule="auto"/>
        <w:ind w:firstLine="480"/>
        <w:rPr>
          <w:rFonts w:ascii="Times New Roman" w:hAnsi="Times New Roman" w:eastAsia="黑体" w:cs="Times New Roman"/>
          <w:b w:val="0"/>
          <w:color w:val="000000"/>
          <w:sz w:val="24"/>
          <w:szCs w:val="24"/>
        </w:rPr>
      </w:pPr>
      <w:bookmarkStart w:id="39" w:name="__RefHeading___Toc351203505"/>
      <w:bookmarkEnd w:id="39"/>
      <w:r>
        <w:rPr>
          <w:rFonts w:eastAsia="黑体" w:cs="Times New Roman"/>
          <w:b w:val="0"/>
          <w:color w:val="000000"/>
          <w:sz w:val="24"/>
          <w:szCs w:val="24"/>
        </w:rPr>
        <w:t>1.10</w:t>
      </w:r>
      <w:r>
        <w:rPr>
          <w:rFonts w:ascii="Times New Roman" w:hAnsi="Times New Roman" w:eastAsia="黑体" w:cs="Times New Roman"/>
          <w:b w:val="0"/>
          <w:color w:val="000000"/>
          <w:sz w:val="24"/>
          <w:szCs w:val="24"/>
        </w:rPr>
        <w:t>交通运输</w:t>
      </w:r>
    </w:p>
    <w:p w14:paraId="03BF4FD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1.10.1 </w:t>
      </w:r>
      <w:r>
        <w:rPr>
          <w:rFonts w:ascii="Times New Roman" w:hAnsi="Times New Roman" w:eastAsia="仿宋_GB2312;仿宋" w:cs="Times New Roman"/>
          <w:color w:val="000000"/>
          <w:kern w:val="0"/>
          <w:sz w:val="24"/>
          <w:szCs w:val="24"/>
        </w:rPr>
        <w:t>出入现场的权利</w:t>
      </w:r>
    </w:p>
    <w:p w14:paraId="7F16815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12BFCB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承包人应在订立合同前查勘施工现场，并根据工程规模及技术参数合理预见工程施工所需的进出施工现场的方式、手段、路径等。因承包人未合理预见所增加的费用和（或）延误的工期由承包人承担。</w:t>
      </w:r>
    </w:p>
    <w:p w14:paraId="2C0EC20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1.10.2 </w:t>
      </w:r>
      <w:r>
        <w:rPr>
          <w:rFonts w:ascii="Times New Roman" w:hAnsi="Times New Roman" w:eastAsia="仿宋_GB2312;仿宋" w:cs="Times New Roman"/>
          <w:color w:val="000000"/>
          <w:kern w:val="0"/>
          <w:sz w:val="24"/>
          <w:szCs w:val="24"/>
        </w:rPr>
        <w:t>场外交通</w:t>
      </w:r>
    </w:p>
    <w:p w14:paraId="7EE0062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579C4C6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1.10.3</w:t>
      </w:r>
      <w:r>
        <w:rPr>
          <w:rFonts w:ascii="Times New Roman" w:hAnsi="Times New Roman" w:eastAsia="仿宋_GB2312;仿宋" w:cs="Times New Roman"/>
          <w:color w:val="000000"/>
          <w:kern w:val="0"/>
          <w:sz w:val="24"/>
          <w:szCs w:val="24"/>
        </w:rPr>
        <w:t>场内交通</w:t>
      </w:r>
    </w:p>
    <w:p w14:paraId="5D402FA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704918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2FF76A7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场外交通和场内交通的边界由合同当事人在专用合同条款中约定。</w:t>
      </w:r>
    </w:p>
    <w:p w14:paraId="7ADE124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1.10.4 </w:t>
      </w:r>
      <w:r>
        <w:rPr>
          <w:rFonts w:ascii="Times New Roman" w:hAnsi="Times New Roman" w:eastAsia="仿宋_GB2312;仿宋" w:cs="Times New Roman"/>
          <w:color w:val="000000"/>
          <w:kern w:val="0"/>
          <w:sz w:val="24"/>
          <w:szCs w:val="24"/>
        </w:rPr>
        <w:t>超大件和超重件的运输</w:t>
      </w:r>
    </w:p>
    <w:p w14:paraId="0D31022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C205D3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1.10.5 </w:t>
      </w:r>
      <w:r>
        <w:rPr>
          <w:rFonts w:ascii="Times New Roman" w:hAnsi="Times New Roman" w:eastAsia="仿宋_GB2312;仿宋" w:cs="Times New Roman"/>
          <w:color w:val="000000"/>
          <w:kern w:val="0"/>
          <w:sz w:val="24"/>
          <w:szCs w:val="24"/>
        </w:rPr>
        <w:t>道路和桥梁的损坏责任</w:t>
      </w:r>
    </w:p>
    <w:p w14:paraId="592E44D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因承包人运输造成施工场地内外公共道路和桥梁损坏的，由承包人承担修复损坏的全部费用和可能引起的赔偿。</w:t>
      </w:r>
    </w:p>
    <w:p w14:paraId="294FD1C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1.10.6 </w:t>
      </w:r>
      <w:r>
        <w:rPr>
          <w:rFonts w:ascii="Times New Roman" w:hAnsi="Times New Roman" w:eastAsia="仿宋_GB2312;仿宋" w:cs="Times New Roman"/>
          <w:color w:val="000000"/>
          <w:kern w:val="0"/>
          <w:sz w:val="24"/>
          <w:szCs w:val="24"/>
        </w:rPr>
        <w:t>水路和航空运输</w:t>
      </w:r>
    </w:p>
    <w:p w14:paraId="4216A2A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本款前述各项的内容适用于水路运输和航空运输，其中“道路”一词的涵义包括河道、航线、船闸、机场、码头、堤防以及水路或航空运输中其他相似结构物；“车辆”一词的涵义包括船舶和飞机等。</w:t>
      </w:r>
    </w:p>
    <w:p w14:paraId="27B31266">
      <w:pPr>
        <w:pStyle w:val="6"/>
        <w:spacing w:before="120" w:after="120" w:line="360" w:lineRule="auto"/>
        <w:ind w:firstLine="480"/>
        <w:rPr>
          <w:rFonts w:ascii="Times New Roman" w:hAnsi="Times New Roman" w:eastAsia="黑体" w:cs="Times New Roman"/>
          <w:b w:val="0"/>
          <w:color w:val="000000"/>
          <w:sz w:val="24"/>
          <w:szCs w:val="24"/>
        </w:rPr>
      </w:pPr>
      <w:bookmarkStart w:id="40" w:name="__RefHeading___Toc351203506"/>
      <w:r>
        <w:rPr>
          <w:rFonts w:eastAsia="黑体" w:cs="Times New Roman"/>
          <w:b w:val="0"/>
          <w:color w:val="000000"/>
          <w:sz w:val="24"/>
          <w:szCs w:val="24"/>
        </w:rPr>
        <w:t>1.11</w:t>
      </w:r>
      <w:r>
        <w:rPr>
          <w:rFonts w:ascii="Times New Roman" w:hAnsi="Times New Roman" w:eastAsia="黑体" w:cs="Times New Roman"/>
          <w:b w:val="0"/>
          <w:color w:val="000000"/>
          <w:sz w:val="24"/>
          <w:szCs w:val="24"/>
        </w:rPr>
        <w:t>知识产权</w:t>
      </w:r>
      <w:bookmarkEnd w:id="40"/>
      <w:r>
        <w:rPr>
          <w:rFonts w:ascii="Times New Roman" w:hAnsi="Times New Roman" w:eastAsia="Times New Roman" w:cs="Times New Roman"/>
          <w:b w:val="0"/>
          <w:color w:val="000000"/>
          <w:sz w:val="24"/>
          <w:szCs w:val="24"/>
        </w:rPr>
        <w:t xml:space="preserve"> </w:t>
      </w:r>
    </w:p>
    <w:p w14:paraId="07E47D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5F1FF9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54EAF4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2109B5F3">
      <w:pPr>
        <w:rPr>
          <w:rFonts w:ascii="Times New Roman" w:hAnsi="Times New Roman" w:cs="Times New Roman"/>
          <w:sz w:val="24"/>
          <w:szCs w:val="21"/>
        </w:rPr>
      </w:pPr>
      <w:r>
        <w:rPr>
          <w:rFonts w:eastAsia="Times New Roman" w:cs="Times New Roman"/>
          <w:color w:val="000000"/>
          <w:kern w:val="0"/>
          <w:sz w:val="24"/>
          <w:szCs w:val="24"/>
        </w:rPr>
        <w:t xml:space="preserve">    </w:t>
      </w: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除专用合同条款另有约定外，承包人在合同签订前和签订时已确定采用的专利、专有技术、技术秘密的使用费已包含在签约合同价中。</w:t>
      </w:r>
    </w:p>
    <w:p w14:paraId="1B296A94">
      <w:pPr>
        <w:pStyle w:val="6"/>
        <w:spacing w:before="120" w:after="120" w:line="360" w:lineRule="auto"/>
        <w:ind w:firstLine="480"/>
        <w:rPr>
          <w:rFonts w:ascii="Times New Roman" w:hAnsi="Times New Roman" w:eastAsia="黑体" w:cs="Times New Roman"/>
          <w:b w:val="0"/>
          <w:color w:val="000000"/>
          <w:sz w:val="24"/>
          <w:szCs w:val="24"/>
        </w:rPr>
      </w:pPr>
      <w:bookmarkStart w:id="41" w:name="__RefHeading___Toc351203507"/>
      <w:bookmarkEnd w:id="41"/>
      <w:r>
        <w:rPr>
          <w:rFonts w:eastAsia="黑体" w:cs="Times New Roman"/>
          <w:b w:val="0"/>
          <w:color w:val="000000"/>
          <w:sz w:val="24"/>
          <w:szCs w:val="24"/>
        </w:rPr>
        <w:t>1.12</w:t>
      </w:r>
      <w:r>
        <w:rPr>
          <w:rFonts w:ascii="Times New Roman" w:hAnsi="Times New Roman" w:eastAsia="黑体" w:cs="Times New Roman"/>
          <w:b w:val="0"/>
          <w:color w:val="000000"/>
          <w:sz w:val="24"/>
          <w:szCs w:val="24"/>
        </w:rPr>
        <w:t>保密</w:t>
      </w:r>
    </w:p>
    <w:p w14:paraId="1EE872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除法律规定或合同另有约定外，未经发包人同意，承包人不得将发包人提供的图纸、文件以及声明需要保密的资料信息等商业秘密泄露给第三方。</w:t>
      </w:r>
    </w:p>
    <w:p w14:paraId="06AC42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除法律规定或合同另有约定外，未经承包人同意，发包人不得将承包人提供的技术秘密及声明需要保密的资料信息等商业秘密泄露给第三方。</w:t>
      </w:r>
    </w:p>
    <w:p w14:paraId="1C3400FD">
      <w:pPr>
        <w:pStyle w:val="6"/>
        <w:spacing w:before="120" w:after="120" w:line="360" w:lineRule="auto"/>
        <w:ind w:firstLine="480"/>
        <w:rPr>
          <w:rFonts w:ascii="Times New Roman" w:hAnsi="Times New Roman" w:eastAsia="黑体" w:cs="Times New Roman"/>
          <w:b w:val="0"/>
          <w:color w:val="000000"/>
          <w:sz w:val="24"/>
          <w:szCs w:val="24"/>
        </w:rPr>
      </w:pPr>
      <w:bookmarkStart w:id="42" w:name="__RefHeading___Toc351203508"/>
      <w:bookmarkEnd w:id="42"/>
      <w:r>
        <w:rPr>
          <w:rFonts w:eastAsia="黑体" w:cs="Times New Roman"/>
          <w:b w:val="0"/>
          <w:color w:val="000000"/>
          <w:sz w:val="24"/>
          <w:szCs w:val="24"/>
        </w:rPr>
        <w:t>1.13</w:t>
      </w:r>
      <w:r>
        <w:rPr>
          <w:rFonts w:ascii="Times New Roman" w:hAnsi="Times New Roman" w:eastAsia="黑体" w:cs="Times New Roman"/>
          <w:b w:val="0"/>
          <w:color w:val="000000"/>
          <w:sz w:val="24"/>
          <w:szCs w:val="24"/>
        </w:rPr>
        <w:t>工程量清单错误的修正</w:t>
      </w:r>
    </w:p>
    <w:p w14:paraId="28AC69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除专用合同条款另有约定外，发包人提供的工程量清单，应被认为是准确的和完整的。出现下列情形之一时，发包人应予以修正，并相应调整合同价格：</w:t>
      </w:r>
    </w:p>
    <w:p w14:paraId="67B854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）工程量清单存在缺项、漏项的；</w:t>
      </w:r>
    </w:p>
    <w:p w14:paraId="1A4A60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）工程量清单偏差超出专用合同条款约定的工程量偏差范围的；</w:t>
      </w:r>
    </w:p>
    <w:p w14:paraId="301FE5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）未按照国家现行计量规范强制性规定计量的。</w:t>
      </w:r>
    </w:p>
    <w:p w14:paraId="0D6FB09A">
      <w:pPr>
        <w:pStyle w:val="5"/>
        <w:spacing w:before="120" w:after="120" w:line="360" w:lineRule="auto"/>
        <w:rPr>
          <w:rFonts w:ascii="Times New Roman" w:hAnsi="Times New Roman" w:eastAsia="黑体" w:cs="Times New Roman"/>
          <w:b w:val="0"/>
          <w:color w:val="000000"/>
          <w:sz w:val="24"/>
          <w:szCs w:val="24"/>
        </w:rPr>
      </w:pPr>
      <w:bookmarkStart w:id="43" w:name="__RefHeading___Toc351203509"/>
      <w:bookmarkEnd w:id="43"/>
      <w:r>
        <w:rPr>
          <w:rFonts w:ascii="Times New Roman" w:hAnsi="Times New Roman" w:eastAsia="黑体" w:cs="Times New Roman"/>
          <w:b w:val="0"/>
          <w:color w:val="000000"/>
          <w:sz w:val="24"/>
          <w:szCs w:val="24"/>
        </w:rPr>
        <w:t>2</w:t>
      </w:r>
      <w:bookmarkStart w:id="44" w:name="OLE_LINK1"/>
      <w:bookmarkEnd w:id="44"/>
      <w:bookmarkStart w:id="45" w:name="OLE_LINK2"/>
      <w:bookmarkEnd w:id="45"/>
      <w:r>
        <w:rPr>
          <w:rFonts w:ascii="Times New Roman" w:hAnsi="Times New Roman" w:eastAsia="黑体" w:cs="Times New Roman"/>
          <w:b w:val="0"/>
          <w:color w:val="000000"/>
          <w:sz w:val="24"/>
          <w:szCs w:val="24"/>
        </w:rPr>
        <w:t xml:space="preserve">. </w:t>
      </w:r>
      <w:r>
        <w:rPr>
          <w:rFonts w:ascii="Times New Roman" w:hAnsi="Times New Roman" w:cs="Times New Roman"/>
          <w:b w:val="0"/>
          <w:color w:val="000000"/>
          <w:sz w:val="24"/>
          <w:szCs w:val="24"/>
        </w:rPr>
        <w:t>发包人</w:t>
      </w:r>
    </w:p>
    <w:p w14:paraId="326B65D5">
      <w:pPr>
        <w:pStyle w:val="6"/>
        <w:spacing w:before="120" w:after="120" w:line="360" w:lineRule="auto"/>
        <w:ind w:firstLine="480"/>
        <w:rPr>
          <w:rFonts w:ascii="Times New Roman" w:hAnsi="Times New Roman" w:eastAsia="黑体" w:cs="Times New Roman"/>
          <w:b w:val="0"/>
          <w:color w:val="000000"/>
          <w:sz w:val="24"/>
          <w:szCs w:val="24"/>
        </w:rPr>
      </w:pPr>
      <w:bookmarkStart w:id="46" w:name="__RefHeading___Toc351203510"/>
      <w:bookmarkEnd w:id="46"/>
      <w:r>
        <w:rPr>
          <w:rFonts w:eastAsia="黑体" w:cs="Times New Roman"/>
          <w:b w:val="0"/>
          <w:color w:val="000000"/>
          <w:sz w:val="24"/>
          <w:szCs w:val="24"/>
        </w:rPr>
        <w:t xml:space="preserve">2.1 </w:t>
      </w:r>
      <w:r>
        <w:rPr>
          <w:rFonts w:ascii="Times New Roman" w:hAnsi="Times New Roman" w:eastAsia="黑体" w:cs="Times New Roman"/>
          <w:b w:val="0"/>
          <w:color w:val="000000"/>
          <w:sz w:val="24"/>
          <w:szCs w:val="24"/>
        </w:rPr>
        <w:t>许可或批准</w:t>
      </w:r>
    </w:p>
    <w:p w14:paraId="03D02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12FA16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因发包人原因未能及时办理完毕前述许可、批准或备案，由发包人承担由此增加的费用和（或）延误的工期，并支付承包人合理的利润。</w:t>
      </w:r>
    </w:p>
    <w:p w14:paraId="0AC5EA2D">
      <w:pPr>
        <w:pStyle w:val="6"/>
        <w:spacing w:before="120" w:after="120" w:line="360" w:lineRule="auto"/>
        <w:ind w:firstLine="480"/>
        <w:rPr>
          <w:rFonts w:ascii="Times New Roman" w:hAnsi="Times New Roman" w:eastAsia="黑体" w:cs="Times New Roman"/>
          <w:b w:val="0"/>
          <w:color w:val="000000"/>
          <w:sz w:val="24"/>
          <w:szCs w:val="24"/>
        </w:rPr>
      </w:pPr>
      <w:bookmarkStart w:id="47" w:name="__RefHeading___Toc351203511"/>
      <w:bookmarkEnd w:id="47"/>
      <w:r>
        <w:rPr>
          <w:rFonts w:eastAsia="黑体" w:cs="Times New Roman"/>
          <w:b w:val="0"/>
          <w:color w:val="000000"/>
          <w:sz w:val="24"/>
          <w:szCs w:val="24"/>
        </w:rPr>
        <w:t xml:space="preserve">2.2 </w:t>
      </w:r>
      <w:r>
        <w:rPr>
          <w:rFonts w:ascii="Times New Roman" w:hAnsi="Times New Roman" w:eastAsia="黑体" w:cs="Times New Roman"/>
          <w:b w:val="0"/>
          <w:color w:val="000000"/>
          <w:sz w:val="24"/>
          <w:szCs w:val="24"/>
        </w:rPr>
        <w:t>发包人代表</w:t>
      </w:r>
    </w:p>
    <w:p w14:paraId="744410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w:t>
      </w:r>
    </w:p>
    <w:p w14:paraId="05C76099">
      <w:pPr>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发包人代表不能按照合同约定履行其职责及义务，并导致合同无法继续正常履行的，承包人可以要求发包人撤换发包人代表。</w:t>
      </w:r>
    </w:p>
    <w:p w14:paraId="62319B44">
      <w:pPr>
        <w:ind w:firstLine="480"/>
        <w:rPr>
          <w:rFonts w:ascii="Times New Roman" w:hAnsi="Times New Roman" w:cs="Times New Roman"/>
          <w:sz w:val="24"/>
          <w:szCs w:val="21"/>
        </w:rPr>
      </w:pPr>
      <w:r>
        <w:rPr>
          <w:rFonts w:ascii="Times New Roman" w:hAnsi="Times New Roman" w:eastAsia="仿宋_GB2312;仿宋" w:cs="Times New Roman"/>
          <w:color w:val="000000"/>
          <w:kern w:val="0"/>
          <w:sz w:val="24"/>
          <w:szCs w:val="24"/>
        </w:rPr>
        <w:t>不属于法定必须监理的工程，监理人的职权可以由发包人代表或发包人指定的其他人员行使。</w:t>
      </w:r>
    </w:p>
    <w:p w14:paraId="4B932E97">
      <w:pPr>
        <w:pStyle w:val="6"/>
        <w:spacing w:before="120" w:after="120" w:line="360" w:lineRule="auto"/>
        <w:ind w:firstLine="480"/>
        <w:rPr>
          <w:rFonts w:ascii="Times New Roman" w:hAnsi="Times New Roman" w:eastAsia="黑体" w:cs="Times New Roman"/>
          <w:b w:val="0"/>
          <w:color w:val="000000"/>
          <w:sz w:val="24"/>
          <w:szCs w:val="24"/>
        </w:rPr>
      </w:pPr>
      <w:bookmarkStart w:id="48" w:name="__RefHeading___Toc351203512"/>
      <w:bookmarkEnd w:id="48"/>
      <w:r>
        <w:rPr>
          <w:rFonts w:eastAsia="黑体" w:cs="Times New Roman"/>
          <w:b w:val="0"/>
          <w:color w:val="000000"/>
          <w:sz w:val="24"/>
          <w:szCs w:val="24"/>
        </w:rPr>
        <w:t xml:space="preserve">2.3 </w:t>
      </w:r>
      <w:r>
        <w:rPr>
          <w:rFonts w:ascii="Times New Roman" w:hAnsi="Times New Roman" w:eastAsia="黑体" w:cs="Times New Roman"/>
          <w:b w:val="0"/>
          <w:color w:val="000000"/>
          <w:sz w:val="24"/>
          <w:szCs w:val="24"/>
        </w:rPr>
        <w:t>发包人人员</w:t>
      </w:r>
    </w:p>
    <w:p w14:paraId="2DA9313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发包人应要求在施工现场的发包人人员遵守法律及有关安全、质量、环境保护、文明施工等规定，并保障承包人免于承受因发包人人员未遵守上述要求给承包人造成的损失和责任。</w:t>
      </w:r>
    </w:p>
    <w:p w14:paraId="617E8B92">
      <w:pPr>
        <w:spacing w:line="360" w:lineRule="auto"/>
        <w:ind w:firstLine="64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发包人人员包括发包人代表及其他由发包人派驻施工现场的人员。</w:t>
      </w:r>
    </w:p>
    <w:p w14:paraId="3F5C9C1A">
      <w:pPr>
        <w:pStyle w:val="6"/>
        <w:spacing w:before="120" w:after="120" w:line="360" w:lineRule="auto"/>
        <w:ind w:firstLine="480"/>
        <w:rPr>
          <w:rFonts w:ascii="Times New Roman" w:hAnsi="Times New Roman" w:eastAsia="黑体" w:cs="Times New Roman"/>
          <w:b w:val="0"/>
          <w:color w:val="000000"/>
          <w:sz w:val="24"/>
          <w:szCs w:val="24"/>
        </w:rPr>
      </w:pPr>
      <w:bookmarkStart w:id="49" w:name="__RefHeading___Toc351203513"/>
      <w:r>
        <w:rPr>
          <w:rFonts w:eastAsia="黑体" w:cs="Times New Roman"/>
          <w:b w:val="0"/>
          <w:color w:val="000000"/>
          <w:sz w:val="24"/>
          <w:szCs w:val="24"/>
        </w:rPr>
        <w:t xml:space="preserve">2.4 </w:t>
      </w:r>
      <w:r>
        <w:rPr>
          <w:rFonts w:ascii="Times New Roman" w:hAnsi="Times New Roman" w:eastAsia="黑体" w:cs="Times New Roman"/>
          <w:b w:val="0"/>
          <w:color w:val="000000"/>
          <w:sz w:val="24"/>
          <w:szCs w:val="24"/>
        </w:rPr>
        <w:t>施工现场、施工条件和基础资料的提供</w:t>
      </w:r>
      <w:bookmarkEnd w:id="49"/>
      <w:r>
        <w:rPr>
          <w:rFonts w:ascii="Times New Roman" w:hAnsi="Times New Roman" w:eastAsia="Times New Roman" w:cs="Times New Roman"/>
          <w:b w:val="0"/>
          <w:color w:val="000000"/>
          <w:sz w:val="24"/>
          <w:szCs w:val="24"/>
        </w:rPr>
        <w:t xml:space="preserve">  </w:t>
      </w:r>
    </w:p>
    <w:p w14:paraId="1C45AE8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2.4.1 </w:t>
      </w:r>
      <w:r>
        <w:rPr>
          <w:rFonts w:ascii="Times New Roman" w:hAnsi="Times New Roman" w:eastAsia="仿宋_GB2312;仿宋" w:cs="Times New Roman"/>
          <w:color w:val="000000"/>
          <w:kern w:val="0"/>
          <w:sz w:val="24"/>
          <w:szCs w:val="24"/>
        </w:rPr>
        <w:t>提供施工现场</w:t>
      </w:r>
    </w:p>
    <w:p w14:paraId="2D7216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w:t>
      </w:r>
      <w:bookmarkStart w:id="50" w:name="OLE_LINK1"/>
      <w:bookmarkEnd w:id="50"/>
      <w:bookmarkStart w:id="51" w:name="OLE_LINK2"/>
      <w:bookmarkEnd w:id="51"/>
      <w:r>
        <w:rPr>
          <w:rFonts w:ascii="Times New Roman" w:hAnsi="Times New Roman" w:eastAsia="仿宋_GB2312;仿宋" w:cs="Times New Roman"/>
          <w:color w:val="000000"/>
          <w:kern w:val="0"/>
          <w:sz w:val="24"/>
          <w:szCs w:val="24"/>
        </w:rPr>
        <w:t>专用合同条款另有约定外，发包人应最迟于开工日期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天前向承包人移交施工现场。</w:t>
      </w:r>
    </w:p>
    <w:p w14:paraId="6629BC4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2.4.2 </w:t>
      </w:r>
      <w:r>
        <w:rPr>
          <w:rFonts w:ascii="Times New Roman" w:hAnsi="Times New Roman" w:eastAsia="仿宋_GB2312;仿宋" w:cs="Times New Roman"/>
          <w:color w:val="000000"/>
          <w:kern w:val="0"/>
          <w:sz w:val="24"/>
          <w:szCs w:val="24"/>
        </w:rPr>
        <w:t>提供施工条件</w:t>
      </w:r>
    </w:p>
    <w:p w14:paraId="250DB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除专用合同条款另有约定外，发包人应负责提供施工所需要的条件，包括：</w:t>
      </w:r>
    </w:p>
    <w:p w14:paraId="2E9F9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）将施工用水、电力、通讯线路等施工所必需的条件接至施工现场内；</w:t>
      </w:r>
    </w:p>
    <w:p w14:paraId="72779B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）保证向承包人提供正常施工所需要的进入施工现场的交通条件；</w:t>
      </w:r>
    </w:p>
    <w:p w14:paraId="6E1E3D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）协调处理施工现场周围地下管线和邻近建筑物、构筑物、古树名木的保护工作，并承担相关费用；</w:t>
      </w:r>
    </w:p>
    <w:p w14:paraId="52C9BF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）按照专用合同条款约定应提供的其他设施和条件。</w:t>
      </w:r>
    </w:p>
    <w:p w14:paraId="62C7618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2.4.3 </w:t>
      </w:r>
      <w:r>
        <w:rPr>
          <w:rFonts w:ascii="Times New Roman" w:hAnsi="Times New Roman" w:eastAsia="仿宋_GB2312;仿宋" w:cs="Times New Roman"/>
          <w:color w:val="000000"/>
          <w:kern w:val="0"/>
          <w:sz w:val="24"/>
          <w:szCs w:val="24"/>
        </w:rPr>
        <w:t>提供基础资料</w:t>
      </w:r>
    </w:p>
    <w:p w14:paraId="1A50BF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20C3678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按照法律规定确需在开工后方能提供的基础资料，发包人应尽其努力及时地在相应工程施工前的合理期限内提供，合理期限应以不影响承包人的正常施工为限。</w:t>
      </w:r>
    </w:p>
    <w:p w14:paraId="4BD3072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2.4.4 </w:t>
      </w:r>
      <w:r>
        <w:rPr>
          <w:rFonts w:ascii="Times New Roman" w:hAnsi="Times New Roman" w:eastAsia="仿宋_GB2312;仿宋" w:cs="Times New Roman"/>
          <w:color w:val="000000"/>
          <w:kern w:val="0"/>
          <w:sz w:val="24"/>
          <w:szCs w:val="24"/>
        </w:rPr>
        <w:t>逾期提供的责任</w:t>
      </w:r>
    </w:p>
    <w:p w14:paraId="729E75F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因发包人原因未能按合同约定及时向承包人提供施工现场、施工条件、基础资料的，由发包人承担由此增加的费用和（或）延误的工期。</w:t>
      </w:r>
    </w:p>
    <w:p w14:paraId="48C55A1B">
      <w:pPr>
        <w:pStyle w:val="6"/>
        <w:spacing w:before="120" w:after="120" w:line="360" w:lineRule="auto"/>
        <w:ind w:firstLine="480"/>
        <w:rPr>
          <w:rFonts w:ascii="Times New Roman" w:hAnsi="Times New Roman" w:eastAsia="黑体" w:cs="Times New Roman"/>
          <w:b w:val="0"/>
          <w:color w:val="000000"/>
          <w:sz w:val="24"/>
          <w:szCs w:val="24"/>
        </w:rPr>
      </w:pPr>
      <w:bookmarkStart w:id="52" w:name="__RefHeading___Toc351203514"/>
      <w:bookmarkEnd w:id="52"/>
      <w:r>
        <w:rPr>
          <w:rFonts w:eastAsia="黑体" w:cs="Times New Roman"/>
          <w:b w:val="0"/>
          <w:color w:val="000000"/>
          <w:sz w:val="24"/>
          <w:szCs w:val="24"/>
        </w:rPr>
        <w:t xml:space="preserve">2.5 </w:t>
      </w:r>
      <w:r>
        <w:rPr>
          <w:rFonts w:ascii="Times New Roman" w:hAnsi="Times New Roman" w:eastAsia="黑体" w:cs="Times New Roman"/>
          <w:b w:val="0"/>
          <w:color w:val="000000"/>
          <w:sz w:val="24"/>
          <w:szCs w:val="24"/>
        </w:rPr>
        <w:t>资金来源证明及支付担保</w:t>
      </w:r>
    </w:p>
    <w:p w14:paraId="6DFE4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除专用合同条款另有约定外，发包人应在收到承包人要求提供资金来源证明的书面通知后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天内，向承包人提供能够按照合同约定支付合同价款的相应资金来源证明。</w:t>
      </w:r>
    </w:p>
    <w:p w14:paraId="6A7156B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除专用合同条款另有约定外，发包人要求承包人提供履约担保的，发包人应当向承包人提供支付担保。支付担保可以采用银行保函或担保公司担保等形式，具体由合同当事人在专用合同条款中约定。</w:t>
      </w:r>
    </w:p>
    <w:p w14:paraId="2B0B4771">
      <w:pPr>
        <w:pStyle w:val="6"/>
        <w:spacing w:before="120" w:after="120" w:line="360" w:lineRule="auto"/>
        <w:ind w:firstLine="480"/>
        <w:rPr>
          <w:rFonts w:ascii="Times New Roman" w:hAnsi="Times New Roman" w:eastAsia="黑体" w:cs="Times New Roman"/>
          <w:b w:val="0"/>
          <w:color w:val="000000"/>
          <w:sz w:val="24"/>
          <w:szCs w:val="24"/>
        </w:rPr>
      </w:pPr>
      <w:bookmarkStart w:id="53" w:name="__RefHeading___Toc351203515"/>
      <w:bookmarkEnd w:id="53"/>
      <w:r>
        <w:rPr>
          <w:rFonts w:eastAsia="黑体" w:cs="Times New Roman"/>
          <w:b w:val="0"/>
          <w:color w:val="000000"/>
          <w:sz w:val="24"/>
          <w:szCs w:val="24"/>
        </w:rPr>
        <w:t xml:space="preserve">2.6 </w:t>
      </w:r>
      <w:r>
        <w:rPr>
          <w:rFonts w:ascii="Times New Roman" w:hAnsi="Times New Roman" w:eastAsia="黑体" w:cs="Times New Roman"/>
          <w:b w:val="0"/>
          <w:color w:val="000000"/>
          <w:sz w:val="24"/>
          <w:szCs w:val="24"/>
        </w:rPr>
        <w:t>支付合同价款</w:t>
      </w:r>
    </w:p>
    <w:p w14:paraId="4C76F8D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发包人应按合同约定向承包人及时支付合同价款。</w:t>
      </w:r>
    </w:p>
    <w:p w14:paraId="7DF7DB9F">
      <w:pPr>
        <w:pStyle w:val="6"/>
        <w:spacing w:before="120" w:after="120" w:line="360" w:lineRule="auto"/>
        <w:ind w:firstLine="480"/>
        <w:rPr>
          <w:rFonts w:ascii="Times New Roman" w:hAnsi="Times New Roman" w:eastAsia="黑体" w:cs="Times New Roman"/>
          <w:b w:val="0"/>
          <w:color w:val="000000"/>
          <w:sz w:val="24"/>
          <w:szCs w:val="24"/>
        </w:rPr>
      </w:pPr>
      <w:bookmarkStart w:id="54" w:name="__RefHeading___Toc351203516"/>
      <w:bookmarkEnd w:id="54"/>
      <w:r>
        <w:rPr>
          <w:rFonts w:eastAsia="黑体" w:cs="Times New Roman"/>
          <w:b w:val="0"/>
          <w:color w:val="000000"/>
          <w:sz w:val="24"/>
          <w:szCs w:val="24"/>
        </w:rPr>
        <w:t xml:space="preserve">2.7 </w:t>
      </w:r>
      <w:r>
        <w:rPr>
          <w:rFonts w:ascii="Times New Roman" w:hAnsi="Times New Roman" w:eastAsia="黑体" w:cs="Times New Roman"/>
          <w:b w:val="0"/>
          <w:color w:val="000000"/>
          <w:sz w:val="24"/>
          <w:szCs w:val="24"/>
        </w:rPr>
        <w:t>组织竣工验收</w:t>
      </w:r>
    </w:p>
    <w:p w14:paraId="094E4BA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发包人应按合同约定及时组织竣工验收。</w:t>
      </w:r>
    </w:p>
    <w:p w14:paraId="4E7FA783">
      <w:pPr>
        <w:pStyle w:val="6"/>
        <w:spacing w:before="120" w:after="120" w:line="360" w:lineRule="auto"/>
        <w:ind w:firstLine="480"/>
        <w:rPr>
          <w:rFonts w:ascii="Times New Roman" w:hAnsi="Times New Roman" w:eastAsia="黑体" w:cs="Times New Roman"/>
          <w:b w:val="0"/>
          <w:color w:val="000000"/>
          <w:sz w:val="24"/>
          <w:szCs w:val="24"/>
        </w:rPr>
      </w:pPr>
      <w:bookmarkStart w:id="55" w:name="__RefHeading___Toc351203517"/>
      <w:bookmarkEnd w:id="55"/>
      <w:r>
        <w:rPr>
          <w:rFonts w:eastAsia="黑体" w:cs="Times New Roman"/>
          <w:b w:val="0"/>
          <w:color w:val="000000"/>
          <w:sz w:val="24"/>
          <w:szCs w:val="24"/>
        </w:rPr>
        <w:t xml:space="preserve">2.8 </w:t>
      </w:r>
      <w:r>
        <w:rPr>
          <w:rFonts w:ascii="Times New Roman" w:hAnsi="Times New Roman" w:eastAsia="黑体" w:cs="Times New Roman"/>
          <w:b w:val="0"/>
          <w:color w:val="000000"/>
          <w:sz w:val="24"/>
          <w:szCs w:val="24"/>
        </w:rPr>
        <w:t>现场统一管理协议</w:t>
      </w:r>
    </w:p>
    <w:p w14:paraId="4584518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发包人应与承包人、由发包人直接发包的专业工程的承包人签订施工现场统一管理协议，明确各方的权利义务。施工现场统一管理协议作为专用合同条款的附件。</w:t>
      </w:r>
    </w:p>
    <w:p w14:paraId="3CD78EF4">
      <w:pPr>
        <w:pStyle w:val="5"/>
        <w:spacing w:before="120" w:after="120" w:line="360" w:lineRule="auto"/>
        <w:rPr>
          <w:rFonts w:ascii="Times New Roman" w:hAnsi="Times New Roman" w:eastAsia="黑体" w:cs="Times New Roman"/>
          <w:b w:val="0"/>
          <w:color w:val="000000"/>
          <w:sz w:val="24"/>
          <w:szCs w:val="24"/>
        </w:rPr>
      </w:pPr>
      <w:bookmarkStart w:id="56" w:name="__RefHeading___Toc351203518"/>
      <w:bookmarkEnd w:id="56"/>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01EC63E5">
      <w:pPr>
        <w:pStyle w:val="6"/>
        <w:spacing w:before="120" w:after="120" w:line="360" w:lineRule="auto"/>
        <w:ind w:firstLine="480"/>
        <w:rPr>
          <w:rFonts w:ascii="Times New Roman" w:hAnsi="Times New Roman" w:eastAsia="黑体" w:cs="Times New Roman"/>
          <w:b w:val="0"/>
          <w:color w:val="000000"/>
          <w:sz w:val="24"/>
          <w:szCs w:val="24"/>
        </w:rPr>
      </w:pPr>
      <w:bookmarkStart w:id="57" w:name="__RefHeading___Toc351203519"/>
      <w:bookmarkEnd w:id="57"/>
      <w:r>
        <w:rPr>
          <w:rFonts w:eastAsia="黑体" w:cs="Times New Roman"/>
          <w:b w:val="0"/>
          <w:color w:val="000000"/>
          <w:sz w:val="24"/>
          <w:szCs w:val="24"/>
        </w:rPr>
        <w:t xml:space="preserve">3.1 </w:t>
      </w:r>
      <w:r>
        <w:rPr>
          <w:rFonts w:ascii="Times New Roman" w:hAnsi="Times New Roman" w:eastAsia="黑体" w:cs="Times New Roman"/>
          <w:b w:val="0"/>
          <w:color w:val="000000"/>
          <w:sz w:val="24"/>
          <w:szCs w:val="24"/>
        </w:rPr>
        <w:t>承包人的一般义务</w:t>
      </w:r>
    </w:p>
    <w:p w14:paraId="791F864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承包人在履行合同过程中应遵守法律和工程建设标准规范，并履行以下义务：</w:t>
      </w:r>
    </w:p>
    <w:p w14:paraId="74A153D6">
      <w:pPr>
        <w:numPr>
          <w:ilvl w:val="0"/>
          <w:numId w:val="12"/>
        </w:numPr>
        <w:autoSpaceDE w:val="0"/>
        <w:spacing w:line="360" w:lineRule="auto"/>
        <w:ind w:left="0"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办理法律规定应由承包人办理的许可和批准，并将办理结果书面报送发包人留存；</w:t>
      </w:r>
    </w:p>
    <w:p w14:paraId="2C988C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）按法律规定和合同约定完成工程，并在保修期内承担保修义务；</w:t>
      </w:r>
    </w:p>
    <w:p w14:paraId="6E5692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）按法律规定和合同约定采取施工安全和环境保护措施，办理工伤保险，确保工程及人员、材料、设备和设施的安全；</w:t>
      </w:r>
    </w:p>
    <w:p w14:paraId="31D7727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）按合同约定的工作内容和施工进度要求，编制施工组织设计和施工措施计划，并对所有施工作业和施工方法的完备性和安全可靠性负责；</w:t>
      </w:r>
    </w:p>
    <w:p w14:paraId="1C872C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C4E5ED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）按照第</w:t>
      </w:r>
      <w:r>
        <w:rPr>
          <w:rFonts w:eastAsia="仿宋_GB2312;仿宋" w:cs="Times New Roman"/>
          <w:color w:val="000000"/>
          <w:kern w:val="0"/>
          <w:sz w:val="24"/>
          <w:szCs w:val="24"/>
        </w:rPr>
        <w:t>6.3</w:t>
      </w:r>
      <w:r>
        <w:rPr>
          <w:rFonts w:ascii="Times New Roman" w:hAnsi="Times New Roman" w:eastAsia="仿宋_GB2312;仿宋" w:cs="Times New Roman"/>
          <w:color w:val="000000"/>
          <w:kern w:val="0"/>
          <w:sz w:val="24"/>
          <w:szCs w:val="24"/>
        </w:rPr>
        <w:t>款〔环境保护〕约定负责施工场地及其周边环境与生态的保护工作；</w:t>
      </w:r>
    </w:p>
    <w:p w14:paraId="4CEB5C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）按第</w:t>
      </w:r>
      <w:r>
        <w:rPr>
          <w:rFonts w:eastAsia="仿宋_GB2312;仿宋" w:cs="Times New Roman"/>
          <w:color w:val="000000"/>
          <w:kern w:val="0"/>
          <w:sz w:val="24"/>
          <w:szCs w:val="24"/>
        </w:rPr>
        <w:t>6.1</w:t>
      </w:r>
      <w:r>
        <w:rPr>
          <w:rFonts w:ascii="Times New Roman" w:hAnsi="Times New Roman" w:eastAsia="仿宋_GB2312;仿宋" w:cs="Times New Roman"/>
          <w:color w:val="000000"/>
          <w:kern w:val="0"/>
          <w:sz w:val="24"/>
          <w:szCs w:val="24"/>
        </w:rPr>
        <w:t>款〔安全文明施工〕约定采取施工安全措施，确保工程及其人员、材料、设备和设施的安全，防止因工程施工造成的人身伤害和财产损失；</w:t>
      </w:r>
    </w:p>
    <w:p w14:paraId="4248D7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）将发包人按合同约定支付的各项价款专用于合同工程，且应及时支付其雇用人员工资，并及时向分包人支付合同价款；</w:t>
      </w:r>
    </w:p>
    <w:p w14:paraId="32A247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）按照法律规定和合同约定编制竣工资料，完成竣工资料立卷及归档，并按专用合同条款约定的竣工资料的套数、内容、时间等要求移交发包人；</w:t>
      </w:r>
    </w:p>
    <w:p w14:paraId="47CD2D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）应履行的其他义务。</w:t>
      </w:r>
    </w:p>
    <w:p w14:paraId="5A780B81">
      <w:pPr>
        <w:pStyle w:val="6"/>
        <w:spacing w:before="120" w:after="120" w:line="360" w:lineRule="auto"/>
        <w:ind w:firstLine="480"/>
        <w:rPr>
          <w:rFonts w:ascii="Times New Roman" w:hAnsi="Times New Roman" w:eastAsia="黑体" w:cs="Times New Roman"/>
          <w:b w:val="0"/>
          <w:color w:val="000000"/>
          <w:sz w:val="24"/>
          <w:szCs w:val="24"/>
        </w:rPr>
      </w:pPr>
      <w:bookmarkStart w:id="58" w:name="__RefHeading___Toc351203520"/>
      <w:r>
        <w:rPr>
          <w:rFonts w:eastAsia="黑体" w:cs="Times New Roman"/>
          <w:b w:val="0"/>
          <w:color w:val="000000"/>
          <w:sz w:val="24"/>
          <w:szCs w:val="24"/>
        </w:rPr>
        <w:t xml:space="preserve">3.2 </w:t>
      </w:r>
      <w:bookmarkEnd w:id="58"/>
      <w:r>
        <w:rPr>
          <w:rFonts w:ascii="Times New Roman" w:hAnsi="Times New Roman" w:eastAsia="黑体" w:cs="Times New Roman"/>
          <w:b w:val="0"/>
          <w:color w:val="000000"/>
          <w:sz w:val="24"/>
          <w:szCs w:val="24"/>
        </w:rPr>
        <w:t>项目经理</w:t>
      </w:r>
    </w:p>
    <w:p w14:paraId="1C8CEBB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kern w:val="0"/>
          <w:sz w:val="24"/>
          <w:szCs w:val="24"/>
        </w:rPr>
        <w:t>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A9D85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56E1A82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承包人违反上述约定的，应按照专用合同条款的约定，承担违约责任。</w:t>
      </w:r>
    </w:p>
    <w:p w14:paraId="1FC5460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3.2.2 </w:t>
      </w:r>
      <w:r>
        <w:rPr>
          <w:rFonts w:ascii="Times New Roman" w:hAnsi="Times New Roman" w:eastAsia="仿宋_GB2312;仿宋" w:cs="Times New Roman"/>
          <w:color w:val="000000"/>
          <w:kern w:val="0"/>
          <w:sz w:val="24"/>
          <w:szCs w:val="24"/>
        </w:rPr>
        <w:t>项目经理按合同约定组织工程实施。在紧急情况下为确保施工安全和人员安全，在无法与发包人代表和总监理工程师及时取得联系时，项目经理有权采取必要的措施保证与工程有关的人身、财产和工程的安全，但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小时内向发包人代表和总监理工程师提交书面报告。</w:t>
      </w:r>
    </w:p>
    <w:p w14:paraId="43C1222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3.2.3 </w:t>
      </w:r>
      <w:r>
        <w:rPr>
          <w:rFonts w:ascii="Times New Roman" w:hAnsi="Times New Roman" w:eastAsia="仿宋_GB2312;仿宋" w:cs="Times New Roman"/>
          <w:color w:val="000000"/>
          <w:kern w:val="0"/>
          <w:sz w:val="24"/>
          <w:szCs w:val="24"/>
        </w:rPr>
        <w:t>承包人需要更换项目经理的，应提前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天书面通知发包人和监理人，并征得发包人书面同意。通知中应当载明继任项目经理的注册执业资格、管理经验等资料，继任项目经理继续履行第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项约定的职责。未经发包人书面同意，承包人不得擅自更换项目经理。承包人擅自更换项目经理的，应按照专用合同条款的约定承担违约责任。</w:t>
      </w:r>
    </w:p>
    <w:p w14:paraId="49F95EB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3.2.4 </w:t>
      </w:r>
      <w:r>
        <w:rPr>
          <w:rFonts w:ascii="Times New Roman" w:hAnsi="Times New Roman" w:eastAsia="仿宋_GB2312;仿宋" w:cs="Times New Roman"/>
          <w:color w:val="000000"/>
          <w:kern w:val="0"/>
          <w:sz w:val="24"/>
          <w:szCs w:val="24"/>
        </w:rPr>
        <w:t>发包人有权书面通知承包人更换其认为不称职的项目经理，通知中应当载明要求更换的理由。承包人应在接到更换通知后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天内向发包人提出书面的改进报告。发包人收到改进报告后仍要求更换的，承包人应在接到第二次更换通知的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天内进行更换，并将新任命的项目经理的注册执业资格、管理经验等资料书面通知发包人。继任项目经理继续履行第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项约定的职责。承包人无正当理由拒绝更换项目经理的，应按照专用合同条款的约定承担违约责任。</w:t>
      </w:r>
    </w:p>
    <w:p w14:paraId="5C8B36C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3.2.5 </w:t>
      </w:r>
      <w:r>
        <w:rPr>
          <w:rFonts w:ascii="Times New Roman" w:hAnsi="Times New Roman" w:eastAsia="仿宋_GB2312;仿宋" w:cs="Times New Roman"/>
          <w:color w:val="000000"/>
          <w:kern w:val="0"/>
          <w:sz w:val="24"/>
          <w:szCs w:val="24"/>
        </w:rPr>
        <w:t>项目经理因特殊情况授权其下属人员履行其某项工作职责的，该下属人员应具备履行相应职责的能力，并应提前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天将上述人员的姓名和授权范围书面通知监理人，并征得发包人书面同意。</w:t>
      </w:r>
    </w:p>
    <w:p w14:paraId="22DD0D10">
      <w:pPr>
        <w:pStyle w:val="6"/>
        <w:spacing w:before="120" w:after="120" w:line="360" w:lineRule="auto"/>
        <w:ind w:firstLine="480"/>
        <w:rPr>
          <w:rFonts w:ascii="Times New Roman" w:hAnsi="Times New Roman" w:eastAsia="黑体" w:cs="Times New Roman"/>
          <w:b w:val="0"/>
          <w:color w:val="000000"/>
          <w:sz w:val="24"/>
          <w:szCs w:val="24"/>
        </w:rPr>
      </w:pPr>
      <w:bookmarkStart w:id="59" w:name="__RefHeading___Toc351203521"/>
      <w:bookmarkEnd w:id="59"/>
      <w:r>
        <w:rPr>
          <w:rFonts w:eastAsia="黑体" w:cs="Times New Roman"/>
          <w:b w:val="0"/>
          <w:color w:val="000000"/>
          <w:sz w:val="24"/>
          <w:szCs w:val="24"/>
        </w:rPr>
        <w:t xml:space="preserve">3.3 </w:t>
      </w:r>
      <w:r>
        <w:rPr>
          <w:rFonts w:ascii="Times New Roman" w:hAnsi="Times New Roman" w:eastAsia="黑体" w:cs="Times New Roman"/>
          <w:b w:val="0"/>
          <w:color w:val="000000"/>
          <w:sz w:val="24"/>
          <w:szCs w:val="24"/>
        </w:rPr>
        <w:t>承包人人员</w:t>
      </w:r>
    </w:p>
    <w:p w14:paraId="6F82936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3.3.1 </w:t>
      </w:r>
      <w:r>
        <w:rPr>
          <w:rFonts w:ascii="Times New Roman" w:hAnsi="Times New Roman" w:eastAsia="仿宋_GB2312;仿宋" w:cs="Times New Roman"/>
          <w:color w:val="000000"/>
          <w:kern w:val="0"/>
          <w:sz w:val="24"/>
          <w:szCs w:val="24"/>
        </w:rPr>
        <w:t>除专用合同条款另有约定外，承包人应在接到开工通知后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083AD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3.3.2 </w:t>
      </w:r>
      <w:r>
        <w:rPr>
          <w:rFonts w:ascii="Times New Roman" w:hAnsi="Times New Roman" w:eastAsia="仿宋_GB2312;仿宋" w:cs="Times New Roman"/>
          <w:color w:val="000000"/>
          <w:kern w:val="0"/>
          <w:sz w:val="24"/>
          <w:szCs w:val="24"/>
        </w:rPr>
        <w:t>承包人派驻到施工现场的主要施工管理人员应相对稳定。施工过程中如有变动，承包人应及时向监理人提交施工现场人员变动情况的报告。承包人更换主要施工管理人员时，应提前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天书面通知监理人，并征得发包人书面同意。通知中应当载明继任人员的注册执业资格、管理经验等资料。</w:t>
      </w:r>
    </w:p>
    <w:p w14:paraId="1544687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特殊工种作业人员均应持有相应的资格证明，监理人可以随时检查。</w:t>
      </w:r>
    </w:p>
    <w:p w14:paraId="311AB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3.3.3 </w:t>
      </w:r>
      <w:r>
        <w:rPr>
          <w:rFonts w:ascii="Times New Roman" w:hAnsi="Times New Roman" w:eastAsia="仿宋_GB2312;仿宋" w:cs="Times New Roman"/>
          <w:color w:val="000000"/>
          <w:kern w:val="0"/>
          <w:sz w:val="24"/>
          <w:szCs w:val="24"/>
        </w:rPr>
        <w:t>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28C461E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3.3.4 </w:t>
      </w:r>
      <w:r>
        <w:rPr>
          <w:rFonts w:ascii="Times New Roman" w:hAnsi="Times New Roman" w:eastAsia="仿宋_GB2312;仿宋" w:cs="Times New Roman"/>
          <w:color w:val="000000"/>
          <w:kern w:val="0"/>
          <w:sz w:val="24"/>
          <w:szCs w:val="24"/>
        </w:rPr>
        <w:t>除专用合同条款另有约定外，承包人的主要施工管理人员离开施工现场每月累计不超过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天的，应报监理人同意；离开施工现场每月累计超过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天的，应通知监理人，并征得发包人书面同意。主要施工管理人员离开施工现场前应指定一名有经验的人员临时代行其职责，该人员应具备履行相应职责的资格和能力，且应征得监理人或发包人的同意。</w:t>
      </w:r>
    </w:p>
    <w:p w14:paraId="492FDB1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3.3.5 </w:t>
      </w:r>
      <w:r>
        <w:rPr>
          <w:rFonts w:ascii="Times New Roman" w:hAnsi="Times New Roman" w:eastAsia="仿宋_GB2312;仿宋" w:cs="Times New Roman"/>
          <w:color w:val="000000"/>
          <w:kern w:val="0"/>
          <w:sz w:val="24"/>
          <w:szCs w:val="24"/>
        </w:rPr>
        <w:t>承包人擅自更换主要施工管理人员，或前述人员未经监理人或发包人同意擅自离开施工现场的，应按照专用合同条款约定承担违约责任。</w:t>
      </w:r>
    </w:p>
    <w:p w14:paraId="7CBE5BD9">
      <w:pPr>
        <w:pStyle w:val="6"/>
        <w:spacing w:before="120" w:after="120" w:line="360" w:lineRule="auto"/>
        <w:ind w:firstLine="480"/>
        <w:rPr>
          <w:rFonts w:ascii="Times New Roman" w:hAnsi="Times New Roman" w:eastAsia="黑体" w:cs="Times New Roman"/>
          <w:b w:val="0"/>
          <w:color w:val="000000"/>
          <w:sz w:val="24"/>
          <w:szCs w:val="24"/>
        </w:rPr>
      </w:pPr>
      <w:bookmarkStart w:id="60" w:name="__RefHeading___Toc351203522"/>
      <w:bookmarkEnd w:id="60"/>
      <w:r>
        <w:rPr>
          <w:rFonts w:eastAsia="黑体" w:cs="Times New Roman"/>
          <w:b w:val="0"/>
          <w:color w:val="000000"/>
          <w:sz w:val="24"/>
          <w:szCs w:val="24"/>
        </w:rPr>
        <w:t xml:space="preserve">3.4 </w:t>
      </w:r>
      <w:r>
        <w:rPr>
          <w:rFonts w:ascii="Times New Roman" w:hAnsi="Times New Roman" w:eastAsia="黑体" w:cs="Times New Roman"/>
          <w:b w:val="0"/>
          <w:color w:val="000000"/>
          <w:sz w:val="24"/>
          <w:szCs w:val="24"/>
        </w:rPr>
        <w:t>承包人现场查勘</w:t>
      </w:r>
    </w:p>
    <w:p w14:paraId="76E8E2CF">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承包人应对基于发包人按照第</w:t>
      </w:r>
      <w:r>
        <w:rPr>
          <w:rFonts w:eastAsia="仿宋_GB2312;仿宋" w:cs="Times New Roman"/>
          <w:color w:val="000000"/>
          <w:kern w:val="0"/>
          <w:sz w:val="24"/>
          <w:szCs w:val="24"/>
        </w:rPr>
        <w:t>2.4.3</w:t>
      </w:r>
      <w:r>
        <w:rPr>
          <w:rFonts w:ascii="Times New Roman" w:hAnsi="Times New Roman" w:eastAsia="仿宋_GB2312;仿宋" w:cs="Times New Roman"/>
          <w:color w:val="000000"/>
          <w:kern w:val="0"/>
          <w:sz w:val="24"/>
          <w:szCs w:val="24"/>
        </w:rPr>
        <w:t>项〔提供基础资料〕提交的基础资料所做出的解释和推断负责，但因基础资料存在错误、遗漏导致承包人解释或推断失实的，由发包人承担责任。</w:t>
      </w:r>
    </w:p>
    <w:p w14:paraId="709A00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4A8DA74F">
      <w:pPr>
        <w:pStyle w:val="6"/>
        <w:spacing w:before="120" w:after="120" w:line="360" w:lineRule="auto"/>
        <w:ind w:firstLine="480"/>
        <w:rPr>
          <w:rFonts w:ascii="Times New Roman" w:hAnsi="Times New Roman" w:eastAsia="黑体" w:cs="Times New Roman"/>
          <w:b w:val="0"/>
          <w:color w:val="000000"/>
          <w:sz w:val="24"/>
          <w:szCs w:val="24"/>
        </w:rPr>
      </w:pPr>
      <w:bookmarkStart w:id="61" w:name="__RefHeading___Toc351203523"/>
      <w:bookmarkEnd w:id="61"/>
      <w:r>
        <w:rPr>
          <w:rFonts w:eastAsia="黑体" w:cs="Times New Roman"/>
          <w:b w:val="0"/>
          <w:color w:val="000000"/>
          <w:sz w:val="24"/>
          <w:szCs w:val="24"/>
        </w:rPr>
        <w:t xml:space="preserve">3.5 </w:t>
      </w:r>
      <w:r>
        <w:rPr>
          <w:rFonts w:ascii="Times New Roman" w:hAnsi="Times New Roman" w:eastAsia="黑体" w:cs="Times New Roman"/>
          <w:b w:val="0"/>
          <w:color w:val="000000"/>
          <w:sz w:val="24"/>
          <w:szCs w:val="24"/>
        </w:rPr>
        <w:t>分包</w:t>
      </w:r>
    </w:p>
    <w:p w14:paraId="1886513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3.5.1 </w:t>
      </w:r>
      <w:r>
        <w:rPr>
          <w:rFonts w:ascii="Times New Roman" w:hAnsi="Times New Roman" w:eastAsia="仿宋_GB2312;仿宋" w:cs="Times New Roman"/>
          <w:color w:val="000000"/>
          <w:kern w:val="0"/>
          <w:sz w:val="24"/>
          <w:szCs w:val="24"/>
        </w:rPr>
        <w:t>分包的一般约定</w:t>
      </w:r>
    </w:p>
    <w:p w14:paraId="1593624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0E3214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承包人不得以劳务分包的名义转包或违法分包工程。</w:t>
      </w:r>
    </w:p>
    <w:p w14:paraId="6D97ABE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3.5.2 </w:t>
      </w:r>
      <w:r>
        <w:rPr>
          <w:rFonts w:ascii="Times New Roman" w:hAnsi="Times New Roman" w:eastAsia="仿宋_GB2312;仿宋" w:cs="Times New Roman"/>
          <w:color w:val="000000"/>
          <w:kern w:val="0"/>
          <w:sz w:val="24"/>
          <w:szCs w:val="24"/>
        </w:rPr>
        <w:t>分包的确定</w:t>
      </w:r>
    </w:p>
    <w:p w14:paraId="4B0438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承包人应按专用合同条款的约定进行分包，确定分包人。已标价工程量清单或预算书中给定暂估价的专业工程，按照第</w:t>
      </w:r>
      <w:r>
        <w:rPr>
          <w:rFonts w:eastAsia="仿宋_GB2312;仿宋" w:cs="Times New Roman"/>
          <w:color w:val="000000"/>
          <w:kern w:val="0"/>
          <w:sz w:val="24"/>
          <w:szCs w:val="24"/>
        </w:rPr>
        <w:t>10.7</w:t>
      </w:r>
      <w:r>
        <w:rPr>
          <w:rFonts w:ascii="Times New Roman" w:hAnsi="Times New Roman" w:eastAsia="仿宋_GB2312;仿宋" w:cs="Times New Roman"/>
          <w:color w:val="000000"/>
          <w:kern w:val="0"/>
          <w:sz w:val="24"/>
          <w:szCs w:val="24"/>
        </w:rPr>
        <w:t>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天内向发包人和监理人提交分包合同副本。</w:t>
      </w:r>
    </w:p>
    <w:p w14:paraId="14AB575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3.5.3 </w:t>
      </w:r>
      <w:r>
        <w:rPr>
          <w:rFonts w:ascii="Times New Roman" w:hAnsi="Times New Roman" w:eastAsia="仿宋_GB2312;仿宋" w:cs="Times New Roman"/>
          <w:color w:val="000000"/>
          <w:kern w:val="0"/>
          <w:sz w:val="24"/>
          <w:szCs w:val="24"/>
        </w:rPr>
        <w:t>分包管理</w:t>
      </w:r>
    </w:p>
    <w:p w14:paraId="78718C5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承包人应向监理人提交分包人的主要施工管理人员表，并对分包人的施工人员进行实名制管理，包括但不限于进出场管理、登记造册以及各种证照的办理。</w:t>
      </w:r>
    </w:p>
    <w:p w14:paraId="15AA167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3.5.4 </w:t>
      </w:r>
      <w:r>
        <w:rPr>
          <w:rFonts w:ascii="Times New Roman" w:hAnsi="Times New Roman" w:eastAsia="仿宋_GB2312;仿宋" w:cs="Times New Roman"/>
          <w:color w:val="000000"/>
          <w:kern w:val="0"/>
          <w:sz w:val="24"/>
          <w:szCs w:val="24"/>
        </w:rPr>
        <w:t>分包合同价款</w:t>
      </w:r>
    </w:p>
    <w:p w14:paraId="0133C4F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）除本项第（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）目约定的情况或专用合同条款另有约定外，分包合同价款由承包人与分包人结算，未经承包人同意，发包人不得向分包人支付分包工程价款；</w:t>
      </w:r>
    </w:p>
    <w:p w14:paraId="0AF26B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）生效法律文书要求发包人向分包人支付分包合同价款的，发包人有权从应付承包人工程款中扣除该部分款项。</w:t>
      </w:r>
    </w:p>
    <w:p w14:paraId="79BAC6F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3.5.5 </w:t>
      </w:r>
      <w:r>
        <w:rPr>
          <w:rFonts w:ascii="Times New Roman" w:hAnsi="Times New Roman" w:eastAsia="仿宋_GB2312;仿宋" w:cs="Times New Roman"/>
          <w:color w:val="000000"/>
          <w:kern w:val="0"/>
          <w:sz w:val="24"/>
          <w:szCs w:val="24"/>
        </w:rPr>
        <w:t>分包合同权益的转让</w:t>
      </w:r>
    </w:p>
    <w:p w14:paraId="3721FE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62" w:name="__RefHeading___Toc351203524"/>
    </w:p>
    <w:p w14:paraId="1148F8D0">
      <w:pPr>
        <w:pStyle w:val="6"/>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3.6 </w:t>
      </w:r>
      <w:r>
        <w:rPr>
          <w:rFonts w:ascii="Times New Roman" w:hAnsi="Times New Roman" w:eastAsia="黑体" w:cs="Times New Roman"/>
          <w:b w:val="0"/>
          <w:color w:val="000000"/>
          <w:sz w:val="24"/>
          <w:szCs w:val="24"/>
        </w:rPr>
        <w:t>工程照管与成品、半成品保护</w:t>
      </w:r>
      <w:bookmarkEnd w:id="62"/>
    </w:p>
    <w:p w14:paraId="2228FA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）除专用合同条款另有约定外，自发包人向承包人移交施工现场之日起，承包人应负责照管工程及工程相关的材料、工程设备，直到颁发工程接收证书之日止。</w:t>
      </w:r>
    </w:p>
    <w:p w14:paraId="34323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）在承包人负责照管期间，因承包人原因造成工程、材料、工程设备损坏的，由承包人负责修复或更换，并承担由此增加的费用和（或）延误的工期。</w:t>
      </w:r>
    </w:p>
    <w:p w14:paraId="408776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）对合同内分期完成的成品和半成品，在工程接收证书颁发前，由承包人承担保护责任。因承包人原因造成成品或半成品损坏的，由承包人负责修复或更换，并承担由此增加的费用和（或）延误的工期。</w:t>
      </w:r>
    </w:p>
    <w:p w14:paraId="2B1C10E2">
      <w:pPr>
        <w:pStyle w:val="6"/>
        <w:spacing w:before="120" w:after="120" w:line="360" w:lineRule="auto"/>
        <w:ind w:firstLine="480"/>
        <w:rPr>
          <w:rFonts w:ascii="Times New Roman" w:hAnsi="Times New Roman" w:eastAsia="黑体" w:cs="Times New Roman"/>
          <w:b w:val="0"/>
          <w:color w:val="000000"/>
          <w:sz w:val="24"/>
          <w:szCs w:val="24"/>
        </w:rPr>
      </w:pPr>
      <w:bookmarkStart w:id="63" w:name="__RefHeading___Toc351203525"/>
      <w:bookmarkEnd w:id="63"/>
      <w:r>
        <w:rPr>
          <w:rFonts w:eastAsia="黑体" w:cs="Times New Roman"/>
          <w:b w:val="0"/>
          <w:color w:val="000000"/>
          <w:sz w:val="24"/>
          <w:szCs w:val="24"/>
        </w:rPr>
        <w:t xml:space="preserve">3.7 </w:t>
      </w:r>
      <w:r>
        <w:rPr>
          <w:rFonts w:ascii="Times New Roman" w:hAnsi="Times New Roman" w:eastAsia="黑体" w:cs="Times New Roman"/>
          <w:b w:val="0"/>
          <w:color w:val="000000"/>
          <w:sz w:val="24"/>
          <w:szCs w:val="24"/>
        </w:rPr>
        <w:t>履约担保</w:t>
      </w:r>
    </w:p>
    <w:p w14:paraId="2D021F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1674C72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因承包人原因导致工期延长的，继续提供履约担保所增加的费用由承包人承担；非因承包人原因导致工期延长的，继续提供履约担保所增加的费用由发包人承担。</w:t>
      </w:r>
    </w:p>
    <w:p w14:paraId="5904CB48">
      <w:pPr>
        <w:pStyle w:val="6"/>
        <w:spacing w:before="120" w:after="120" w:line="360" w:lineRule="auto"/>
        <w:ind w:firstLine="480"/>
        <w:rPr>
          <w:rFonts w:ascii="Times New Roman" w:hAnsi="Times New Roman" w:eastAsia="黑体" w:cs="Times New Roman"/>
          <w:b w:val="0"/>
          <w:color w:val="000000"/>
          <w:sz w:val="24"/>
          <w:szCs w:val="24"/>
        </w:rPr>
      </w:pPr>
      <w:bookmarkStart w:id="64" w:name="__RefHeading___Toc351203526"/>
      <w:bookmarkEnd w:id="64"/>
      <w:r>
        <w:rPr>
          <w:rFonts w:eastAsia="黑体" w:cs="Times New Roman"/>
          <w:b w:val="0"/>
          <w:color w:val="000000"/>
          <w:sz w:val="24"/>
          <w:szCs w:val="24"/>
        </w:rPr>
        <w:t xml:space="preserve">3.8 </w:t>
      </w:r>
      <w:r>
        <w:rPr>
          <w:rFonts w:ascii="Times New Roman" w:hAnsi="Times New Roman" w:eastAsia="黑体" w:cs="Times New Roman"/>
          <w:b w:val="0"/>
          <w:color w:val="000000"/>
          <w:sz w:val="24"/>
          <w:szCs w:val="24"/>
        </w:rPr>
        <w:t>联合体</w:t>
      </w:r>
    </w:p>
    <w:p w14:paraId="4AE8F2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3.8.1 </w:t>
      </w:r>
      <w:r>
        <w:rPr>
          <w:rFonts w:ascii="Times New Roman" w:hAnsi="Times New Roman" w:eastAsia="仿宋_GB2312;仿宋" w:cs="Times New Roman"/>
          <w:color w:val="000000"/>
          <w:kern w:val="0"/>
          <w:sz w:val="24"/>
          <w:szCs w:val="24"/>
        </w:rPr>
        <w:t>联合体各方应共同与发包人签订合同协议书。联合体各方应为履行合同向发包人承担连带责任。</w:t>
      </w:r>
    </w:p>
    <w:p w14:paraId="2B4FEA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3.8.2 </w:t>
      </w:r>
      <w:r>
        <w:rPr>
          <w:rFonts w:ascii="Times New Roman" w:hAnsi="Times New Roman" w:eastAsia="仿宋_GB2312;仿宋" w:cs="Times New Roman"/>
          <w:color w:val="000000"/>
          <w:kern w:val="0"/>
          <w:sz w:val="24"/>
          <w:szCs w:val="24"/>
        </w:rPr>
        <w:t>联合体协议经发包人确认后作为合同附件。在履行合同过程中，未经发包人同意，不得修改联合体协议。</w:t>
      </w:r>
    </w:p>
    <w:p w14:paraId="7131FD3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3.8.3 </w:t>
      </w:r>
      <w:r>
        <w:rPr>
          <w:rFonts w:ascii="Times New Roman" w:hAnsi="Times New Roman" w:eastAsia="仿宋_GB2312;仿宋" w:cs="Times New Roman"/>
          <w:color w:val="000000"/>
          <w:kern w:val="0"/>
          <w:sz w:val="24"/>
          <w:szCs w:val="24"/>
        </w:rPr>
        <w:t>联合体牵头人负责与发包人和监理人联系，并接受指示，负责组织联合体各成员全面履行合同。</w:t>
      </w:r>
    </w:p>
    <w:p w14:paraId="4ED48429">
      <w:pPr>
        <w:pStyle w:val="5"/>
        <w:spacing w:before="120" w:after="120" w:line="360" w:lineRule="auto"/>
        <w:rPr>
          <w:rFonts w:ascii="Times New Roman" w:hAnsi="Times New Roman" w:eastAsia="黑体" w:cs="Times New Roman"/>
          <w:b w:val="0"/>
          <w:color w:val="000000"/>
          <w:sz w:val="24"/>
          <w:szCs w:val="24"/>
        </w:rPr>
      </w:pPr>
      <w:bookmarkStart w:id="65" w:name="__RefHeading___Toc351203527"/>
      <w:bookmarkEnd w:id="65"/>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1575FDDC">
      <w:pPr>
        <w:pStyle w:val="6"/>
        <w:spacing w:before="120" w:after="120" w:line="360" w:lineRule="auto"/>
        <w:ind w:firstLine="480"/>
        <w:rPr>
          <w:rFonts w:ascii="Times New Roman" w:hAnsi="Times New Roman" w:eastAsia="黑体" w:cs="Times New Roman"/>
          <w:b w:val="0"/>
          <w:color w:val="000000"/>
          <w:sz w:val="24"/>
          <w:szCs w:val="24"/>
        </w:rPr>
      </w:pPr>
      <w:bookmarkStart w:id="66" w:name="__RefHeading___Toc351203528"/>
      <w:bookmarkEnd w:id="66"/>
      <w:r>
        <w:rPr>
          <w:rFonts w:eastAsia="黑体" w:cs="Times New Roman"/>
          <w:b w:val="0"/>
          <w:color w:val="000000"/>
          <w:sz w:val="24"/>
          <w:szCs w:val="24"/>
        </w:rPr>
        <w:t>4.1</w:t>
      </w:r>
      <w:r>
        <w:rPr>
          <w:rFonts w:ascii="Times New Roman" w:hAnsi="Times New Roman" w:eastAsia="黑体" w:cs="Times New Roman"/>
          <w:b w:val="0"/>
          <w:color w:val="000000"/>
          <w:sz w:val="24"/>
          <w:szCs w:val="24"/>
        </w:rPr>
        <w:t>监理人的一般规定</w:t>
      </w:r>
    </w:p>
    <w:p w14:paraId="5C0CDD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1936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除专用合同条款另有约定外，监理人在施工现场的办公场所、生活场所由承包人提供，所发生的费用由发包人承担。</w:t>
      </w:r>
    </w:p>
    <w:p w14:paraId="6067A597">
      <w:pPr>
        <w:pStyle w:val="6"/>
        <w:spacing w:before="120" w:after="120" w:line="360" w:lineRule="auto"/>
        <w:ind w:firstLine="480"/>
        <w:rPr>
          <w:rFonts w:ascii="Times New Roman" w:hAnsi="Times New Roman" w:eastAsia="黑体" w:cs="Times New Roman"/>
          <w:b w:val="0"/>
          <w:color w:val="000000"/>
          <w:sz w:val="24"/>
          <w:szCs w:val="24"/>
        </w:rPr>
      </w:pPr>
      <w:bookmarkStart w:id="67" w:name="__RefHeading___Toc351203529"/>
      <w:bookmarkEnd w:id="67"/>
      <w:r>
        <w:rPr>
          <w:rFonts w:eastAsia="黑体" w:cs="Times New Roman"/>
          <w:b w:val="0"/>
          <w:color w:val="000000"/>
          <w:sz w:val="24"/>
          <w:szCs w:val="24"/>
        </w:rPr>
        <w:t>4.2</w:t>
      </w:r>
      <w:r>
        <w:rPr>
          <w:rFonts w:ascii="Times New Roman" w:hAnsi="Times New Roman" w:eastAsia="黑体" w:cs="Times New Roman"/>
          <w:b w:val="0"/>
          <w:color w:val="000000"/>
          <w:sz w:val="24"/>
          <w:szCs w:val="24"/>
        </w:rPr>
        <w:t>监理人员</w:t>
      </w:r>
    </w:p>
    <w:p w14:paraId="7A8803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天书面通知承包人；更换其他监理人员，监理人应提前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小时书面通知承包人。</w:t>
      </w:r>
    </w:p>
    <w:p w14:paraId="10452C18">
      <w:pPr>
        <w:pStyle w:val="6"/>
        <w:spacing w:before="120" w:after="120" w:line="360" w:lineRule="auto"/>
        <w:ind w:firstLine="480"/>
        <w:rPr>
          <w:rFonts w:ascii="Times New Roman" w:hAnsi="Times New Roman" w:eastAsia="黑体" w:cs="Times New Roman"/>
          <w:b w:val="0"/>
          <w:color w:val="000000"/>
          <w:sz w:val="24"/>
          <w:szCs w:val="24"/>
        </w:rPr>
      </w:pPr>
      <w:bookmarkStart w:id="68" w:name="__RefHeading___Toc351203530"/>
      <w:bookmarkEnd w:id="68"/>
      <w:r>
        <w:rPr>
          <w:rFonts w:eastAsia="黑体" w:cs="Times New Roman"/>
          <w:b w:val="0"/>
          <w:color w:val="000000"/>
          <w:sz w:val="24"/>
          <w:szCs w:val="24"/>
        </w:rPr>
        <w:t>4.3</w:t>
      </w:r>
      <w:r>
        <w:rPr>
          <w:rFonts w:ascii="Times New Roman" w:hAnsi="Times New Roman" w:eastAsia="黑体" w:cs="Times New Roman"/>
          <w:b w:val="0"/>
          <w:color w:val="000000"/>
          <w:sz w:val="24"/>
          <w:szCs w:val="24"/>
        </w:rPr>
        <w:t>监理人的指示</w:t>
      </w:r>
    </w:p>
    <w:p w14:paraId="54529F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小时内补发书面监理指示，补发的书面监理指示应与口头指示一致。</w:t>
      </w:r>
    </w:p>
    <w:p w14:paraId="6D89E9D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款〔商定或确定〕约定应由总监理工程师作出确定的权力授权或委托给其他监理人员。</w:t>
      </w:r>
    </w:p>
    <w:p w14:paraId="23DECA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承包人对监理人发出的指示有疑问的，应向监理人提出书面异议，监理人应在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小时内对该指示予以确认、更改或撤销，监理人逾期未回复的，承包人有权拒绝执行上述指示。</w:t>
      </w:r>
    </w:p>
    <w:p w14:paraId="33E846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监理人对承包人的任何工作、工程或其采用的材料和工程设备未在约定的或合理期限内提出意见的，视为批准，但不免除或减轻承包人对该工作、工程、材料、工程设备等应承担的责任和义务。</w:t>
      </w:r>
    </w:p>
    <w:p w14:paraId="6621D47D">
      <w:pPr>
        <w:pStyle w:val="5"/>
        <w:spacing w:before="120" w:after="120" w:line="360" w:lineRule="auto"/>
        <w:ind w:firstLine="480"/>
        <w:rPr>
          <w:rFonts w:ascii="Times New Roman" w:hAnsi="Times New Roman" w:eastAsia="黑体" w:cs="Times New Roman"/>
          <w:b w:val="0"/>
          <w:color w:val="000000"/>
          <w:sz w:val="24"/>
          <w:szCs w:val="24"/>
        </w:rPr>
      </w:pPr>
      <w:bookmarkStart w:id="69" w:name="__RefHeading___Toc351203531"/>
      <w:bookmarkEnd w:id="69"/>
      <w:r>
        <w:rPr>
          <w:rFonts w:ascii="Times New Roman" w:hAnsi="Times New Roman" w:eastAsia="黑体" w:cs="Times New Roman"/>
          <w:b w:val="0"/>
          <w:color w:val="000000"/>
          <w:sz w:val="24"/>
          <w:szCs w:val="24"/>
        </w:rPr>
        <w:t xml:space="preserve">4.4 </w:t>
      </w:r>
      <w:r>
        <w:rPr>
          <w:rFonts w:ascii="Times New Roman" w:hAnsi="Times New Roman" w:cs="Times New Roman"/>
          <w:b w:val="0"/>
          <w:color w:val="000000"/>
          <w:sz w:val="24"/>
          <w:szCs w:val="24"/>
        </w:rPr>
        <w:t>商定或确定</w:t>
      </w:r>
    </w:p>
    <w:p w14:paraId="6FFC28C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合同当事人进行商定或确定时，总监理工程师应当会同合同当事人尽量通过协商达成一致，不能达成一致的，由总监理工程师按照合同约定审慎做出公正的确定。</w:t>
      </w:r>
    </w:p>
    <w:p w14:paraId="5CA27F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总监理工程师应将确定以书面形式通知发包人和承包人，并附详细依据。合同当事人对总监理工程师的确定没有异议的，按照总监理工程师的确定执行。任何一方合同当事人有异议，按照第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条〔争议解决〕约定处理。争议解决前，合同当事人暂按总监理工程师的确定执行；争议解决后，争议解决的结果与总监理工程师的确定不一致的，按照争议解决的结果执行，由此造成的损失由责任人承担。</w:t>
      </w:r>
    </w:p>
    <w:p w14:paraId="14FF8F0C">
      <w:pPr>
        <w:pStyle w:val="5"/>
        <w:spacing w:before="120" w:after="120" w:line="360" w:lineRule="auto"/>
        <w:rPr>
          <w:rFonts w:ascii="Times New Roman" w:hAnsi="Times New Roman" w:eastAsia="黑体" w:cs="Times New Roman"/>
          <w:b w:val="0"/>
          <w:color w:val="000000"/>
          <w:sz w:val="24"/>
          <w:szCs w:val="24"/>
        </w:rPr>
      </w:pPr>
      <w:bookmarkStart w:id="70" w:name="__RefHeading___Toc351203532"/>
      <w:bookmarkEnd w:id="70"/>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7260892E">
      <w:pPr>
        <w:pStyle w:val="6"/>
        <w:spacing w:before="120" w:after="120" w:line="360" w:lineRule="auto"/>
        <w:ind w:firstLine="480"/>
        <w:rPr>
          <w:rFonts w:ascii="Times New Roman" w:hAnsi="Times New Roman" w:eastAsia="黑体" w:cs="Times New Roman"/>
          <w:b w:val="0"/>
          <w:color w:val="000000"/>
          <w:sz w:val="24"/>
          <w:szCs w:val="24"/>
        </w:rPr>
      </w:pPr>
      <w:bookmarkStart w:id="71" w:name="__RefHeading___Toc351203533"/>
      <w:bookmarkEnd w:id="71"/>
      <w:r>
        <w:rPr>
          <w:rFonts w:eastAsia="黑体" w:cs="Times New Roman"/>
          <w:b w:val="0"/>
          <w:color w:val="000000"/>
          <w:sz w:val="24"/>
          <w:szCs w:val="24"/>
        </w:rPr>
        <w:t>5.1</w:t>
      </w:r>
      <w:r>
        <w:rPr>
          <w:rFonts w:ascii="Times New Roman" w:hAnsi="Times New Roman" w:eastAsia="黑体" w:cs="Times New Roman"/>
          <w:b w:val="0"/>
          <w:color w:val="000000"/>
          <w:sz w:val="24"/>
          <w:szCs w:val="24"/>
        </w:rPr>
        <w:t>质量要求</w:t>
      </w:r>
    </w:p>
    <w:p w14:paraId="0FEE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5.1.1 </w:t>
      </w:r>
      <w:r>
        <w:rPr>
          <w:rFonts w:ascii="Times New Roman" w:hAnsi="Times New Roman" w:eastAsia="仿宋_GB2312;仿宋" w:cs="Times New Roman"/>
          <w:color w:val="000000"/>
          <w:kern w:val="0"/>
          <w:sz w:val="24"/>
          <w:szCs w:val="24"/>
        </w:rPr>
        <w:t>工程质量标准必须符合现行国家有关工程施工质量验收规范和标准的要求。有关工程质量的特殊标准或要求由合同当事人在专用合同条款中约定。</w:t>
      </w:r>
    </w:p>
    <w:p w14:paraId="627B60B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5.1.2 </w:t>
      </w:r>
      <w:r>
        <w:rPr>
          <w:rFonts w:ascii="Times New Roman" w:hAnsi="Times New Roman" w:eastAsia="仿宋_GB2312;仿宋" w:cs="Times New Roman"/>
          <w:color w:val="000000"/>
          <w:kern w:val="0"/>
          <w:sz w:val="24"/>
          <w:szCs w:val="24"/>
        </w:rPr>
        <w:t>因发包人原因造成工程质量未达到合同约定标准的，由发包人承担由此增加的费用和（或）延误的工期，并支付承包人合理的利润。</w:t>
      </w:r>
    </w:p>
    <w:p w14:paraId="40B53E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5.1.3 </w:t>
      </w:r>
      <w:r>
        <w:rPr>
          <w:rFonts w:ascii="Times New Roman" w:hAnsi="Times New Roman" w:eastAsia="仿宋_GB2312;仿宋" w:cs="Times New Roman"/>
          <w:color w:val="000000"/>
          <w:kern w:val="0"/>
          <w:sz w:val="24"/>
          <w:szCs w:val="24"/>
        </w:rPr>
        <w:t>因承包人原因造成工程质量未达到合同约定标准的，发包人有权要求承包人返工直至工程质量达到合同约定的标准为止，并由承包人承担由此增加的费用和（或）延误的工期。</w:t>
      </w:r>
    </w:p>
    <w:p w14:paraId="00C070D2">
      <w:pPr>
        <w:pStyle w:val="6"/>
        <w:spacing w:before="120" w:after="120" w:line="360" w:lineRule="auto"/>
        <w:ind w:firstLine="480"/>
        <w:rPr>
          <w:rFonts w:ascii="Times New Roman" w:hAnsi="Times New Roman" w:eastAsia="黑体" w:cs="Times New Roman"/>
          <w:b w:val="0"/>
          <w:color w:val="000000"/>
          <w:sz w:val="24"/>
          <w:szCs w:val="24"/>
        </w:rPr>
      </w:pPr>
      <w:bookmarkStart w:id="72" w:name="__RefHeading___Toc351203534"/>
      <w:bookmarkEnd w:id="72"/>
      <w:r>
        <w:rPr>
          <w:rFonts w:eastAsia="黑体" w:cs="Times New Roman"/>
          <w:b w:val="0"/>
          <w:color w:val="000000"/>
          <w:sz w:val="24"/>
          <w:szCs w:val="24"/>
        </w:rPr>
        <w:t>5.2</w:t>
      </w:r>
      <w:r>
        <w:rPr>
          <w:rFonts w:ascii="Times New Roman" w:hAnsi="Times New Roman" w:eastAsia="黑体" w:cs="Times New Roman"/>
          <w:b w:val="0"/>
          <w:color w:val="000000"/>
          <w:sz w:val="24"/>
          <w:szCs w:val="24"/>
        </w:rPr>
        <w:t>质量保证措施</w:t>
      </w:r>
    </w:p>
    <w:p w14:paraId="33B8C078">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5.2.1 </w:t>
      </w:r>
      <w:r>
        <w:rPr>
          <w:rFonts w:ascii="Times New Roman" w:hAnsi="Times New Roman" w:eastAsia="仿宋_GB2312;仿宋" w:cs="Times New Roman"/>
          <w:color w:val="000000"/>
          <w:kern w:val="0"/>
          <w:sz w:val="24"/>
          <w:szCs w:val="24"/>
        </w:rPr>
        <w:t>发包人的质量管理</w:t>
      </w:r>
    </w:p>
    <w:p w14:paraId="06746B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发包人应按照法律规定及合同约定完成与工程质量有关的各项工作。</w:t>
      </w:r>
    </w:p>
    <w:p w14:paraId="4818166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5.2.2 </w:t>
      </w:r>
      <w:r>
        <w:rPr>
          <w:rFonts w:ascii="Times New Roman" w:hAnsi="Times New Roman" w:eastAsia="仿宋_GB2312;仿宋" w:cs="Times New Roman"/>
          <w:color w:val="000000"/>
          <w:kern w:val="0"/>
          <w:sz w:val="24"/>
          <w:szCs w:val="24"/>
        </w:rPr>
        <w:t>承包人的质量管理</w:t>
      </w:r>
    </w:p>
    <w:p w14:paraId="3974CC9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08E208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承包人应对施工人员进行质量教育和技术培训，定期考核施工人员的劳动技能，严格执行施工规范和操作规程。</w:t>
      </w:r>
    </w:p>
    <w:p w14:paraId="38B597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0D9485D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5.2.3 </w:t>
      </w:r>
      <w:r>
        <w:rPr>
          <w:rFonts w:ascii="Times New Roman" w:hAnsi="Times New Roman" w:eastAsia="仿宋_GB2312;仿宋" w:cs="Times New Roman"/>
          <w:color w:val="000000"/>
          <w:kern w:val="0"/>
          <w:sz w:val="24"/>
          <w:szCs w:val="24"/>
        </w:rPr>
        <w:t>监理人的质量检查和检验</w:t>
      </w:r>
    </w:p>
    <w:p w14:paraId="697042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3F5D73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5CF752F9">
      <w:pPr>
        <w:pStyle w:val="6"/>
        <w:spacing w:before="120" w:after="120" w:line="360" w:lineRule="auto"/>
        <w:ind w:firstLine="480"/>
        <w:rPr>
          <w:rFonts w:ascii="Times New Roman" w:hAnsi="Times New Roman" w:eastAsia="黑体" w:cs="Times New Roman"/>
          <w:b w:val="0"/>
          <w:color w:val="000000"/>
          <w:sz w:val="24"/>
          <w:szCs w:val="24"/>
        </w:rPr>
      </w:pPr>
      <w:bookmarkStart w:id="73" w:name="__RefHeading___Toc351203535"/>
      <w:bookmarkEnd w:id="73"/>
      <w:r>
        <w:rPr>
          <w:rFonts w:eastAsia="黑体" w:cs="Times New Roman"/>
          <w:b w:val="0"/>
          <w:color w:val="000000"/>
          <w:sz w:val="24"/>
          <w:szCs w:val="24"/>
        </w:rPr>
        <w:t xml:space="preserve">5.3 </w:t>
      </w:r>
      <w:r>
        <w:rPr>
          <w:rFonts w:ascii="Times New Roman" w:hAnsi="Times New Roman" w:eastAsia="黑体" w:cs="Times New Roman"/>
          <w:b w:val="0"/>
          <w:color w:val="000000"/>
          <w:sz w:val="24"/>
          <w:szCs w:val="24"/>
        </w:rPr>
        <w:t>隐蔽工程检查</w:t>
      </w:r>
    </w:p>
    <w:p w14:paraId="06C3B4B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5.3.1</w:t>
      </w:r>
      <w:r>
        <w:rPr>
          <w:rFonts w:ascii="Times New Roman" w:hAnsi="Times New Roman" w:eastAsia="仿宋_GB2312;仿宋" w:cs="Times New Roman"/>
          <w:color w:val="000000"/>
          <w:kern w:val="0"/>
          <w:sz w:val="24"/>
          <w:szCs w:val="24"/>
        </w:rPr>
        <w:t>承包人自检</w:t>
      </w:r>
    </w:p>
    <w:p w14:paraId="3D127FF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承包人应当对工程隐蔽部位进行自检，并经自检确认是否具备覆盖条件。</w:t>
      </w:r>
    </w:p>
    <w:p w14:paraId="0C9B710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5.3.2</w:t>
      </w:r>
      <w:r>
        <w:rPr>
          <w:rFonts w:ascii="Times New Roman" w:hAnsi="Times New Roman" w:eastAsia="仿宋_GB2312;仿宋" w:cs="Times New Roman"/>
          <w:color w:val="000000"/>
          <w:kern w:val="0"/>
          <w:sz w:val="24"/>
          <w:szCs w:val="24"/>
        </w:rPr>
        <w:t>检查程序</w:t>
      </w:r>
    </w:p>
    <w:p w14:paraId="12E7587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除专用合同条款另有约定外，工程隐蔽部位经承包人自检确认具备覆盖条件的，承包人应在共同检查前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小时书面通知监理人检查，通知中应载明隐蔽检查的内容、时间和地点，并应附有自检记录和必要的检查资料。</w:t>
      </w:r>
    </w:p>
    <w:p w14:paraId="25DF9D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7DBD1C8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除专用合同条款另有约定外，监理人不能按时进行检查的，应在检查前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w:t>
      </w:r>
      <w:r>
        <w:rPr>
          <w:rFonts w:eastAsia="仿宋_GB2312;仿宋" w:cs="Times New Roman"/>
          <w:color w:val="000000"/>
          <w:kern w:val="0"/>
          <w:sz w:val="24"/>
          <w:szCs w:val="24"/>
        </w:rPr>
        <w:t>5.3.3</w:t>
      </w:r>
      <w:r>
        <w:rPr>
          <w:rFonts w:ascii="Times New Roman" w:hAnsi="Times New Roman" w:eastAsia="仿宋_GB2312;仿宋" w:cs="Times New Roman"/>
          <w:color w:val="000000"/>
          <w:kern w:val="0"/>
          <w:sz w:val="24"/>
          <w:szCs w:val="24"/>
        </w:rPr>
        <w:t>项〔重新检查〕的约定重新检查。</w:t>
      </w:r>
    </w:p>
    <w:p w14:paraId="4FFDBD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5.3.3 </w:t>
      </w:r>
      <w:r>
        <w:rPr>
          <w:rFonts w:ascii="Times New Roman" w:hAnsi="Times New Roman" w:eastAsia="仿宋_GB2312;仿宋" w:cs="Times New Roman"/>
          <w:color w:val="000000"/>
          <w:kern w:val="0"/>
          <w:sz w:val="24"/>
          <w:szCs w:val="24"/>
        </w:rPr>
        <w:t>重新检查</w:t>
      </w:r>
    </w:p>
    <w:p w14:paraId="11A2F0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18F179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5.3.4 </w:t>
      </w:r>
      <w:r>
        <w:rPr>
          <w:rFonts w:ascii="Times New Roman" w:hAnsi="Times New Roman" w:eastAsia="仿宋_GB2312;仿宋" w:cs="Times New Roman"/>
          <w:color w:val="000000"/>
          <w:kern w:val="0"/>
          <w:sz w:val="24"/>
          <w:szCs w:val="24"/>
        </w:rPr>
        <w:t>承包人私自覆盖</w:t>
      </w:r>
    </w:p>
    <w:p w14:paraId="14B5643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承包人未通知监理人到场检查，私自将工程隐蔽部位覆盖的，监理人有权指示承包人钻孔探测或揭开检查，无论工程隐蔽部位质量是否合格，由此增加的费用和（或）延误的工期均由承包人承担。</w:t>
      </w:r>
    </w:p>
    <w:p w14:paraId="1688E03F">
      <w:pPr>
        <w:pStyle w:val="6"/>
        <w:spacing w:before="120" w:after="120" w:line="360" w:lineRule="auto"/>
        <w:ind w:firstLine="480"/>
        <w:rPr>
          <w:rFonts w:ascii="Times New Roman" w:hAnsi="Times New Roman" w:eastAsia="黑体" w:cs="Times New Roman"/>
          <w:b w:val="0"/>
          <w:color w:val="000000"/>
          <w:sz w:val="24"/>
          <w:szCs w:val="24"/>
        </w:rPr>
      </w:pPr>
      <w:bookmarkStart w:id="74" w:name="__RefHeading___Toc351203536"/>
      <w:bookmarkEnd w:id="74"/>
      <w:r>
        <w:rPr>
          <w:rFonts w:eastAsia="黑体" w:cs="Times New Roman"/>
          <w:b w:val="0"/>
          <w:color w:val="000000"/>
          <w:sz w:val="24"/>
          <w:szCs w:val="24"/>
        </w:rPr>
        <w:t>5.4</w:t>
      </w:r>
      <w:r>
        <w:rPr>
          <w:rFonts w:ascii="Times New Roman" w:hAnsi="Times New Roman" w:eastAsia="黑体" w:cs="Times New Roman"/>
          <w:b w:val="0"/>
          <w:color w:val="000000"/>
          <w:sz w:val="24"/>
          <w:szCs w:val="24"/>
        </w:rPr>
        <w:t>不合格工程的处理</w:t>
      </w:r>
    </w:p>
    <w:p w14:paraId="17EC25E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5.4.1 </w:t>
      </w:r>
      <w:r>
        <w:rPr>
          <w:rFonts w:ascii="Times New Roman" w:hAnsi="Times New Roman" w:eastAsia="仿宋_GB2312;仿宋" w:cs="Times New Roman"/>
          <w:color w:val="000000"/>
          <w:kern w:val="0"/>
          <w:sz w:val="24"/>
          <w:szCs w:val="24"/>
        </w:rPr>
        <w:t>因承包人原因造成工程不合格的，发包人有权随时要求承包人采取补救措施，直至达到合同要求的质量标准，由此增加的费用和（或）延误的工期由承包人承担。无法补救的，按照第</w:t>
      </w:r>
      <w:r>
        <w:rPr>
          <w:rFonts w:eastAsia="仿宋_GB2312;仿宋" w:cs="Times New Roman"/>
          <w:color w:val="000000"/>
          <w:kern w:val="0"/>
          <w:sz w:val="24"/>
          <w:szCs w:val="24"/>
        </w:rPr>
        <w:t>13.2.4</w:t>
      </w:r>
      <w:r>
        <w:rPr>
          <w:rFonts w:ascii="Times New Roman" w:hAnsi="Times New Roman" w:eastAsia="仿宋_GB2312;仿宋" w:cs="Times New Roman"/>
          <w:color w:val="000000"/>
          <w:kern w:val="0"/>
          <w:sz w:val="24"/>
          <w:szCs w:val="24"/>
        </w:rPr>
        <w:t>项〔拒绝接收全部或部分工程〕约定执行。</w:t>
      </w:r>
      <w:r>
        <w:rPr>
          <w:rFonts w:ascii="Times New Roman" w:hAnsi="Times New Roman" w:eastAsia="Times New Roman" w:cs="Times New Roman"/>
          <w:color w:val="000000"/>
          <w:kern w:val="0"/>
          <w:sz w:val="24"/>
          <w:szCs w:val="24"/>
        </w:rPr>
        <w:t xml:space="preserve"> </w:t>
      </w:r>
    </w:p>
    <w:p w14:paraId="62E9ED8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5.4.2 </w:t>
      </w:r>
      <w:r>
        <w:rPr>
          <w:rFonts w:ascii="Times New Roman" w:hAnsi="Times New Roman" w:eastAsia="仿宋_GB2312;仿宋" w:cs="Times New Roman"/>
          <w:color w:val="000000"/>
          <w:kern w:val="0"/>
          <w:sz w:val="24"/>
          <w:szCs w:val="24"/>
        </w:rPr>
        <w:t>因发包人原因造成工程不合格的，由此增加的费用和（或）延误的工期由发包人承担，并支付承包人合理的利润。</w:t>
      </w:r>
    </w:p>
    <w:p w14:paraId="43DB9AFA">
      <w:pPr>
        <w:pStyle w:val="6"/>
        <w:spacing w:before="120" w:after="120" w:line="360" w:lineRule="auto"/>
        <w:ind w:firstLine="480"/>
        <w:rPr>
          <w:rFonts w:ascii="Times New Roman" w:hAnsi="Times New Roman" w:eastAsia="黑体" w:cs="Times New Roman"/>
          <w:b w:val="0"/>
          <w:color w:val="000000"/>
          <w:sz w:val="24"/>
          <w:szCs w:val="24"/>
        </w:rPr>
      </w:pPr>
      <w:bookmarkStart w:id="75" w:name="__RefHeading___Toc351203537"/>
      <w:bookmarkEnd w:id="75"/>
      <w:r>
        <w:rPr>
          <w:rFonts w:eastAsia="黑体" w:cs="Times New Roman"/>
          <w:b w:val="0"/>
          <w:color w:val="000000"/>
          <w:sz w:val="24"/>
          <w:szCs w:val="24"/>
        </w:rPr>
        <w:t xml:space="preserve">5.5 </w:t>
      </w:r>
      <w:r>
        <w:rPr>
          <w:rFonts w:ascii="Times New Roman" w:hAnsi="Times New Roman" w:eastAsia="黑体" w:cs="Times New Roman"/>
          <w:b w:val="0"/>
          <w:color w:val="000000"/>
          <w:sz w:val="24"/>
          <w:szCs w:val="24"/>
        </w:rPr>
        <w:t>质量争议检测</w:t>
      </w:r>
    </w:p>
    <w:p w14:paraId="633D0A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合同当事人对工程质量有争议的，由双方协商确定的工程质量检测机构鉴定，由此产生的费用及因此造成的损失，由责任方承担。</w:t>
      </w:r>
    </w:p>
    <w:p w14:paraId="06A8DF7D">
      <w:pPr>
        <w:autoSpaceDE w:val="0"/>
        <w:spacing w:line="360" w:lineRule="auto"/>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合同当事人均有责任的，由双方根据其责任分别承担。合同当事人无法达成一致的，按照第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款〔商定或确定〕执行。</w:t>
      </w:r>
    </w:p>
    <w:p w14:paraId="4C0F84DB">
      <w:pPr>
        <w:pStyle w:val="5"/>
        <w:spacing w:before="120" w:after="120" w:line="360" w:lineRule="auto"/>
        <w:rPr>
          <w:rFonts w:ascii="Times New Roman" w:hAnsi="Times New Roman" w:eastAsia="黑体" w:cs="Times New Roman"/>
          <w:b w:val="0"/>
          <w:color w:val="000000"/>
          <w:sz w:val="24"/>
          <w:szCs w:val="24"/>
        </w:rPr>
      </w:pPr>
      <w:bookmarkStart w:id="76" w:name="__RefHeading___Toc351203538"/>
      <w:bookmarkEnd w:id="76"/>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469DB654">
      <w:pPr>
        <w:pStyle w:val="6"/>
        <w:spacing w:before="120" w:after="120" w:line="360" w:lineRule="auto"/>
        <w:ind w:firstLine="480"/>
        <w:rPr>
          <w:rFonts w:ascii="Times New Roman" w:hAnsi="Times New Roman" w:eastAsia="黑体" w:cs="Times New Roman"/>
          <w:b w:val="0"/>
          <w:color w:val="000000"/>
          <w:sz w:val="24"/>
          <w:szCs w:val="24"/>
        </w:rPr>
      </w:pPr>
      <w:bookmarkStart w:id="77" w:name="__RefHeading___Toc351203539"/>
      <w:bookmarkEnd w:id="77"/>
      <w:r>
        <w:rPr>
          <w:rFonts w:eastAsia="黑体" w:cs="Times New Roman"/>
          <w:b w:val="0"/>
          <w:color w:val="000000"/>
          <w:sz w:val="24"/>
          <w:szCs w:val="24"/>
        </w:rPr>
        <w:t>6.1</w:t>
      </w:r>
      <w:r>
        <w:rPr>
          <w:rFonts w:ascii="Times New Roman" w:hAnsi="Times New Roman" w:eastAsia="黑体" w:cs="Times New Roman"/>
          <w:b w:val="0"/>
          <w:color w:val="000000"/>
          <w:sz w:val="24"/>
          <w:szCs w:val="24"/>
        </w:rPr>
        <w:t>安全文明施工</w:t>
      </w:r>
    </w:p>
    <w:p w14:paraId="284AC7FF">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6.1.1</w:t>
      </w:r>
      <w:r>
        <w:rPr>
          <w:rFonts w:ascii="Times New Roman" w:hAnsi="Times New Roman" w:eastAsia="仿宋_GB2312;仿宋" w:cs="Times New Roman"/>
          <w:color w:val="000000"/>
          <w:sz w:val="24"/>
          <w:szCs w:val="24"/>
        </w:rPr>
        <w:t>安全生产要求</w:t>
      </w:r>
    </w:p>
    <w:p w14:paraId="4F27410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10DBED8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在施工过程中，如遇到突发的地质变动、事先未知的地下施工障碍等影响施工安全的紧急情况，承包人应及时报告监理人和发包人，发包人应当及时下令停工并报</w:t>
      </w:r>
      <w:r>
        <w:rPr>
          <w:rFonts w:ascii="Times New Roman" w:hAnsi="Times New Roman" w:eastAsia="仿宋_GB2312;仿宋" w:cs="Times New Roman"/>
          <w:color w:val="000000"/>
          <w:kern w:val="0"/>
          <w:sz w:val="24"/>
          <w:szCs w:val="24"/>
        </w:rPr>
        <w:t>政府有关行政管理部门</w:t>
      </w:r>
      <w:r>
        <w:rPr>
          <w:rFonts w:ascii="Times New Roman" w:hAnsi="Times New Roman" w:eastAsia="仿宋_GB2312;仿宋" w:cs="Times New Roman"/>
          <w:color w:val="000000"/>
          <w:sz w:val="24"/>
          <w:szCs w:val="24"/>
        </w:rPr>
        <w:t>采取应急措施。</w:t>
      </w:r>
    </w:p>
    <w:p w14:paraId="4F802F4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因安全生产需要暂停施工的，按照第</w:t>
      </w:r>
      <w:r>
        <w:rPr>
          <w:rFonts w:eastAsia="仿宋_GB2312;仿宋" w:cs="Times New Roman"/>
          <w:color w:val="000000"/>
          <w:sz w:val="24"/>
          <w:szCs w:val="24"/>
        </w:rPr>
        <w:t>7.8</w:t>
      </w:r>
      <w:r>
        <w:rPr>
          <w:rFonts w:ascii="Times New Roman" w:hAnsi="Times New Roman" w:eastAsia="仿宋_GB2312;仿宋" w:cs="Times New Roman"/>
          <w:color w:val="000000"/>
          <w:sz w:val="24"/>
          <w:szCs w:val="24"/>
        </w:rPr>
        <w:t>款〔暂停施工〕的约定执行。</w:t>
      </w:r>
    </w:p>
    <w:p w14:paraId="4FE76F3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6.1.2 </w:t>
      </w:r>
      <w:r>
        <w:rPr>
          <w:rFonts w:ascii="Times New Roman" w:hAnsi="Times New Roman" w:eastAsia="仿宋_GB2312;仿宋" w:cs="Times New Roman"/>
          <w:color w:val="000000"/>
          <w:sz w:val="24"/>
          <w:szCs w:val="24"/>
        </w:rPr>
        <w:t>安全生产保证措施</w:t>
      </w:r>
    </w:p>
    <w:p w14:paraId="1943F0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承包人应当按照有关</w:t>
      </w:r>
      <w:r>
        <w:rPr>
          <w:rFonts w:ascii="Times New Roman" w:hAnsi="Times New Roman" w:eastAsia="仿宋_GB2312;仿宋" w:cs="Times New Roman"/>
          <w:color w:val="000000"/>
          <w:kern w:val="0"/>
          <w:sz w:val="24"/>
          <w:szCs w:val="24"/>
        </w:rPr>
        <w:t>规定编制安全技术措施或者专项施工方案，</w:t>
      </w:r>
      <w:r>
        <w:rPr>
          <w:rFonts w:ascii="Times New Roman" w:hAnsi="Times New Roman" w:eastAsia="仿宋_GB2312;仿宋" w:cs="Times New Roman"/>
          <w:color w:val="000000"/>
          <w:sz w:val="24"/>
          <w:szCs w:val="24"/>
        </w:rPr>
        <w:t>建立安全生产责任制度、治安保卫制度及安全生产教育培训制度，并</w:t>
      </w:r>
      <w:r>
        <w:rPr>
          <w:rFonts w:ascii="Times New Roman" w:hAnsi="Times New Roman" w:eastAsia="仿宋_GB2312;仿宋" w:cs="Times New Roman"/>
          <w:color w:val="000000"/>
          <w:kern w:val="0"/>
          <w:sz w:val="24"/>
          <w:szCs w:val="24"/>
        </w:rPr>
        <w:t>按安全生产法律规定及合同约定履行安全职责，如实</w:t>
      </w:r>
      <w:r>
        <w:rPr>
          <w:rFonts w:ascii="Times New Roman" w:hAnsi="Times New Roman" w:eastAsia="仿宋_GB2312;仿宋" w:cs="Times New Roman"/>
          <w:color w:val="000000"/>
          <w:sz w:val="24"/>
          <w:szCs w:val="24"/>
        </w:rPr>
        <w:t>编制工程安全生产的有关记录，</w:t>
      </w:r>
      <w:r>
        <w:rPr>
          <w:rFonts w:ascii="Times New Roman" w:hAnsi="Times New Roman" w:eastAsia="仿宋_GB2312;仿宋" w:cs="Times New Roman"/>
          <w:color w:val="000000"/>
          <w:kern w:val="0"/>
          <w:sz w:val="24"/>
          <w:szCs w:val="24"/>
        </w:rPr>
        <w:t>接受发包人、监理人及政府安全监督部门的检查与监督。</w:t>
      </w:r>
    </w:p>
    <w:p w14:paraId="14F7F00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6.1.3</w:t>
      </w:r>
      <w:r>
        <w:rPr>
          <w:rFonts w:ascii="Times New Roman" w:hAnsi="Times New Roman" w:eastAsia="仿宋_GB2312;仿宋" w:cs="Times New Roman"/>
          <w:color w:val="000000"/>
          <w:sz w:val="24"/>
          <w:szCs w:val="24"/>
        </w:rPr>
        <w:t>特别安全生产事项</w:t>
      </w:r>
    </w:p>
    <w:p w14:paraId="394A34E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FB4492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承包人在动力设备、输电线路、地下管道、密封防震车间、易燃易爆地段以及临街交通要道附近施工时，施工开始前应向发包人和监理人提出安全防护措施，经发包人认可后实施。</w:t>
      </w:r>
      <w:r>
        <w:rPr>
          <w:rFonts w:ascii="Times New Roman" w:hAnsi="Times New Roman" w:eastAsia="Times New Roman" w:cs="Times New Roman"/>
          <w:color w:val="000000"/>
          <w:sz w:val="24"/>
          <w:szCs w:val="24"/>
        </w:rPr>
        <w:t xml:space="preserve"> </w:t>
      </w:r>
    </w:p>
    <w:p w14:paraId="125014B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实施爆破作业，在放射、毒害性环境中施工（含储存、运输、使用）及使用毒害性、腐蚀性物品施工时，承包人应在施工前</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天以书面通知发包人和监理人，并报送相应的安全防护措施，经发包人认可后实施。</w:t>
      </w:r>
    </w:p>
    <w:p w14:paraId="60D4CB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需单独编制危险性较大分部分项专项工程施工方案的，及要求进行专家论证的超过一定规模的危险性较大的分部分项工程，承包人应及时编制和组织论证。</w:t>
      </w:r>
    </w:p>
    <w:p w14:paraId="71EF92B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6.1.4 </w:t>
      </w:r>
      <w:r>
        <w:rPr>
          <w:rFonts w:ascii="Times New Roman" w:hAnsi="Times New Roman" w:eastAsia="仿宋_GB2312;仿宋" w:cs="Times New Roman"/>
          <w:color w:val="000000"/>
          <w:sz w:val="24"/>
          <w:szCs w:val="24"/>
        </w:rPr>
        <w:t>治安保卫</w:t>
      </w:r>
    </w:p>
    <w:p w14:paraId="41B8B3C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除专用合同条款另有约定外，发包人应与当地公安部门协商，在现场建立治安管理机构或联防组织，统一管理施工场地的治安保卫事项，履行合同工程的治安保卫职责。</w:t>
      </w:r>
    </w:p>
    <w:p w14:paraId="0101A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发包人和承包人除应协助现场治安管理机构或联防组织维护施工场地的社会治安外，还应做好包括生活区在内的各自管辖区的治安保卫工作。</w:t>
      </w:r>
    </w:p>
    <w:p w14:paraId="39B3B5E2">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除专用合同条款另有约定外，发包人和承包人应在工程开工后</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C514AC0">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6.1.5 </w:t>
      </w:r>
      <w:r>
        <w:rPr>
          <w:rFonts w:ascii="Times New Roman" w:hAnsi="Times New Roman" w:eastAsia="仿宋_GB2312;仿宋" w:cs="Times New Roman"/>
          <w:color w:val="000000"/>
          <w:sz w:val="24"/>
          <w:szCs w:val="24"/>
        </w:rPr>
        <w:t>文明施工</w:t>
      </w:r>
    </w:p>
    <w:p w14:paraId="360E1DF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015F56E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093E8931">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6.1.6 </w:t>
      </w:r>
      <w:r>
        <w:rPr>
          <w:rFonts w:ascii="Times New Roman" w:hAnsi="Times New Roman" w:eastAsia="仿宋_GB2312;仿宋" w:cs="Times New Roman"/>
          <w:color w:val="000000"/>
          <w:sz w:val="24"/>
          <w:szCs w:val="24"/>
        </w:rPr>
        <w:t>安全文明施工费</w:t>
      </w:r>
    </w:p>
    <w:p w14:paraId="4F529B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安全文明施工费由发包人承担，发包人不得以任何形式扣减该部分费用。因基准日期后合同所适用的法律或政府有关规定发生变化，增加的安全文明施工费由发包人承担。</w:t>
      </w:r>
    </w:p>
    <w:p w14:paraId="3BEEE5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29F340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除专用合同条款另有约定外，发包人应在开工后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天内预付安全文明施工费总额的</w:t>
      </w:r>
      <w:r>
        <w:rPr>
          <w:rFonts w:eastAsia="仿宋_GB2312;仿宋" w:cs="Times New Roman"/>
          <w:color w:val="000000"/>
          <w:kern w:val="0"/>
          <w:sz w:val="24"/>
          <w:szCs w:val="24"/>
        </w:rPr>
        <w:t>50%</w:t>
      </w:r>
      <w:r>
        <w:rPr>
          <w:rFonts w:ascii="Times New Roman" w:hAnsi="Times New Roman" w:eastAsia="仿宋_GB2312;仿宋" w:cs="Times New Roman"/>
          <w:color w:val="000000"/>
          <w:kern w:val="0"/>
          <w:sz w:val="24"/>
          <w:szCs w:val="24"/>
        </w:rPr>
        <w:t>，其余部分与进度款同期支付。发包人逾期支付安全文明施工费超过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735A9B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15B781E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6.1.7 </w:t>
      </w:r>
      <w:r>
        <w:rPr>
          <w:rFonts w:ascii="Times New Roman" w:hAnsi="Times New Roman" w:eastAsia="仿宋_GB2312;仿宋" w:cs="Times New Roman"/>
          <w:color w:val="000000"/>
          <w:kern w:val="0"/>
          <w:sz w:val="24"/>
          <w:szCs w:val="24"/>
        </w:rPr>
        <w:t>紧急情况处理</w:t>
      </w:r>
    </w:p>
    <w:p w14:paraId="22C6F32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55D7BA6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6.1.8 </w:t>
      </w:r>
      <w:r>
        <w:rPr>
          <w:rFonts w:ascii="Times New Roman" w:hAnsi="Times New Roman" w:eastAsia="仿宋_GB2312;仿宋" w:cs="Times New Roman"/>
          <w:color w:val="000000"/>
          <w:kern w:val="0"/>
          <w:sz w:val="24"/>
          <w:szCs w:val="24"/>
        </w:rPr>
        <w:t>事故处理</w:t>
      </w:r>
    </w:p>
    <w:p w14:paraId="45DEF9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1BC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 </w:t>
      </w:r>
      <w:r>
        <w:rPr>
          <w:rFonts w:ascii="Times New Roman" w:hAnsi="Times New Roman" w:eastAsia="仿宋_GB2312;仿宋" w:cs="Times New Roman"/>
          <w:color w:val="000000"/>
          <w:kern w:val="0"/>
          <w:sz w:val="24"/>
          <w:szCs w:val="24"/>
        </w:rPr>
        <w:t>安全生产责任</w:t>
      </w:r>
    </w:p>
    <w:p w14:paraId="2D69AB7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6.1.9.1 </w:t>
      </w:r>
      <w:r>
        <w:rPr>
          <w:rFonts w:ascii="Times New Roman" w:hAnsi="Times New Roman" w:eastAsia="仿宋_GB2312;仿宋" w:cs="Times New Roman"/>
          <w:color w:val="000000"/>
          <w:kern w:val="0"/>
          <w:sz w:val="24"/>
          <w:szCs w:val="24"/>
        </w:rPr>
        <w:t>发包人的安全责任</w:t>
      </w:r>
    </w:p>
    <w:p w14:paraId="1625DA9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发包人应负责赔偿以下各种情况造成的损失：</w:t>
      </w:r>
    </w:p>
    <w:p w14:paraId="34A339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）工程或工程的任何部分对土地的占用所造成的第三者财产损失；</w:t>
      </w:r>
    </w:p>
    <w:p w14:paraId="2787183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）由于发包人原因在施工场地及其毗邻地带造成的第三者人身伤亡和财产损失；</w:t>
      </w:r>
    </w:p>
    <w:p w14:paraId="482EB1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）由于发包人原因对承包人、监理人造成的人员人身伤亡和财产损失；</w:t>
      </w:r>
    </w:p>
    <w:p w14:paraId="10B161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）由于发包人原因造成的发包人自身人员的人身伤害以及财产损失。</w:t>
      </w:r>
    </w:p>
    <w:p w14:paraId="04D3A1E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6.1.9.2 </w:t>
      </w:r>
      <w:r>
        <w:rPr>
          <w:rFonts w:ascii="Times New Roman" w:hAnsi="Times New Roman" w:eastAsia="仿宋_GB2312;仿宋" w:cs="Times New Roman"/>
          <w:color w:val="000000"/>
          <w:kern w:val="0"/>
          <w:sz w:val="24"/>
          <w:szCs w:val="24"/>
        </w:rPr>
        <w:t>承包人的安全责任</w:t>
      </w:r>
    </w:p>
    <w:p w14:paraId="5FBEA414">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由于承包人原因在施工场地内及其毗邻地带造成的发包人、监理人以及第三者人员伤亡和财产损失，由承包人负责赔偿。</w:t>
      </w:r>
    </w:p>
    <w:p w14:paraId="2E904399">
      <w:pPr>
        <w:pStyle w:val="6"/>
        <w:spacing w:before="120" w:after="120" w:line="360" w:lineRule="auto"/>
        <w:ind w:firstLine="480"/>
        <w:rPr>
          <w:rFonts w:ascii="Times New Roman" w:hAnsi="Times New Roman" w:eastAsia="黑体" w:cs="Times New Roman"/>
          <w:b w:val="0"/>
          <w:color w:val="000000"/>
          <w:sz w:val="24"/>
          <w:szCs w:val="24"/>
        </w:rPr>
      </w:pPr>
      <w:bookmarkStart w:id="78" w:name="__RefHeading___Toc351203540"/>
      <w:bookmarkEnd w:id="78"/>
      <w:r>
        <w:rPr>
          <w:rFonts w:eastAsia="黑体" w:cs="Times New Roman"/>
          <w:b w:val="0"/>
          <w:color w:val="000000"/>
          <w:sz w:val="24"/>
          <w:szCs w:val="24"/>
        </w:rPr>
        <w:t xml:space="preserve">6.2 </w:t>
      </w:r>
      <w:r>
        <w:rPr>
          <w:rFonts w:ascii="Times New Roman" w:hAnsi="Times New Roman" w:eastAsia="黑体" w:cs="Times New Roman"/>
          <w:b w:val="0"/>
          <w:color w:val="000000"/>
          <w:sz w:val="24"/>
          <w:szCs w:val="24"/>
        </w:rPr>
        <w:t>职业健康</w:t>
      </w:r>
    </w:p>
    <w:p w14:paraId="45AC78E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6.2.1 </w:t>
      </w:r>
      <w:r>
        <w:rPr>
          <w:rFonts w:ascii="Times New Roman" w:hAnsi="Times New Roman" w:eastAsia="仿宋_GB2312;仿宋" w:cs="Times New Roman"/>
          <w:color w:val="000000"/>
          <w:kern w:val="0"/>
          <w:sz w:val="24"/>
          <w:szCs w:val="24"/>
        </w:rPr>
        <w:t>劳动保护</w:t>
      </w:r>
    </w:p>
    <w:p w14:paraId="15E72C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228D73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承包人应按照法律规定保障现场施工人员的劳动安全，并提供劳动保护</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6CF23C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承包人应按法律规定安排工作时间，保证其雇佣人员享有休息和休假的权利。因工程施工的特殊需要占用休假日或延长工作时间的，应不超过法律规定的限度，并按法律规定给予补休或付酬。</w:t>
      </w:r>
    </w:p>
    <w:p w14:paraId="140681C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6.2.2 </w:t>
      </w:r>
      <w:r>
        <w:rPr>
          <w:rFonts w:ascii="Times New Roman" w:hAnsi="Times New Roman" w:eastAsia="仿宋_GB2312;仿宋" w:cs="Times New Roman"/>
          <w:color w:val="000000"/>
          <w:kern w:val="0"/>
          <w:sz w:val="24"/>
          <w:szCs w:val="24"/>
        </w:rPr>
        <w:t>生活条件</w:t>
      </w:r>
    </w:p>
    <w:p w14:paraId="074FDB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承包人应为其履行合同所雇用的人员提供必要的膳宿条件和生活环境；承包人应采取有效措施预防传染病，保证施工人员的健康，并定期对施工现场、施工人员生活基地和工程进行防疫和卫生的专业检查和处理</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在远离城镇的施工场地，还应配备必要的伤病防治和急救的医务人员与医疗设施。</w:t>
      </w:r>
    </w:p>
    <w:p w14:paraId="00A27FE8">
      <w:pPr>
        <w:pStyle w:val="6"/>
        <w:spacing w:before="120" w:after="120" w:line="360" w:lineRule="auto"/>
        <w:ind w:firstLine="480"/>
        <w:rPr>
          <w:rFonts w:ascii="Times New Roman" w:hAnsi="Times New Roman" w:eastAsia="黑体" w:cs="Times New Roman"/>
          <w:b w:val="0"/>
          <w:color w:val="000000"/>
          <w:sz w:val="24"/>
          <w:szCs w:val="24"/>
        </w:rPr>
      </w:pPr>
      <w:bookmarkStart w:id="79" w:name="__RefHeading___Toc351203541"/>
      <w:bookmarkEnd w:id="79"/>
      <w:r>
        <w:rPr>
          <w:rFonts w:eastAsia="黑体" w:cs="Times New Roman"/>
          <w:b w:val="0"/>
          <w:color w:val="000000"/>
          <w:sz w:val="24"/>
          <w:szCs w:val="24"/>
        </w:rPr>
        <w:t xml:space="preserve">6.3 </w:t>
      </w:r>
      <w:r>
        <w:rPr>
          <w:rFonts w:ascii="Times New Roman" w:hAnsi="Times New Roman" w:eastAsia="黑体" w:cs="Times New Roman"/>
          <w:b w:val="0"/>
          <w:color w:val="000000"/>
          <w:sz w:val="24"/>
          <w:szCs w:val="24"/>
        </w:rPr>
        <w:t>环境保护</w:t>
      </w:r>
    </w:p>
    <w:p w14:paraId="56BCB75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04E0C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承包人应当承担因其原因引起的环境污染侵权损害赔偿责任，因上述环境污染引起纠纷而导致暂停施工的，由此增加的费用和（或）延误的工期由承包人承担。</w:t>
      </w:r>
    </w:p>
    <w:p w14:paraId="1614778A">
      <w:pPr>
        <w:pStyle w:val="5"/>
        <w:spacing w:before="120" w:after="120" w:line="360" w:lineRule="auto"/>
        <w:rPr>
          <w:rFonts w:ascii="Times New Roman" w:hAnsi="Times New Roman" w:eastAsia="黑体" w:cs="Times New Roman"/>
          <w:b w:val="0"/>
          <w:color w:val="000000"/>
          <w:sz w:val="24"/>
          <w:szCs w:val="24"/>
        </w:rPr>
      </w:pPr>
      <w:bookmarkStart w:id="80" w:name="__RefHeading___Toc351203542"/>
      <w:bookmarkEnd w:id="80"/>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AE0B72D">
      <w:pPr>
        <w:pStyle w:val="6"/>
        <w:spacing w:before="120" w:after="120" w:line="360" w:lineRule="auto"/>
        <w:ind w:firstLine="480"/>
        <w:rPr>
          <w:rFonts w:ascii="Times New Roman" w:hAnsi="Times New Roman" w:eastAsia="黑体" w:cs="Times New Roman"/>
          <w:b w:val="0"/>
          <w:color w:val="000000"/>
          <w:sz w:val="24"/>
          <w:szCs w:val="24"/>
        </w:rPr>
      </w:pPr>
      <w:bookmarkStart w:id="81" w:name="__RefHeading___Toc351203543"/>
      <w:bookmarkEnd w:id="81"/>
      <w:r>
        <w:rPr>
          <w:rFonts w:eastAsia="黑体" w:cs="Times New Roman"/>
          <w:b w:val="0"/>
          <w:color w:val="000000"/>
          <w:sz w:val="24"/>
          <w:szCs w:val="24"/>
        </w:rPr>
        <w:t>7.1</w:t>
      </w:r>
      <w:r>
        <w:rPr>
          <w:rFonts w:ascii="Times New Roman" w:hAnsi="Times New Roman" w:eastAsia="黑体" w:cs="Times New Roman"/>
          <w:b w:val="0"/>
          <w:color w:val="000000"/>
          <w:sz w:val="24"/>
          <w:szCs w:val="24"/>
        </w:rPr>
        <w:t>施工组织设计</w:t>
      </w:r>
    </w:p>
    <w:p w14:paraId="32C202C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7.1.1</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施工组织设计的内容</w:t>
      </w:r>
    </w:p>
    <w:p w14:paraId="1BD1A43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施工组织设计应包含以下内容：</w:t>
      </w:r>
    </w:p>
    <w:p w14:paraId="3A44FA9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）施工方案；</w:t>
      </w:r>
      <w:r>
        <w:rPr>
          <w:rFonts w:ascii="Times New Roman" w:hAnsi="Times New Roman" w:eastAsia="Times New Roman" w:cs="Times New Roman"/>
          <w:color w:val="000000"/>
          <w:kern w:val="0"/>
          <w:sz w:val="24"/>
          <w:szCs w:val="24"/>
        </w:rPr>
        <w:t xml:space="preserve"> </w:t>
      </w:r>
    </w:p>
    <w:p w14:paraId="5D32B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）施工现场平面布置图；</w:t>
      </w:r>
    </w:p>
    <w:p w14:paraId="26DC7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）施工进度计划和保证措施；</w:t>
      </w:r>
      <w:r>
        <w:rPr>
          <w:rFonts w:ascii="Times New Roman" w:hAnsi="Times New Roman" w:eastAsia="Times New Roman" w:cs="Times New Roman"/>
          <w:color w:val="000000"/>
          <w:kern w:val="0"/>
          <w:sz w:val="24"/>
          <w:szCs w:val="24"/>
        </w:rPr>
        <w:t xml:space="preserve"> </w:t>
      </w:r>
    </w:p>
    <w:p w14:paraId="683DE9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）劳动力及材料供应计划；</w:t>
      </w:r>
    </w:p>
    <w:p w14:paraId="4927C5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）施工机械设备的选用；</w:t>
      </w:r>
    </w:p>
    <w:p w14:paraId="21D3F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）质量保证体系及措施；</w:t>
      </w:r>
    </w:p>
    <w:p w14:paraId="499A51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）安全生产、文明施工措施；</w:t>
      </w:r>
    </w:p>
    <w:p w14:paraId="37BF25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）环境保护、成本控制措施；</w:t>
      </w:r>
    </w:p>
    <w:p w14:paraId="5BE958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）合同当事人约定的其他内容。</w:t>
      </w:r>
    </w:p>
    <w:p w14:paraId="75ED70D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25A832F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除专用合同条款另有约定外，承包人应在合同签订后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天内，但至迟不得晚于第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天，向监理人提交详细的施工组织设计，并由监理人报送发包人。除专用合同条款另有约定外，发包人和监理人应在监理人收到施工组织设计后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天内确认或提出修改意见。对发包人和监理人提出的合理意见和要求，承包人应自费修改完善。根据工程实际情况需要修改施工组织设计的，承包人应向发包人和监理人提交修改后的施工组织设计。</w:t>
      </w:r>
    </w:p>
    <w:p w14:paraId="66B68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施工进度计划的编制和修改按照第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款〔施工进度计划〕执行。</w:t>
      </w:r>
    </w:p>
    <w:p w14:paraId="232CD136">
      <w:pPr>
        <w:pStyle w:val="6"/>
        <w:spacing w:before="120" w:after="120" w:line="360" w:lineRule="auto"/>
        <w:ind w:firstLine="480"/>
        <w:rPr>
          <w:rFonts w:ascii="Times New Roman" w:hAnsi="Times New Roman" w:eastAsia="黑体" w:cs="Times New Roman"/>
          <w:b w:val="0"/>
          <w:color w:val="000000"/>
          <w:sz w:val="24"/>
          <w:szCs w:val="24"/>
        </w:rPr>
      </w:pPr>
      <w:bookmarkStart w:id="82" w:name="__RefHeading___Toc351203544"/>
      <w:bookmarkEnd w:id="82"/>
      <w:r>
        <w:rPr>
          <w:rFonts w:eastAsia="黑体" w:cs="Times New Roman"/>
          <w:b w:val="0"/>
          <w:color w:val="000000"/>
          <w:sz w:val="24"/>
          <w:szCs w:val="24"/>
        </w:rPr>
        <w:t xml:space="preserve">7.2 </w:t>
      </w:r>
      <w:r>
        <w:rPr>
          <w:rFonts w:ascii="Times New Roman" w:hAnsi="Times New Roman" w:eastAsia="黑体" w:cs="Times New Roman"/>
          <w:b w:val="0"/>
          <w:color w:val="000000"/>
          <w:sz w:val="24"/>
          <w:szCs w:val="24"/>
        </w:rPr>
        <w:t>施工进度计划</w:t>
      </w:r>
    </w:p>
    <w:p w14:paraId="2D31094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7.2.1 </w:t>
      </w:r>
      <w:r>
        <w:rPr>
          <w:rFonts w:ascii="Times New Roman" w:hAnsi="Times New Roman" w:eastAsia="仿宋_GB2312;仿宋" w:cs="Times New Roman"/>
          <w:color w:val="000000"/>
          <w:kern w:val="0"/>
          <w:sz w:val="24"/>
          <w:szCs w:val="24"/>
        </w:rPr>
        <w:t>施工进度计划的编制</w:t>
      </w:r>
    </w:p>
    <w:p w14:paraId="4E1834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32075C6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4649DC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天内完成审核和批准或提出修改意见。发包人和监理人对承包人提交的施工进度计划的确认，不能减轻或免除承包人根据法律规定和合同约定应承担的任何责任或义务。</w:t>
      </w:r>
    </w:p>
    <w:p w14:paraId="0B6AD92D">
      <w:pPr>
        <w:pStyle w:val="6"/>
        <w:spacing w:before="120" w:after="120" w:line="360" w:lineRule="auto"/>
        <w:ind w:firstLine="480"/>
        <w:rPr>
          <w:rFonts w:ascii="Times New Roman" w:hAnsi="Times New Roman" w:eastAsia="黑体" w:cs="Times New Roman"/>
          <w:b w:val="0"/>
          <w:color w:val="000000"/>
          <w:sz w:val="24"/>
          <w:szCs w:val="24"/>
        </w:rPr>
      </w:pPr>
      <w:bookmarkStart w:id="83" w:name="__RefHeading___Toc351203545"/>
      <w:bookmarkEnd w:id="83"/>
      <w:r>
        <w:rPr>
          <w:rFonts w:eastAsia="黑体" w:cs="Times New Roman"/>
          <w:b w:val="0"/>
          <w:color w:val="000000"/>
          <w:sz w:val="24"/>
          <w:szCs w:val="24"/>
        </w:rPr>
        <w:t xml:space="preserve">7.3 </w:t>
      </w:r>
      <w:r>
        <w:rPr>
          <w:rFonts w:ascii="Times New Roman" w:hAnsi="Times New Roman" w:eastAsia="黑体" w:cs="Times New Roman"/>
          <w:b w:val="0"/>
          <w:color w:val="000000"/>
          <w:sz w:val="24"/>
          <w:szCs w:val="24"/>
        </w:rPr>
        <w:t>开工</w:t>
      </w:r>
    </w:p>
    <w:p w14:paraId="48BBBBD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7.3.1 </w:t>
      </w:r>
      <w:r>
        <w:rPr>
          <w:rFonts w:ascii="Times New Roman" w:hAnsi="Times New Roman" w:eastAsia="仿宋_GB2312;仿宋" w:cs="Times New Roman"/>
          <w:color w:val="000000"/>
          <w:kern w:val="0"/>
          <w:sz w:val="24"/>
          <w:szCs w:val="24"/>
        </w:rPr>
        <w:t>开工准备</w:t>
      </w:r>
    </w:p>
    <w:p w14:paraId="6D4CC4A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D83C91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除专用合同条款另有约定外，合同当事人应按约定完成开工准备工作。</w:t>
      </w:r>
    </w:p>
    <w:p w14:paraId="5D39AF9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7.3.2 </w:t>
      </w:r>
      <w:r>
        <w:rPr>
          <w:rFonts w:ascii="Times New Roman" w:hAnsi="Times New Roman" w:eastAsia="仿宋_GB2312;仿宋" w:cs="Times New Roman"/>
          <w:color w:val="000000"/>
          <w:kern w:val="0"/>
          <w:sz w:val="24"/>
          <w:szCs w:val="24"/>
        </w:rPr>
        <w:t>开工通知</w:t>
      </w:r>
    </w:p>
    <w:p w14:paraId="312DA2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发包人应按照法律规定获得工程施工所需的许可。经发包人同意后，监理人发出的开工通知应符合法律规定。监理人应在计划开工日期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天前向承包人发出开工通知，工期自开工通知中载明的开工日期起算。</w:t>
      </w:r>
    </w:p>
    <w:p w14:paraId="49F00F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除专用合同条款另有约定外，因发包人原因造成监理人未能在计划开工日期之日起</w:t>
      </w:r>
      <w:r>
        <w:rPr>
          <w:rFonts w:eastAsia="仿宋_GB2312;仿宋" w:cs="Times New Roman"/>
          <w:color w:val="000000"/>
          <w:kern w:val="0"/>
          <w:sz w:val="24"/>
          <w:szCs w:val="24"/>
        </w:rPr>
        <w:t>90</w:t>
      </w:r>
      <w:r>
        <w:rPr>
          <w:rFonts w:ascii="Times New Roman" w:hAnsi="Times New Roman" w:eastAsia="仿宋_GB2312;仿宋" w:cs="Times New Roman"/>
          <w:color w:val="000000"/>
          <w:kern w:val="0"/>
          <w:sz w:val="24"/>
          <w:szCs w:val="24"/>
        </w:rPr>
        <w:t>天内发出开工通知的，承包人有权提出价格调整要求，或者解除合同。发包人应当承担由此增加的费用和（或）延误的工期，并向承包人支付合理利润。</w:t>
      </w:r>
    </w:p>
    <w:p w14:paraId="5A784BBA">
      <w:pPr>
        <w:pStyle w:val="6"/>
        <w:spacing w:before="120" w:after="120" w:line="360" w:lineRule="auto"/>
        <w:ind w:firstLine="480"/>
        <w:rPr>
          <w:rFonts w:ascii="Times New Roman" w:hAnsi="Times New Roman" w:eastAsia="黑体" w:cs="Times New Roman"/>
          <w:b w:val="0"/>
          <w:color w:val="000000"/>
          <w:sz w:val="24"/>
          <w:szCs w:val="24"/>
        </w:rPr>
      </w:pPr>
      <w:bookmarkStart w:id="84" w:name="__RefHeading___Toc351203546"/>
      <w:bookmarkEnd w:id="84"/>
      <w:r>
        <w:rPr>
          <w:rFonts w:eastAsia="黑体" w:cs="Times New Roman"/>
          <w:b w:val="0"/>
          <w:color w:val="000000"/>
          <w:sz w:val="24"/>
          <w:szCs w:val="24"/>
        </w:rPr>
        <w:t>7.4</w:t>
      </w:r>
      <w:r>
        <w:rPr>
          <w:rFonts w:ascii="Times New Roman" w:hAnsi="Times New Roman" w:eastAsia="黑体" w:cs="Times New Roman"/>
          <w:b w:val="0"/>
          <w:color w:val="000000"/>
          <w:sz w:val="24"/>
          <w:szCs w:val="24"/>
        </w:rPr>
        <w:t>测量放线</w:t>
      </w:r>
    </w:p>
    <w:p w14:paraId="2373B97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7.4.1 </w:t>
      </w:r>
      <w:r>
        <w:rPr>
          <w:rFonts w:ascii="Times New Roman" w:hAnsi="Times New Roman" w:eastAsia="仿宋_GB2312;仿宋" w:cs="Times New Roman"/>
          <w:color w:val="000000"/>
          <w:kern w:val="0"/>
          <w:sz w:val="24"/>
          <w:szCs w:val="24"/>
        </w:rPr>
        <w:t>除专用合同条款另有约定外，发包人应在至迟不得晚于第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天通过监理人向承包人提供测量基准点、基准线和水准点及其书面资料。发包人应对其提供的测量基准点、基准线和水准点及其书面资料的真实性、准确性和完整性负责。</w:t>
      </w:r>
    </w:p>
    <w:p w14:paraId="10E58E1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45C904C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7.4.2 </w:t>
      </w:r>
      <w:r>
        <w:rPr>
          <w:rFonts w:ascii="Times New Roman" w:hAnsi="Times New Roman" w:eastAsia="仿宋_GB2312;仿宋" w:cs="Times New Roman"/>
          <w:color w:val="000000"/>
          <w:kern w:val="0"/>
          <w:sz w:val="24"/>
          <w:szCs w:val="24"/>
        </w:rPr>
        <w:t>承包人负责施工过程中的全部施工测量放线工作，并配置具有相应资质的人员、合格的仪器、设备和其他物品。承包人应矫正工程的位置、标高、尺寸或准线中出现的任何差错，并对工程各部分的定位负责。</w:t>
      </w:r>
    </w:p>
    <w:p w14:paraId="13896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施工过程中对施工现场内水准点等测量标志物的保护工作由承包人负责。</w:t>
      </w:r>
      <w:bookmarkStart w:id="85" w:name="__RefHeading___Toc351203547"/>
    </w:p>
    <w:p w14:paraId="3347373C">
      <w:pPr>
        <w:pStyle w:val="6"/>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7.5 </w:t>
      </w:r>
      <w:r>
        <w:rPr>
          <w:rFonts w:ascii="Times New Roman" w:hAnsi="Times New Roman" w:eastAsia="黑体" w:cs="Times New Roman"/>
          <w:b w:val="0"/>
          <w:color w:val="000000"/>
          <w:sz w:val="24"/>
          <w:szCs w:val="24"/>
        </w:rPr>
        <w:t>工期延误</w:t>
      </w:r>
      <w:bookmarkEnd w:id="85"/>
    </w:p>
    <w:p w14:paraId="1677214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7.5.1 </w:t>
      </w:r>
      <w:r>
        <w:rPr>
          <w:rFonts w:ascii="Times New Roman" w:hAnsi="Times New Roman" w:eastAsia="仿宋_GB2312;仿宋" w:cs="Times New Roman"/>
          <w:color w:val="000000"/>
          <w:kern w:val="0"/>
          <w:sz w:val="24"/>
          <w:szCs w:val="24"/>
        </w:rPr>
        <w:t>因发包人原因导致工期延误</w:t>
      </w:r>
    </w:p>
    <w:p w14:paraId="3F3C13D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在合同履行过程中，因下列情况导致工期延误和（或）费用增加的，由发包人承担由此延误的工期和（或）增加的费用，且发包人应支付承包人合理的利润：</w:t>
      </w:r>
      <w:r>
        <w:rPr>
          <w:rFonts w:ascii="Times New Roman" w:hAnsi="Times New Roman" w:eastAsia="Times New Roman" w:cs="Times New Roman"/>
          <w:color w:val="000000"/>
          <w:kern w:val="0"/>
          <w:sz w:val="24"/>
          <w:szCs w:val="24"/>
        </w:rPr>
        <w:t xml:space="preserve"> </w:t>
      </w:r>
    </w:p>
    <w:p w14:paraId="75DE96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）发包人未能按合同约定提供图纸或所提供图纸不符合合同约定的；</w:t>
      </w:r>
    </w:p>
    <w:p w14:paraId="71136F3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）发包人未能按合同约定提供施工现场、施工条件、基础资料、许可、批准等开工条件的；</w:t>
      </w:r>
    </w:p>
    <w:p w14:paraId="206B043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）发包人提供的测量基准点、基准线和水准点及其书面资料存在错误或疏漏的；</w:t>
      </w:r>
    </w:p>
    <w:p w14:paraId="737BBA8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）发包人未能在计划开工日期之日起</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天内同意下达开工通知的；</w:t>
      </w:r>
    </w:p>
    <w:p w14:paraId="00FD5F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）发包人未能按合同约定日期支付工程预付款、进度款或竣工结算款的；</w:t>
      </w:r>
    </w:p>
    <w:p w14:paraId="3A5853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）监理人未按合同约定发出指示、批准等文件的；</w:t>
      </w:r>
    </w:p>
    <w:p w14:paraId="6BEBFC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）专用合同条款中约定的其他情形。</w:t>
      </w:r>
    </w:p>
    <w:p w14:paraId="4C9CB3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因发包人原因未按计划开工日期开工的，发包人应按实际开工日期顺延竣工日期，确保实际工期不低于合同约定的工期总日历天数。因发包人原因导致工期延误需要修订施工进度计划的，按照第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项〔施工进度计划的修订〕执行。</w:t>
      </w:r>
    </w:p>
    <w:p w14:paraId="621D96CC">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7.5.2 </w:t>
      </w:r>
      <w:r>
        <w:rPr>
          <w:rFonts w:ascii="Times New Roman" w:hAnsi="Times New Roman" w:eastAsia="仿宋_GB2312;仿宋" w:cs="Times New Roman"/>
          <w:color w:val="000000"/>
          <w:kern w:val="0"/>
          <w:sz w:val="24"/>
          <w:szCs w:val="24"/>
        </w:rPr>
        <w:t>因承包人原因导致工期延误</w:t>
      </w:r>
    </w:p>
    <w:p w14:paraId="56BC87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因承包人原因造成工期延误的，可以在专用合同条款中约定逾期竣工违约金的计算方法和逾期竣工违约金的上限。承包人支付逾期竣工违约金后，不免除承包人继续完成工程及修补缺陷的义务。</w:t>
      </w:r>
    </w:p>
    <w:p w14:paraId="4137EAB2">
      <w:pPr>
        <w:pStyle w:val="6"/>
        <w:spacing w:before="120" w:after="120" w:line="360" w:lineRule="auto"/>
        <w:ind w:firstLine="480"/>
        <w:rPr>
          <w:rFonts w:ascii="Times New Roman" w:hAnsi="Times New Roman" w:eastAsia="黑体" w:cs="Times New Roman"/>
          <w:b w:val="0"/>
          <w:color w:val="000000"/>
          <w:sz w:val="24"/>
          <w:szCs w:val="24"/>
        </w:rPr>
      </w:pPr>
      <w:bookmarkStart w:id="86" w:name="__RefHeading___Toc351203548"/>
      <w:bookmarkEnd w:id="86"/>
      <w:r>
        <w:rPr>
          <w:rFonts w:eastAsia="黑体" w:cs="Times New Roman"/>
          <w:b w:val="0"/>
          <w:color w:val="000000"/>
          <w:sz w:val="24"/>
          <w:szCs w:val="24"/>
        </w:rPr>
        <w:t xml:space="preserve">7.6 </w:t>
      </w:r>
      <w:r>
        <w:rPr>
          <w:rFonts w:ascii="Times New Roman" w:hAnsi="Times New Roman" w:eastAsia="黑体" w:cs="Times New Roman"/>
          <w:b w:val="0"/>
          <w:color w:val="000000"/>
          <w:sz w:val="24"/>
          <w:szCs w:val="24"/>
        </w:rPr>
        <w:t>不利物质条件</w:t>
      </w:r>
    </w:p>
    <w:p w14:paraId="5A2E73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3CB90C4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条〔变更〕约定执行。承包人因采取合理措施而增加的费用和（或）延误的工期由发包人承担。</w:t>
      </w:r>
    </w:p>
    <w:p w14:paraId="75AFB4F6">
      <w:pPr>
        <w:pStyle w:val="6"/>
        <w:spacing w:before="120" w:after="120" w:line="360" w:lineRule="auto"/>
        <w:ind w:firstLine="480"/>
        <w:rPr>
          <w:rFonts w:ascii="Times New Roman" w:hAnsi="Times New Roman" w:eastAsia="黑体" w:cs="Times New Roman"/>
          <w:b w:val="0"/>
          <w:color w:val="000000"/>
          <w:sz w:val="24"/>
          <w:szCs w:val="24"/>
        </w:rPr>
      </w:pPr>
      <w:bookmarkStart w:id="87" w:name="__RefHeading___Toc351203549"/>
      <w:bookmarkEnd w:id="87"/>
      <w:r>
        <w:rPr>
          <w:rFonts w:eastAsia="黑体" w:cs="Times New Roman"/>
          <w:b w:val="0"/>
          <w:color w:val="000000"/>
          <w:sz w:val="24"/>
          <w:szCs w:val="24"/>
        </w:rPr>
        <w:t xml:space="preserve">7.7 </w:t>
      </w:r>
      <w:r>
        <w:rPr>
          <w:rFonts w:ascii="Times New Roman" w:hAnsi="Times New Roman" w:eastAsia="黑体" w:cs="Times New Roman"/>
          <w:b w:val="0"/>
          <w:color w:val="000000"/>
          <w:sz w:val="24"/>
          <w:szCs w:val="24"/>
        </w:rPr>
        <w:t>异常恶劣的气候条件</w:t>
      </w:r>
    </w:p>
    <w:p w14:paraId="40947C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2214E2F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承包人应采取克服异常恶劣的气候条件的合理措施继续施工，并及时通知发包人和监理人。监理人经发包人同意后应当及时发出指示，指示构成变更的，按第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条〔变更〕约定办理。承包人因采取合理措施而增加的费用和（或）延误的工期由发包人承担。</w:t>
      </w:r>
      <w:bookmarkStart w:id="88" w:name="__RefHeading___Toc351203550"/>
    </w:p>
    <w:p w14:paraId="66794047">
      <w:pPr>
        <w:numPr>
          <w:ilvl w:val="0"/>
          <w:numId w:val="0"/>
        </w:numPr>
        <w:autoSpaceDE w:val="0"/>
        <w:spacing w:line="360" w:lineRule="auto"/>
        <w:ind w:firstLine="480"/>
        <w:jc w:val="left"/>
        <w:outlineLvl w:val="0"/>
        <w:rPr>
          <w:rFonts w:ascii="Times New Roman" w:hAnsi="Times New Roman" w:eastAsia="黑体" w:cs="Times New Roman"/>
          <w:bCs/>
          <w:color w:val="000000"/>
          <w:sz w:val="24"/>
          <w:szCs w:val="24"/>
        </w:rPr>
      </w:pPr>
      <w:r>
        <w:rPr>
          <w:rFonts w:eastAsia="黑体" w:cs="Times New Roman"/>
          <w:bCs/>
          <w:color w:val="000000"/>
          <w:sz w:val="24"/>
          <w:szCs w:val="24"/>
        </w:rPr>
        <w:t xml:space="preserve">7.8 </w:t>
      </w:r>
      <w:r>
        <w:rPr>
          <w:rFonts w:ascii="Times New Roman" w:hAnsi="Times New Roman" w:eastAsia="黑体" w:cs="Times New Roman"/>
          <w:bCs/>
          <w:color w:val="000000"/>
          <w:sz w:val="24"/>
          <w:szCs w:val="24"/>
        </w:rPr>
        <w:t>暂停施工</w:t>
      </w:r>
      <w:bookmarkEnd w:id="88"/>
    </w:p>
    <w:p w14:paraId="20C70C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7.8.1</w:t>
      </w:r>
      <w:r>
        <w:rPr>
          <w:rFonts w:ascii="Times New Roman" w:hAnsi="Times New Roman" w:eastAsia="仿宋_GB2312;仿宋" w:cs="Times New Roman"/>
          <w:color w:val="000000"/>
          <w:kern w:val="0"/>
          <w:sz w:val="24"/>
          <w:szCs w:val="24"/>
        </w:rPr>
        <w:t>发包人原因引起的暂停施工</w:t>
      </w:r>
    </w:p>
    <w:p w14:paraId="4DACD5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因发包人原因引起暂停施工的，监理人经发包人同意后，应及时下达暂停施工指示。情况紧急且监理人未及时下达暂停施工指示的，按照第</w:t>
      </w:r>
      <w:r>
        <w:rPr>
          <w:rFonts w:eastAsia="仿宋_GB2312;仿宋" w:cs="Times New Roman"/>
          <w:color w:val="000000"/>
          <w:kern w:val="0"/>
          <w:sz w:val="24"/>
          <w:szCs w:val="24"/>
        </w:rPr>
        <w:t>7.8.4</w:t>
      </w:r>
      <w:r>
        <w:rPr>
          <w:rFonts w:ascii="Times New Roman" w:hAnsi="Times New Roman" w:eastAsia="仿宋_GB2312;仿宋" w:cs="Times New Roman"/>
          <w:color w:val="000000"/>
          <w:kern w:val="0"/>
          <w:sz w:val="24"/>
          <w:szCs w:val="24"/>
        </w:rPr>
        <w:t>项〔紧急情况下的暂停施工〕执行。</w:t>
      </w:r>
    </w:p>
    <w:p w14:paraId="5F8B8C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因发包人原因引起的暂停施工，发包人应承担由此增加的费用和（或）延误的工期，</w:t>
      </w:r>
      <w:r>
        <w:rPr>
          <w:rFonts w:ascii="Times New Roman" w:hAnsi="Times New Roman" w:eastAsia="仿宋_GB2312;仿宋" w:cs="Times New Roman"/>
          <w:kern w:val="0"/>
          <w:sz w:val="24"/>
          <w:szCs w:val="24"/>
        </w:rPr>
        <w:t>并支付承包人</w:t>
      </w:r>
      <w:r>
        <w:rPr>
          <w:rFonts w:ascii="Times New Roman" w:hAnsi="Times New Roman" w:eastAsia="仿宋_GB2312;仿宋" w:cs="Times New Roman"/>
          <w:color w:val="000000"/>
          <w:kern w:val="0"/>
          <w:sz w:val="24"/>
          <w:szCs w:val="24"/>
        </w:rPr>
        <w:t>合理的利润。</w:t>
      </w:r>
    </w:p>
    <w:p w14:paraId="6C3114D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7.8.2 </w:t>
      </w:r>
      <w:r>
        <w:rPr>
          <w:rFonts w:ascii="Times New Roman" w:hAnsi="Times New Roman" w:eastAsia="仿宋_GB2312;仿宋" w:cs="Times New Roman"/>
          <w:color w:val="000000"/>
          <w:kern w:val="0"/>
          <w:sz w:val="24"/>
          <w:szCs w:val="24"/>
        </w:rPr>
        <w:t>承包人原因引起的暂停施工</w:t>
      </w:r>
    </w:p>
    <w:p w14:paraId="5E9346E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因承包人原因引起的暂停施工，承包人应承担由此增加的费用和（或）延误的工期，且承包人在收到监理人复工指示后</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天内仍未复工的，视为第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）目约定的承包人无法继续履行合同的情形。</w:t>
      </w:r>
    </w:p>
    <w:p w14:paraId="2023208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7.8.3 </w:t>
      </w:r>
      <w:r>
        <w:rPr>
          <w:rFonts w:ascii="Times New Roman" w:hAnsi="Times New Roman" w:eastAsia="仿宋_GB2312;仿宋" w:cs="Times New Roman"/>
          <w:color w:val="000000"/>
          <w:kern w:val="0"/>
          <w:sz w:val="24"/>
          <w:szCs w:val="24"/>
        </w:rPr>
        <w:t>指示暂停施工</w:t>
      </w:r>
    </w:p>
    <w:p w14:paraId="6496562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监理人认为有必要时，并经发包人批准后，可向承包人作出暂停施工的指示，承包人应按监理人指示暂停施工。</w:t>
      </w:r>
    </w:p>
    <w:p w14:paraId="2904D7F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7.8.4 </w:t>
      </w:r>
      <w:r>
        <w:rPr>
          <w:rFonts w:ascii="Times New Roman" w:hAnsi="Times New Roman" w:eastAsia="仿宋_GB2312;仿宋" w:cs="Times New Roman"/>
          <w:color w:val="000000"/>
          <w:kern w:val="0"/>
          <w:sz w:val="24"/>
          <w:szCs w:val="24"/>
        </w:rPr>
        <w:t>紧急情况下的暂停施工</w:t>
      </w:r>
    </w:p>
    <w:p w14:paraId="14F6B8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因紧急情况需暂停施工，且监理人未及时下达暂停施工指示的，承包人可先暂停施工，并及时通知监理人。监理人应在接到通知后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小时内发出指示，逾期未发出指示，视为同意承包人暂停施工。监理人不同意承包人暂停施工的，应说明理由，承包人对监理人的答复有异议，按照第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078FF63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7.8.5 </w:t>
      </w:r>
      <w:r>
        <w:rPr>
          <w:rFonts w:ascii="Times New Roman" w:hAnsi="Times New Roman" w:eastAsia="仿宋_GB2312;仿宋" w:cs="Times New Roman"/>
          <w:color w:val="000000"/>
          <w:kern w:val="0"/>
          <w:sz w:val="24"/>
          <w:szCs w:val="24"/>
        </w:rPr>
        <w:t>暂停施工后的复工</w:t>
      </w:r>
    </w:p>
    <w:p w14:paraId="71996A6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CE303D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承包人无故拖延和拒绝复工的，承包人承担由此增加的费用和（或）延误的工期；因发包人原因无法按时复工的，按照第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492A0E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7.8.6 </w:t>
      </w: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天以上</w:t>
      </w:r>
    </w:p>
    <w:p w14:paraId="788CD81B">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监理人发出暂停施工指示后</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天内未向承包人发出复工通知，除该项停工属于第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条〔不可抗力〕约定的情形外，承包人可向发包人提交书面通知，要求发包人在收到书面通知后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天内准许已暂停施工的部分或全部工程继续施工。发包人逾期不予批准的，则承包人可以通知发包人，将工程受影响的部分视为按第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）项的可取消工作。</w:t>
      </w:r>
    </w:p>
    <w:p w14:paraId="31EF9219">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天以上不复工的，且不属于第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条〔不可抗力〕约定的情形，并影响到整个工程以及合同目的实现的，承包人有权提出价格调整要求，或者解除合同。解除合同的，按照第</w:t>
      </w:r>
      <w:r>
        <w:rPr>
          <w:rFonts w:eastAsia="仿宋_GB2312;仿宋" w:cs="Times New Roman"/>
          <w:color w:val="000000"/>
          <w:kern w:val="0"/>
          <w:sz w:val="24"/>
          <w:szCs w:val="24"/>
        </w:rPr>
        <w:t>16.1.3</w:t>
      </w:r>
      <w:r>
        <w:rPr>
          <w:rFonts w:ascii="Times New Roman" w:hAnsi="Times New Roman" w:eastAsia="仿宋_GB2312;仿宋" w:cs="Times New Roman"/>
          <w:color w:val="000000"/>
          <w:kern w:val="0"/>
          <w:sz w:val="24"/>
          <w:szCs w:val="24"/>
        </w:rPr>
        <w:t>项〔因发包人违约解除合同〕执行。</w:t>
      </w:r>
    </w:p>
    <w:p w14:paraId="1329D3DC">
      <w:pPr>
        <w:spacing w:line="360" w:lineRule="auto"/>
        <w:ind w:left="16"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7.8.7 </w:t>
      </w:r>
      <w:r>
        <w:rPr>
          <w:rFonts w:ascii="Times New Roman" w:hAnsi="Times New Roman" w:eastAsia="仿宋_GB2312;仿宋" w:cs="Times New Roman"/>
          <w:color w:val="000000"/>
          <w:kern w:val="0"/>
          <w:sz w:val="24"/>
          <w:szCs w:val="24"/>
        </w:rPr>
        <w:t>暂停施工期间的工程照管</w:t>
      </w:r>
    </w:p>
    <w:p w14:paraId="5EF386A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暂停施工期间，承包人应负责妥善照管工程并提供安全保障，由此增加的费用由责任方承担。</w:t>
      </w:r>
    </w:p>
    <w:p w14:paraId="639CB15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7.8.8 </w:t>
      </w:r>
      <w:r>
        <w:rPr>
          <w:rFonts w:ascii="Times New Roman" w:hAnsi="Times New Roman" w:eastAsia="仿宋_GB2312;仿宋" w:cs="Times New Roman"/>
          <w:color w:val="000000"/>
          <w:kern w:val="0"/>
          <w:sz w:val="24"/>
          <w:szCs w:val="24"/>
        </w:rPr>
        <w:t>暂停施工的措施</w:t>
      </w:r>
    </w:p>
    <w:p w14:paraId="6070B2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暂停施工期间，发包人和承包人均应采取必要的措施确保工程质量及安全，防止因暂停施工扩大损失。</w:t>
      </w:r>
    </w:p>
    <w:p w14:paraId="49F830E4">
      <w:pPr>
        <w:pStyle w:val="6"/>
        <w:spacing w:before="120" w:after="120" w:line="360" w:lineRule="auto"/>
        <w:ind w:firstLine="480"/>
        <w:rPr>
          <w:rFonts w:ascii="Times New Roman" w:hAnsi="Times New Roman" w:eastAsia="黑体" w:cs="Times New Roman"/>
          <w:b w:val="0"/>
          <w:color w:val="000000"/>
          <w:sz w:val="24"/>
          <w:szCs w:val="24"/>
        </w:rPr>
      </w:pPr>
      <w:bookmarkStart w:id="89" w:name="__RefHeading___Toc351203551"/>
      <w:bookmarkEnd w:id="89"/>
      <w:r>
        <w:rPr>
          <w:rFonts w:eastAsia="黑体" w:cs="Times New Roman"/>
          <w:b w:val="0"/>
          <w:color w:val="000000"/>
          <w:sz w:val="24"/>
          <w:szCs w:val="24"/>
        </w:rPr>
        <w:t>7.9</w:t>
      </w:r>
      <w:r>
        <w:rPr>
          <w:rFonts w:ascii="Times New Roman" w:hAnsi="Times New Roman" w:eastAsia="黑体" w:cs="Times New Roman"/>
          <w:b w:val="0"/>
          <w:color w:val="000000"/>
          <w:sz w:val="24"/>
          <w:szCs w:val="24"/>
        </w:rPr>
        <w:t>提前竣工</w:t>
      </w:r>
    </w:p>
    <w:p w14:paraId="67B756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7.9.1 </w:t>
      </w:r>
      <w:r>
        <w:rPr>
          <w:rFonts w:ascii="Times New Roman" w:hAnsi="Times New Roman" w:eastAsia="仿宋_GB2312;仿宋" w:cs="Times New Roman"/>
          <w:color w:val="000000"/>
          <w:kern w:val="0"/>
          <w:sz w:val="24"/>
          <w:szCs w:val="24"/>
        </w:rPr>
        <w:t>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天内予以答复。任何情况下，发包人不得压缩合理工期。</w:t>
      </w:r>
    </w:p>
    <w:p w14:paraId="192930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7.9.2 </w:t>
      </w:r>
      <w:r>
        <w:rPr>
          <w:rFonts w:ascii="Times New Roman" w:hAnsi="Times New Roman" w:eastAsia="仿宋_GB2312;仿宋" w:cs="Times New Roman"/>
          <w:color w:val="000000"/>
          <w:kern w:val="0"/>
          <w:sz w:val="24"/>
          <w:szCs w:val="24"/>
        </w:rPr>
        <w:t>发包人要求承包人提前竣工，或承包人提出提前竣工的建议能够给发包人带来效益的，合同当事人可以在专用合同条款中约定提前竣工的奖励。</w:t>
      </w:r>
    </w:p>
    <w:p w14:paraId="6284DAE2">
      <w:pPr>
        <w:pStyle w:val="5"/>
        <w:spacing w:before="120" w:after="120" w:line="360" w:lineRule="auto"/>
        <w:rPr>
          <w:rFonts w:ascii="Times New Roman" w:hAnsi="Times New Roman" w:eastAsia="黑体" w:cs="Times New Roman"/>
          <w:b w:val="0"/>
          <w:color w:val="000000"/>
          <w:sz w:val="24"/>
          <w:szCs w:val="24"/>
        </w:rPr>
      </w:pPr>
      <w:bookmarkStart w:id="90" w:name="__RefHeading___Toc351203552"/>
      <w:bookmarkEnd w:id="90"/>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420D095">
      <w:pPr>
        <w:pStyle w:val="6"/>
        <w:spacing w:before="120" w:after="120" w:line="360" w:lineRule="auto"/>
        <w:ind w:firstLine="480"/>
        <w:rPr>
          <w:rFonts w:ascii="Times New Roman" w:hAnsi="Times New Roman" w:eastAsia="黑体" w:cs="Times New Roman"/>
          <w:b w:val="0"/>
          <w:color w:val="000000"/>
          <w:sz w:val="24"/>
          <w:szCs w:val="24"/>
        </w:rPr>
      </w:pPr>
      <w:bookmarkStart w:id="91" w:name="__RefHeading___Toc351203553"/>
      <w:bookmarkEnd w:id="91"/>
      <w:r>
        <w:rPr>
          <w:rFonts w:eastAsia="黑体" w:cs="Times New Roman"/>
          <w:b w:val="0"/>
          <w:color w:val="000000"/>
          <w:sz w:val="24"/>
          <w:szCs w:val="24"/>
        </w:rPr>
        <w:t>8.1</w:t>
      </w:r>
      <w:r>
        <w:rPr>
          <w:rFonts w:ascii="Times New Roman" w:hAnsi="Times New Roman" w:eastAsia="黑体" w:cs="Times New Roman"/>
          <w:b w:val="0"/>
          <w:color w:val="000000"/>
          <w:sz w:val="24"/>
          <w:szCs w:val="24"/>
        </w:rPr>
        <w:t>发包人供应材料与工程设备</w:t>
      </w:r>
    </w:p>
    <w:p w14:paraId="7FCCEBD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发包人自行供应材料、工程设备的，应在签订合同时在专用合同条款的附件《发包人供应材料设备一览表》中明确材料、工程设备的品种、规格、型号、数量、单价、质量等级和送达地点。</w:t>
      </w:r>
    </w:p>
    <w:p w14:paraId="4E42CA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承包人应提前</w:t>
      </w:r>
      <w:r>
        <w:rPr>
          <w:rFonts w:eastAsia="仿宋_GB2312;仿宋" w:cs="Times New Roman"/>
          <w:color w:val="000000"/>
          <w:kern w:val="0"/>
          <w:sz w:val="24"/>
          <w:szCs w:val="24"/>
        </w:rPr>
        <w:t>30</w:t>
      </w:r>
      <w:r>
        <w:rPr>
          <w:rFonts w:ascii="Times New Roman" w:hAnsi="Times New Roman" w:eastAsia="仿宋_GB2312;仿宋" w:cs="Times New Roman"/>
          <w:color w:val="000000"/>
          <w:kern w:val="0"/>
          <w:sz w:val="24"/>
          <w:szCs w:val="24"/>
        </w:rPr>
        <w:t>天通过监理人以书面形式通知发包人供应材料与工程设备进场。承包人按照第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项〔施工进度计划的修订〕约定修订施工进度计划时，需同时提交经修订后的发包人供应材料与工程设备的进场计划。</w:t>
      </w:r>
    </w:p>
    <w:p w14:paraId="63AF7DD0">
      <w:pPr>
        <w:pStyle w:val="6"/>
        <w:spacing w:before="120" w:after="120" w:line="360" w:lineRule="auto"/>
        <w:ind w:firstLine="480"/>
        <w:rPr>
          <w:rFonts w:ascii="Times New Roman" w:hAnsi="Times New Roman" w:eastAsia="仿宋_GB2312;仿宋" w:cs="Times New Roman"/>
          <w:color w:val="000000"/>
          <w:sz w:val="24"/>
          <w:szCs w:val="24"/>
        </w:rPr>
      </w:pPr>
      <w:bookmarkStart w:id="92" w:name="__RefHeading___Toc351203554"/>
      <w:bookmarkEnd w:id="92"/>
      <w:r>
        <w:rPr>
          <w:rFonts w:eastAsia="黑体" w:cs="Times New Roman"/>
          <w:b w:val="0"/>
          <w:color w:val="000000"/>
          <w:sz w:val="24"/>
          <w:szCs w:val="24"/>
        </w:rPr>
        <w:t>8.2</w:t>
      </w:r>
      <w:r>
        <w:rPr>
          <w:rFonts w:ascii="Times New Roman" w:hAnsi="Times New Roman" w:eastAsia="黑体" w:cs="Times New Roman"/>
          <w:b w:val="0"/>
          <w:color w:val="000000"/>
          <w:sz w:val="24"/>
          <w:szCs w:val="24"/>
        </w:rPr>
        <w:t>承包人采购材料与工程设备</w:t>
      </w:r>
    </w:p>
    <w:p w14:paraId="2E707D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24C7FE43">
      <w:pPr>
        <w:pStyle w:val="6"/>
        <w:spacing w:before="120" w:after="120" w:line="360" w:lineRule="auto"/>
        <w:ind w:firstLine="480"/>
        <w:rPr>
          <w:rFonts w:ascii="Times New Roman" w:hAnsi="Times New Roman" w:eastAsia="黑体" w:cs="Times New Roman"/>
          <w:b w:val="0"/>
          <w:color w:val="000000"/>
          <w:sz w:val="24"/>
          <w:szCs w:val="24"/>
        </w:rPr>
      </w:pPr>
      <w:bookmarkStart w:id="93" w:name="__RefHeading___Toc351203555"/>
      <w:bookmarkEnd w:id="93"/>
      <w:r>
        <w:rPr>
          <w:rFonts w:eastAsia="黑体" w:cs="Times New Roman"/>
          <w:b w:val="0"/>
          <w:color w:val="000000"/>
          <w:sz w:val="24"/>
          <w:szCs w:val="24"/>
        </w:rPr>
        <w:t>8.3</w:t>
      </w:r>
      <w:r>
        <w:rPr>
          <w:rFonts w:ascii="Times New Roman" w:hAnsi="Times New Roman" w:eastAsia="黑体" w:cs="Times New Roman"/>
          <w:b w:val="0"/>
          <w:color w:val="000000"/>
          <w:sz w:val="24"/>
          <w:szCs w:val="24"/>
        </w:rPr>
        <w:t>材料与工程设备的接收与拒收</w:t>
      </w:r>
    </w:p>
    <w:p w14:paraId="2197644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8.3.1 </w:t>
      </w:r>
      <w:r>
        <w:rPr>
          <w:rFonts w:ascii="Times New Roman" w:hAnsi="Times New Roman" w:eastAsia="仿宋_GB2312;仿宋" w:cs="Times New Roman"/>
          <w:color w:val="000000"/>
          <w:kern w:val="0"/>
          <w:sz w:val="24"/>
          <w:szCs w:val="24"/>
        </w:rPr>
        <w:t>发包人应按《发包人供应材料设备一览表》约定的内容提供材料和工程设备，并向承包人提供产品合格证明及出厂证明，对其质量负责。发包人应提前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小时以书面形式通知承包人、监理人材料和工程设备到货时间，承包人负责材料和工程设备的清点、检验和接收。</w:t>
      </w:r>
    </w:p>
    <w:p w14:paraId="0604A6F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发包人提供的材料和工程设备的规格、数量或质量不符合合同约定的，或因发包人原因导致交货日期延误或交货地点变更等情况的，按照第</w:t>
      </w:r>
      <w:r>
        <w:rPr>
          <w:rFonts w:eastAsia="仿宋_GB2312;仿宋" w:cs="Times New Roman"/>
          <w:color w:val="000000"/>
          <w:kern w:val="0"/>
          <w:sz w:val="24"/>
          <w:szCs w:val="24"/>
        </w:rPr>
        <w:t>16.1</w:t>
      </w:r>
      <w:r>
        <w:rPr>
          <w:rFonts w:ascii="Times New Roman" w:hAnsi="Times New Roman" w:eastAsia="仿宋_GB2312;仿宋" w:cs="Times New Roman"/>
          <w:color w:val="000000"/>
          <w:kern w:val="0"/>
          <w:sz w:val="24"/>
          <w:szCs w:val="24"/>
        </w:rPr>
        <w:t>款〔发包人违约〕约定办理。</w:t>
      </w:r>
    </w:p>
    <w:p w14:paraId="75527AC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8.3.2 </w:t>
      </w:r>
      <w:r>
        <w:rPr>
          <w:rFonts w:ascii="Times New Roman" w:hAnsi="Times New Roman" w:eastAsia="仿宋_GB2312;仿宋" w:cs="Times New Roman"/>
          <w:color w:val="000000"/>
          <w:kern w:val="0"/>
          <w:sz w:val="24"/>
          <w:szCs w:val="24"/>
        </w:rPr>
        <w:t>承包人采购的材料和工程设备，应保证产品质量合格，承包人应在材料和工程设备到货前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小时通知监理人检验。承包人进行永久设备、材料的制造和生产的，应符合相关质量标准，并向监理人提交材料的样本以及有关资料，并应在使用该材料或工程设备之前获得监理人同意。</w:t>
      </w:r>
    </w:p>
    <w:p w14:paraId="7EBE65C0">
      <w:pPr>
        <w:autoSpaceDE w:val="0"/>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D51276F">
      <w:pPr>
        <w:pStyle w:val="6"/>
        <w:spacing w:before="120" w:after="120" w:line="360" w:lineRule="auto"/>
        <w:ind w:firstLine="480"/>
        <w:rPr>
          <w:rFonts w:ascii="Times New Roman" w:hAnsi="Times New Roman" w:eastAsia="黑体" w:cs="Times New Roman"/>
          <w:b w:val="0"/>
          <w:color w:val="000000"/>
          <w:sz w:val="24"/>
          <w:szCs w:val="24"/>
        </w:rPr>
      </w:pPr>
      <w:bookmarkStart w:id="94" w:name="__RefHeading___Toc351203556"/>
      <w:bookmarkEnd w:id="94"/>
      <w:r>
        <w:rPr>
          <w:rFonts w:eastAsia="黑体" w:cs="Times New Roman"/>
          <w:b w:val="0"/>
          <w:color w:val="000000"/>
          <w:sz w:val="24"/>
          <w:szCs w:val="24"/>
        </w:rPr>
        <w:t>8.4</w:t>
      </w:r>
      <w:r>
        <w:rPr>
          <w:rFonts w:ascii="Times New Roman" w:hAnsi="Times New Roman" w:eastAsia="黑体" w:cs="Times New Roman"/>
          <w:b w:val="0"/>
          <w:color w:val="000000"/>
          <w:sz w:val="24"/>
          <w:szCs w:val="24"/>
        </w:rPr>
        <w:t>材料与工程设备的保管与使用</w:t>
      </w:r>
    </w:p>
    <w:p w14:paraId="46E3192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8.4.1 </w:t>
      </w:r>
      <w:r>
        <w:rPr>
          <w:rFonts w:ascii="Times New Roman" w:hAnsi="Times New Roman" w:eastAsia="仿宋_GB2312;仿宋" w:cs="Times New Roman"/>
          <w:color w:val="000000"/>
          <w:kern w:val="0"/>
          <w:sz w:val="24"/>
          <w:szCs w:val="24"/>
        </w:rPr>
        <w:t>发包人供应</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645F58F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275EFBD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发包人供应的材料和工程设备使用前，由承包人负责检验，检验费用由发包人承担，不合格的不得使用。</w:t>
      </w:r>
    </w:p>
    <w:p w14:paraId="5369E1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8.4.2 </w:t>
      </w:r>
      <w:r>
        <w:rPr>
          <w:rFonts w:ascii="Times New Roman" w:hAnsi="Times New Roman" w:eastAsia="仿宋_GB2312;仿宋" w:cs="Times New Roman"/>
          <w:color w:val="000000"/>
          <w:kern w:val="0"/>
          <w:sz w:val="24"/>
          <w:szCs w:val="24"/>
        </w:rPr>
        <w:t>承包人采购</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2FB9FE8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981C6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发包人或监理人发现承包人使用不符合设计或有关标准要求的材料和工程设备时，有权要求承包人进行修复、拆除或重新采购，由此增加的费用和（或）延误的工期，由承包人承担。</w:t>
      </w:r>
    </w:p>
    <w:p w14:paraId="5C87B406">
      <w:pPr>
        <w:pStyle w:val="6"/>
        <w:spacing w:before="120" w:after="120" w:line="360" w:lineRule="auto"/>
        <w:ind w:firstLine="480"/>
        <w:rPr>
          <w:rFonts w:ascii="Times New Roman" w:hAnsi="Times New Roman" w:eastAsia="黑体" w:cs="Times New Roman"/>
          <w:b w:val="0"/>
          <w:color w:val="000000"/>
          <w:sz w:val="24"/>
          <w:szCs w:val="24"/>
        </w:rPr>
      </w:pPr>
      <w:bookmarkStart w:id="95" w:name="__RefHeading___Toc351203557"/>
      <w:bookmarkEnd w:id="95"/>
      <w:r>
        <w:rPr>
          <w:rFonts w:eastAsia="黑体" w:cs="Times New Roman"/>
          <w:b w:val="0"/>
          <w:color w:val="000000"/>
          <w:sz w:val="24"/>
          <w:szCs w:val="24"/>
        </w:rPr>
        <w:t>8.5</w:t>
      </w:r>
      <w:r>
        <w:rPr>
          <w:rFonts w:ascii="Times New Roman" w:hAnsi="Times New Roman" w:eastAsia="黑体" w:cs="Times New Roman"/>
          <w:b w:val="0"/>
          <w:color w:val="000000"/>
          <w:sz w:val="24"/>
          <w:szCs w:val="24"/>
        </w:rPr>
        <w:t>禁止使用不合格的材料和工程设备</w:t>
      </w:r>
    </w:p>
    <w:p w14:paraId="785992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8.5.1 </w:t>
      </w:r>
      <w:r>
        <w:rPr>
          <w:rFonts w:ascii="Times New Roman" w:hAnsi="Times New Roman" w:eastAsia="仿宋_GB2312;仿宋" w:cs="Times New Roman"/>
          <w:color w:val="000000"/>
          <w:kern w:val="0"/>
          <w:sz w:val="24"/>
          <w:szCs w:val="24"/>
        </w:rPr>
        <w:t>监理人有权拒绝承包人提供的不合格材料或工程设备，并要求承包人立即进行更换。监理人应在更换后再次进行检查和检验，由此增加的费用和（或）延误的工期由承包人承担。</w:t>
      </w:r>
    </w:p>
    <w:p w14:paraId="23F49E4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8.5.2 </w:t>
      </w:r>
      <w:r>
        <w:rPr>
          <w:rFonts w:ascii="Times New Roman" w:hAnsi="Times New Roman" w:eastAsia="仿宋_GB2312;仿宋" w:cs="Times New Roman"/>
          <w:color w:val="000000"/>
          <w:kern w:val="0"/>
          <w:sz w:val="24"/>
          <w:szCs w:val="24"/>
        </w:rPr>
        <w:t>监理人发现承包人使用了不合格的材料和工程设备，承包人应按照监理人的指示立即改正，并禁止在工程中继续使用不合格的材料和工程设备。</w:t>
      </w:r>
    </w:p>
    <w:p w14:paraId="1A56EB2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8.5.3 </w:t>
      </w:r>
      <w:r>
        <w:rPr>
          <w:rFonts w:ascii="Times New Roman" w:hAnsi="Times New Roman" w:eastAsia="仿宋_GB2312;仿宋" w:cs="Times New Roman"/>
          <w:color w:val="000000"/>
          <w:kern w:val="0"/>
          <w:sz w:val="24"/>
          <w:szCs w:val="24"/>
        </w:rPr>
        <w:t>发包人提供的材料或工程设备不符合合同要求的，承包人有权拒绝，并可要求发包人更换，由此增加的费用和（或）延误的工期由发包人承担，并支付承包人合理的利润。</w:t>
      </w:r>
    </w:p>
    <w:p w14:paraId="2631AD0A">
      <w:pPr>
        <w:pStyle w:val="6"/>
        <w:spacing w:before="120" w:after="120" w:line="360" w:lineRule="auto"/>
        <w:ind w:firstLine="480"/>
        <w:rPr>
          <w:rFonts w:ascii="Times New Roman" w:hAnsi="Times New Roman" w:eastAsia="黑体" w:cs="Times New Roman"/>
          <w:b w:val="0"/>
          <w:color w:val="000000"/>
          <w:sz w:val="24"/>
          <w:szCs w:val="24"/>
        </w:rPr>
      </w:pPr>
      <w:bookmarkStart w:id="96" w:name="__RefHeading___Toc351203558"/>
      <w:bookmarkEnd w:id="96"/>
      <w:r>
        <w:rPr>
          <w:rFonts w:eastAsia="黑体" w:cs="Times New Roman"/>
          <w:b w:val="0"/>
          <w:color w:val="000000"/>
          <w:sz w:val="24"/>
          <w:szCs w:val="24"/>
        </w:rPr>
        <w:t xml:space="preserve">8.6 </w:t>
      </w:r>
      <w:r>
        <w:rPr>
          <w:rFonts w:ascii="Times New Roman" w:hAnsi="Times New Roman" w:eastAsia="黑体" w:cs="Times New Roman"/>
          <w:b w:val="0"/>
          <w:color w:val="000000"/>
          <w:sz w:val="24"/>
          <w:szCs w:val="24"/>
        </w:rPr>
        <w:t>样品</w:t>
      </w:r>
    </w:p>
    <w:p w14:paraId="233CE4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58E242E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需要承包人报送样品的材料或工程设备，样品的种类、名称、规格、数量等要求均应在专用合同条款中约定。样品的报送程序如下：</w:t>
      </w:r>
    </w:p>
    <w:p w14:paraId="0E9DA8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）承包人应在计划采购前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天向监理人报送样品。承包人报送的样品均应来自供应材料的实际生产地，且提供的样品的规格、数量足以表明材料或工程设备的质量、型号、颜色、表面处理、质地、误差和其他要求的特征。</w:t>
      </w:r>
    </w:p>
    <w:p w14:paraId="2AFC5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）承包人每次报送样品时应随附申报单，申报单应载明报送样品的相关数据和资料，并标明每件样品对应的图纸号，预留监理人批复意见栏。监理人应在收到承包人报送的样品后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天向承包人回复经发包人签认的样品审批意见。</w:t>
      </w:r>
    </w:p>
    <w:p w14:paraId="498C52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）经发包人和监理人审批确认的样品应按约定的方法封样，封存的样品作为检验工程相关部分的标准之一。承包人在施工过程中不得使用与样品不符的材料或工程设备。</w:t>
      </w:r>
    </w:p>
    <w:p w14:paraId="5286C3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3330CFB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8.6.2 </w:t>
      </w:r>
      <w:r>
        <w:rPr>
          <w:rFonts w:ascii="Times New Roman" w:hAnsi="Times New Roman" w:eastAsia="仿宋_GB2312;仿宋" w:cs="Times New Roman"/>
          <w:color w:val="000000"/>
          <w:kern w:val="0"/>
          <w:sz w:val="24"/>
          <w:szCs w:val="24"/>
        </w:rPr>
        <w:t>样品的保管</w:t>
      </w:r>
    </w:p>
    <w:p w14:paraId="23FB090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经批准的样品应由监理人负责封存于现场，承包人应在现场为保存样品提供适当和固定的场所并保持适当和良好的存储环境条件。</w:t>
      </w:r>
    </w:p>
    <w:p w14:paraId="49D89174">
      <w:pPr>
        <w:pStyle w:val="6"/>
        <w:spacing w:before="120" w:after="120" w:line="360" w:lineRule="auto"/>
        <w:ind w:firstLine="480"/>
        <w:rPr>
          <w:rFonts w:ascii="Times New Roman" w:hAnsi="Times New Roman" w:eastAsia="黑体" w:cs="Times New Roman"/>
          <w:b w:val="0"/>
          <w:color w:val="000000"/>
          <w:sz w:val="24"/>
          <w:szCs w:val="24"/>
        </w:rPr>
      </w:pPr>
      <w:bookmarkStart w:id="97" w:name="__RefHeading___Toc351203559"/>
      <w:bookmarkEnd w:id="97"/>
      <w:r>
        <w:rPr>
          <w:rFonts w:eastAsia="黑体" w:cs="Times New Roman"/>
          <w:b w:val="0"/>
          <w:color w:val="000000"/>
          <w:sz w:val="24"/>
          <w:szCs w:val="24"/>
        </w:rPr>
        <w:t>8.7</w:t>
      </w:r>
      <w:r>
        <w:rPr>
          <w:rFonts w:ascii="Times New Roman" w:hAnsi="Times New Roman" w:eastAsia="黑体" w:cs="Times New Roman"/>
          <w:b w:val="0"/>
          <w:color w:val="000000"/>
          <w:sz w:val="24"/>
          <w:szCs w:val="24"/>
        </w:rPr>
        <w:t>材料与工程设备的替代</w:t>
      </w:r>
    </w:p>
    <w:p w14:paraId="3F06B5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8.7.1 </w:t>
      </w:r>
      <w:r>
        <w:rPr>
          <w:rFonts w:ascii="Times New Roman" w:hAnsi="Times New Roman" w:eastAsia="仿宋_GB2312;仿宋" w:cs="Times New Roman"/>
          <w:color w:val="000000"/>
          <w:kern w:val="0"/>
          <w:sz w:val="24"/>
          <w:szCs w:val="24"/>
        </w:rPr>
        <w:t>出现下列情况需要使用替代材料和工程设备的，承包人应按照第</w:t>
      </w:r>
      <w:r>
        <w:rPr>
          <w:rFonts w:eastAsia="仿宋_GB2312;仿宋" w:cs="Times New Roman"/>
          <w:color w:val="000000"/>
          <w:kern w:val="0"/>
          <w:sz w:val="24"/>
          <w:szCs w:val="24"/>
        </w:rPr>
        <w:t>8.7.2</w:t>
      </w:r>
      <w:r>
        <w:rPr>
          <w:rFonts w:ascii="Times New Roman" w:hAnsi="Times New Roman" w:eastAsia="仿宋_GB2312;仿宋" w:cs="Times New Roman"/>
          <w:color w:val="000000"/>
          <w:kern w:val="0"/>
          <w:sz w:val="24"/>
          <w:szCs w:val="24"/>
        </w:rPr>
        <w:t>项约定的程序执行：</w:t>
      </w:r>
    </w:p>
    <w:p w14:paraId="11882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）基准日期后生效的法律规定禁止使用的；</w:t>
      </w:r>
    </w:p>
    <w:p w14:paraId="0E7FD8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）发包人要求使用替代品的；</w:t>
      </w:r>
    </w:p>
    <w:p w14:paraId="4030AD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）因其他原因必须使用替代品的。</w:t>
      </w:r>
    </w:p>
    <w:p w14:paraId="434BD6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8.7.2 </w:t>
      </w:r>
      <w:r>
        <w:rPr>
          <w:rFonts w:ascii="Times New Roman" w:hAnsi="Times New Roman" w:eastAsia="仿宋_GB2312;仿宋" w:cs="Times New Roman"/>
          <w:color w:val="000000"/>
          <w:kern w:val="0"/>
          <w:sz w:val="24"/>
          <w:szCs w:val="24"/>
        </w:rPr>
        <w:t>承包人应在使用替代材料和工程设备</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天前书面通知监理人，并附下列文件：</w:t>
      </w:r>
    </w:p>
    <w:p w14:paraId="7925EF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）被替代的材料和工程设备的名称、数量、规格、型号、品牌、性能、价格及其他相关资料；</w:t>
      </w:r>
    </w:p>
    <w:p w14:paraId="35AA8F2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）替代品的名称、数量、规格、型号、品牌、性能、价格及其他相关资料；</w:t>
      </w:r>
    </w:p>
    <w:p w14:paraId="2F4F3D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）替代品与被替代产品之间的差异以及使用替代品可能对工程产生的影响；</w:t>
      </w:r>
    </w:p>
    <w:p w14:paraId="6CDAF84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）替代品与被替代产品的价格差异；</w:t>
      </w:r>
    </w:p>
    <w:p w14:paraId="6616B0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）使用替代品的理由和原因说明；</w:t>
      </w:r>
    </w:p>
    <w:p w14:paraId="70DB783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）监理人要求的其他文件。</w:t>
      </w:r>
    </w:p>
    <w:p w14:paraId="198EB3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监理人应在收到通知后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天内向承包人发出经发包人签认的书面指示；监理人逾期发出书面指示的，视为发包人和监理人同意使用替代品。</w:t>
      </w:r>
    </w:p>
    <w:p w14:paraId="609673F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8.7.3 </w:t>
      </w:r>
      <w:r>
        <w:rPr>
          <w:rFonts w:ascii="Times New Roman" w:hAnsi="Times New Roman" w:eastAsia="仿宋_GB2312;仿宋" w:cs="Times New Roman"/>
          <w:color w:val="000000"/>
          <w:kern w:val="0"/>
          <w:sz w:val="24"/>
          <w:szCs w:val="24"/>
        </w:rPr>
        <w:t>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款〔商定或确定〕确定价格。</w:t>
      </w:r>
    </w:p>
    <w:p w14:paraId="5748CBF4">
      <w:pPr>
        <w:pStyle w:val="6"/>
        <w:spacing w:before="120" w:after="120" w:line="360" w:lineRule="auto"/>
        <w:ind w:firstLine="480"/>
        <w:rPr>
          <w:rFonts w:ascii="Times New Roman" w:hAnsi="Times New Roman" w:eastAsia="黑体" w:cs="Times New Roman"/>
          <w:b w:val="0"/>
          <w:color w:val="000000"/>
          <w:sz w:val="24"/>
          <w:szCs w:val="24"/>
        </w:rPr>
      </w:pPr>
      <w:bookmarkStart w:id="98" w:name="__RefHeading___Toc351203560"/>
      <w:bookmarkEnd w:id="98"/>
      <w:r>
        <w:rPr>
          <w:rFonts w:eastAsia="黑体" w:cs="Times New Roman"/>
          <w:b w:val="0"/>
          <w:color w:val="000000"/>
          <w:sz w:val="24"/>
          <w:szCs w:val="24"/>
        </w:rPr>
        <w:t>8.8</w:t>
      </w:r>
      <w:r>
        <w:rPr>
          <w:rFonts w:ascii="Times New Roman" w:hAnsi="Times New Roman" w:eastAsia="黑体" w:cs="Times New Roman"/>
          <w:b w:val="0"/>
          <w:color w:val="000000"/>
          <w:sz w:val="24"/>
          <w:szCs w:val="24"/>
        </w:rPr>
        <w:t>施工设备和临时设施</w:t>
      </w:r>
    </w:p>
    <w:p w14:paraId="71B0B8C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8.8.1 </w:t>
      </w:r>
      <w:r>
        <w:rPr>
          <w:rFonts w:ascii="Times New Roman" w:hAnsi="Times New Roman" w:eastAsia="仿宋_GB2312;仿宋" w:cs="Times New Roman"/>
          <w:color w:val="000000"/>
          <w:kern w:val="0"/>
          <w:sz w:val="24"/>
          <w:szCs w:val="24"/>
        </w:rPr>
        <w:t>承包人提供的施工设备和临时设施</w:t>
      </w:r>
    </w:p>
    <w:p w14:paraId="34D73EC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承包人应按合同进度计划的要求，及时配置施工设备和修建临时设施。进入施工场地的承包人设备需经监理人核查后才能投入使用。承包人更换合同约定的承包人设备的，应报监理人批准。</w:t>
      </w:r>
    </w:p>
    <w:p w14:paraId="4462B6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除专用合同条款另有约定外，承包人应自行承担修建临时设施的费用，需要临时占地的，应由发包人办理申请手续并承担相应费用。</w:t>
      </w:r>
    </w:p>
    <w:p w14:paraId="5A9487F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8.8.2</w:t>
      </w:r>
      <w:r>
        <w:rPr>
          <w:rFonts w:ascii="Times New Roman" w:hAnsi="Times New Roman" w:eastAsia="仿宋_GB2312;仿宋" w:cs="Times New Roman"/>
          <w:color w:val="000000"/>
          <w:kern w:val="0"/>
          <w:sz w:val="24"/>
          <w:szCs w:val="24"/>
        </w:rPr>
        <w:t>发包人提供的施工设备和临时设施</w:t>
      </w:r>
    </w:p>
    <w:p w14:paraId="7FE9A4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发包人提供的施工设备或临时设施在专用合同条款中约定。</w:t>
      </w:r>
    </w:p>
    <w:p w14:paraId="1406F7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8.8.3</w:t>
      </w:r>
      <w:r>
        <w:rPr>
          <w:rFonts w:ascii="Times New Roman" w:hAnsi="Times New Roman" w:eastAsia="仿宋_GB2312;仿宋" w:cs="Times New Roman"/>
          <w:color w:val="000000"/>
          <w:kern w:val="0"/>
          <w:sz w:val="24"/>
          <w:szCs w:val="24"/>
        </w:rPr>
        <w:t>要求承包人增加或更换施工设备</w:t>
      </w:r>
    </w:p>
    <w:p w14:paraId="4C5B551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承包人使用的施工设备不能满足合同进度计划和（或）质量要求时，监理人有权要求承包人增加或更换施工设备，承包人应及时增加或更换，由此增加的费用和（或）延误的工期由承包人承担。</w:t>
      </w:r>
    </w:p>
    <w:p w14:paraId="0A5E7BA7">
      <w:pPr>
        <w:pStyle w:val="6"/>
        <w:spacing w:before="120" w:after="120" w:line="360" w:lineRule="auto"/>
        <w:ind w:firstLine="480"/>
        <w:rPr>
          <w:rFonts w:ascii="Times New Roman" w:hAnsi="Times New Roman" w:eastAsia="黑体" w:cs="Times New Roman"/>
          <w:b w:val="0"/>
          <w:color w:val="000000"/>
          <w:sz w:val="24"/>
          <w:szCs w:val="24"/>
        </w:rPr>
      </w:pPr>
      <w:bookmarkStart w:id="99" w:name="__RefHeading___Toc351203561"/>
      <w:r>
        <w:rPr>
          <w:rFonts w:eastAsia="黑体" w:cs="Times New Roman"/>
          <w:b w:val="0"/>
          <w:color w:val="000000"/>
          <w:sz w:val="24"/>
          <w:szCs w:val="24"/>
        </w:rPr>
        <w:t>8.9</w:t>
      </w:r>
      <w:r>
        <w:rPr>
          <w:rFonts w:ascii="Times New Roman" w:hAnsi="Times New Roman" w:eastAsia="黑体" w:cs="Times New Roman"/>
          <w:b w:val="0"/>
          <w:color w:val="000000"/>
          <w:sz w:val="24"/>
          <w:szCs w:val="24"/>
        </w:rPr>
        <w:t>材料与设备专用</w:t>
      </w:r>
      <w:bookmarkEnd w:id="99"/>
      <w:r>
        <w:rPr>
          <w:rFonts w:ascii="Times New Roman" w:hAnsi="Times New Roman" w:eastAsia="黑体" w:cs="Times New Roman"/>
          <w:b w:val="0"/>
          <w:color w:val="000000"/>
          <w:sz w:val="24"/>
          <w:szCs w:val="24"/>
        </w:rPr>
        <w:t>要求</w:t>
      </w:r>
    </w:p>
    <w:p w14:paraId="1B6C561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0303D6CF">
      <w:pPr>
        <w:pStyle w:val="5"/>
        <w:spacing w:before="120" w:after="120" w:line="360" w:lineRule="auto"/>
        <w:rPr>
          <w:rFonts w:ascii="Times New Roman" w:hAnsi="Times New Roman" w:eastAsia="黑体" w:cs="Times New Roman"/>
          <w:b w:val="0"/>
          <w:color w:val="000000"/>
          <w:sz w:val="24"/>
          <w:szCs w:val="24"/>
        </w:rPr>
      </w:pPr>
      <w:bookmarkStart w:id="100" w:name="__RefHeading___Toc351203562"/>
      <w:bookmarkEnd w:id="100"/>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3A679044">
      <w:pPr>
        <w:pStyle w:val="6"/>
        <w:spacing w:before="120" w:after="120" w:line="360" w:lineRule="auto"/>
        <w:ind w:firstLine="480"/>
        <w:rPr>
          <w:rFonts w:ascii="Times New Roman" w:hAnsi="Times New Roman" w:eastAsia="黑体" w:cs="Times New Roman"/>
          <w:b w:val="0"/>
          <w:color w:val="000000"/>
          <w:sz w:val="24"/>
          <w:szCs w:val="24"/>
        </w:rPr>
      </w:pPr>
      <w:bookmarkStart w:id="101" w:name="__RefHeading___Toc351203563"/>
      <w:bookmarkEnd w:id="101"/>
      <w:r>
        <w:rPr>
          <w:rFonts w:eastAsia="黑体" w:cs="Times New Roman"/>
          <w:b w:val="0"/>
          <w:color w:val="000000"/>
          <w:sz w:val="24"/>
          <w:szCs w:val="24"/>
        </w:rPr>
        <w:t>9.1</w:t>
      </w:r>
      <w:r>
        <w:rPr>
          <w:rFonts w:ascii="Times New Roman" w:hAnsi="Times New Roman" w:eastAsia="黑体" w:cs="Times New Roman"/>
          <w:b w:val="0"/>
          <w:color w:val="000000"/>
          <w:sz w:val="24"/>
          <w:szCs w:val="24"/>
        </w:rPr>
        <w:t>试验设备与试验人员</w:t>
      </w:r>
    </w:p>
    <w:p w14:paraId="37135F8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9.1.1 </w:t>
      </w:r>
      <w:r>
        <w:rPr>
          <w:rFonts w:ascii="Times New Roman" w:hAnsi="Times New Roman" w:eastAsia="仿宋_GB2312;仿宋" w:cs="Times New Roman"/>
          <w:color w:val="000000"/>
          <w:kern w:val="0"/>
          <w:sz w:val="24"/>
          <w:szCs w:val="24"/>
        </w:rPr>
        <w:t>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7C7671F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9.1.2 </w:t>
      </w:r>
      <w:r>
        <w:rPr>
          <w:rFonts w:ascii="Times New Roman" w:hAnsi="Times New Roman" w:eastAsia="仿宋_GB2312;仿宋" w:cs="Times New Roman"/>
          <w:color w:val="000000"/>
          <w:kern w:val="0"/>
          <w:sz w:val="24"/>
          <w:szCs w:val="24"/>
        </w:rPr>
        <w:t>承包人应按专用合同条款的约定提供试验设备、取样装置、试验场所和试验条件，并向监理人提交相应进场计划表。</w:t>
      </w:r>
    </w:p>
    <w:p w14:paraId="7F68B9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承包人配置的试验设备要符合相应试验规程的要求并经过具有资质的检测单位检测，且在正式使用该试验设备前，需要经过监理人与承包人共同校定。</w:t>
      </w:r>
    </w:p>
    <w:p w14:paraId="05CB41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9.1.3 </w:t>
      </w:r>
      <w:r>
        <w:rPr>
          <w:rFonts w:ascii="Times New Roman" w:hAnsi="Times New Roman" w:eastAsia="仿宋_GB2312;仿宋" w:cs="Times New Roman"/>
          <w:color w:val="000000"/>
          <w:kern w:val="0"/>
          <w:sz w:val="24"/>
          <w:szCs w:val="24"/>
        </w:rPr>
        <w:t>承包人应向监理人提交试验人员的名单及其岗位、资格等证明资料，试验人员必须能够熟练进行相应的检测试验，承包人对试验人员的试验程序和试验结果的正确性负责。</w:t>
      </w:r>
    </w:p>
    <w:p w14:paraId="32A6CA3E">
      <w:pPr>
        <w:pStyle w:val="6"/>
        <w:spacing w:before="120" w:after="120" w:line="360" w:lineRule="auto"/>
        <w:ind w:firstLine="480"/>
        <w:rPr>
          <w:rFonts w:ascii="Times New Roman" w:hAnsi="Times New Roman" w:eastAsia="黑体" w:cs="Times New Roman"/>
          <w:b w:val="0"/>
          <w:color w:val="000000"/>
          <w:sz w:val="24"/>
          <w:szCs w:val="24"/>
        </w:rPr>
      </w:pPr>
      <w:bookmarkStart w:id="102" w:name="__RefHeading___Toc351203564"/>
      <w:bookmarkEnd w:id="102"/>
      <w:r>
        <w:rPr>
          <w:rFonts w:eastAsia="黑体" w:cs="Times New Roman"/>
          <w:b w:val="0"/>
          <w:color w:val="000000"/>
          <w:sz w:val="24"/>
          <w:szCs w:val="24"/>
        </w:rPr>
        <w:t>9.2</w:t>
      </w:r>
      <w:r>
        <w:rPr>
          <w:rFonts w:ascii="Times New Roman" w:hAnsi="Times New Roman" w:eastAsia="黑体" w:cs="Times New Roman"/>
          <w:b w:val="0"/>
          <w:color w:val="000000"/>
          <w:sz w:val="24"/>
          <w:szCs w:val="24"/>
        </w:rPr>
        <w:t>取样</w:t>
      </w:r>
    </w:p>
    <w:p w14:paraId="688DE4A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试验属于自检性质的，承包人可以单独取样。试验属于监理人抽检性质的，可由监理人取样，也可由承包人的试验人员在监理人的监督下取样。</w:t>
      </w:r>
    </w:p>
    <w:p w14:paraId="2A0057A5">
      <w:pPr>
        <w:pStyle w:val="6"/>
        <w:spacing w:before="120" w:after="120" w:line="360" w:lineRule="auto"/>
        <w:ind w:firstLine="480"/>
        <w:rPr>
          <w:rFonts w:ascii="Times New Roman" w:hAnsi="Times New Roman" w:eastAsia="黑体" w:cs="Times New Roman"/>
          <w:b w:val="0"/>
          <w:color w:val="000000"/>
          <w:sz w:val="24"/>
          <w:szCs w:val="24"/>
        </w:rPr>
      </w:pPr>
      <w:bookmarkStart w:id="103" w:name="__RefHeading___Toc351203565"/>
      <w:bookmarkEnd w:id="103"/>
      <w:r>
        <w:rPr>
          <w:rFonts w:eastAsia="黑体" w:cs="Times New Roman"/>
          <w:b w:val="0"/>
          <w:color w:val="000000"/>
          <w:sz w:val="24"/>
          <w:szCs w:val="24"/>
        </w:rPr>
        <w:t>9.3</w:t>
      </w:r>
      <w:r>
        <w:rPr>
          <w:rFonts w:ascii="Times New Roman" w:hAnsi="Times New Roman" w:eastAsia="黑体" w:cs="Times New Roman"/>
          <w:b w:val="0"/>
          <w:color w:val="000000"/>
          <w:sz w:val="24"/>
          <w:szCs w:val="24"/>
        </w:rPr>
        <w:t>材料、工程设备和工程的试验和检验</w:t>
      </w:r>
    </w:p>
    <w:p w14:paraId="357B24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9.3.1</w:t>
      </w:r>
      <w:r>
        <w:rPr>
          <w:rFonts w:ascii="Times New Roman" w:hAnsi="Times New Roman" w:eastAsia="仿宋_GB2312;仿宋" w:cs="Times New Roman"/>
          <w:color w:val="000000"/>
          <w:kern w:val="0"/>
          <w:sz w:val="24"/>
          <w:szCs w:val="24"/>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98BA8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9.3.2</w:t>
      </w:r>
      <w:r>
        <w:rPr>
          <w:rFonts w:ascii="Times New Roman" w:hAnsi="Times New Roman" w:eastAsia="仿宋_GB2312;仿宋" w:cs="Times New Roman"/>
          <w:color w:val="000000"/>
          <w:kern w:val="0"/>
          <w:sz w:val="24"/>
          <w:szCs w:val="24"/>
        </w:rPr>
        <w:t>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C91A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9.3.3</w:t>
      </w:r>
      <w:r>
        <w:rPr>
          <w:rFonts w:ascii="Times New Roman" w:hAnsi="Times New Roman" w:eastAsia="仿宋_GB2312;仿宋" w:cs="Times New Roman"/>
          <w:color w:val="000000"/>
          <w:kern w:val="0"/>
          <w:sz w:val="24"/>
          <w:szCs w:val="24"/>
        </w:rPr>
        <w:t>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3A44EC6">
      <w:pPr>
        <w:pStyle w:val="6"/>
        <w:spacing w:before="120" w:after="120" w:line="360" w:lineRule="auto"/>
        <w:ind w:firstLine="480"/>
        <w:rPr>
          <w:rFonts w:ascii="Times New Roman" w:hAnsi="Times New Roman" w:eastAsia="黑体" w:cs="Times New Roman"/>
          <w:b w:val="0"/>
          <w:color w:val="000000"/>
          <w:sz w:val="24"/>
          <w:szCs w:val="24"/>
        </w:rPr>
      </w:pPr>
      <w:bookmarkStart w:id="104" w:name="__RefHeading___Toc351203566"/>
      <w:bookmarkEnd w:id="104"/>
      <w:r>
        <w:rPr>
          <w:rFonts w:eastAsia="黑体" w:cs="Times New Roman"/>
          <w:b w:val="0"/>
          <w:color w:val="000000"/>
          <w:sz w:val="24"/>
          <w:szCs w:val="24"/>
        </w:rPr>
        <w:t>9.4</w:t>
      </w:r>
      <w:r>
        <w:rPr>
          <w:rFonts w:ascii="Times New Roman" w:hAnsi="Times New Roman" w:eastAsia="黑体" w:cs="Times New Roman"/>
          <w:b w:val="0"/>
          <w:color w:val="000000"/>
          <w:sz w:val="24"/>
          <w:szCs w:val="24"/>
        </w:rPr>
        <w:t>现场工艺试验</w:t>
      </w:r>
    </w:p>
    <w:p w14:paraId="1518A47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承包人应按合同约定或监理人指示进行现场工艺试验。对大型的现场工艺试验，监理人认为必要时，承包人应根据监理人提出的工艺试验要求，编制工艺试验措施计划，报送监理人审查。</w:t>
      </w:r>
    </w:p>
    <w:p w14:paraId="7BD8DFB8">
      <w:pPr>
        <w:pStyle w:val="5"/>
        <w:spacing w:before="120" w:after="120" w:line="360" w:lineRule="auto"/>
        <w:rPr>
          <w:rFonts w:ascii="Times New Roman" w:hAnsi="Times New Roman" w:eastAsia="黑体" w:cs="Times New Roman"/>
          <w:b w:val="0"/>
          <w:color w:val="000000"/>
          <w:sz w:val="24"/>
          <w:szCs w:val="24"/>
        </w:rPr>
      </w:pPr>
      <w:bookmarkStart w:id="105" w:name="__RefHeading___Toc351203567"/>
      <w:bookmarkEnd w:id="105"/>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46B284B5">
      <w:pPr>
        <w:pStyle w:val="6"/>
        <w:spacing w:before="120" w:after="120" w:line="360" w:lineRule="auto"/>
        <w:ind w:firstLine="480"/>
        <w:rPr>
          <w:rFonts w:ascii="Times New Roman" w:hAnsi="Times New Roman" w:eastAsia="黑体" w:cs="Times New Roman"/>
          <w:b w:val="0"/>
          <w:color w:val="000000"/>
          <w:sz w:val="24"/>
          <w:szCs w:val="24"/>
        </w:rPr>
      </w:pPr>
      <w:bookmarkStart w:id="106" w:name="__RefHeading___Toc351203568"/>
      <w:bookmarkEnd w:id="106"/>
      <w:r>
        <w:rPr>
          <w:rFonts w:eastAsia="黑体" w:cs="Times New Roman"/>
          <w:b w:val="0"/>
          <w:color w:val="000000"/>
          <w:sz w:val="24"/>
          <w:szCs w:val="24"/>
        </w:rPr>
        <w:t>10.1</w:t>
      </w:r>
      <w:r>
        <w:rPr>
          <w:rFonts w:ascii="Times New Roman" w:hAnsi="Times New Roman" w:eastAsia="黑体" w:cs="Times New Roman"/>
          <w:b w:val="0"/>
          <w:color w:val="000000"/>
          <w:sz w:val="24"/>
          <w:szCs w:val="24"/>
        </w:rPr>
        <w:t>变更的范围</w:t>
      </w:r>
    </w:p>
    <w:p w14:paraId="43E3D0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除专用合同条款另有约定外，合同履行过程中发生以下情形的，应按照本条约定进行变更：</w:t>
      </w:r>
    </w:p>
    <w:p w14:paraId="0C8885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）增加或减少合同中任何工作，或追加额外的工作；</w:t>
      </w:r>
    </w:p>
    <w:p w14:paraId="0DB37C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）取消合同中任何工作，但转由他人实施的工作除外；</w:t>
      </w:r>
    </w:p>
    <w:p w14:paraId="3B7DFA1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）改变合同中任何工作的质量标准或其他特性；</w:t>
      </w:r>
    </w:p>
    <w:p w14:paraId="25BDDA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）改变工程的基线、标高、位置和尺寸；</w:t>
      </w:r>
    </w:p>
    <w:p w14:paraId="11ACDD5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）改变工程的时间安排或实施顺序。</w:t>
      </w:r>
    </w:p>
    <w:p w14:paraId="572D9E36">
      <w:pPr>
        <w:pStyle w:val="6"/>
        <w:spacing w:before="120" w:after="120" w:line="360" w:lineRule="auto"/>
        <w:ind w:firstLine="480"/>
        <w:rPr>
          <w:rFonts w:ascii="Times New Roman" w:hAnsi="Times New Roman" w:eastAsia="黑体" w:cs="Times New Roman"/>
          <w:b w:val="0"/>
          <w:color w:val="000000"/>
          <w:sz w:val="24"/>
          <w:szCs w:val="24"/>
        </w:rPr>
      </w:pPr>
      <w:bookmarkStart w:id="107" w:name="__RefHeading___Toc351203569"/>
      <w:bookmarkEnd w:id="107"/>
      <w:r>
        <w:rPr>
          <w:rFonts w:eastAsia="黑体" w:cs="Times New Roman"/>
          <w:b w:val="0"/>
          <w:color w:val="000000"/>
          <w:sz w:val="24"/>
          <w:szCs w:val="24"/>
        </w:rPr>
        <w:t>10.2</w:t>
      </w:r>
      <w:r>
        <w:rPr>
          <w:rFonts w:ascii="Times New Roman" w:hAnsi="Times New Roman" w:eastAsia="黑体" w:cs="Times New Roman"/>
          <w:b w:val="0"/>
          <w:color w:val="000000"/>
          <w:sz w:val="24"/>
          <w:szCs w:val="24"/>
        </w:rPr>
        <w:t>变更权</w:t>
      </w:r>
    </w:p>
    <w:p w14:paraId="160DC2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5953E9D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涉及设计变更的，应由设计人提供变更后的图纸和说明。如变更超过原设计标准或批准的建设规模时，发包人应及时办理规划、设计变更等审批手续。</w:t>
      </w:r>
    </w:p>
    <w:p w14:paraId="6D6A6578">
      <w:pPr>
        <w:pStyle w:val="6"/>
        <w:spacing w:before="120" w:after="120" w:line="360" w:lineRule="auto"/>
        <w:ind w:firstLine="480"/>
        <w:rPr>
          <w:rFonts w:ascii="Times New Roman" w:hAnsi="Times New Roman" w:eastAsia="黑体" w:cs="Times New Roman"/>
          <w:b w:val="0"/>
          <w:color w:val="000000"/>
          <w:sz w:val="24"/>
          <w:szCs w:val="24"/>
        </w:rPr>
      </w:pPr>
      <w:bookmarkStart w:id="108" w:name="__RefHeading___Toc351203570"/>
      <w:bookmarkEnd w:id="108"/>
      <w:r>
        <w:rPr>
          <w:rFonts w:eastAsia="黑体" w:cs="Times New Roman"/>
          <w:b w:val="0"/>
          <w:color w:val="000000"/>
          <w:sz w:val="24"/>
          <w:szCs w:val="24"/>
        </w:rPr>
        <w:t>10.3</w:t>
      </w:r>
      <w:r>
        <w:rPr>
          <w:rFonts w:ascii="Times New Roman" w:hAnsi="Times New Roman" w:eastAsia="黑体" w:cs="Times New Roman"/>
          <w:b w:val="0"/>
          <w:color w:val="000000"/>
          <w:sz w:val="24"/>
          <w:szCs w:val="24"/>
        </w:rPr>
        <w:t>变更程序</w:t>
      </w:r>
    </w:p>
    <w:p w14:paraId="1E8CBD7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.3.1 </w:t>
      </w:r>
      <w:r>
        <w:rPr>
          <w:rFonts w:ascii="Times New Roman" w:hAnsi="Times New Roman" w:eastAsia="仿宋_GB2312;仿宋" w:cs="Times New Roman"/>
          <w:color w:val="000000"/>
          <w:kern w:val="0"/>
          <w:sz w:val="24"/>
          <w:szCs w:val="24"/>
        </w:rPr>
        <w:t>发包人提出变更</w:t>
      </w:r>
    </w:p>
    <w:p w14:paraId="1933EE1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发包人提出变更的，应通过监理人向承包人发出变更指示，变更指示应说明计划变更的工程范围和变更的内容。</w:t>
      </w:r>
    </w:p>
    <w:p w14:paraId="428FD48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.3.2 </w:t>
      </w:r>
      <w:r>
        <w:rPr>
          <w:rFonts w:ascii="Times New Roman" w:hAnsi="Times New Roman" w:eastAsia="仿宋_GB2312;仿宋" w:cs="Times New Roman"/>
          <w:color w:val="000000"/>
          <w:kern w:val="0"/>
          <w:sz w:val="24"/>
          <w:szCs w:val="24"/>
        </w:rPr>
        <w:t>监理人提出变更建议</w:t>
      </w:r>
    </w:p>
    <w:p w14:paraId="7C238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0DE4986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10.3.3 </w:t>
      </w:r>
      <w:r>
        <w:rPr>
          <w:rFonts w:ascii="Times New Roman" w:hAnsi="Times New Roman" w:eastAsia="仿宋_GB2312;仿宋" w:cs="Times New Roman"/>
          <w:color w:val="000000"/>
          <w:sz w:val="24"/>
          <w:szCs w:val="24"/>
        </w:rPr>
        <w:t>变更执行</w:t>
      </w:r>
    </w:p>
    <w:p w14:paraId="063A6C8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承包人收到监理人下达的变更指示后，认为不能执行，应立即提出不能执行该变更指示的理由。承包人认为可以执行变更的，应当书面说明实施该变更指示对合同价格和工期的影响，且合同当事人应当按照第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款〔变更估价〕约定确定变更估价。</w:t>
      </w:r>
    </w:p>
    <w:p w14:paraId="129103D9">
      <w:pPr>
        <w:pStyle w:val="6"/>
        <w:spacing w:before="120" w:after="120" w:line="360" w:lineRule="auto"/>
        <w:ind w:firstLine="480"/>
        <w:rPr>
          <w:rFonts w:ascii="Times New Roman" w:hAnsi="Times New Roman" w:eastAsia="黑体" w:cs="Times New Roman"/>
          <w:b w:val="0"/>
          <w:color w:val="000000"/>
          <w:sz w:val="24"/>
          <w:szCs w:val="24"/>
        </w:rPr>
      </w:pPr>
      <w:bookmarkStart w:id="109" w:name="__RefHeading___Toc351203571"/>
      <w:bookmarkEnd w:id="109"/>
      <w:r>
        <w:rPr>
          <w:rFonts w:eastAsia="黑体" w:cs="Times New Roman"/>
          <w:b w:val="0"/>
          <w:color w:val="000000"/>
          <w:sz w:val="24"/>
          <w:szCs w:val="24"/>
        </w:rPr>
        <w:t>10.4</w:t>
      </w:r>
      <w:r>
        <w:rPr>
          <w:rFonts w:ascii="Times New Roman" w:hAnsi="Times New Roman" w:eastAsia="黑体" w:cs="Times New Roman"/>
          <w:b w:val="0"/>
          <w:color w:val="000000"/>
          <w:sz w:val="24"/>
          <w:szCs w:val="24"/>
        </w:rPr>
        <w:t>变更估价</w:t>
      </w:r>
    </w:p>
    <w:p w14:paraId="4C8A2F1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10.4.1 </w:t>
      </w:r>
      <w:r>
        <w:rPr>
          <w:rFonts w:ascii="Times New Roman" w:hAnsi="Times New Roman" w:eastAsia="仿宋_GB2312;仿宋" w:cs="Times New Roman"/>
          <w:color w:val="000000"/>
          <w:kern w:val="0"/>
          <w:sz w:val="24"/>
          <w:szCs w:val="24"/>
        </w:rPr>
        <w:t>变更估价原则</w:t>
      </w:r>
    </w:p>
    <w:p w14:paraId="550E25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除专用合同条款另有约定外，变更估价按照本款约定处理：</w:t>
      </w:r>
    </w:p>
    <w:p w14:paraId="7122845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）已标价工程量清单或预算书有相同项目的，按照相同项目单价认定；</w:t>
      </w:r>
    </w:p>
    <w:p w14:paraId="08DFD84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）已标价工程量清单或预算书中无相同项目，但有类似项目的，参照类似项目的单价认定；</w:t>
      </w:r>
    </w:p>
    <w:p w14:paraId="269202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）变更导致实际完成的变更工程量与已标价工程量清单或预算书中列明的该项目工程量的变化幅度超过</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的，或已标价工程量清单或预算书中无相同项目及类似项目单价的，按照合理的成本与利润构成的原则，由合同当事人按照第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款〔商定或确定〕确定变更工作的单价。</w:t>
      </w:r>
    </w:p>
    <w:p w14:paraId="01360A6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10.4.2 </w:t>
      </w:r>
      <w:r>
        <w:rPr>
          <w:rFonts w:ascii="Times New Roman" w:hAnsi="Times New Roman" w:eastAsia="仿宋_GB2312;仿宋" w:cs="Times New Roman"/>
          <w:color w:val="000000"/>
          <w:kern w:val="0"/>
          <w:sz w:val="24"/>
          <w:szCs w:val="24"/>
        </w:rPr>
        <w:t>变更估价程序</w:t>
      </w:r>
    </w:p>
    <w:p w14:paraId="31EE84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承包人应在收到变更指示后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天内，向监理人提交变更估价申请。监理人应在收到承包人提交的变更估价申请后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天内审查完毕并报送发包人，监理人对变更估价申请有异议，通知承包人修改后重新提交。发包人应在承包人提交变更估价申请后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天内审批完毕。发包人逾期未完成审批或未提出异议的，视为认可承包人提交的变更估价申请。</w:t>
      </w:r>
    </w:p>
    <w:p w14:paraId="6BF988E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因变更引起的价格调整应计入最近一期的进度款中支付。</w:t>
      </w:r>
    </w:p>
    <w:p w14:paraId="6073071F">
      <w:pPr>
        <w:pStyle w:val="6"/>
        <w:spacing w:before="120" w:after="120" w:line="360" w:lineRule="auto"/>
        <w:ind w:firstLine="480"/>
        <w:rPr>
          <w:rFonts w:ascii="Times New Roman" w:hAnsi="Times New Roman" w:eastAsia="黑体" w:cs="Times New Roman"/>
          <w:b w:val="0"/>
          <w:color w:val="000000"/>
          <w:sz w:val="24"/>
          <w:szCs w:val="24"/>
        </w:rPr>
      </w:pPr>
      <w:bookmarkStart w:id="110" w:name="__RefHeading___Toc351203572"/>
      <w:bookmarkEnd w:id="110"/>
      <w:r>
        <w:rPr>
          <w:rFonts w:eastAsia="黑体" w:cs="Times New Roman"/>
          <w:b w:val="0"/>
          <w:color w:val="000000"/>
          <w:sz w:val="24"/>
          <w:szCs w:val="24"/>
        </w:rPr>
        <w:t>10.5</w:t>
      </w:r>
      <w:r>
        <w:rPr>
          <w:rFonts w:ascii="Times New Roman" w:hAnsi="Times New Roman" w:eastAsia="黑体" w:cs="Times New Roman"/>
          <w:b w:val="0"/>
          <w:color w:val="000000"/>
          <w:sz w:val="24"/>
          <w:szCs w:val="24"/>
        </w:rPr>
        <w:t>承包人的合理化建议</w:t>
      </w:r>
    </w:p>
    <w:p w14:paraId="4C39E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承包人提出合理化建议的，应向监理人提交合理化建议说明，说明建议的内容和理由，以及实施该建议对合同价格和工期的影响。</w:t>
      </w:r>
    </w:p>
    <w:p w14:paraId="69102C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除专用合同条款另有约定外，监理人应在收到承包人提交的合理化建议后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天内审查完毕并报送发包人，发现其中存在技术上的缺陷，应通知承包人修改。发包人应在收到监理人报送的合理化建议后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天内审批完毕。合理化建议经发包人批准的，监理人应及时发出变更指示，由此引起的合同价格调整按照第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款〔变更估价〕约定执行。发包人不同意变更的，监理人应书面通知承包人。</w:t>
      </w:r>
    </w:p>
    <w:p w14:paraId="23DFB5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合理化建议降低了合同价格或者提高了工程经济效益的，发包人可对承包人给予奖励，奖励的方法和金额在专用合同条款中约定。</w:t>
      </w:r>
    </w:p>
    <w:p w14:paraId="17332AA9">
      <w:pPr>
        <w:pStyle w:val="6"/>
        <w:spacing w:before="120" w:after="120" w:line="360" w:lineRule="auto"/>
        <w:ind w:firstLine="480"/>
        <w:rPr>
          <w:rFonts w:ascii="Times New Roman" w:hAnsi="Times New Roman" w:eastAsia="仿宋_GB2312;仿宋" w:cs="Times New Roman"/>
          <w:color w:val="000000"/>
          <w:sz w:val="24"/>
          <w:szCs w:val="24"/>
        </w:rPr>
      </w:pPr>
      <w:bookmarkStart w:id="111" w:name="__RefHeading___Toc351203573"/>
      <w:r>
        <w:rPr>
          <w:rFonts w:eastAsia="黑体" w:cs="Times New Roman"/>
          <w:b w:val="0"/>
          <w:color w:val="000000"/>
          <w:sz w:val="24"/>
          <w:szCs w:val="24"/>
        </w:rPr>
        <w:t>10.6</w:t>
      </w:r>
      <w:r>
        <w:rPr>
          <w:rFonts w:ascii="Times New Roman" w:hAnsi="Times New Roman" w:eastAsia="黑体" w:cs="Times New Roman"/>
          <w:b w:val="0"/>
          <w:color w:val="000000"/>
          <w:sz w:val="24"/>
          <w:szCs w:val="24"/>
        </w:rPr>
        <w:t>变更引起的工期调整</w:t>
      </w:r>
      <w:bookmarkEnd w:id="111"/>
      <w:r>
        <w:rPr>
          <w:rFonts w:ascii="Times New Roman" w:hAnsi="Times New Roman" w:eastAsia="Times New Roman" w:cs="Times New Roman"/>
          <w:b w:val="0"/>
          <w:color w:val="000000"/>
          <w:sz w:val="24"/>
          <w:szCs w:val="24"/>
        </w:rPr>
        <w:t xml:space="preserve">  </w:t>
      </w:r>
      <w:r>
        <w:rPr>
          <w:rFonts w:ascii="Times New Roman" w:hAnsi="Times New Roman" w:eastAsia="Times New Roman" w:cs="Times New Roman"/>
          <w:color w:val="000000"/>
          <w:sz w:val="24"/>
          <w:szCs w:val="24"/>
        </w:rPr>
        <w:t xml:space="preserve"> </w:t>
      </w:r>
    </w:p>
    <w:p w14:paraId="35B1162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因变更引起工期变化的，合同当事人均可要求调整合同工期，由合同当事人按照第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款〔商定或确定〕并参考工程所在地的工期定额标准确定增减工期天数。</w:t>
      </w:r>
    </w:p>
    <w:p w14:paraId="754EDE76">
      <w:pPr>
        <w:pStyle w:val="6"/>
        <w:spacing w:before="120" w:after="120" w:line="360" w:lineRule="auto"/>
        <w:ind w:firstLine="480"/>
        <w:rPr>
          <w:rFonts w:ascii="Times New Roman" w:hAnsi="Times New Roman" w:eastAsia="黑体" w:cs="Times New Roman"/>
          <w:b w:val="0"/>
          <w:color w:val="000000"/>
          <w:sz w:val="24"/>
          <w:szCs w:val="24"/>
        </w:rPr>
      </w:pPr>
      <w:bookmarkStart w:id="112" w:name="__RefHeading___Toc351203574"/>
      <w:bookmarkEnd w:id="112"/>
      <w:r>
        <w:rPr>
          <w:rFonts w:eastAsia="黑体" w:cs="Times New Roman"/>
          <w:b w:val="0"/>
          <w:color w:val="000000"/>
          <w:sz w:val="24"/>
          <w:szCs w:val="24"/>
        </w:rPr>
        <w:t>10.7</w:t>
      </w:r>
      <w:r>
        <w:rPr>
          <w:rFonts w:ascii="Times New Roman" w:hAnsi="Times New Roman" w:eastAsia="黑体" w:cs="Times New Roman"/>
          <w:b w:val="0"/>
          <w:color w:val="000000"/>
          <w:sz w:val="24"/>
          <w:szCs w:val="24"/>
        </w:rPr>
        <w:t>暂估价</w:t>
      </w:r>
    </w:p>
    <w:p w14:paraId="0A866B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暂估价专业分包工程、服务、材料和工程设备的明细由合同当事人在专用合同条款中约定。</w:t>
      </w:r>
    </w:p>
    <w:p w14:paraId="3F61BC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10.7.1</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依法必须招标的暂估价项目</w:t>
      </w:r>
    </w:p>
    <w:p w14:paraId="443FEB1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种方式确定。合同当事人也可以在专用合同条款中选择其他招标方式。</w:t>
      </w:r>
    </w:p>
    <w:p w14:paraId="78328AF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种方式：对于依法必须招标的暂估价项目，由承包人招标，对该暂估价项目的确认和批准按照以下约定执行：</w:t>
      </w:r>
    </w:p>
    <w:p w14:paraId="196092C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）承包人应当根据施工进度计划，在采购工作启动前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天将采购方案通过监理人报送发包人审查，发包人应当在收到承包人报送的采购方案后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天内批准或提出修改意见。承包人应当按照经过发包人批准的采购方案开展采购工作；</w:t>
      </w:r>
    </w:p>
    <w:p w14:paraId="2349EA1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(2) 承包人应当根据施工进度计划，提前 14 天将招标文件通过监理人报送发包人审批，发包人应当在收到承包人报送的相关文件后 7 天内完成审批或提出修改意见；发包人有权确定招标控制价并按照法律规定参加评标；</w:t>
      </w:r>
    </w:p>
    <w:p w14:paraId="0294C0F7">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 xml:space="preserve">  (3) 承包人与供应商、分包人在签订暂估价合同前，应当提前 7 天将确定的中标候选供应商或中标候选分包人的资料报送发包人，发包人应在收到资料后 3 天内与承包人共同确定中标供应商。</w:t>
      </w:r>
    </w:p>
    <w:p w14:paraId="7D740F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种方式：对于依法必须招标的暂估价项目，由发包人和承包人共同招标确定暂估价供应商或分包人的，承包人应按照施工进度计划，在招标工作启动前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天通知发包人，并提交暂估价招标方案和工作分工。发包人应在收到后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天内确认。确定中标人后，由发包人、承包人与中标人共同签订暂估价合同。</w:t>
      </w:r>
    </w:p>
    <w:p w14:paraId="1BFF8AE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10.7.2</w:t>
      </w:r>
      <w:r>
        <w:rPr>
          <w:rFonts w:ascii="Times New Roman" w:hAnsi="Times New Roman" w:eastAsia="仿宋_GB2312;仿宋" w:cs="Times New Roman"/>
          <w:color w:val="000000"/>
          <w:kern w:val="0"/>
          <w:sz w:val="24"/>
          <w:szCs w:val="24"/>
        </w:rPr>
        <w:t>不属于依法必须招标的暂估价项目</w:t>
      </w:r>
    </w:p>
    <w:p w14:paraId="3AAB984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除专用合同条款另有约定外，对于不属于依法必须招标的暂估价项目，采取以下第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w:t>
      </w:r>
      <w:r>
        <w:rPr>
          <w:rFonts w:ascii="Times New Roman" w:hAnsi="Times New Roman" w:eastAsia="Times New Roman" w:cs="Times New Roman"/>
          <w:color w:val="000000"/>
          <w:kern w:val="0"/>
          <w:sz w:val="24"/>
          <w:szCs w:val="24"/>
        </w:rPr>
        <w:t xml:space="preserve"> </w:t>
      </w:r>
    </w:p>
    <w:p w14:paraId="549B6D6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种方式：对于不属于依法必须招标的暂估价项目，按本项约定确认和批准：</w:t>
      </w:r>
    </w:p>
    <w:p w14:paraId="2FB358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）承包人应根据施工进度计划，在签订暂估价项目的采购合同、分包合同前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天向监理人提出书面申请。监理人应当在收到申请后</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天内报送发包人，发包人应当在收到申请后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天内给予批准或提出修改意见，发包人逾期未予批准或提出修改意见的，视为该书面申请已获得同意；</w:t>
      </w:r>
    </w:p>
    <w:p w14:paraId="1888E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）发包人认为承包人确定的供应商、分包人无法满足工程质量或合同要求的，发包人可以要求承包人重新确定暂估价项目的供应商、分包人</w:t>
      </w:r>
      <w:r>
        <w:rPr>
          <w:rFonts w:eastAsia="仿宋_GB2312;仿宋" w:cs="Times New Roman"/>
          <w:color w:val="000000"/>
          <w:kern w:val="0"/>
          <w:sz w:val="24"/>
          <w:szCs w:val="24"/>
        </w:rPr>
        <w:t>;</w:t>
      </w:r>
    </w:p>
    <w:p w14:paraId="7C5FBF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）承包人应当在签订暂估价合同后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天内，将暂估价合同副本报送发包人留存。</w:t>
      </w:r>
    </w:p>
    <w:p w14:paraId="65F450E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种方式：承包人按照第</w:t>
      </w:r>
      <w:r>
        <w:rPr>
          <w:rFonts w:eastAsia="仿宋_GB2312;仿宋" w:cs="Times New Roman"/>
          <w:color w:val="000000"/>
          <w:kern w:val="0"/>
          <w:sz w:val="24"/>
          <w:szCs w:val="24"/>
        </w:rPr>
        <w:t>10.7.1</w:t>
      </w:r>
      <w:r>
        <w:rPr>
          <w:rFonts w:ascii="Times New Roman" w:hAnsi="Times New Roman" w:eastAsia="仿宋_GB2312;仿宋" w:cs="Times New Roman"/>
          <w:color w:val="000000"/>
          <w:kern w:val="0"/>
          <w:sz w:val="24"/>
          <w:szCs w:val="24"/>
        </w:rPr>
        <w:t>项〔依法必须招标的暂估价项目〕约定的第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种方式确定暂估价项目。</w:t>
      </w:r>
    </w:p>
    <w:p w14:paraId="0A8D91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3DDA30A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承包人具备实施暂估价项目的资格和条件的，经发包人和承包人协商一致后，可由承包人自行实施暂估价项目，合同当事人可以在专用合同条款约定具体事项。</w:t>
      </w:r>
    </w:p>
    <w:p w14:paraId="773DAA2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10.7.3 </w:t>
      </w:r>
      <w:r>
        <w:rPr>
          <w:rFonts w:ascii="Times New Roman" w:hAnsi="Times New Roman" w:eastAsia="仿宋_GB2312;仿宋" w:cs="Times New Roman"/>
          <w:color w:val="000000"/>
          <w:kern w:val="0"/>
          <w:sz w:val="24"/>
          <w:szCs w:val="24"/>
        </w:rPr>
        <w:t>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8B95630">
      <w:pPr>
        <w:pStyle w:val="6"/>
        <w:spacing w:before="120" w:after="120" w:line="360" w:lineRule="auto"/>
        <w:ind w:firstLine="480"/>
        <w:rPr>
          <w:rFonts w:ascii="Times New Roman" w:hAnsi="Times New Roman" w:eastAsia="黑体" w:cs="Times New Roman"/>
          <w:b w:val="0"/>
          <w:color w:val="000000"/>
          <w:sz w:val="24"/>
          <w:szCs w:val="24"/>
        </w:rPr>
      </w:pPr>
      <w:bookmarkStart w:id="113" w:name="__RefHeading___Toc351203575"/>
      <w:bookmarkEnd w:id="113"/>
      <w:r>
        <w:rPr>
          <w:rFonts w:eastAsia="黑体" w:cs="Times New Roman"/>
          <w:b w:val="0"/>
          <w:color w:val="000000"/>
          <w:sz w:val="24"/>
          <w:szCs w:val="24"/>
        </w:rPr>
        <w:t>10.8</w:t>
      </w:r>
      <w:r>
        <w:rPr>
          <w:rFonts w:ascii="Times New Roman" w:hAnsi="Times New Roman" w:eastAsia="黑体" w:cs="Times New Roman"/>
          <w:b w:val="0"/>
          <w:color w:val="000000"/>
          <w:sz w:val="24"/>
          <w:szCs w:val="24"/>
        </w:rPr>
        <w:t>暂列金额</w:t>
      </w:r>
    </w:p>
    <w:p w14:paraId="129B38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暂列金额应按照发包人的要求使用，发包人的要求应通过监理人发出。合同当事人可以在专用合同条款中协商确定有关事项。</w:t>
      </w:r>
    </w:p>
    <w:p w14:paraId="13C55232">
      <w:pPr>
        <w:pStyle w:val="6"/>
        <w:spacing w:before="120" w:after="120" w:line="360" w:lineRule="auto"/>
        <w:ind w:firstLine="480"/>
        <w:rPr>
          <w:rFonts w:ascii="Times New Roman" w:hAnsi="Times New Roman" w:eastAsia="黑体" w:cs="Times New Roman"/>
          <w:b w:val="0"/>
          <w:color w:val="000000"/>
          <w:sz w:val="24"/>
          <w:szCs w:val="24"/>
        </w:rPr>
      </w:pPr>
      <w:bookmarkStart w:id="114" w:name="__RefHeading___Toc351203576"/>
      <w:r>
        <w:rPr>
          <w:rFonts w:eastAsia="黑体" w:cs="Times New Roman"/>
          <w:b w:val="0"/>
          <w:color w:val="000000"/>
          <w:sz w:val="24"/>
          <w:szCs w:val="24"/>
        </w:rPr>
        <w:t>10.9</w:t>
      </w:r>
      <w:r>
        <w:rPr>
          <w:rFonts w:ascii="Times New Roman" w:hAnsi="Times New Roman" w:eastAsia="黑体" w:cs="Times New Roman"/>
          <w:b w:val="0"/>
          <w:color w:val="000000"/>
          <w:sz w:val="24"/>
          <w:szCs w:val="24"/>
        </w:rPr>
        <w:t>计日工</w:t>
      </w:r>
      <w:bookmarkEnd w:id="114"/>
      <w:r>
        <w:rPr>
          <w:rFonts w:ascii="Times New Roman" w:hAnsi="Times New Roman" w:eastAsia="Times New Roman" w:cs="Times New Roman"/>
          <w:b w:val="0"/>
          <w:color w:val="000000"/>
          <w:sz w:val="24"/>
          <w:szCs w:val="24"/>
        </w:rPr>
        <w:t xml:space="preserve"> </w:t>
      </w:r>
    </w:p>
    <w:p w14:paraId="4D0E34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款〔商定或确定〕确定计日工的单价。</w:t>
      </w:r>
    </w:p>
    <w:p w14:paraId="3A3BF3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采用计日工计价的任何一项工作，承包人应在该项工作实施过程中，每天提交以下报表和有关凭证报送监理人审查：</w:t>
      </w:r>
    </w:p>
    <w:p w14:paraId="739B4ADB">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）工作名称、内容和数量；</w:t>
      </w:r>
    </w:p>
    <w:p w14:paraId="3C0CE89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）投入该工作的所有人员的姓名、专业、工种、级别和耗用工时；</w:t>
      </w:r>
    </w:p>
    <w:p w14:paraId="6662B90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）投入该工作的材料类别和数量；</w:t>
      </w:r>
    </w:p>
    <w:p w14:paraId="2BF1FFE9">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）投入该工作的施工设备型号、台数和耗用台时；</w:t>
      </w:r>
    </w:p>
    <w:p w14:paraId="54D3F263">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）其他有关资料和凭证。</w:t>
      </w:r>
    </w:p>
    <w:p w14:paraId="4F78B7E0">
      <w:pPr>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计日工由承包人汇总后，列入最近一期进度付款申请单，由监理人审查并经发包人批准后列入进度付款。</w:t>
      </w:r>
    </w:p>
    <w:p w14:paraId="22305268">
      <w:pPr>
        <w:pStyle w:val="5"/>
        <w:spacing w:before="120" w:after="120" w:line="360" w:lineRule="auto"/>
        <w:rPr>
          <w:rFonts w:ascii="Times New Roman" w:hAnsi="Times New Roman" w:eastAsia="黑体" w:cs="Times New Roman"/>
          <w:b w:val="0"/>
          <w:color w:val="000000"/>
          <w:sz w:val="24"/>
          <w:szCs w:val="24"/>
        </w:rPr>
      </w:pPr>
      <w:bookmarkStart w:id="115" w:name="__RefHeading___Toc351203577"/>
      <w:bookmarkEnd w:id="11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39D4DEDC">
      <w:pPr>
        <w:pStyle w:val="6"/>
        <w:spacing w:before="120" w:after="120" w:line="360" w:lineRule="auto"/>
        <w:ind w:firstLine="480"/>
        <w:rPr>
          <w:rFonts w:ascii="Times New Roman" w:hAnsi="Times New Roman" w:eastAsia="黑体" w:cs="Times New Roman"/>
          <w:b w:val="0"/>
          <w:color w:val="000000"/>
          <w:sz w:val="24"/>
          <w:szCs w:val="24"/>
        </w:rPr>
      </w:pPr>
      <w:bookmarkStart w:id="116" w:name="__RefHeading___Toc351203578"/>
      <w:bookmarkEnd w:id="116"/>
      <w:r>
        <w:rPr>
          <w:rFonts w:eastAsia="黑体" w:cs="Times New Roman"/>
          <w:b w:val="0"/>
          <w:color w:val="000000"/>
          <w:sz w:val="24"/>
          <w:szCs w:val="24"/>
        </w:rPr>
        <w:t>11.1</w:t>
      </w:r>
      <w:r>
        <w:rPr>
          <w:rFonts w:ascii="Times New Roman" w:hAnsi="Times New Roman" w:eastAsia="黑体" w:cs="Times New Roman"/>
          <w:b w:val="0"/>
          <w:color w:val="000000"/>
          <w:sz w:val="24"/>
          <w:szCs w:val="24"/>
        </w:rPr>
        <w:t>市场价格波动引起的调整</w:t>
      </w:r>
    </w:p>
    <w:p w14:paraId="2C644C7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除专用合同条款另有约定外，市场价格波动超过合同当事人约定的范围，合同价格应当调整。合同当事人可以在专用合同条款中约定选择以下一种方式对合同价格进行调整：</w:t>
      </w:r>
    </w:p>
    <w:p w14:paraId="32BC0A6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7610489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）价格调整公式</w:t>
      </w:r>
    </w:p>
    <w:p w14:paraId="363EDC73">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因人工、材料和设备等价格波动影响合同价格时，根据专用合同条款中约定的数据，按以下公式计算差额并调整合同价格：</w:t>
      </w:r>
    </w:p>
    <w:p w14:paraId="5D7F149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Para>
        <m:oMathParaPr>
          <m:jc m:val="left"/>
        </m:oMathParaPr>
        <m:oMath>
          <m:r>
            <m:rPr/>
            <w:rPr>
              <w:rFonts w:ascii="Cambria Math" w:hAnsi="Cambria Math"/>
            </w:rPr>
            <m:t>ΔP=P0</m:t>
          </m:r>
          <m:d>
            <m:dPr>
              <m:begChr m:val="["/>
              <m:endChr m:val="]"/>
            </m:dPr>
            <m:e>
              <m:r>
                <m:rPr/>
                <w:rPr>
                  <w:rFonts w:ascii="Cambria Math" w:hAnsi="Cambria Math"/>
                </w:rPr>
                <m:t>A+</m:t>
              </m:r>
              <m:d>
                <m:dPr/>
                <m:e>
                  <m:r>
                    <m:rPr/>
                    <w:rPr>
                      <w:rFonts w:ascii="Cambria Math" w:hAnsi="Cambria Math"/>
                    </w:rPr>
                    <m:t>B1×</m:t>
                  </m:r>
                  <m:f>
                    <m:fPr/>
                    <m:num>
                      <m:r>
                        <m:rPr/>
                        <w:rPr>
                          <w:rFonts w:ascii="Cambria Math" w:hAnsi="Cambria Math"/>
                        </w:rPr>
                        <m:t>F</m:t>
                      </m:r>
                      <m:r>
                        <m:rPr>
                          <m:nor/>
                          <m:sty m:val="p"/>
                        </m:rPr>
                        <w:rPr>
                          <w:rFonts w:ascii="Cambria Math" w:hAnsi="Cambria Math"/>
                          <w:b w:val="0"/>
                          <w:i w:val="0"/>
                        </w:rPr>
                        <m:t>t1</m:t>
                      </m:r>
                    </m:num>
                    <m:den>
                      <m:r>
                        <m:rPr/>
                        <w:rPr>
                          <w:rFonts w:ascii="Cambria Math" w:hAnsi="Cambria Math"/>
                        </w:rPr>
                        <m:t>F</m:t>
                      </m:r>
                      <m:r>
                        <m:rPr>
                          <m:nor/>
                          <m:sty m:val="p"/>
                        </m:rPr>
                        <w:rPr>
                          <w:rFonts w:ascii="Cambria Math" w:hAnsi="Cambria Math"/>
                          <w:b w:val="0"/>
                          <w:i w:val="0"/>
                        </w:rPr>
                        <m:t>01</m:t>
                      </m:r>
                    </m:den>
                  </m:f>
                  <m:r>
                    <m:rPr/>
                    <w:rPr>
                      <w:rFonts w:ascii="Cambria Math" w:hAnsi="Cambria Math"/>
                    </w:rPr>
                    <m:t>+B2×</m:t>
                  </m:r>
                  <m:f>
                    <m:fPr/>
                    <m:num>
                      <m:r>
                        <m:rPr/>
                        <w:rPr>
                          <w:rFonts w:ascii="Cambria Math" w:hAnsi="Cambria Math"/>
                        </w:rPr>
                        <m:t>F</m:t>
                      </m:r>
                      <m:r>
                        <m:rPr>
                          <m:nor/>
                          <m:sty m:val="p"/>
                        </m:rPr>
                        <w:rPr>
                          <w:rFonts w:ascii="Cambria Math" w:hAnsi="Cambria Math"/>
                          <w:b w:val="0"/>
                          <w:i w:val="0"/>
                        </w:rPr>
                        <m:t>t2</m:t>
                      </m:r>
                    </m:num>
                    <m:den>
                      <m:r>
                        <m:rPr/>
                        <w:rPr>
                          <w:rFonts w:ascii="Cambria Math" w:hAnsi="Cambria Math"/>
                        </w:rPr>
                        <m:t>F</m:t>
                      </m:r>
                      <m:r>
                        <m:rPr>
                          <m:nor/>
                          <m:sty m:val="p"/>
                        </m:rPr>
                        <w:rPr>
                          <w:rFonts w:ascii="Cambria Math" w:hAnsi="Cambria Math"/>
                          <w:b w:val="0"/>
                          <w:i w:val="0"/>
                        </w:rPr>
                        <m:t>02</m:t>
                      </m:r>
                    </m:den>
                  </m:f>
                  <m:r>
                    <m:rPr/>
                    <w:rPr>
                      <w:rFonts w:ascii="Cambria Math" w:hAnsi="Cambria Math"/>
                    </w:rPr>
                    <m:t>+B3×</m:t>
                  </m:r>
                  <m:f>
                    <m:fPr/>
                    <m:num>
                      <m:r>
                        <m:rPr/>
                        <w:rPr>
                          <w:rFonts w:ascii="Cambria Math" w:hAnsi="Cambria Math"/>
                        </w:rPr>
                        <m:t>F</m:t>
                      </m:r>
                      <m:r>
                        <m:rPr>
                          <m:nor/>
                          <m:sty m:val="p"/>
                        </m:rPr>
                        <w:rPr>
                          <w:rFonts w:ascii="Cambria Math" w:hAnsi="Cambria Math"/>
                          <w:b w:val="0"/>
                          <w:i w:val="0"/>
                        </w:rPr>
                        <m:t>t3</m:t>
                      </m:r>
                    </m:num>
                    <m:den>
                      <m:r>
                        <m:rPr/>
                        <w:rPr>
                          <w:rFonts w:ascii="Cambria Math" w:hAnsi="Cambria Math"/>
                        </w:rPr>
                        <m:t>F</m:t>
                      </m:r>
                      <m:r>
                        <m:rPr>
                          <m:nor/>
                          <m:sty m:val="p"/>
                        </m:rPr>
                        <w:rPr>
                          <w:rFonts w:ascii="Cambria Math" w:hAnsi="Cambria Math"/>
                          <w:b w:val="0"/>
                          <w:i w:val="0"/>
                        </w:rPr>
                        <m:t>03</m:t>
                      </m:r>
                    </m:den>
                  </m:f>
                  <m:r>
                    <m:rPr/>
                    <w:rPr>
                      <w:rFonts w:ascii="Cambria Math" w:hAnsi="Cambria Math"/>
                    </w:rPr>
                    <m:t>+⋯+Bn×</m:t>
                  </m:r>
                  <m:f>
                    <m:fPr/>
                    <m:num>
                      <m:r>
                        <m:rPr/>
                        <w:rPr>
                          <w:rFonts w:ascii="Cambria Math" w:hAnsi="Cambria Math"/>
                        </w:rPr>
                        <m:t>F</m:t>
                      </m:r>
                      <m:r>
                        <m:rPr>
                          <m:nor/>
                          <m:sty m:val="p"/>
                        </m:rPr>
                        <w:rPr>
                          <w:rFonts w:ascii="Cambria Math" w:hAnsi="Cambria Math"/>
                          <w:b w:val="0"/>
                          <w:i w:val="0"/>
                        </w:rPr>
                        <m:t>tn</m:t>
                      </m:r>
                    </m:num>
                    <m:den>
                      <m:r>
                        <m:rPr/>
                        <w:rPr>
                          <w:rFonts w:ascii="Cambria Math" w:hAnsi="Cambria Math"/>
                        </w:rPr>
                        <m:t>F</m:t>
                      </m:r>
                      <m:r>
                        <m:rPr>
                          <m:nor/>
                          <m:sty m:val="p"/>
                        </m:rPr>
                        <w:rPr>
                          <w:rFonts w:ascii="Cambria Math" w:hAnsi="Cambria Math"/>
                          <w:b w:val="0"/>
                          <w:i w:val="0"/>
                        </w:rPr>
                        <m:t>0n</m:t>
                      </m:r>
                    </m:den>
                  </m:f>
                </m:e>
              </m:d>
              <m:r>
                <m:rPr/>
                <w:rPr>
                  <w:rFonts w:ascii="Cambria Math" w:hAnsi="Cambria Math"/>
                </w:rPr>
                <m:t>−1</m:t>
              </m:r>
            </m:e>
          </m:d>
        </m:oMath>
      </m:oMathPara>
    </w:p>
    <w:p w14:paraId="423BC560">
      <w:pPr>
        <w:tabs>
          <w:tab w:val="left" w:pos="0"/>
          <w:tab w:val="left" w:pos="360"/>
          <w:tab w:val="left" w:pos="540"/>
        </w:tabs>
        <w:spacing w:line="360" w:lineRule="auto"/>
        <w:ind w:firstLine="64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公式中：</w:t>
      </w:r>
      <w:r>
        <w:rPr>
          <w:rFonts w:eastAsia="仿宋_GB2312;仿宋" w:cs="Times New Roman"/>
          <w:color w:val="000000"/>
          <w:sz w:val="24"/>
          <w:szCs w:val="24"/>
        </w:rPr>
        <w:t>ΔP——</w:t>
      </w:r>
      <w:r>
        <w:rPr>
          <w:rFonts w:ascii="Times New Roman" w:hAnsi="Times New Roman" w:eastAsia="仿宋_GB2312;仿宋" w:cs="Times New Roman"/>
          <w:color w:val="000000"/>
          <w:sz w:val="24"/>
          <w:szCs w:val="24"/>
        </w:rPr>
        <w:t>需调整的价格差额；</w:t>
      </w:r>
    </w:p>
    <w:p w14:paraId="769D4960">
      <w:pPr>
        <w:tabs>
          <w:tab w:val="left" w:pos="0"/>
          <w:tab w:val="left" w:pos="360"/>
          <w:tab w:val="left" w:pos="540"/>
        </w:tabs>
        <w:spacing w:line="360" w:lineRule="auto"/>
        <w:ind w:firstLine="1440"/>
        <w:rPr>
          <w:rFonts w:ascii="Times New Roman" w:hAnsi="Times New Roman" w:eastAsia="仿宋_GB2312;仿宋" w:cs="Times New Roman"/>
          <w:color w:val="000000"/>
          <w:sz w:val="24"/>
          <w:szCs w:val="24"/>
        </w:rPr>
      </w:pPr>
      <m:oMath>
        <m:r>
          <m:rPr/>
          <w:rPr>
            <w:rFonts w:ascii="Cambria Math" w:hAnsi="Cambria Math"/>
          </w:rPr>
          <m:t>P0</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约定的付款证书中承包人应得到的已完成工程量的金额。此项金额应不包括价格调整、不计质量保证金的扣留和支付、预付款的支付和扣回。约定的变更及其他金额已按现行价格计价的，也不计在内；</w:t>
      </w:r>
    </w:p>
    <w:p w14:paraId="1995C1D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A——</w:t>
      </w:r>
      <w:r>
        <w:rPr>
          <w:rFonts w:ascii="Times New Roman" w:hAnsi="Times New Roman" w:eastAsia="仿宋_GB2312;仿宋" w:cs="Times New Roman"/>
          <w:color w:val="000000"/>
          <w:sz w:val="24"/>
          <w:szCs w:val="24"/>
        </w:rPr>
        <w:t>定值权重（即不调部分的权重）；</w:t>
      </w:r>
    </w:p>
    <w:p w14:paraId="42980E1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B1</m:t>
        </m:r>
        <m:r>
          <m:rPr>
            <m:nor/>
            <m:sty m:val="p"/>
          </m:rPr>
          <w:rPr>
            <w:rFonts w:ascii="Cambria Math" w:hAnsi="Cambria Math"/>
            <w:b w:val="0"/>
            <w:i w:val="0"/>
          </w:rPr>
          <m:t>;B</m:t>
        </m:r>
        <m:r>
          <m:rPr/>
          <w:rPr>
            <w:rFonts w:ascii="Cambria Math" w:hAnsi="Cambria Math"/>
          </w:rPr>
          <m:t>2</m:t>
        </m:r>
        <m:r>
          <m:rPr>
            <m:nor/>
            <m:sty m:val="p"/>
          </m:rPr>
          <w:rPr>
            <w:rFonts w:ascii="Cambria Math" w:hAnsi="Cambria Math"/>
            <w:b w:val="0"/>
            <w:i w:val="0"/>
          </w:rPr>
          <m:t>;B</m:t>
        </m:r>
        <m:r>
          <m:rPr/>
          <w:rPr>
            <w:rFonts w:ascii="Cambria Math" w:hAnsi="Cambria Math"/>
          </w:rPr>
          <m:t>3</m:t>
        </m:r>
        <m:r>
          <m:rPr>
            <m:nor/>
            <m:sty m:val="p"/>
          </m:rPr>
          <w:rPr>
            <w:rFonts w:ascii="Cambria Math" w:hAnsi="Cambria Math"/>
            <w:b w:val="0"/>
            <w:i w:val="0"/>
          </w:rPr>
          <m:t>......</m:t>
        </m:r>
        <m:r>
          <m:rPr/>
          <w:rPr>
            <w:rFonts w:ascii="Cambria Math" w:hAnsi="Cambria Math"/>
          </w:rPr>
          <m:t>Bn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各可调因子的变值权重（即可调部分的权重），为各可调因子在签约合同价中所占的比例；</w:t>
      </w:r>
    </w:p>
    <w:p w14:paraId="6D29367E">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t1;Ft2;Ft3......</m:t>
        </m:r>
        <m:r>
          <m:rPr/>
          <w:rPr>
            <w:rFonts w:ascii="Cambria Math" w:hAnsi="Cambria Math"/>
          </w:rPr>
          <m:t>F</m:t>
        </m:r>
        <m:r>
          <m:rPr>
            <m:nor/>
            <m:sty m:val="p"/>
          </m:rPr>
          <w:rPr>
            <w:rFonts w:ascii="Cambria Math" w:hAnsi="Cambria Math"/>
            <w:b w:val="0"/>
            <w:i w:val="0"/>
          </w:rPr>
          <m:t>tn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各可调因子的现行价格指数，指约定的付款证书相关周期最后一天的前</w:t>
      </w:r>
      <w:r>
        <w:rPr>
          <w:rFonts w:eastAsia="仿宋_GB2312;仿宋" w:cs="Times New Roman"/>
          <w:color w:val="000000"/>
          <w:sz w:val="24"/>
          <w:szCs w:val="24"/>
        </w:rPr>
        <w:t>42</w:t>
      </w:r>
      <w:r>
        <w:rPr>
          <w:rFonts w:ascii="Times New Roman" w:hAnsi="Times New Roman" w:eastAsia="仿宋_GB2312;仿宋" w:cs="Times New Roman"/>
          <w:color w:val="000000"/>
          <w:sz w:val="24"/>
          <w:szCs w:val="24"/>
        </w:rPr>
        <w:t>天的各可调因子的价格指数；</w:t>
      </w:r>
    </w:p>
    <w:p w14:paraId="42C01C5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01;F02;F</m:t>
        </m:r>
        <m:r>
          <m:rPr/>
          <w:rPr>
            <w:rFonts w:ascii="Cambria Math" w:hAnsi="Cambria Math"/>
          </w:rPr>
          <m:t>03</m:t>
        </m:r>
        <m:r>
          <m:rPr>
            <m:nor/>
            <m:sty m:val="p"/>
          </m:rPr>
          <w:rPr>
            <w:rFonts w:ascii="Cambria Math" w:hAnsi="Cambria Math"/>
            <w:b w:val="0"/>
            <w:i w:val="0"/>
          </w:rPr>
          <m:t>......</m:t>
        </m:r>
        <m:r>
          <m:rPr/>
          <w:rPr>
            <w:rFonts w:ascii="Cambria Math" w:hAnsi="Cambria Math"/>
          </w:rPr>
          <m:t>F</m:t>
        </m:r>
        <m:r>
          <m:rPr>
            <m:nor/>
            <m:sty m:val="p"/>
          </m:rPr>
          <w:rPr>
            <w:rFonts w:ascii="Cambria Math" w:hAnsi="Cambria Math"/>
            <w:b w:val="0"/>
            <w:i w:val="0"/>
          </w:rPr>
          <m:t>0n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各可调因子的基本价格指数，指基准日期的各可调因子的价格指数。</w:t>
      </w:r>
    </w:p>
    <w:p w14:paraId="412225C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以上价格调整公式中的各可调因子、定值和变值权重，以及基本价格指数及其来源在响应</w:t>
      </w:r>
      <w:r>
        <w:rPr>
          <w:rFonts w:hint="eastAsia" w:eastAsia="仿宋_GB2312;仿宋" w:cs="Times New Roman"/>
          <w:color w:val="000000"/>
          <w:sz w:val="24"/>
          <w:szCs w:val="24"/>
          <w:lang w:val="en-US" w:eastAsia="zh-CN"/>
        </w:rPr>
        <w:t>文件</w:t>
      </w:r>
      <w:r>
        <w:rPr>
          <w:rFonts w:ascii="Times New Roman" w:hAnsi="Times New Roman" w:eastAsia="仿宋_GB2312;仿宋" w:cs="Times New Roman"/>
          <w:color w:val="000000"/>
          <w:sz w:val="24"/>
          <w:szCs w:val="24"/>
        </w:rPr>
        <w:t>附录价格指数和权重表中约定，非采购订立的合同，由合同当事人在专用合同条款中约定。价格指数应首先采用工程造价管理机构发布的价格指数，无前述价格指数时，可采用工程造价管理机构发布的价格代替。</w:t>
      </w:r>
    </w:p>
    <w:p w14:paraId="08270D7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）暂时确定调整差额</w:t>
      </w:r>
    </w:p>
    <w:p w14:paraId="2B332F5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在计算调整差额时无现行价格指数的，合同当事人同意暂用前次价格指数计算。实际价格指数有调整的，合同当事人进行相应调整。</w:t>
      </w:r>
    </w:p>
    <w:p w14:paraId="50472157">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）权重的调整</w:t>
      </w:r>
    </w:p>
    <w:p w14:paraId="5332FF38">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因变更导致合同约定的权重不合理时，按照第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款〔商定或确定〕执行。</w:t>
      </w:r>
    </w:p>
    <w:p w14:paraId="4646AEA2">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）因承包人原因工期延误后的价格调整</w:t>
      </w:r>
    </w:p>
    <w:p w14:paraId="7B87D12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因承包人原因未按期竣工的，对合同约定的竣工日期后继续施工的工程，在使用价格调整公式时，应采用计划竣工日期与实际竣工日期的两个价格指数中较低的一个作为现行价格指数。</w:t>
      </w:r>
    </w:p>
    <w:p w14:paraId="1151B80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62CC4C9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B50C67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4E18BBC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）材料、工程设备价格变化的价款调整按照发包人提供的基准价格，按以下风险范围规定执行</w:t>
      </w:r>
      <w:r>
        <w:rPr>
          <w:rFonts w:eastAsia="仿宋_GB2312;仿宋" w:cs="Times New Roman"/>
          <w:color w:val="000000"/>
          <w:sz w:val="24"/>
          <w:szCs w:val="24"/>
        </w:rPr>
        <w:t>:</w:t>
      </w:r>
    </w:p>
    <w:p w14:paraId="251E191D">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承包人在已标价工程量清单或预算书中载明材料单价低于基准价格的：除专用合同条款另有约定外，合同履行期间材料单价涨幅以基准价格为基础超过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时，或材料单价跌幅以在已标价工程量清单或预算书中载明材料单价为基础超过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766793E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承包人在已标价工程量清单或预算书中载明材料单价高于基准价格的：除专用合同条款另有约定外，合同履行期间材料单价跌幅以基准价格为基础超过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时，材料单价涨幅以在已标价工程量清单或预算书中载明材料单价为基础超过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2085057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承包人在已标价工程量清单或预算书中载明材料单价等于基准价格的：除专用合同条款另有约定外，合同履行期间材料单价涨跌幅以基准价格为基础超过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0EB95194">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④</w:t>
      </w:r>
      <w:r>
        <w:rPr>
          <w:rFonts w:ascii="Times New Roman" w:hAnsi="Times New Roman" w:eastAsia="仿宋_GB2312;仿宋" w:cs="Times New Roman"/>
          <w:color w:val="000000"/>
          <w:sz w:val="24"/>
          <w:szCs w:val="24"/>
        </w:rPr>
        <w:t>承包人应在采购材料前将采购数量和新的材料单价报发包人核对，发包人确认用于工程时，发包人应确认采购材料的数量和单价。发包人在收到承包人报送的确认资料后</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天内不予答复的视为认可，作为调整合同价格的依据。未经发包人事先核对，承包人自行采购材料的，发包人有权不予调整合同价格。发包人同意的，可以调整合同价格。</w:t>
      </w:r>
    </w:p>
    <w:p w14:paraId="26EE3DE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前述基准价格是指由发包人在磋商文件或专用合同条款中给定的材料、工程设备的价格，该价格原则上应当按照省级或行业建设主管部门或其授权的工程造价管理机构发布的信息价编制。</w:t>
      </w:r>
    </w:p>
    <w:p w14:paraId="5148214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）施工机械台班单价或施工机械使用费发生变化超过省级或行业建设主管部门或其授权的工程造价管理机构规定的范围时，按规定调整合同价格。</w:t>
      </w:r>
    </w:p>
    <w:p w14:paraId="23EB4A0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种方式：专用合同条款约定的其他方式。</w:t>
      </w:r>
    </w:p>
    <w:p w14:paraId="2956F203">
      <w:pPr>
        <w:pStyle w:val="6"/>
        <w:spacing w:before="120" w:after="120" w:line="360" w:lineRule="auto"/>
        <w:ind w:firstLine="480"/>
        <w:rPr>
          <w:rFonts w:ascii="Times New Roman" w:hAnsi="Times New Roman" w:eastAsia="黑体" w:cs="Times New Roman"/>
          <w:b w:val="0"/>
          <w:color w:val="000000"/>
          <w:sz w:val="24"/>
          <w:szCs w:val="24"/>
        </w:rPr>
      </w:pPr>
      <w:bookmarkStart w:id="117" w:name="__RefHeading___Toc351203579"/>
      <w:bookmarkEnd w:id="117"/>
      <w:r>
        <w:rPr>
          <w:rFonts w:eastAsia="黑体" w:cs="Times New Roman"/>
          <w:b w:val="0"/>
          <w:color w:val="000000"/>
          <w:sz w:val="24"/>
          <w:szCs w:val="24"/>
        </w:rPr>
        <w:t>11.2</w:t>
      </w:r>
      <w:r>
        <w:rPr>
          <w:rFonts w:ascii="Times New Roman" w:hAnsi="Times New Roman" w:eastAsia="黑体" w:cs="Times New Roman"/>
          <w:b w:val="0"/>
          <w:color w:val="000000"/>
          <w:sz w:val="24"/>
          <w:szCs w:val="24"/>
        </w:rPr>
        <w:t>法律变化引起的调整</w:t>
      </w:r>
    </w:p>
    <w:p w14:paraId="6A721C8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基准日期后，法律变化导致承包人在合同履行过程中所需要的费用发生除第</w:t>
      </w:r>
      <w:r>
        <w:rPr>
          <w:rFonts w:eastAsia="仿宋_GB2312;仿宋" w:cs="Times New Roman"/>
          <w:color w:val="000000"/>
          <w:sz w:val="24"/>
          <w:szCs w:val="24"/>
        </w:rPr>
        <w:t>11.1</w:t>
      </w:r>
      <w:r>
        <w:rPr>
          <w:rFonts w:ascii="Times New Roman" w:hAnsi="Times New Roman" w:eastAsia="仿宋_GB2312;仿宋" w:cs="Times New Roman"/>
          <w:color w:val="000000"/>
          <w:sz w:val="24"/>
          <w:szCs w:val="24"/>
        </w:rPr>
        <w:t>款〔市场价格波动引起的调整〕约定以外的增加时，由发包人承担由此增加的费用；减少时，应从合同价格中予以扣减。基准日期后，因法律变化造成工期延误时，工期应予以顺延。</w:t>
      </w:r>
    </w:p>
    <w:p w14:paraId="5481FD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因法律变化引起的合同价格和工期调整，合同当事人无法达成一致的，由总监理工程师按第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款〔商定或确定〕的约定处理。</w:t>
      </w:r>
    </w:p>
    <w:p w14:paraId="70F398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因承包人原因造成工期延误，在工期延误期间出现法律变化的，由此增加的费用和（或）延误的工期由承包人承担。</w:t>
      </w:r>
    </w:p>
    <w:p w14:paraId="46D70349">
      <w:pPr>
        <w:pStyle w:val="5"/>
        <w:spacing w:before="120" w:after="120" w:line="360" w:lineRule="auto"/>
        <w:rPr>
          <w:rFonts w:ascii="Times New Roman" w:hAnsi="Times New Roman" w:eastAsia="黑体" w:cs="Times New Roman"/>
          <w:b w:val="0"/>
          <w:color w:val="000000"/>
          <w:sz w:val="24"/>
          <w:szCs w:val="24"/>
        </w:rPr>
      </w:pPr>
      <w:bookmarkStart w:id="118" w:name="__RefHeading___Toc351203580"/>
      <w:bookmarkEnd w:id="118"/>
      <w:r>
        <w:rPr>
          <w:rFonts w:ascii="Times New Roman" w:hAnsi="Times New Roman" w:eastAsia="黑体" w:cs="Times New Roman"/>
          <w:b w:val="0"/>
          <w:color w:val="000000"/>
          <w:sz w:val="24"/>
          <w:szCs w:val="24"/>
        </w:rPr>
        <w:t xml:space="preserve">12. </w:t>
      </w:r>
      <w:r>
        <w:rPr>
          <w:rFonts w:ascii="Times New Roman" w:hAnsi="Times New Roman" w:cs="Times New Roman"/>
          <w:b w:val="0"/>
          <w:color w:val="000000"/>
          <w:sz w:val="24"/>
          <w:szCs w:val="24"/>
        </w:rPr>
        <w:t>合同价格、计量与支付</w:t>
      </w:r>
    </w:p>
    <w:p w14:paraId="0CE91FA5">
      <w:pPr>
        <w:pStyle w:val="6"/>
        <w:spacing w:before="120" w:after="120" w:line="360" w:lineRule="auto"/>
        <w:ind w:firstLine="480"/>
        <w:rPr>
          <w:rFonts w:ascii="Times New Roman" w:hAnsi="Times New Roman" w:eastAsia="黑体" w:cs="Times New Roman"/>
          <w:b w:val="0"/>
          <w:color w:val="000000"/>
          <w:sz w:val="24"/>
          <w:szCs w:val="24"/>
        </w:rPr>
      </w:pPr>
      <w:bookmarkStart w:id="119" w:name="__RefHeading___Toc351203581"/>
      <w:bookmarkEnd w:id="119"/>
      <w:r>
        <w:rPr>
          <w:rFonts w:eastAsia="黑体" w:cs="Times New Roman"/>
          <w:b w:val="0"/>
          <w:color w:val="000000"/>
          <w:sz w:val="24"/>
          <w:szCs w:val="24"/>
        </w:rPr>
        <w:t xml:space="preserve">12.1 </w:t>
      </w:r>
      <w:r>
        <w:rPr>
          <w:rFonts w:ascii="Times New Roman" w:hAnsi="Times New Roman" w:eastAsia="黑体" w:cs="Times New Roman"/>
          <w:b w:val="0"/>
          <w:color w:val="000000"/>
          <w:sz w:val="24"/>
          <w:szCs w:val="24"/>
        </w:rPr>
        <w:t>合同价格形式</w:t>
      </w:r>
    </w:p>
    <w:p w14:paraId="0D4E39E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发包人和承包人应在合同协议书中选择下列一种合同价格形式：</w:t>
      </w:r>
      <w:r>
        <w:rPr>
          <w:rFonts w:ascii="Times New Roman" w:hAnsi="Times New Roman" w:eastAsia="Times New Roman" w:cs="Times New Roman"/>
          <w:color w:val="000000"/>
          <w:kern w:val="0"/>
          <w:sz w:val="24"/>
          <w:szCs w:val="24"/>
        </w:rPr>
        <w:t xml:space="preserve"> </w:t>
      </w:r>
    </w:p>
    <w:p w14:paraId="2EE679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w:t>
      </w:r>
    </w:p>
    <w:p w14:paraId="49092B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单价合同是指合同当事人约定以工程量清单及其综合单价进行合同价格计算、调整和确认的建设工程施工合同，</w:t>
      </w:r>
      <w:r>
        <w:rPr>
          <w:rFonts w:ascii="Times New Roman" w:hAnsi="Times New Roman" w:eastAsia="仿宋_GB2312;仿宋" w:cs="Times New Roman"/>
          <w:sz w:val="24"/>
          <w:szCs w:val="24"/>
        </w:rPr>
        <w:t>在约定的范围内合同单价不作调整</w:t>
      </w:r>
      <w:r>
        <w:rPr>
          <w:rFonts w:ascii="Times New Roman" w:hAnsi="Times New Roman" w:eastAsia="仿宋_GB2312;仿宋" w:cs="Times New Roman"/>
          <w:color w:val="000000"/>
          <w:kern w:val="0"/>
          <w:sz w:val="24"/>
          <w:szCs w:val="24"/>
        </w:rPr>
        <w:t>。合同当事人应在专用合同条款中约定综合单价包含的风险范围和风险费用的计算方法</w:t>
      </w:r>
      <w:r>
        <w:rPr>
          <w:rFonts w:ascii="Times New Roman" w:hAnsi="Times New Roman" w:eastAsia="仿宋_GB2312;仿宋" w:cs="Times New Roman"/>
          <w:sz w:val="24"/>
          <w:szCs w:val="24"/>
        </w:rPr>
        <w:t>，</w:t>
      </w:r>
      <w:r>
        <w:rPr>
          <w:rFonts w:ascii="Times New Roman" w:hAnsi="Times New Roman" w:eastAsia="仿宋_GB2312;仿宋" w:cs="Times New Roman"/>
          <w:color w:val="000000"/>
          <w:kern w:val="0"/>
          <w:sz w:val="24"/>
          <w:szCs w:val="24"/>
        </w:rPr>
        <w:t>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款〔市场价格波动引起的调整〕约定执行。</w:t>
      </w:r>
    </w:p>
    <w:p w14:paraId="1CED936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w:t>
      </w:r>
    </w:p>
    <w:p w14:paraId="7355F51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总价合同是指合同当事人约定以施工图、已标价工程量清单或预算书及有关条件进行合同价格计算、调整和确认的建设工程施工合同，</w:t>
      </w:r>
      <w:r>
        <w:rPr>
          <w:rFonts w:ascii="Times New Roman" w:hAnsi="Times New Roman" w:eastAsia="仿宋_GB2312;仿宋" w:cs="Times New Roman"/>
          <w:sz w:val="24"/>
          <w:szCs w:val="24"/>
        </w:rPr>
        <w:t>在约定的范围内合同总价不作调整</w:t>
      </w:r>
      <w:r>
        <w:rPr>
          <w:rFonts w:ascii="Times New Roman" w:hAnsi="Times New Roman" w:eastAsia="仿宋_GB2312;仿宋" w:cs="Times New Roman"/>
          <w:color w:val="000000"/>
          <w:kern w:val="0"/>
          <w:sz w:val="24"/>
          <w:szCs w:val="24"/>
        </w:rPr>
        <w:t>。合同当事人应在专用合同条款中约定总价包含的风险范围和风险费用的计算方法，并约定风险范围以外的合同价格的调整方法，其中因市场价格波动引起的调整按第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款〔市场价格波动引起的调整〕、因法律变化引起的调整按第</w:t>
      </w:r>
      <w:r>
        <w:rPr>
          <w:rFonts w:eastAsia="仿宋_GB2312;仿宋" w:cs="Times New Roman"/>
          <w:color w:val="000000"/>
          <w:kern w:val="0"/>
          <w:sz w:val="24"/>
          <w:szCs w:val="24"/>
        </w:rPr>
        <w:t>11.2</w:t>
      </w:r>
      <w:r>
        <w:rPr>
          <w:rFonts w:ascii="Times New Roman" w:hAnsi="Times New Roman" w:eastAsia="仿宋_GB2312;仿宋" w:cs="Times New Roman"/>
          <w:color w:val="000000"/>
          <w:kern w:val="0"/>
          <w:sz w:val="24"/>
          <w:szCs w:val="24"/>
        </w:rPr>
        <w:t>款〔法律变化引起的调整〕约定执行。</w:t>
      </w:r>
    </w:p>
    <w:p w14:paraId="43583B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其它价格形式</w:t>
      </w:r>
    </w:p>
    <w:p w14:paraId="4B67E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合同当事人可在专用合同条款中约定其他合同价格形式。</w:t>
      </w:r>
    </w:p>
    <w:p w14:paraId="2472B289">
      <w:pPr>
        <w:pStyle w:val="6"/>
        <w:spacing w:before="120" w:after="120" w:line="360" w:lineRule="auto"/>
        <w:ind w:firstLine="480"/>
        <w:rPr>
          <w:rFonts w:ascii="Times New Roman" w:hAnsi="Times New Roman" w:eastAsia="黑体" w:cs="Times New Roman"/>
          <w:b w:val="0"/>
          <w:color w:val="000000"/>
          <w:sz w:val="24"/>
          <w:szCs w:val="24"/>
        </w:rPr>
      </w:pPr>
      <w:bookmarkStart w:id="120" w:name="__RefHeading___Toc351203582"/>
      <w:bookmarkEnd w:id="120"/>
      <w:r>
        <w:rPr>
          <w:rFonts w:eastAsia="黑体" w:cs="Times New Roman"/>
          <w:b w:val="0"/>
          <w:color w:val="000000"/>
          <w:sz w:val="24"/>
          <w:szCs w:val="24"/>
        </w:rPr>
        <w:t>12.2</w:t>
      </w:r>
      <w:r>
        <w:rPr>
          <w:rFonts w:ascii="Times New Roman" w:hAnsi="Times New Roman" w:eastAsia="黑体" w:cs="Times New Roman"/>
          <w:b w:val="0"/>
          <w:color w:val="000000"/>
          <w:sz w:val="24"/>
          <w:szCs w:val="24"/>
        </w:rPr>
        <w:t>预付款</w:t>
      </w:r>
    </w:p>
    <w:p w14:paraId="5BDD85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12.2.</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预付款的支付</w:t>
      </w:r>
    </w:p>
    <w:p w14:paraId="62C45ED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预付款的支付按照专用合同条款约定执行，但至迟应在开工通知载明的开工日期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天前支付。预付款应当用于材料、工程设备、施工设备的采购及修建临时工程、组织施工队伍进场等。</w:t>
      </w:r>
    </w:p>
    <w:p w14:paraId="35C93DD8">
      <w:pPr>
        <w:spacing w:line="360" w:lineRule="auto"/>
        <w:ind w:firstLine="480"/>
        <w:jc w:val="left"/>
        <w:rPr>
          <w:rFonts w:ascii="Times New Roman" w:hAnsi="Times New Roman" w:eastAsia="仿宋_GB2312;仿宋" w:cs="Times New Roman"/>
          <w:color w:val="000000"/>
          <w:kern w:val="0"/>
          <w:sz w:val="24"/>
          <w:szCs w:val="24"/>
        </w:rPr>
      </w:pPr>
      <w:bookmarkStart w:id="121" w:name="OLE_LINK3"/>
      <w:r>
        <w:rPr>
          <w:rFonts w:ascii="Times New Roman" w:hAnsi="Times New Roman" w:eastAsia="仿宋_GB2312;仿宋" w:cs="Times New Roman"/>
          <w:color w:val="000000"/>
          <w:kern w:val="0"/>
          <w:sz w:val="24"/>
          <w:szCs w:val="24"/>
        </w:rPr>
        <w:t>除专用合同条款另有约定外，预付款在进度付款中同比例扣回。</w:t>
      </w:r>
      <w:bookmarkEnd w:id="121"/>
      <w:r>
        <w:rPr>
          <w:rFonts w:ascii="Times New Roman" w:hAnsi="Times New Roman" w:eastAsia="仿宋_GB2312;仿宋" w:cs="Times New Roman"/>
          <w:color w:val="000000"/>
          <w:kern w:val="0"/>
          <w:sz w:val="24"/>
          <w:szCs w:val="24"/>
        </w:rPr>
        <w:t>在颁发工程接收证书前，提前解除合同的，尚未扣完的预付款应与合同价款一并结算。</w:t>
      </w:r>
    </w:p>
    <w:p w14:paraId="35B6B86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发包人逾期支付预付款超过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2051BE5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7D7DC20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发包人要求承包人提供预付款担保的，承包人应在发包人支付预付款</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天前提供预付款担保，专用合同条款另有约定除外。预付款担保可采用银行保函、担保公司担保等形式，具体由合同当事人在专用合同条款中约定。在预付款完全扣回之前，承包人应保证预付款担保持续有效。</w:t>
      </w:r>
    </w:p>
    <w:p w14:paraId="54D41A2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发包人在工程款中逐期扣回预付款后，预付款担保额度应相应减少，但剩余的预付款担保金额不得低于未被扣回的预付款金额。</w:t>
      </w:r>
    </w:p>
    <w:p w14:paraId="57071B66">
      <w:pPr>
        <w:pStyle w:val="6"/>
        <w:spacing w:before="120" w:after="120" w:line="360" w:lineRule="auto"/>
        <w:ind w:firstLine="480"/>
        <w:rPr>
          <w:rFonts w:ascii="Times New Roman" w:hAnsi="Times New Roman" w:eastAsia="黑体" w:cs="Times New Roman"/>
          <w:b w:val="0"/>
          <w:color w:val="000000"/>
          <w:sz w:val="24"/>
          <w:szCs w:val="24"/>
        </w:rPr>
      </w:pPr>
      <w:bookmarkStart w:id="122" w:name="__RefHeading___Toc351203583"/>
      <w:bookmarkEnd w:id="122"/>
      <w:r>
        <w:rPr>
          <w:rFonts w:eastAsia="黑体" w:cs="Times New Roman"/>
          <w:b w:val="0"/>
          <w:color w:val="000000"/>
          <w:sz w:val="24"/>
          <w:szCs w:val="24"/>
        </w:rPr>
        <w:t>12.3</w:t>
      </w:r>
      <w:r>
        <w:rPr>
          <w:rFonts w:ascii="Times New Roman" w:hAnsi="Times New Roman" w:eastAsia="黑体" w:cs="Times New Roman"/>
          <w:b w:val="0"/>
          <w:color w:val="000000"/>
          <w:sz w:val="24"/>
          <w:szCs w:val="24"/>
        </w:rPr>
        <w:t>计量</w:t>
      </w:r>
    </w:p>
    <w:p w14:paraId="6E54E36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12.3.1 </w:t>
      </w:r>
      <w:r>
        <w:rPr>
          <w:rFonts w:ascii="Times New Roman" w:hAnsi="Times New Roman" w:eastAsia="仿宋_GB2312;仿宋" w:cs="Times New Roman"/>
          <w:color w:val="000000"/>
          <w:kern w:val="0"/>
          <w:sz w:val="24"/>
          <w:szCs w:val="24"/>
        </w:rPr>
        <w:t>计量原则</w:t>
      </w:r>
    </w:p>
    <w:p w14:paraId="05B81AE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工程量计量按照合同约定的工程量计算规则、图纸及变更指示等进行计量。工程量计算规则应以相关的国家标准、行业标准等为依据，由合同当事人在专用合同条款中约定。</w:t>
      </w:r>
    </w:p>
    <w:p w14:paraId="760453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12.3.2 </w:t>
      </w:r>
      <w:r>
        <w:rPr>
          <w:rFonts w:ascii="Times New Roman" w:hAnsi="Times New Roman" w:eastAsia="仿宋_GB2312;仿宋" w:cs="Times New Roman"/>
          <w:color w:val="000000"/>
          <w:kern w:val="0"/>
          <w:sz w:val="24"/>
          <w:szCs w:val="24"/>
        </w:rPr>
        <w:t>计量周期</w:t>
      </w:r>
    </w:p>
    <w:p w14:paraId="20D842D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除专用合同条款另有约定外，工程量的计量按月进行。</w:t>
      </w:r>
    </w:p>
    <w:p w14:paraId="7DC27F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12.3.3 </w:t>
      </w:r>
      <w:r>
        <w:rPr>
          <w:rFonts w:ascii="Times New Roman" w:hAnsi="Times New Roman" w:eastAsia="仿宋_GB2312;仿宋" w:cs="Times New Roman"/>
          <w:color w:val="000000"/>
          <w:kern w:val="0"/>
          <w:sz w:val="24"/>
          <w:szCs w:val="24"/>
        </w:rPr>
        <w:t>单价合同的计量</w:t>
      </w:r>
    </w:p>
    <w:p w14:paraId="0244895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除专用合同条款另有约定外，单价合同的计量按照本项约定执行：</w:t>
      </w:r>
    </w:p>
    <w:p w14:paraId="37B95B6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77D3A1D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07F67A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天内完成审核的，承包人报送的工程量报告中的工程量视为承包人实际完成的工程量，据此计算工程价款。</w:t>
      </w:r>
    </w:p>
    <w:p w14:paraId="3A19A5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kern w:val="0"/>
          <w:sz w:val="24"/>
          <w:szCs w:val="24"/>
        </w:rPr>
        <w:t>总价合同的计量</w:t>
      </w:r>
    </w:p>
    <w:p w14:paraId="4095F8D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除专用合同条款另有约定外，按月计量支付的总价合同，按照本项约定执行：</w:t>
      </w:r>
    </w:p>
    <w:p w14:paraId="79BE16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50A570E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3757C7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天内完成复核的，承包人提交的工程量报告中的工程量视为承包人实际完成的工程量。</w:t>
      </w:r>
    </w:p>
    <w:p w14:paraId="3831689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12.3.5 </w:t>
      </w:r>
      <w:r>
        <w:rPr>
          <w:rFonts w:ascii="Times New Roman" w:hAnsi="Times New Roman" w:eastAsia="仿宋_GB2312;仿宋" w:cs="Times New Roman"/>
          <w:color w:val="000000"/>
          <w:kern w:val="0"/>
          <w:sz w:val="24"/>
          <w:szCs w:val="24"/>
        </w:rPr>
        <w:t>总价合同采用支付分解表计量支付的，可以按照第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项〔总价合同的计量〕约定进行计量，但合同价款按照支付分解表进行支付。</w:t>
      </w:r>
    </w:p>
    <w:p w14:paraId="5E813C7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12.3.6 </w:t>
      </w:r>
      <w:r>
        <w:rPr>
          <w:rFonts w:ascii="Times New Roman" w:hAnsi="Times New Roman" w:eastAsia="仿宋_GB2312;仿宋" w:cs="Times New Roman"/>
          <w:color w:val="000000"/>
          <w:kern w:val="0"/>
          <w:sz w:val="24"/>
          <w:szCs w:val="24"/>
        </w:rPr>
        <w:t>其他价格形式合同的计量</w:t>
      </w:r>
    </w:p>
    <w:p w14:paraId="10A33F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合同当事人可在专用合同条款中约定其他价格形式合同的计量方式和程序。</w:t>
      </w:r>
    </w:p>
    <w:p w14:paraId="6C1F5A77">
      <w:pPr>
        <w:pStyle w:val="6"/>
        <w:spacing w:before="120" w:after="120" w:line="360" w:lineRule="auto"/>
        <w:ind w:firstLine="480"/>
        <w:rPr>
          <w:rFonts w:ascii="Times New Roman" w:hAnsi="Times New Roman" w:eastAsia="黑体" w:cs="Times New Roman"/>
          <w:b w:val="0"/>
          <w:color w:val="000000"/>
          <w:sz w:val="24"/>
          <w:szCs w:val="24"/>
        </w:rPr>
      </w:pPr>
      <w:bookmarkStart w:id="123" w:name="__RefHeading___Toc351203584"/>
      <w:bookmarkEnd w:id="123"/>
      <w:r>
        <w:rPr>
          <w:rFonts w:eastAsia="黑体" w:cs="Times New Roman"/>
          <w:b w:val="0"/>
          <w:color w:val="000000"/>
          <w:sz w:val="24"/>
          <w:szCs w:val="24"/>
        </w:rPr>
        <w:t>12.4</w:t>
      </w:r>
      <w:r>
        <w:rPr>
          <w:rFonts w:ascii="Times New Roman" w:hAnsi="Times New Roman" w:eastAsia="黑体" w:cs="Times New Roman"/>
          <w:b w:val="0"/>
          <w:color w:val="000000"/>
          <w:sz w:val="24"/>
          <w:szCs w:val="24"/>
        </w:rPr>
        <w:t>工程进度款支付</w:t>
      </w:r>
    </w:p>
    <w:p w14:paraId="025AB83F">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.1 </w:t>
      </w:r>
      <w:r>
        <w:rPr>
          <w:rFonts w:ascii="Times New Roman" w:hAnsi="Times New Roman" w:eastAsia="仿宋_GB2312;仿宋" w:cs="Times New Roman"/>
          <w:color w:val="000000"/>
          <w:kern w:val="0"/>
          <w:sz w:val="24"/>
          <w:szCs w:val="24"/>
        </w:rPr>
        <w:t>付款周期</w:t>
      </w:r>
    </w:p>
    <w:p w14:paraId="20F242E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除专用合同条款另有约定外，付款周期应按照第</w:t>
      </w:r>
      <w:r>
        <w:rPr>
          <w:rFonts w:eastAsia="仿宋_GB2312;仿宋" w:cs="Times New Roman"/>
          <w:color w:val="000000"/>
          <w:kern w:val="0"/>
          <w:sz w:val="24"/>
          <w:szCs w:val="24"/>
        </w:rPr>
        <w:t>12.3.2</w:t>
      </w:r>
      <w:r>
        <w:rPr>
          <w:rFonts w:ascii="Times New Roman" w:hAnsi="Times New Roman" w:eastAsia="仿宋_GB2312;仿宋" w:cs="Times New Roman"/>
          <w:color w:val="000000"/>
          <w:kern w:val="0"/>
          <w:sz w:val="24"/>
          <w:szCs w:val="24"/>
        </w:rPr>
        <w:t>项〔计量周期〕的约定与计量周期保持一致。</w:t>
      </w:r>
    </w:p>
    <w:p w14:paraId="134FE7C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.2 </w:t>
      </w:r>
      <w:r>
        <w:rPr>
          <w:rFonts w:ascii="Times New Roman" w:hAnsi="Times New Roman" w:eastAsia="仿宋_GB2312;仿宋" w:cs="Times New Roman"/>
          <w:color w:val="000000"/>
          <w:kern w:val="0"/>
          <w:sz w:val="24"/>
          <w:szCs w:val="24"/>
        </w:rPr>
        <w:t>进度付款申请单的编制</w:t>
      </w:r>
    </w:p>
    <w:p w14:paraId="7D3CC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除专用合同条款另有约定外，进度付款申请单应包括下列内容：</w:t>
      </w:r>
    </w:p>
    <w:p w14:paraId="559A64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）截至本次付款周期已完成工作对应的金额；</w:t>
      </w:r>
    </w:p>
    <w:p w14:paraId="6C2B90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条〔变更〕应增加和扣减的变更金额；</w:t>
      </w:r>
    </w:p>
    <w:p w14:paraId="3EFBB8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12.2</w:t>
      </w:r>
      <w:r>
        <w:rPr>
          <w:rFonts w:ascii="Times New Roman" w:hAnsi="Times New Roman" w:eastAsia="仿宋_GB2312;仿宋" w:cs="Times New Roman"/>
          <w:color w:val="000000"/>
          <w:kern w:val="0"/>
          <w:sz w:val="24"/>
          <w:szCs w:val="24"/>
        </w:rPr>
        <w:t>款〔预付款〕约定应支付的预付款和扣减的返还预付款；</w:t>
      </w:r>
    </w:p>
    <w:p w14:paraId="28B179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款〔质量保证金〕约定应扣减的质量保证金；</w:t>
      </w:r>
    </w:p>
    <w:p w14:paraId="5558351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条〔索赔〕应增加和扣减的索赔金额；</w:t>
      </w:r>
    </w:p>
    <w:p w14:paraId="16323B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）对已签发的进度款支付证书中出现错误的修正，应在本次进度付款中支付或扣除的金额；</w:t>
      </w:r>
    </w:p>
    <w:p w14:paraId="5CFC11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）根据合同约定应增加和扣减的其他金额。</w:t>
      </w:r>
    </w:p>
    <w:p w14:paraId="64F1697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12.4.3 </w:t>
      </w:r>
      <w:r>
        <w:rPr>
          <w:rFonts w:ascii="Times New Roman" w:hAnsi="Times New Roman" w:eastAsia="仿宋_GB2312;仿宋" w:cs="Times New Roman"/>
          <w:color w:val="000000"/>
          <w:kern w:val="0"/>
          <w:sz w:val="24"/>
          <w:szCs w:val="24"/>
        </w:rPr>
        <w:t>进度付款申请单的提交</w:t>
      </w:r>
    </w:p>
    <w:p w14:paraId="7F420D3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）单价合同进度付款申请单的提交</w:t>
      </w:r>
    </w:p>
    <w:p w14:paraId="0669D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单价合同的进度付款申请单，按照第</w:t>
      </w:r>
      <w:r>
        <w:rPr>
          <w:rFonts w:eastAsia="仿宋_GB2312;仿宋" w:cs="Times New Roman"/>
          <w:color w:val="000000"/>
          <w:kern w:val="0"/>
          <w:sz w:val="24"/>
          <w:szCs w:val="24"/>
        </w:rPr>
        <w:t>12.3.3</w:t>
      </w:r>
      <w:r>
        <w:rPr>
          <w:rFonts w:ascii="Times New Roman" w:hAnsi="Times New Roman" w:eastAsia="仿宋_GB2312;仿宋" w:cs="Times New Roman"/>
          <w:color w:val="000000"/>
          <w:kern w:val="0"/>
          <w:sz w:val="24"/>
          <w:szCs w:val="24"/>
        </w:rPr>
        <w:t>项〔单价合同的计量〕约定的时间按月向监理人提交，并附上已完成工程量报表和有关资料。单价合同中的总价项目按月进行支付分解，并汇总列入当期进度付款申请单。</w:t>
      </w:r>
    </w:p>
    <w:p w14:paraId="7D58FC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）总价合同进度付款申请单的提交</w:t>
      </w:r>
    </w:p>
    <w:p w14:paraId="25542A1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总价合同按月计量支付的，承包人按照第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项〔总价合同的计量〕约定的时间按月向监理人提交进度付款申请单，并附上已完成工程量报表和有关资料。</w:t>
      </w:r>
    </w:p>
    <w:p w14:paraId="60DB89A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总价合同按支付分解表支付的，承包人应按照第</w:t>
      </w:r>
      <w:r>
        <w:rPr>
          <w:rFonts w:eastAsia="仿宋_GB2312;仿宋" w:cs="Times New Roman"/>
          <w:color w:val="000000"/>
          <w:kern w:val="0"/>
          <w:sz w:val="24"/>
          <w:szCs w:val="24"/>
        </w:rPr>
        <w:t>12.4.6</w:t>
      </w:r>
      <w:r>
        <w:rPr>
          <w:rFonts w:ascii="Times New Roman" w:hAnsi="Times New Roman" w:eastAsia="仿宋_GB2312;仿宋" w:cs="Times New Roman"/>
          <w:color w:val="000000"/>
          <w:kern w:val="0"/>
          <w:sz w:val="24"/>
          <w:szCs w:val="24"/>
        </w:rPr>
        <w:t>项〔支付分解表〕及第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项〔进度付款申请单的编制〕的约定向监理人提交进度付款申请单。</w:t>
      </w:r>
    </w:p>
    <w:p w14:paraId="25A41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）其他价格形式合同的进度付款申请单的提交</w:t>
      </w:r>
    </w:p>
    <w:p w14:paraId="1A377B0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合同当事人可在专用合同条款中约定其他价格形式合同的进度付款申请单的编制和提交程序。</w:t>
      </w:r>
    </w:p>
    <w:p w14:paraId="30E1BA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.4 </w:t>
      </w:r>
      <w:r>
        <w:rPr>
          <w:rFonts w:ascii="Times New Roman" w:hAnsi="Times New Roman" w:eastAsia="仿宋_GB2312;仿宋" w:cs="Times New Roman"/>
          <w:color w:val="000000"/>
          <w:kern w:val="0"/>
          <w:sz w:val="24"/>
          <w:szCs w:val="24"/>
        </w:rPr>
        <w:t>进度款审核和支付</w:t>
      </w:r>
    </w:p>
    <w:p w14:paraId="66734B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）除专用合同条款另有约定外，监理人应在收到承包人进度付款申请单以及相关资料后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天内完成审批并签发进度款支付证书。发包人逾期未完成审批且未提出异议的，视为已签发进度款支付证书。</w:t>
      </w:r>
    </w:p>
    <w:p w14:paraId="47BE74B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发包人和监理人对承包人的进度付款申请单有异议的，有权要求承包人修正和提供补充资料，承包人应提交修正后的进度付款申请单。监理人应在收到承包人修正后的进度付款申请单及相关资料后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天内完成审查并报送发包人，发包人应在收到监理人报送的进度付款申请单及相关资料后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天内，向承包人签发无异议部分的临时进度款支付证书。存在争议的部分，按照第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4AD8E4D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）除专用合同条款另有约定外，发包人应在进度款支付证书或临时进度款支付证书签发后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天内完成支付，发包人逾期支付进度款的，应按照中国人民银行发布的同期同类贷款基准利率支付违约金。</w:t>
      </w:r>
    </w:p>
    <w:p w14:paraId="087B38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）发包人签发进度款支付证书或临时进度款支付证书，不表明发包人已同意、批准或接受了承包人完成的相应部分的工作。</w:t>
      </w:r>
    </w:p>
    <w:p w14:paraId="4288F28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12.4.5 </w:t>
      </w:r>
      <w:r>
        <w:rPr>
          <w:rFonts w:ascii="Times New Roman" w:hAnsi="Times New Roman" w:eastAsia="仿宋_GB2312;仿宋" w:cs="Times New Roman"/>
          <w:color w:val="000000"/>
          <w:kern w:val="0"/>
          <w:sz w:val="24"/>
          <w:szCs w:val="24"/>
        </w:rPr>
        <w:t>进度付款的修正</w:t>
      </w:r>
    </w:p>
    <w:p w14:paraId="3D941A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在对已签发的进度款支付证书进行阶段汇总和复核中发现错误、遗漏或重复的，发包人和承包人均有权提出修正申请。经发包人和承包人同意的修正，应在下期进度付款中支付或扣除。</w:t>
      </w:r>
    </w:p>
    <w:p w14:paraId="7C244E9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12.4.6 </w:t>
      </w:r>
      <w:r>
        <w:rPr>
          <w:rFonts w:ascii="Times New Roman" w:hAnsi="Times New Roman" w:eastAsia="仿宋_GB2312;仿宋" w:cs="Times New Roman"/>
          <w:color w:val="000000"/>
          <w:kern w:val="0"/>
          <w:sz w:val="24"/>
          <w:szCs w:val="24"/>
        </w:rPr>
        <w:t>支付分解表</w:t>
      </w:r>
    </w:p>
    <w:p w14:paraId="02F9C58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支付分解表的编制要求</w:t>
      </w:r>
    </w:p>
    <w:p w14:paraId="654D2A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）支付分解表中所列的每期付款金额，应为第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）目的估算金额；</w:t>
      </w:r>
    </w:p>
    <w:p w14:paraId="1753E7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）实际进度与施工进度计划不一致的，合同当事人可按照第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款〔商定或确定〕修改支付分解表；</w:t>
      </w:r>
    </w:p>
    <w:p w14:paraId="4EDD54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）不采用支付分解表的，承包人应向发包人和监理人提交按季度编制的支付估算分解表，用于支付参考。</w:t>
      </w:r>
    </w:p>
    <w:p w14:paraId="31E3E08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总价合同支付分解表的编制与审批</w:t>
      </w:r>
    </w:p>
    <w:p w14:paraId="5AFCBC8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）除专用合同条款另有约定外，承包人应根据第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款〔施工进度计划〕约定的施工进度计划、签约合同价和工程量等因素对总价合同按月进行分解，编制支付分解表。承包人应当在收到监理人和发包人批准的施工进度计划后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天内，将支付分解表及编制支付分解表的支持性资料报送监理人。</w:t>
      </w:r>
    </w:p>
    <w:p w14:paraId="37D84C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天内完成审核并报送发包人。发包人应在收到经监理人审核的支付分解表后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天内完成审批，经发包人批准的支付分解表为有约束力的支付分解表。</w:t>
      </w:r>
    </w:p>
    <w:p w14:paraId="055613C3">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）发包人逾期未完成支付分解表审批的，也未及时要求承包人进行修正和提供补充资料的，则承包人提交的支付分解表视为已经获得发包人批准。</w:t>
      </w:r>
    </w:p>
    <w:p w14:paraId="0EAAB38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单价合同的总价项目支付分解表的编制与审批</w:t>
      </w:r>
    </w:p>
    <w:p w14:paraId="5F2B10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3D474AC3">
      <w:pPr>
        <w:pStyle w:val="6"/>
        <w:spacing w:before="120" w:after="120" w:line="360" w:lineRule="auto"/>
        <w:ind w:firstLine="480"/>
        <w:rPr>
          <w:rFonts w:ascii="Times New Roman" w:hAnsi="Times New Roman" w:eastAsia="黑体" w:cs="Times New Roman"/>
          <w:b w:val="0"/>
          <w:color w:val="000000"/>
          <w:sz w:val="24"/>
          <w:szCs w:val="24"/>
        </w:rPr>
      </w:pPr>
      <w:bookmarkStart w:id="124" w:name="__RefHeading___Toc351203585"/>
      <w:bookmarkEnd w:id="124"/>
      <w:r>
        <w:rPr>
          <w:rFonts w:eastAsia="黑体" w:cs="Times New Roman"/>
          <w:b w:val="0"/>
          <w:color w:val="000000"/>
          <w:sz w:val="24"/>
          <w:szCs w:val="24"/>
        </w:rPr>
        <w:t>12.5</w:t>
      </w:r>
      <w:r>
        <w:rPr>
          <w:rFonts w:ascii="Times New Roman" w:hAnsi="Times New Roman" w:eastAsia="黑体" w:cs="Times New Roman"/>
          <w:b w:val="0"/>
          <w:color w:val="000000"/>
          <w:sz w:val="24"/>
          <w:szCs w:val="24"/>
        </w:rPr>
        <w:t>支付账户</w:t>
      </w:r>
    </w:p>
    <w:p w14:paraId="40E489F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发包人应将合同价款支付至合同协议书中约定的承包人账户。</w:t>
      </w:r>
    </w:p>
    <w:p w14:paraId="6DA32474">
      <w:pPr>
        <w:pStyle w:val="5"/>
        <w:spacing w:before="120" w:after="120" w:line="360" w:lineRule="auto"/>
        <w:rPr>
          <w:rFonts w:ascii="Times New Roman" w:hAnsi="Times New Roman" w:eastAsia="黑体" w:cs="Times New Roman"/>
          <w:b w:val="0"/>
          <w:color w:val="000000"/>
          <w:sz w:val="24"/>
          <w:szCs w:val="24"/>
        </w:rPr>
      </w:pPr>
      <w:bookmarkStart w:id="125" w:name="__RefHeading___Toc351203586"/>
      <w:bookmarkEnd w:id="125"/>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5CD312E4">
      <w:pPr>
        <w:pStyle w:val="6"/>
        <w:spacing w:before="120" w:after="120" w:line="360" w:lineRule="auto"/>
        <w:ind w:firstLine="480"/>
        <w:rPr>
          <w:rFonts w:ascii="Times New Roman" w:hAnsi="Times New Roman" w:eastAsia="黑体" w:cs="Times New Roman"/>
          <w:b w:val="0"/>
          <w:color w:val="000000"/>
          <w:sz w:val="24"/>
          <w:szCs w:val="24"/>
        </w:rPr>
      </w:pPr>
      <w:bookmarkStart w:id="126" w:name="__RefHeading___Toc351203587"/>
      <w:bookmarkEnd w:id="126"/>
      <w:r>
        <w:rPr>
          <w:rFonts w:eastAsia="黑体" w:cs="Times New Roman"/>
          <w:b w:val="0"/>
          <w:color w:val="000000"/>
          <w:sz w:val="24"/>
          <w:szCs w:val="24"/>
        </w:rPr>
        <w:t>13.1</w:t>
      </w:r>
      <w:r>
        <w:rPr>
          <w:rFonts w:ascii="Times New Roman" w:hAnsi="Times New Roman" w:eastAsia="黑体" w:cs="Times New Roman"/>
          <w:b w:val="0"/>
          <w:color w:val="000000"/>
          <w:sz w:val="24"/>
          <w:szCs w:val="24"/>
        </w:rPr>
        <w:t>分部分项工程验收</w:t>
      </w:r>
    </w:p>
    <w:p w14:paraId="74CD354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13.1.1 </w:t>
      </w:r>
      <w:r>
        <w:rPr>
          <w:rFonts w:ascii="Times New Roman" w:hAnsi="Times New Roman" w:eastAsia="仿宋_GB2312;仿宋" w:cs="Times New Roman"/>
          <w:color w:val="000000"/>
          <w:sz w:val="24"/>
          <w:szCs w:val="24"/>
        </w:rPr>
        <w:t>分部分项工程质量应符合国家有关工程施工验收规范、标准及合同约定，承包人应按照施工组织设计的要求完成分部分项工程施工。</w:t>
      </w:r>
    </w:p>
    <w:p w14:paraId="668FEF2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13.1.2 </w:t>
      </w:r>
      <w:r>
        <w:rPr>
          <w:rFonts w:ascii="Times New Roman" w:hAnsi="Times New Roman" w:eastAsia="仿宋_GB2312;仿宋" w:cs="Times New Roman"/>
          <w:color w:val="000000"/>
          <w:sz w:val="24"/>
          <w:szCs w:val="24"/>
        </w:rPr>
        <w:t>除专用合同条款另有约定外，分部分项工程经承包人自检合格并具备验收条件的，承包人应提前</w:t>
      </w:r>
      <w:r>
        <w:rPr>
          <w:rFonts w:eastAsia="仿宋_GB2312;仿宋" w:cs="Times New Roman"/>
          <w:color w:val="000000"/>
          <w:sz w:val="24"/>
          <w:szCs w:val="24"/>
        </w:rPr>
        <w:t>48</w:t>
      </w:r>
      <w:r>
        <w:rPr>
          <w:rFonts w:ascii="Times New Roman" w:hAnsi="Times New Roman" w:eastAsia="仿宋_GB2312;仿宋" w:cs="Times New Roman"/>
          <w:color w:val="000000"/>
          <w:sz w:val="24"/>
          <w:szCs w:val="24"/>
        </w:rPr>
        <w:t>小时通知监理人进行验收。</w:t>
      </w:r>
      <w:r>
        <w:rPr>
          <w:rFonts w:ascii="Times New Roman" w:hAnsi="Times New Roman" w:eastAsia="仿宋_GB2312;仿宋" w:cs="Times New Roman"/>
          <w:color w:val="000000"/>
          <w:kern w:val="0"/>
          <w:sz w:val="24"/>
          <w:szCs w:val="24"/>
        </w:rPr>
        <w:t>监理人不能按时进行验收的，应在验收前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小时。监理人未按时进行验收，也未提出延期要求的，承包人有权自行验收，监理人应认可验收结果。</w:t>
      </w:r>
      <w:r>
        <w:rPr>
          <w:rFonts w:ascii="Times New Roman" w:hAnsi="Times New Roman" w:eastAsia="仿宋_GB2312;仿宋" w:cs="Times New Roman"/>
          <w:color w:val="000000"/>
          <w:sz w:val="24"/>
          <w:szCs w:val="24"/>
        </w:rPr>
        <w:t>分部分项工程未经验收的，不得进入下一道工序施工。</w:t>
      </w:r>
    </w:p>
    <w:p w14:paraId="453075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分部分项工程的验收资料应当作为竣工资料的组成部分。</w:t>
      </w:r>
    </w:p>
    <w:p w14:paraId="13F70A17">
      <w:pPr>
        <w:pStyle w:val="6"/>
        <w:spacing w:before="120" w:after="120" w:line="360" w:lineRule="auto"/>
        <w:ind w:firstLine="480"/>
        <w:rPr>
          <w:rFonts w:ascii="Times New Roman" w:hAnsi="Times New Roman" w:eastAsia="黑体" w:cs="Times New Roman"/>
          <w:b w:val="0"/>
          <w:color w:val="000000"/>
          <w:sz w:val="24"/>
          <w:szCs w:val="24"/>
        </w:rPr>
      </w:pPr>
      <w:bookmarkStart w:id="127" w:name="__RefHeading___Toc351203588"/>
      <w:bookmarkEnd w:id="127"/>
      <w:r>
        <w:rPr>
          <w:rFonts w:eastAsia="黑体" w:cs="Times New Roman"/>
          <w:b w:val="0"/>
          <w:color w:val="000000"/>
          <w:sz w:val="24"/>
          <w:szCs w:val="24"/>
        </w:rPr>
        <w:t>13.2</w:t>
      </w:r>
      <w:r>
        <w:rPr>
          <w:rFonts w:ascii="Times New Roman" w:hAnsi="Times New Roman" w:eastAsia="黑体" w:cs="Times New Roman"/>
          <w:b w:val="0"/>
          <w:color w:val="000000"/>
          <w:sz w:val="24"/>
          <w:szCs w:val="24"/>
        </w:rPr>
        <w:t>竣工验收</w:t>
      </w:r>
    </w:p>
    <w:p w14:paraId="1C453C0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13.2.1</w:t>
      </w:r>
      <w:r>
        <w:rPr>
          <w:rFonts w:ascii="Times New Roman" w:hAnsi="Times New Roman" w:eastAsia="仿宋_GB2312;仿宋" w:cs="Times New Roman"/>
          <w:color w:val="000000"/>
          <w:kern w:val="0"/>
          <w:sz w:val="24"/>
          <w:szCs w:val="24"/>
        </w:rPr>
        <w:t>竣工验收条件</w:t>
      </w:r>
    </w:p>
    <w:p w14:paraId="260EFC3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工程具备以下条件的，承包人可以申请竣工验收：</w:t>
      </w:r>
    </w:p>
    <w:p w14:paraId="1FF876E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）除发包人同意的甩项工作和缺陷修补工作外，合同范围内的全部工程以及有关工作，包括合同要求的试验、试运行以及检验均已完成，并符合合同要求；</w:t>
      </w:r>
    </w:p>
    <w:p w14:paraId="43A54B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）已按合同约定编制了甩项工作和缺陷修补工作清单以及相应的施工计划；</w:t>
      </w:r>
    </w:p>
    <w:p w14:paraId="631BB3A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）已按合同约定的内容和份数备齐竣工资料。</w:t>
      </w:r>
    </w:p>
    <w:p w14:paraId="6C3023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13.2.2</w:t>
      </w:r>
      <w:r>
        <w:rPr>
          <w:rFonts w:ascii="Times New Roman" w:hAnsi="Times New Roman" w:eastAsia="仿宋_GB2312;仿宋" w:cs="Times New Roman"/>
          <w:color w:val="000000"/>
          <w:kern w:val="0"/>
          <w:sz w:val="24"/>
          <w:szCs w:val="24"/>
        </w:rPr>
        <w:t>竣工验收程序</w:t>
      </w:r>
    </w:p>
    <w:p w14:paraId="5F703B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除专用合同条款另有约定外，承包人申请竣工验收的，应当按照以下程序进行：</w:t>
      </w:r>
    </w:p>
    <w:p w14:paraId="66FB98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）承包人向监理人报送竣工验收申请报告，监理人应在收到竣工验收申请报告后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天内完成审查并报送发包人。监理人审查后认为尚不具备验收条件的，应通知承包人在竣工验收前承包人还需完成的工作内容，承包人应在完成监理人通知的全部工作内容后，再次提交竣工验收申请报告。</w:t>
      </w:r>
    </w:p>
    <w:p w14:paraId="157A23E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）监理人审查后认为已具备竣工验收条件的，应将竣工验收申请报告提交发包人，发包人应在收到经监理人审核的竣工验收申请报告后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天内审批完毕并组织监理人、承包人、设计人等相关单位完成竣工验收。</w:t>
      </w:r>
    </w:p>
    <w:p w14:paraId="7ED2567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）竣工验收合格的，发包人应在验收合格后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天内向承包人签发工程接收证书。发包人无正当理由逾期不颁发工程接收证书的，自验收合格后第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19A08F6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C8640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）工程未经验收或验收不合格，发包人擅自使用的，应在转移占有工程后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天内向承包人颁发工程接收证书；发包人无正当理由逾期不颁发工程接收证书的，自转移占有后第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3889914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除专用合同条款另有约定外，发包人不按照本项约定组织竣工验收、颁发工程接收证书的，每逾期一天，应以签约合同价为基数，按照中国人民银行发布的同期同类贷款基准利率支付违约金。</w:t>
      </w:r>
    </w:p>
    <w:p w14:paraId="2CF4D4C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竣工日期</w:t>
      </w:r>
    </w:p>
    <w:p w14:paraId="4587C64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工程经竣工验收合格的，以承包人提交竣工验收申请报告之日为实际竣工日期，并在工程接收证书中载明；因发包人原因，未在监理人收到承包人提交的竣工验收申请报告</w:t>
      </w:r>
      <w:r>
        <w:rPr>
          <w:rFonts w:eastAsia="仿宋_GB2312;仿宋" w:cs="Times New Roman"/>
          <w:color w:val="000000"/>
          <w:kern w:val="0"/>
          <w:sz w:val="24"/>
          <w:szCs w:val="24"/>
        </w:rPr>
        <w:t>42</w:t>
      </w:r>
      <w:r>
        <w:rPr>
          <w:rFonts w:ascii="Times New Roman" w:hAnsi="Times New Roman" w:eastAsia="仿宋_GB2312;仿宋" w:cs="Times New Roman"/>
          <w:color w:val="000000"/>
          <w:kern w:val="0"/>
          <w:sz w:val="24"/>
          <w:szCs w:val="24"/>
        </w:rPr>
        <w:t>天内完成竣工验收，或完成竣工验收不予签发工程接收证书的，以提交竣工验</w:t>
      </w:r>
      <w:bookmarkStart w:id="128" w:name="%23go14"/>
      <w:bookmarkEnd w:id="128"/>
      <w:r>
        <w:rPr>
          <w:rFonts w:ascii="Times New Roman" w:hAnsi="Times New Roman" w:eastAsia="仿宋_GB2312;仿宋" w:cs="Times New Roman"/>
          <w:color w:val="000000"/>
          <w:kern w:val="0"/>
          <w:sz w:val="24"/>
          <w:szCs w:val="24"/>
        </w:rPr>
        <w:t>收申请报告的日期为实际竣工日期；工程未经竣工验收，发包人擅自使用的，以转移占有工程之日为实际竣工日期。</w:t>
      </w:r>
    </w:p>
    <w:p w14:paraId="57A5DD0E">
      <w:pPr>
        <w:numPr>
          <w:ilvl w:val="0"/>
          <w:numId w:val="0"/>
        </w:numPr>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13.2.4 </w:t>
      </w:r>
      <w:r>
        <w:rPr>
          <w:rFonts w:ascii="Times New Roman" w:hAnsi="Times New Roman" w:eastAsia="仿宋_GB2312;仿宋" w:cs="Times New Roman"/>
          <w:color w:val="000000"/>
          <w:kern w:val="0"/>
          <w:sz w:val="24"/>
          <w:szCs w:val="24"/>
        </w:rPr>
        <w:t>拒绝接收全部或部分工程</w:t>
      </w:r>
    </w:p>
    <w:p w14:paraId="14463D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79A6A4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13.2.5 </w:t>
      </w:r>
      <w:r>
        <w:rPr>
          <w:rFonts w:ascii="Times New Roman" w:hAnsi="Times New Roman" w:eastAsia="仿宋_GB2312;仿宋" w:cs="Times New Roman"/>
          <w:color w:val="000000"/>
          <w:kern w:val="0"/>
          <w:sz w:val="24"/>
          <w:szCs w:val="24"/>
        </w:rPr>
        <w:t>移交、接收全部与部分工程</w:t>
      </w:r>
    </w:p>
    <w:p w14:paraId="60AE2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除专用合同条款另有约定外，合同当事人应当在颁发工程接收证书后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天内完成工程的移交。</w:t>
      </w:r>
    </w:p>
    <w:p w14:paraId="072DF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发包人无正当理由不接收工程的，发包人自应当接收工程之日起，承担工程照管、成品保护、保管等与工程有关的各项费用，合同当事人可以在专用合同条款中另行约定发包人逾期接收工程的违约责任。</w:t>
      </w:r>
    </w:p>
    <w:p w14:paraId="30BE3DD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承包人无正当理由不移交工程的，承包人应承担工程照管、成品保护、保管等与工程有关的各项费用，合同当事人可以在专用合同条款中另行约定承包人无正当理由不移交工程的违约责任。</w:t>
      </w:r>
    </w:p>
    <w:p w14:paraId="409BE90A">
      <w:pPr>
        <w:pStyle w:val="6"/>
        <w:spacing w:before="120" w:after="120" w:line="360" w:lineRule="auto"/>
        <w:ind w:firstLine="480"/>
        <w:rPr>
          <w:rFonts w:ascii="Times New Roman" w:hAnsi="Times New Roman" w:eastAsia="黑体" w:cs="Times New Roman"/>
          <w:b w:val="0"/>
          <w:color w:val="000000"/>
          <w:sz w:val="24"/>
          <w:szCs w:val="24"/>
        </w:rPr>
      </w:pPr>
      <w:bookmarkStart w:id="129" w:name="__RefHeading___Toc351203589"/>
      <w:bookmarkEnd w:id="129"/>
      <w:r>
        <w:rPr>
          <w:rFonts w:eastAsia="黑体" w:cs="Times New Roman"/>
          <w:b w:val="0"/>
          <w:color w:val="000000"/>
          <w:sz w:val="24"/>
          <w:szCs w:val="24"/>
        </w:rPr>
        <w:t>13.3</w:t>
      </w:r>
      <w:r>
        <w:rPr>
          <w:rFonts w:ascii="Times New Roman" w:hAnsi="Times New Roman" w:eastAsia="黑体" w:cs="Times New Roman"/>
          <w:b w:val="0"/>
          <w:color w:val="000000"/>
          <w:sz w:val="24"/>
          <w:szCs w:val="24"/>
        </w:rPr>
        <w:t>工程试车</w:t>
      </w:r>
    </w:p>
    <w:p w14:paraId="46F1A7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13.3.1</w:t>
      </w:r>
      <w:r>
        <w:rPr>
          <w:rFonts w:ascii="Times New Roman" w:hAnsi="Times New Roman" w:eastAsia="仿宋_GB2312;仿宋" w:cs="Times New Roman"/>
          <w:color w:val="000000"/>
          <w:kern w:val="0"/>
          <w:sz w:val="24"/>
          <w:szCs w:val="24"/>
        </w:rPr>
        <w:t>试车程序</w:t>
      </w:r>
    </w:p>
    <w:p w14:paraId="1A03069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工程需要试车的，除专用合同条款另有约定外，试车内容应与承包人承包范围相一致，试车费用由承包人承担。工程试车应按如下程序进行：</w:t>
      </w:r>
    </w:p>
    <w:p w14:paraId="5DEA37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）具备单机无负荷试车条件，承包人组织试车，并在试车前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通知中应载明试车内容、时间、地点。承包人准备试车记录，发包人根据承包人要求为试车提供必要条件。试车合格的，监理人在试车记录上签字。监理人在试车合格后不在试车记录上签字，自试车结束满</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小时后视为监理人已经认可试车记录，承包人可继续施工或办理竣工验收手续。</w:t>
      </w:r>
    </w:p>
    <w:p w14:paraId="606B432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监理人不能按时参加试车，应在试车前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小时以书面形式向承包人提出延期要求，但延期不能超过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小时，由此导致工期延误的，工期应予以顺延。监理人未能在前述期限内提出延期要求，又不参加试车的，视为认可试车记录。</w:t>
      </w:r>
    </w:p>
    <w:p w14:paraId="1592D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）具备无负荷联动试车条件，发包人组织试车，并在试车前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以书面形式通知承包人。通知中应载明试车内容、时间、地点和对承包人的要求，承包人按要求做好准备工作。试车合格，合同当事人在试车记录上签字。承包人无正当理由不参加试车的，视为认可试车记录。</w:t>
      </w:r>
    </w:p>
    <w:p w14:paraId="07AA72C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13.3.2 </w:t>
      </w:r>
      <w:r>
        <w:rPr>
          <w:rFonts w:ascii="Times New Roman" w:hAnsi="Times New Roman" w:eastAsia="仿宋_GB2312;仿宋" w:cs="Times New Roman"/>
          <w:color w:val="000000"/>
          <w:kern w:val="0"/>
          <w:sz w:val="24"/>
          <w:szCs w:val="24"/>
        </w:rPr>
        <w:t>试车中的责任</w:t>
      </w:r>
    </w:p>
    <w:p w14:paraId="714E98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1653472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E5509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69FD1E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如需进行投料试车的，发包人应在工程竣工验收后组织投料试车。发包人要求在工程竣工验收前进行或需要承包人配合时，应征得承包人同意，并在专用合同条款中约定有关事项。</w:t>
      </w:r>
    </w:p>
    <w:p w14:paraId="43FB5E7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32BF1B42">
      <w:pPr>
        <w:pStyle w:val="6"/>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130" w:name="__RefHeading___Toc351203590"/>
      <w:r>
        <w:rPr>
          <w:rFonts w:eastAsia="黑体" w:cs="Times New Roman"/>
          <w:b w:val="0"/>
          <w:color w:val="000000"/>
          <w:sz w:val="24"/>
          <w:szCs w:val="24"/>
        </w:rPr>
        <w:t>13.4</w:t>
      </w:r>
      <w:r>
        <w:rPr>
          <w:rFonts w:ascii="Times New Roman" w:hAnsi="Times New Roman" w:eastAsia="黑体" w:cs="Times New Roman"/>
          <w:b w:val="0"/>
          <w:color w:val="000000"/>
          <w:sz w:val="24"/>
          <w:szCs w:val="24"/>
        </w:rPr>
        <w:t>提前交付单位工程的验收</w:t>
      </w:r>
      <w:bookmarkEnd w:id="130"/>
    </w:p>
    <w:p w14:paraId="7C60FB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13.4.1 </w:t>
      </w:r>
      <w:r>
        <w:rPr>
          <w:rFonts w:ascii="Times New Roman" w:hAnsi="Times New Roman" w:eastAsia="仿宋_GB2312;仿宋" w:cs="Times New Roman"/>
          <w:color w:val="000000"/>
          <w:kern w:val="0"/>
          <w:sz w:val="24"/>
          <w:szCs w:val="24"/>
        </w:rPr>
        <w:t>发包人需要在工程竣工前使用单位工程的，或承包人提出提前交付已经竣工的单位工程且经发包人同意的，可进行单位工程验收，验收的程序按照第</w:t>
      </w:r>
      <w:r>
        <w:rPr>
          <w:rFonts w:eastAsia="仿宋_GB2312;仿宋" w:cs="Times New Roman"/>
          <w:color w:val="000000"/>
          <w:kern w:val="0"/>
          <w:sz w:val="24"/>
          <w:szCs w:val="24"/>
        </w:rPr>
        <w:t>13.2</w:t>
      </w:r>
      <w:r>
        <w:rPr>
          <w:rFonts w:ascii="Times New Roman" w:hAnsi="Times New Roman" w:eastAsia="仿宋_GB2312;仿宋" w:cs="Times New Roman"/>
          <w:color w:val="000000"/>
          <w:kern w:val="0"/>
          <w:sz w:val="24"/>
          <w:szCs w:val="24"/>
        </w:rPr>
        <w:t>款〔竣工验收〕的约定进行。</w:t>
      </w:r>
    </w:p>
    <w:p w14:paraId="022BD41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验收合格后，由监理人向承包人出具经发包人签认的单位工程接收证书。已签发单位工程接收证书的单位工程由发包人负责照管。单位工程的验收成果和结论作为整体工程竣工验收申请报告的附件。</w:t>
      </w:r>
    </w:p>
    <w:p w14:paraId="423D47C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13.4.2 </w:t>
      </w:r>
      <w:r>
        <w:rPr>
          <w:rFonts w:ascii="Times New Roman" w:hAnsi="Times New Roman" w:eastAsia="仿宋_GB2312;仿宋" w:cs="Times New Roman"/>
          <w:color w:val="000000"/>
          <w:kern w:val="0"/>
          <w:sz w:val="24"/>
          <w:szCs w:val="24"/>
        </w:rPr>
        <w:t>发包人要求在工程竣工前交付单位工程，由此导致承包人费用增加和（或）工期延误的，由发包人承担由此增加的费用和（或）延误的工期，并支付承包人合理的利润。</w:t>
      </w:r>
    </w:p>
    <w:p w14:paraId="460AD4F2">
      <w:pPr>
        <w:pStyle w:val="6"/>
        <w:spacing w:before="120" w:after="120" w:line="360" w:lineRule="auto"/>
        <w:ind w:firstLine="480"/>
        <w:rPr>
          <w:rFonts w:ascii="Times New Roman" w:hAnsi="Times New Roman" w:eastAsia="黑体" w:cs="Times New Roman"/>
          <w:b w:val="0"/>
          <w:color w:val="000000"/>
          <w:sz w:val="24"/>
          <w:szCs w:val="24"/>
        </w:rPr>
      </w:pPr>
      <w:bookmarkStart w:id="131" w:name="__RefHeading___Toc351203591"/>
      <w:bookmarkEnd w:id="131"/>
      <w:r>
        <w:rPr>
          <w:rFonts w:eastAsia="黑体" w:cs="Times New Roman"/>
          <w:b w:val="0"/>
          <w:color w:val="000000"/>
          <w:sz w:val="24"/>
          <w:szCs w:val="24"/>
        </w:rPr>
        <w:t xml:space="preserve">13.5 </w:t>
      </w:r>
      <w:r>
        <w:rPr>
          <w:rFonts w:ascii="Times New Roman" w:hAnsi="Times New Roman" w:eastAsia="黑体" w:cs="Times New Roman"/>
          <w:b w:val="0"/>
          <w:color w:val="000000"/>
          <w:sz w:val="24"/>
          <w:szCs w:val="24"/>
        </w:rPr>
        <w:t>施工期运行</w:t>
      </w:r>
    </w:p>
    <w:p w14:paraId="639E6B0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13.5.1 </w:t>
      </w:r>
      <w:r>
        <w:rPr>
          <w:rFonts w:ascii="Times New Roman" w:hAnsi="Times New Roman" w:eastAsia="仿宋_GB2312;仿宋" w:cs="Times New Roman"/>
          <w:color w:val="000000"/>
          <w:kern w:val="0"/>
          <w:sz w:val="24"/>
          <w:szCs w:val="24"/>
        </w:rPr>
        <w:t>施工期运行是指合同工程尚未全部竣工，其中某项或某几项单位工程或工程设备安装已竣工，根据专用合同条款约定，需要投入施工期运行的，经发包人按第</w:t>
      </w:r>
      <w:r>
        <w:rPr>
          <w:rFonts w:eastAsia="仿宋_GB2312;仿宋" w:cs="Times New Roman"/>
          <w:color w:val="000000"/>
          <w:kern w:val="0"/>
          <w:sz w:val="24"/>
          <w:szCs w:val="24"/>
        </w:rPr>
        <w:t>13.4</w:t>
      </w:r>
      <w:r>
        <w:rPr>
          <w:rFonts w:ascii="Times New Roman" w:hAnsi="Times New Roman" w:eastAsia="仿宋_GB2312;仿宋" w:cs="Times New Roman"/>
          <w:color w:val="000000"/>
          <w:kern w:val="0"/>
          <w:sz w:val="24"/>
          <w:szCs w:val="24"/>
        </w:rPr>
        <w:t>款〔提前交付单位工程的验收〕的约定验收合格，证明能确保安全后，才能在施工期投入运行。</w:t>
      </w:r>
    </w:p>
    <w:p w14:paraId="605FD5E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13.5.2 </w:t>
      </w:r>
      <w:r>
        <w:rPr>
          <w:rFonts w:ascii="Times New Roman" w:hAnsi="Times New Roman" w:eastAsia="仿宋_GB2312;仿宋" w:cs="Times New Roman"/>
          <w:color w:val="000000"/>
          <w:kern w:val="0"/>
          <w:sz w:val="24"/>
          <w:szCs w:val="24"/>
        </w:rPr>
        <w:t>在施工期运行中发现工程或工程设备损坏或存在缺陷的，由承包人按第</w:t>
      </w:r>
      <w:r>
        <w:rPr>
          <w:rFonts w:eastAsia="仿宋_GB2312;仿宋" w:cs="Times New Roman"/>
          <w:color w:val="000000"/>
          <w:kern w:val="0"/>
          <w:sz w:val="24"/>
          <w:szCs w:val="24"/>
        </w:rPr>
        <w:t>15.2</w:t>
      </w:r>
      <w:r>
        <w:rPr>
          <w:rFonts w:ascii="Times New Roman" w:hAnsi="Times New Roman" w:eastAsia="仿宋_GB2312;仿宋" w:cs="Times New Roman"/>
          <w:color w:val="000000"/>
          <w:kern w:val="0"/>
          <w:sz w:val="24"/>
          <w:szCs w:val="24"/>
        </w:rPr>
        <w:t>款〔缺陷责任期〕约定进行修复。</w:t>
      </w:r>
    </w:p>
    <w:p w14:paraId="70E74529">
      <w:pPr>
        <w:pStyle w:val="6"/>
        <w:spacing w:before="120" w:after="120" w:line="360" w:lineRule="auto"/>
        <w:ind w:firstLine="480"/>
        <w:rPr>
          <w:rFonts w:ascii="Times New Roman" w:hAnsi="Times New Roman" w:eastAsia="黑体" w:cs="Times New Roman"/>
          <w:b w:val="0"/>
          <w:color w:val="000000"/>
          <w:sz w:val="24"/>
          <w:szCs w:val="24"/>
        </w:rPr>
      </w:pPr>
      <w:bookmarkStart w:id="132" w:name="__RefHeading___Toc351203592"/>
      <w:bookmarkEnd w:id="132"/>
      <w:r>
        <w:rPr>
          <w:rFonts w:eastAsia="黑体" w:cs="Times New Roman"/>
          <w:b w:val="0"/>
          <w:color w:val="000000"/>
          <w:sz w:val="24"/>
          <w:szCs w:val="24"/>
        </w:rPr>
        <w:t xml:space="preserve">13.6 </w:t>
      </w:r>
      <w:r>
        <w:rPr>
          <w:rFonts w:ascii="Times New Roman" w:hAnsi="Times New Roman" w:eastAsia="黑体" w:cs="Times New Roman"/>
          <w:b w:val="0"/>
          <w:color w:val="000000"/>
          <w:sz w:val="24"/>
          <w:szCs w:val="24"/>
        </w:rPr>
        <w:t>竣工退场</w:t>
      </w:r>
    </w:p>
    <w:p w14:paraId="0220638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78A9E8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颁发工程接收证书后，承包人应按以下要求对施工现场进行清理：</w:t>
      </w:r>
    </w:p>
    <w:p w14:paraId="4B08CE3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）施工现场内残留的垃圾已全部清除出场；</w:t>
      </w:r>
    </w:p>
    <w:p w14:paraId="079DB9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）临时工程已拆除，场地已进行清理、平整或复原；</w:t>
      </w:r>
    </w:p>
    <w:p w14:paraId="6E936AE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）按合同约定应撤离的人员、承包人施工设备和剩余的材料，包括废弃的施工设备和材料，已按计划撤离施工现场；</w:t>
      </w:r>
    </w:p>
    <w:p w14:paraId="54331DA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）施工现场周边及其附近道路、河道的施工堆积物，已全部清理；</w:t>
      </w:r>
    </w:p>
    <w:p w14:paraId="4787954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）施工现场其他场地清理工作已全部完成。</w:t>
      </w:r>
    </w:p>
    <w:p w14:paraId="2C753C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08A5CE9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13.6.2 </w:t>
      </w:r>
      <w:r>
        <w:rPr>
          <w:rFonts w:ascii="Times New Roman" w:hAnsi="Times New Roman" w:eastAsia="仿宋_GB2312;仿宋" w:cs="Times New Roman"/>
          <w:color w:val="000000"/>
          <w:kern w:val="0"/>
          <w:sz w:val="24"/>
          <w:szCs w:val="24"/>
        </w:rPr>
        <w:t>地表还原</w:t>
      </w:r>
    </w:p>
    <w:p w14:paraId="5A5D8CF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承包人应按发包人要求恢复临时占地及清理场地，承包人未按发包人的要求恢复临时占地，或者场地清理未达到合同约定要求的，发包人有权委托其他人恢复或清理，所发生的费用由承包人承担。</w:t>
      </w:r>
    </w:p>
    <w:p w14:paraId="231AB7C2">
      <w:pPr>
        <w:pStyle w:val="5"/>
        <w:spacing w:before="120" w:after="120" w:line="360" w:lineRule="auto"/>
        <w:rPr>
          <w:rFonts w:ascii="Times New Roman" w:hAnsi="Times New Roman" w:eastAsia="黑体" w:cs="Times New Roman"/>
          <w:b w:val="0"/>
          <w:color w:val="000000"/>
          <w:sz w:val="24"/>
          <w:szCs w:val="24"/>
        </w:rPr>
      </w:pPr>
      <w:bookmarkStart w:id="133" w:name="__RefHeading___Toc351203593"/>
      <w:bookmarkEnd w:id="133"/>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065F50A2">
      <w:pPr>
        <w:pStyle w:val="6"/>
        <w:spacing w:before="120" w:after="120" w:line="360" w:lineRule="auto"/>
        <w:ind w:firstLine="480"/>
        <w:rPr>
          <w:rFonts w:ascii="Times New Roman" w:hAnsi="Times New Roman" w:eastAsia="黑体" w:cs="Times New Roman"/>
          <w:b w:val="0"/>
          <w:color w:val="000000"/>
          <w:sz w:val="24"/>
          <w:szCs w:val="24"/>
        </w:rPr>
      </w:pPr>
      <w:bookmarkStart w:id="134" w:name="__RefHeading___Toc351203594"/>
      <w:bookmarkEnd w:id="134"/>
      <w:r>
        <w:rPr>
          <w:rFonts w:eastAsia="黑体" w:cs="Times New Roman"/>
          <w:b w:val="0"/>
          <w:color w:val="000000"/>
          <w:sz w:val="24"/>
          <w:szCs w:val="24"/>
        </w:rPr>
        <w:t xml:space="preserve">14.1 </w:t>
      </w:r>
      <w:r>
        <w:rPr>
          <w:rFonts w:ascii="Times New Roman" w:hAnsi="Times New Roman" w:eastAsia="黑体" w:cs="Times New Roman"/>
          <w:b w:val="0"/>
          <w:color w:val="000000"/>
          <w:sz w:val="24"/>
          <w:szCs w:val="24"/>
        </w:rPr>
        <w:t>竣工结算申请</w:t>
      </w:r>
    </w:p>
    <w:p w14:paraId="30ADD89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除专用合同条款另有约定外，</w:t>
      </w:r>
      <w:r>
        <w:rPr>
          <w:rFonts w:ascii="Times New Roman" w:hAnsi="Times New Roman" w:eastAsia="仿宋_GB2312;仿宋" w:cs="Times New Roman"/>
          <w:color w:val="000000"/>
          <w:sz w:val="24"/>
          <w:szCs w:val="24"/>
        </w:rPr>
        <w:t>承包人应在工程竣工验收合格后</w:t>
      </w:r>
      <w:r>
        <w:rPr>
          <w:rFonts w:eastAsia="仿宋_GB2312;仿宋" w:cs="Times New Roman"/>
          <w:color w:val="000000"/>
          <w:sz w:val="24"/>
          <w:szCs w:val="24"/>
        </w:rPr>
        <w:t>28</w:t>
      </w:r>
      <w:r>
        <w:rPr>
          <w:rFonts w:ascii="Times New Roman" w:hAnsi="Times New Roman" w:eastAsia="仿宋_GB2312;仿宋" w:cs="Times New Roman"/>
          <w:color w:val="000000"/>
          <w:sz w:val="24"/>
          <w:szCs w:val="24"/>
        </w:rPr>
        <w:t>天内向发包人和监理人提交竣工结算申请单，并提交完整的结算资料，有关竣工结算申请单的资料清单和份数等要求由合同当事人在专用合同条款中约定。</w:t>
      </w:r>
    </w:p>
    <w:p w14:paraId="50B069ED">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除专用合同条款另有约定外，竣工结算申请单应包括以下内容：</w:t>
      </w:r>
    </w:p>
    <w:p w14:paraId="75C9CD35">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）竣工结算合同价格；</w:t>
      </w:r>
    </w:p>
    <w:p w14:paraId="41D7868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）发包人已支付承包人的款项；</w:t>
      </w:r>
    </w:p>
    <w:p w14:paraId="45B5203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）应扣留的质量保证金</w:t>
      </w:r>
      <w:r>
        <w:rPr>
          <w:rFonts w:eastAsia="仿宋_GB2312;仿宋"/>
          <w:color w:val="000000"/>
          <w:sz w:val="24"/>
          <w:szCs w:val="24"/>
        </w:rPr>
        <w:t>。已缴纳履约保证金的或提供其他工程质量担保方式的除外</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363A4B0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）发包人应支付承包人的合同价款。</w:t>
      </w:r>
    </w:p>
    <w:p w14:paraId="481AB076">
      <w:pPr>
        <w:pStyle w:val="6"/>
        <w:spacing w:before="120" w:after="120" w:line="360" w:lineRule="auto"/>
        <w:ind w:firstLine="480"/>
        <w:rPr>
          <w:rFonts w:ascii="Times New Roman" w:hAnsi="Times New Roman" w:eastAsia="黑体" w:cs="Times New Roman"/>
          <w:b w:val="0"/>
          <w:color w:val="000000"/>
          <w:sz w:val="24"/>
          <w:szCs w:val="24"/>
        </w:rPr>
      </w:pPr>
      <w:bookmarkStart w:id="135" w:name="__RefHeading___Toc351203595"/>
      <w:bookmarkEnd w:id="135"/>
      <w:r>
        <w:rPr>
          <w:rFonts w:eastAsia="黑体" w:cs="Times New Roman"/>
          <w:b w:val="0"/>
          <w:color w:val="000000"/>
          <w:sz w:val="24"/>
          <w:szCs w:val="24"/>
        </w:rPr>
        <w:t xml:space="preserve">14.2 </w:t>
      </w:r>
      <w:r>
        <w:rPr>
          <w:rFonts w:ascii="Times New Roman" w:hAnsi="Times New Roman" w:eastAsia="黑体" w:cs="Times New Roman"/>
          <w:b w:val="0"/>
          <w:color w:val="000000"/>
          <w:sz w:val="24"/>
          <w:szCs w:val="24"/>
        </w:rPr>
        <w:t>竣工结算审核</w:t>
      </w:r>
    </w:p>
    <w:p w14:paraId="48D750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天内完成核查并报送发包人。发包人应在收到监理人提交的经审核的竣工结算申请单后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天内完成审批，并由监理人向承包人签发经发包人签认的竣工付款证书。监理人或</w:t>
      </w:r>
      <w:r>
        <w:rPr>
          <w:rFonts w:ascii="Times New Roman" w:hAnsi="Times New Roman" w:eastAsia="仿宋_GB2312;仿宋" w:cs="Times New Roman"/>
          <w:color w:val="000000"/>
          <w:sz w:val="24"/>
          <w:szCs w:val="24"/>
        </w:rPr>
        <w:t>发包人对竣工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申请单有异议的，有权要求承包人进行修正和提供补充资料，承包人应提交修正后的竣工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w:t>
      </w:r>
    </w:p>
    <w:p w14:paraId="4505B7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发包人在收到承包人提交竣工结算申请书后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天内未完成审批且未提出异议的，视为发包人认可承包人提交的竣工结算申请单，并自发包人收到承包人提交的竣工结算申请单后第</w:t>
      </w:r>
      <w:r>
        <w:rPr>
          <w:rFonts w:eastAsia="仿宋_GB2312;仿宋" w:cs="Times New Roman"/>
          <w:color w:val="000000"/>
          <w:kern w:val="0"/>
          <w:sz w:val="24"/>
          <w:szCs w:val="24"/>
        </w:rPr>
        <w:t>29</w:t>
      </w:r>
      <w:r>
        <w:rPr>
          <w:rFonts w:ascii="Times New Roman" w:hAnsi="Times New Roman" w:eastAsia="仿宋_GB2312;仿宋" w:cs="Times New Roman"/>
          <w:color w:val="000000"/>
          <w:kern w:val="0"/>
          <w:sz w:val="24"/>
          <w:szCs w:val="24"/>
        </w:rPr>
        <w:t>天起视为已签发竣工付款证书。</w:t>
      </w:r>
    </w:p>
    <w:p w14:paraId="182EB1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）除专用合同条款另有约定外，发包人应在签发竣工付款证书后的</w:t>
      </w:r>
      <w:r>
        <w:rPr>
          <w:rFonts w:eastAsia="仿宋_GB2312;仿宋" w:cs="Times New Roman"/>
          <w:color w:val="000000"/>
          <w:kern w:val="0"/>
          <w:sz w:val="24"/>
          <w:szCs w:val="24"/>
        </w:rPr>
        <w:t xml:space="preserve">14 </w:t>
      </w:r>
      <w:r>
        <w:rPr>
          <w:rFonts w:ascii="Times New Roman" w:hAnsi="Times New Roman" w:eastAsia="仿宋_GB2312;仿宋" w:cs="Times New Roman"/>
          <w:color w:val="000000"/>
          <w:kern w:val="0"/>
          <w:sz w:val="24"/>
          <w:szCs w:val="24"/>
        </w:rPr>
        <w:t>天内，完成对承包人的竣工付款。发包人逾期支付的，按照中国人民银行发布的同期同类贷款基准利率支付违约金；逾期支付超过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523771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）承包人对发包人签认的竣工付款证书有异议的，对于有异议部分应在收到发包人签认的竣工付款证书后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天内提出异议，并由合同当事人按照专用合同条款约定的方式和程序进行复核，或按照第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条〔争议解决〕约定处理。对于无异议部分，发包人应签发临时竣工付款证书，并按本款第（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）项完成付款。承包人逾期未提出异议的，视为认可发包人的审批结果。</w:t>
      </w:r>
    </w:p>
    <w:p w14:paraId="5E4C21BD">
      <w:pPr>
        <w:pStyle w:val="6"/>
        <w:spacing w:before="120" w:after="120" w:line="360" w:lineRule="auto"/>
        <w:ind w:firstLine="480"/>
        <w:rPr>
          <w:rFonts w:ascii="Times New Roman" w:hAnsi="Times New Roman" w:eastAsia="黑体" w:cs="Times New Roman"/>
          <w:b w:val="0"/>
          <w:color w:val="000000"/>
          <w:sz w:val="24"/>
          <w:szCs w:val="24"/>
        </w:rPr>
      </w:pPr>
      <w:bookmarkStart w:id="136" w:name="__RefHeading___Toc351203596"/>
      <w:bookmarkEnd w:id="136"/>
      <w:r>
        <w:rPr>
          <w:rFonts w:eastAsia="黑体" w:cs="Times New Roman"/>
          <w:b w:val="0"/>
          <w:color w:val="000000"/>
          <w:sz w:val="24"/>
          <w:szCs w:val="24"/>
        </w:rPr>
        <w:t xml:space="preserve">14.3 </w:t>
      </w:r>
      <w:r>
        <w:rPr>
          <w:rFonts w:ascii="Times New Roman" w:hAnsi="Times New Roman" w:eastAsia="黑体" w:cs="Times New Roman"/>
          <w:b w:val="0"/>
          <w:color w:val="000000"/>
          <w:sz w:val="24"/>
          <w:szCs w:val="24"/>
        </w:rPr>
        <w:t>甩项竣工协议</w:t>
      </w:r>
    </w:p>
    <w:p w14:paraId="366F34BA">
      <w:pPr>
        <w:autoSpaceDE w:val="0"/>
        <w:spacing w:line="360" w:lineRule="auto"/>
        <w:ind w:firstLine="47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sz w:val="24"/>
          <w:szCs w:val="24"/>
        </w:rPr>
        <w:t>发包人要求甩项竣工的，合同当事人应签订甩项竣工协议。在甩项竣工协议中应明确，合同当事人按照第</w:t>
      </w:r>
      <w:r>
        <w:rPr>
          <w:rFonts w:eastAsia="仿宋_GB2312;仿宋" w:cs="Times New Roman"/>
          <w:sz w:val="24"/>
          <w:szCs w:val="24"/>
        </w:rPr>
        <w:t>14.1</w:t>
      </w:r>
      <w:r>
        <w:rPr>
          <w:rFonts w:ascii="Times New Roman" w:hAnsi="Times New Roman" w:eastAsia="仿宋_GB2312;仿宋" w:cs="Times New Roman"/>
          <w:sz w:val="24"/>
          <w:szCs w:val="24"/>
        </w:rPr>
        <w:t>款〔竣工结算申请〕及</w:t>
      </w:r>
      <w:r>
        <w:rPr>
          <w:rFonts w:eastAsia="仿宋_GB2312;仿宋" w:cs="Times New Roman"/>
          <w:sz w:val="24"/>
          <w:szCs w:val="24"/>
        </w:rPr>
        <w:t>14.2</w:t>
      </w:r>
      <w:r>
        <w:rPr>
          <w:rFonts w:ascii="Times New Roman" w:hAnsi="Times New Roman" w:eastAsia="仿宋_GB2312;仿宋" w:cs="Times New Roman"/>
          <w:sz w:val="24"/>
          <w:szCs w:val="24"/>
        </w:rPr>
        <w:t>款〔竣工结算审核〕的约定，对已完合格工程进行结算，并支付相应合同价款。</w:t>
      </w:r>
    </w:p>
    <w:p w14:paraId="0D8B1E2A">
      <w:pPr>
        <w:pStyle w:val="6"/>
        <w:spacing w:before="120" w:after="120" w:line="360" w:lineRule="auto"/>
        <w:ind w:firstLine="480"/>
        <w:rPr>
          <w:rFonts w:ascii="Times New Roman" w:hAnsi="Times New Roman" w:eastAsia="黑体" w:cs="Times New Roman"/>
          <w:b w:val="0"/>
          <w:color w:val="000000"/>
          <w:sz w:val="24"/>
          <w:szCs w:val="24"/>
        </w:rPr>
      </w:pPr>
      <w:bookmarkStart w:id="137" w:name="__RefHeading___Toc351203597"/>
      <w:bookmarkEnd w:id="137"/>
      <w:r>
        <w:rPr>
          <w:rFonts w:eastAsia="黑体" w:cs="Times New Roman"/>
          <w:b w:val="0"/>
          <w:color w:val="000000"/>
          <w:sz w:val="24"/>
          <w:szCs w:val="24"/>
        </w:rPr>
        <w:t xml:space="preserve">14.4 </w:t>
      </w:r>
      <w:r>
        <w:rPr>
          <w:rFonts w:ascii="Times New Roman" w:hAnsi="Times New Roman" w:eastAsia="黑体" w:cs="Times New Roman"/>
          <w:b w:val="0"/>
          <w:color w:val="000000"/>
          <w:sz w:val="24"/>
          <w:szCs w:val="24"/>
        </w:rPr>
        <w:t>最终结清</w:t>
      </w:r>
    </w:p>
    <w:p w14:paraId="7FF820D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728016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）除专用合同条款另有约定外，承包人应在缺陷责任期终止证书颁发后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天内，按专用合同条款约定的份数向发包人提交最终结清申请单，并提供相关证明材料。</w:t>
      </w:r>
    </w:p>
    <w:p w14:paraId="135BB5A7">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w:t>
      </w:r>
      <w:r>
        <w:rPr>
          <w:rFonts w:ascii="Times New Roman" w:hAnsi="Times New Roman" w:eastAsia="仿宋_GB2312;仿宋" w:cs="Times New Roman"/>
          <w:color w:val="000000"/>
          <w:kern w:val="0"/>
          <w:sz w:val="24"/>
          <w:szCs w:val="24"/>
        </w:rPr>
        <w:t>最终结清申请单</w:t>
      </w:r>
      <w:r>
        <w:rPr>
          <w:rFonts w:ascii="Times New Roman" w:hAnsi="Times New Roman" w:eastAsia="仿宋_GB2312;仿宋" w:cs="Times New Roman"/>
          <w:color w:val="000000"/>
          <w:sz w:val="24"/>
          <w:szCs w:val="24"/>
        </w:rPr>
        <w:t>应列明质量保证金、应扣除的质量保证金、缺陷责任期内发生的增减费用。</w:t>
      </w:r>
    </w:p>
    <w:p w14:paraId="7E3207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）发包人对最终结清申请单内容有异议的，有权要求承包人进行修正和提供补充资料，承包人应向发包人提交修正后的最终结清申请单。</w:t>
      </w:r>
    </w:p>
    <w:p w14:paraId="196C898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14.4.2 </w:t>
      </w:r>
      <w:r>
        <w:rPr>
          <w:rFonts w:ascii="Times New Roman" w:hAnsi="Times New Roman" w:eastAsia="仿宋_GB2312;仿宋" w:cs="Times New Roman"/>
          <w:color w:val="000000"/>
          <w:kern w:val="0"/>
          <w:sz w:val="24"/>
          <w:szCs w:val="24"/>
        </w:rPr>
        <w:t>最终结清证书和支付</w:t>
      </w:r>
    </w:p>
    <w:p w14:paraId="75DC0E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）除专用合同条款另有约定外，发包人应在收到承包人提交的最终结清申请单后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天内完成审批并向承包人颁发最终结清证书。发包人逾期未完成审批，又未提出修改意见的，视为发包人同意承包人提交的最终结清申请单，且自发包人收到承包人提交的最终结清申请单后</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天起视为已颁发最终结清证书。</w:t>
      </w:r>
    </w:p>
    <w:p w14:paraId="15F6979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）除专用合同条款另有约定外，发包人应在颁发最终结清证书后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天内完成支付。发包人逾期支付的，按照中国人民银行发布的同期同类贷款基准利率支付违约金；逾期支付超过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78CFE51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）承包人对发包人颁发的最终结清证书有异议的，按第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条〔争议解决〕的约定办理。</w:t>
      </w:r>
    </w:p>
    <w:p w14:paraId="340603A9">
      <w:pPr>
        <w:pStyle w:val="5"/>
        <w:spacing w:before="120" w:after="120" w:line="360" w:lineRule="auto"/>
        <w:rPr>
          <w:rFonts w:ascii="Times New Roman" w:hAnsi="Times New Roman" w:eastAsia="黑体" w:cs="Times New Roman"/>
          <w:b w:val="0"/>
          <w:color w:val="000000"/>
          <w:sz w:val="24"/>
          <w:szCs w:val="24"/>
        </w:rPr>
      </w:pPr>
      <w:bookmarkStart w:id="138" w:name="__RefHeading___Toc351203598"/>
      <w:bookmarkEnd w:id="138"/>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缺陷责任与保修</w:t>
      </w:r>
    </w:p>
    <w:p w14:paraId="24991698">
      <w:pPr>
        <w:pStyle w:val="6"/>
        <w:spacing w:before="120" w:after="120" w:line="360" w:lineRule="auto"/>
        <w:ind w:firstLine="480"/>
        <w:rPr>
          <w:rFonts w:ascii="Times New Roman" w:hAnsi="Times New Roman" w:eastAsia="黑体" w:cs="Times New Roman"/>
          <w:b w:val="0"/>
          <w:color w:val="000000"/>
          <w:sz w:val="24"/>
          <w:szCs w:val="24"/>
        </w:rPr>
      </w:pPr>
      <w:bookmarkStart w:id="139" w:name="__RefHeading___Toc351203599"/>
      <w:bookmarkEnd w:id="139"/>
      <w:r>
        <w:rPr>
          <w:rFonts w:eastAsia="黑体" w:cs="Times New Roman"/>
          <w:b w:val="0"/>
          <w:color w:val="000000"/>
          <w:sz w:val="24"/>
          <w:szCs w:val="24"/>
        </w:rPr>
        <w:t xml:space="preserve">15.1 </w:t>
      </w:r>
      <w:r>
        <w:rPr>
          <w:rFonts w:ascii="Times New Roman" w:hAnsi="Times New Roman" w:eastAsia="黑体" w:cs="Times New Roman"/>
          <w:b w:val="0"/>
          <w:color w:val="000000"/>
          <w:sz w:val="24"/>
          <w:szCs w:val="24"/>
        </w:rPr>
        <w:t>工程保修的原则</w:t>
      </w:r>
    </w:p>
    <w:p w14:paraId="60A370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在工程移交发包人后，因承包人原因产生的质量缺陷，承包人应承担质量缺陷责任和保修义务。缺陷责任期届满，承包人仍应按合同约定的工程各部位保修年限承担保修义务。</w:t>
      </w:r>
    </w:p>
    <w:p w14:paraId="06CEBE59">
      <w:pPr>
        <w:pStyle w:val="6"/>
        <w:spacing w:before="120" w:after="120" w:line="360" w:lineRule="auto"/>
        <w:ind w:firstLine="480"/>
        <w:rPr>
          <w:rFonts w:ascii="Times New Roman" w:hAnsi="Times New Roman" w:eastAsia="黑体" w:cs="Times New Roman"/>
          <w:b w:val="0"/>
          <w:color w:val="000000"/>
          <w:sz w:val="24"/>
          <w:szCs w:val="24"/>
        </w:rPr>
      </w:pPr>
      <w:bookmarkStart w:id="140" w:name="__RefHeading___Toc351203600"/>
      <w:bookmarkEnd w:id="140"/>
      <w:r>
        <w:rPr>
          <w:rFonts w:eastAsia="黑体" w:cs="Times New Roman"/>
          <w:b w:val="0"/>
          <w:color w:val="000000"/>
          <w:sz w:val="24"/>
          <w:szCs w:val="24"/>
        </w:rPr>
        <w:t xml:space="preserve">15.2 </w:t>
      </w:r>
      <w:r>
        <w:rPr>
          <w:rFonts w:ascii="Times New Roman" w:hAnsi="Times New Roman" w:eastAsia="黑体" w:cs="Times New Roman"/>
          <w:b w:val="0"/>
          <w:color w:val="000000"/>
          <w:sz w:val="24"/>
          <w:szCs w:val="24"/>
        </w:rPr>
        <w:t>缺陷责任期</w:t>
      </w:r>
    </w:p>
    <w:p w14:paraId="2E26DA3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15.2.1 </w:t>
      </w:r>
      <w:r>
        <w:rPr>
          <w:rFonts w:ascii="Times New Roman" w:hAnsi="Times New Roman" w:eastAsia="仿宋_GB2312;仿宋" w:cs="Times New Roman"/>
          <w:color w:val="000000"/>
          <w:kern w:val="0"/>
          <w:sz w:val="24"/>
          <w:szCs w:val="24"/>
        </w:rPr>
        <w:t>缺陷责任期</w:t>
      </w:r>
      <w:r>
        <w:rPr>
          <w:rFonts w:eastAsia="仿宋_GB2312;仿宋"/>
          <w:color w:val="000000"/>
          <w:kern w:val="0"/>
          <w:sz w:val="24"/>
          <w:szCs w:val="24"/>
        </w:rPr>
        <w:t>从工程通过竣工验收之日</w:t>
      </w:r>
      <w:r>
        <w:rPr>
          <w:rFonts w:ascii="Times New Roman" w:hAnsi="Times New Roman" w:eastAsia="仿宋_GB2312;仿宋" w:cs="Times New Roman"/>
          <w:color w:val="000000"/>
          <w:kern w:val="0"/>
          <w:sz w:val="24"/>
          <w:szCs w:val="24"/>
        </w:rPr>
        <w:t>起计算，合同当事人应在专用合同条款约定缺陷责任期的具体期限，但该期限最长不超过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4D59E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单位工程先于全部工程进行验收，经验收合格并交付使用的，该单位工程缺陷责任期自单位工程验收合格之日起算。</w:t>
      </w:r>
      <w:r>
        <w:rPr>
          <w:rFonts w:eastAsia="仿宋_GB2312;仿宋"/>
          <w:color w:val="000000"/>
          <w:kern w:val="0"/>
          <w:sz w:val="24"/>
          <w:szCs w:val="24"/>
        </w:rPr>
        <w:t>因承包人原因导致工程无法按合同约定期限进行竣工验收的，缺陷责任期从实际通过竣工验收之日起计算。</w:t>
      </w:r>
      <w:r>
        <w:rPr>
          <w:rFonts w:ascii="Times New Roman" w:hAnsi="Times New Roman" w:eastAsia="仿宋_GB2312;仿宋" w:cs="Times New Roman"/>
          <w:color w:val="000000"/>
          <w:kern w:val="0"/>
          <w:sz w:val="24"/>
          <w:szCs w:val="24"/>
        </w:rPr>
        <w:t>因发包人原因导致工程无法按合同约定期限进行竣工验收的，</w:t>
      </w:r>
      <w:r>
        <w:rPr>
          <w:rFonts w:eastAsia="仿宋_GB2312;仿宋"/>
          <w:color w:val="000000"/>
          <w:kern w:val="0"/>
          <w:sz w:val="24"/>
          <w:szCs w:val="24"/>
        </w:rPr>
        <w:t>在承包人提交竣工验收报告90天后，工程自动进入缺陷责任期</w:t>
      </w:r>
      <w:r>
        <w:rPr>
          <w:rFonts w:ascii="Times New Roman" w:hAnsi="Times New Roman" w:eastAsia="仿宋_GB2312;仿宋" w:cs="Times New Roman"/>
          <w:color w:val="000000"/>
          <w:kern w:val="0"/>
          <w:sz w:val="24"/>
          <w:szCs w:val="24"/>
        </w:rPr>
        <w:t>；发包人未经竣工验收擅自使用工程的，缺陷责任期自工程转移占有之日起开始计算。</w:t>
      </w:r>
    </w:p>
    <w:p w14:paraId="6BE86FD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15.2.2</w:t>
      </w:r>
      <w:r>
        <w:rPr>
          <w:rFonts w:eastAsia="仿宋_GB2312;仿宋"/>
          <w:color w:val="000000"/>
          <w:kern w:val="0"/>
          <w:sz w:val="24"/>
          <w:szCs w:val="24"/>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Pr>
          <w:rFonts w:ascii="Times New Roman" w:hAnsi="Times New Roman" w:eastAsia="仿宋_GB2312;仿宋" w:cs="Times New Roman"/>
          <w:color w:val="000000"/>
          <w:kern w:val="0"/>
          <w:sz w:val="24"/>
          <w:szCs w:val="24"/>
        </w:rPr>
        <w:t>发包人有权要求承</w:t>
      </w:r>
      <w:r>
        <w:rPr>
          <w:rFonts w:ascii="Times New Roman" w:hAnsi="Times New Roman" w:eastAsia="仿宋_GB2312;仿宋" w:cs="Times New Roman"/>
          <w:bCs/>
          <w:color w:val="000000"/>
          <w:sz w:val="24"/>
          <w:szCs w:val="24"/>
        </w:rPr>
        <w:t>包人延长缺陷责任期，</w:t>
      </w:r>
      <w:r>
        <w:rPr>
          <w:rFonts w:ascii="Times New Roman" w:hAnsi="Times New Roman" w:eastAsia="仿宋_GB2312;仿宋" w:cs="Times New Roman"/>
          <w:color w:val="000000"/>
          <w:kern w:val="0"/>
          <w:sz w:val="24"/>
          <w:szCs w:val="24"/>
        </w:rPr>
        <w:t>并应在原缺陷责任期届满前发出延长通知</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bCs/>
          <w:color w:val="000000"/>
          <w:sz w:val="24"/>
          <w:szCs w:val="24"/>
        </w:rPr>
        <w:t>但缺陷责任期</w:t>
      </w:r>
      <w:r>
        <w:rPr>
          <w:rFonts w:ascii="Times New Roman" w:hAnsi="Times New Roman" w:eastAsia="仿宋_GB2312;仿宋" w:cs="Times New Roman"/>
          <w:bCs/>
          <w:color w:val="000000"/>
          <w:sz w:val="24"/>
          <w:szCs w:val="24"/>
          <w:lang w:eastAsia="zh-CN"/>
        </w:rPr>
        <w:t>（含延长部分）</w:t>
      </w:r>
      <w:r>
        <w:rPr>
          <w:rFonts w:ascii="Times New Roman" w:hAnsi="Times New Roman" w:eastAsia="仿宋_GB2312;仿宋" w:cs="Times New Roman"/>
          <w:bCs/>
          <w:color w:val="000000"/>
          <w:sz w:val="24"/>
          <w:szCs w:val="24"/>
        </w:rPr>
        <w:t>最长</w:t>
      </w:r>
      <w:r>
        <w:rPr>
          <w:rFonts w:ascii="Times New Roman" w:hAnsi="Times New Roman" w:eastAsia="仿宋_GB2312;仿宋" w:cs="Times New Roman"/>
          <w:color w:val="000000"/>
          <w:kern w:val="0"/>
          <w:sz w:val="24"/>
          <w:szCs w:val="24"/>
        </w:rPr>
        <w:t>不能超过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21B3017F">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由他人原因造成的缺陷，发包人负责组织维修，承包人不承担费用，且发包人不得从保证金中扣除费用。</w:t>
      </w:r>
    </w:p>
    <w:p w14:paraId="610DC7C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15.2.3 </w:t>
      </w:r>
      <w:r>
        <w:rPr>
          <w:rFonts w:ascii="Times New Roman" w:hAnsi="Times New Roman" w:eastAsia="仿宋_GB2312;仿宋" w:cs="Times New Roman"/>
          <w:color w:val="000000"/>
          <w:kern w:val="0"/>
          <w:sz w:val="24"/>
          <w:szCs w:val="24"/>
        </w:rPr>
        <w:t>任何一项缺陷或损坏修复后，经检查证明其影响了工程或工程设备的使用性能，承包人应重新进行合同约定的试验和试运行，试验和试运行的全部费用应由责任方承担。</w:t>
      </w:r>
    </w:p>
    <w:p w14:paraId="2F84F67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15.2.4 </w:t>
      </w:r>
      <w:r>
        <w:rPr>
          <w:rFonts w:ascii="Times New Roman" w:hAnsi="Times New Roman" w:eastAsia="仿宋_GB2312;仿宋" w:cs="Times New Roman"/>
          <w:color w:val="000000"/>
          <w:kern w:val="0"/>
          <w:sz w:val="24"/>
          <w:szCs w:val="24"/>
        </w:rPr>
        <w:t>除专用合同条款另有约定外，承包人应于缺陷责任期届满后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天内向发包人发出缺陷责任期届满通知，发包人应在收到缺陷责任期满通知后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天内核实承包人是否履行缺陷修复义务，承包人未能履行缺陷修复义务的，发包人有权扣除相应金额的维修费用。发包人应在收到缺陷责任期届满通知后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天内，向承包人颁发缺陷责任期终止证书。</w:t>
      </w:r>
    </w:p>
    <w:p w14:paraId="388DA66A">
      <w:pPr>
        <w:pStyle w:val="6"/>
        <w:spacing w:before="120" w:after="120" w:line="360" w:lineRule="auto"/>
        <w:ind w:firstLine="480"/>
        <w:rPr>
          <w:rFonts w:ascii="Times New Roman" w:hAnsi="Times New Roman" w:eastAsia="黑体" w:cs="Times New Roman"/>
          <w:b w:val="0"/>
          <w:color w:val="000000"/>
          <w:sz w:val="24"/>
          <w:szCs w:val="24"/>
        </w:rPr>
      </w:pPr>
      <w:bookmarkStart w:id="141" w:name="__RefHeading___Toc351203601"/>
      <w:bookmarkEnd w:id="141"/>
      <w:r>
        <w:rPr>
          <w:rFonts w:eastAsia="黑体" w:cs="Times New Roman"/>
          <w:b w:val="0"/>
          <w:color w:val="000000"/>
          <w:sz w:val="24"/>
          <w:szCs w:val="24"/>
        </w:rPr>
        <w:t xml:space="preserve">15.3 </w:t>
      </w:r>
      <w:r>
        <w:rPr>
          <w:rFonts w:ascii="Times New Roman" w:hAnsi="Times New Roman" w:eastAsia="黑体" w:cs="Times New Roman"/>
          <w:b w:val="0"/>
          <w:color w:val="000000"/>
          <w:sz w:val="24"/>
          <w:szCs w:val="24"/>
        </w:rPr>
        <w:t>质量保证金</w:t>
      </w:r>
    </w:p>
    <w:p w14:paraId="627E3B6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经合同当事人协商一致扣留质量保证金的，应在专用合同条款中予以明确。</w:t>
      </w:r>
    </w:p>
    <w:p w14:paraId="5E581376">
      <w:pPr>
        <w:spacing w:line="360" w:lineRule="auto"/>
        <w:ind w:firstLine="480"/>
        <w:jc w:val="left"/>
        <w:rPr>
          <w:rFonts w:eastAsia="仿宋_GB2312;仿宋"/>
          <w:color w:val="000000"/>
          <w:sz w:val="24"/>
          <w:szCs w:val="24"/>
        </w:rPr>
      </w:pPr>
      <w:r>
        <w:rPr>
          <w:rFonts w:eastAsia="仿宋_GB2312;仿宋"/>
          <w:color w:val="000000"/>
          <w:sz w:val="24"/>
          <w:szCs w:val="24"/>
        </w:rPr>
        <w:t>在工程项目竣工前，承包人已经提供履约担保的，发包人不得同时预留工程质量保证金。</w:t>
      </w:r>
    </w:p>
    <w:p w14:paraId="65938915">
      <w:pPr>
        <w:autoSpaceDE w:val="0"/>
        <w:spacing w:line="360" w:lineRule="auto"/>
        <w:ind w:firstLine="480"/>
        <w:jc w:val="left"/>
        <w:rPr>
          <w:rFonts w:ascii="Times New Roman" w:hAnsi="Times New Roman" w:eastAsia="仿宋_GB2312;仿宋" w:cs="Times New Roman"/>
          <w:color w:val="000000"/>
          <w:kern w:val="0"/>
          <w:sz w:val="24"/>
          <w:szCs w:val="24"/>
        </w:rPr>
      </w:pPr>
    </w:p>
    <w:p w14:paraId="168800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15.3.1 </w:t>
      </w:r>
      <w:r>
        <w:rPr>
          <w:rFonts w:ascii="Times New Roman" w:hAnsi="Times New Roman" w:eastAsia="仿宋_GB2312;仿宋" w:cs="Times New Roman"/>
          <w:color w:val="000000"/>
          <w:kern w:val="0"/>
          <w:sz w:val="24"/>
          <w:szCs w:val="24"/>
        </w:rPr>
        <w:t>承包人提供质量保证金的方式</w:t>
      </w:r>
    </w:p>
    <w:p w14:paraId="2E52580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承包人提供质量保证金有以下三种方式：</w:t>
      </w:r>
    </w:p>
    <w:p w14:paraId="132E6D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w:t>
      </w:r>
      <w:r>
        <w:rPr>
          <w:rFonts w:ascii="Times New Roman" w:hAnsi="Times New Roman" w:eastAsia="Times New Roman" w:cs="Times New Roman"/>
          <w:color w:val="000000"/>
          <w:kern w:val="0"/>
          <w:sz w:val="24"/>
          <w:szCs w:val="24"/>
        </w:rPr>
        <w:t xml:space="preserve"> </w:t>
      </w:r>
    </w:p>
    <w:p w14:paraId="30E7D66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）相应比例的工程款；</w:t>
      </w:r>
    </w:p>
    <w:p w14:paraId="186E44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）双方约定的其他方式。</w:t>
      </w:r>
    </w:p>
    <w:p w14:paraId="6273AA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1A17EE1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15.3.2 </w:t>
      </w:r>
      <w:r>
        <w:rPr>
          <w:rFonts w:ascii="Times New Roman" w:hAnsi="Times New Roman" w:eastAsia="仿宋_GB2312;仿宋" w:cs="Times New Roman"/>
          <w:color w:val="000000"/>
          <w:kern w:val="0"/>
          <w:sz w:val="24"/>
          <w:szCs w:val="24"/>
        </w:rPr>
        <w:t>质量保证金的扣留</w:t>
      </w:r>
    </w:p>
    <w:p w14:paraId="2C4AB2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质量保证金的扣留有以下三种方式：</w:t>
      </w:r>
    </w:p>
    <w:p w14:paraId="2EE34D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36DC14E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w:t>
      </w:r>
      <w:bookmarkStart w:id="142" w:name="%23go6"/>
      <w:bookmarkEnd w:id="142"/>
      <w:r>
        <w:rPr>
          <w:rFonts w:ascii="Times New Roman" w:hAnsi="Times New Roman" w:eastAsia="仿宋_GB2312;仿宋" w:cs="Times New Roman"/>
          <w:color w:val="000000"/>
          <w:kern w:val="0"/>
          <w:sz w:val="24"/>
          <w:szCs w:val="24"/>
        </w:rPr>
        <w:t>程竣工结算时一次性扣留质量保证金；</w:t>
      </w:r>
    </w:p>
    <w:p w14:paraId="3E2C81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）双方约定的其他扣留方式。</w:t>
      </w:r>
    </w:p>
    <w:p w14:paraId="465057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除专用合同条款另有约定外，质量保证金的扣留原则上采用上述第（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237B0E1E">
      <w:pPr>
        <w:autoSpaceDE w:val="0"/>
        <w:spacing w:line="360" w:lineRule="auto"/>
        <w:ind w:firstLine="480"/>
        <w:jc w:val="left"/>
        <w:rPr>
          <w:rFonts w:eastAsia="仿宋_GB2312;仿宋"/>
          <w:color w:val="000000"/>
          <w:kern w:val="0"/>
          <w:sz w:val="24"/>
          <w:szCs w:val="24"/>
        </w:rPr>
      </w:pPr>
      <w:r>
        <w:rPr>
          <w:rFonts w:ascii="Times New Roman" w:hAnsi="Times New Roman" w:eastAsia="仿宋_GB2312;仿宋" w:cs="Times New Roman"/>
          <w:color w:val="000000"/>
          <w:kern w:val="0"/>
          <w:sz w:val="24"/>
          <w:szCs w:val="24"/>
        </w:rPr>
        <w:t>发</w:t>
      </w:r>
      <w:bookmarkStart w:id="143" w:name="%23go4"/>
      <w:bookmarkEnd w:id="143"/>
      <w:r>
        <w:rPr>
          <w:rFonts w:ascii="Times New Roman" w:hAnsi="Times New Roman" w:eastAsia="仿宋_GB2312;仿宋" w:cs="Times New Roman"/>
          <w:color w:val="000000"/>
          <w:kern w:val="0"/>
          <w:sz w:val="24"/>
          <w:szCs w:val="24"/>
        </w:rPr>
        <w:t>包人累计扣留的质量保证金不得超过工程价款结算总额的</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。如承包人在发包人签发竣工付款证书后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天内提交质量保证金保函，发包人应同时退还扣留的作为质量保证金的工程价款</w:t>
      </w:r>
      <w:r>
        <w:rPr>
          <w:rFonts w:eastAsia="仿宋_GB2312;仿宋"/>
          <w:color w:val="000000"/>
          <w:kern w:val="0"/>
          <w:sz w:val="24"/>
          <w:szCs w:val="24"/>
        </w:rPr>
        <w:t>；保函金额不得超过工程价款结算总额的3%。</w:t>
      </w:r>
    </w:p>
    <w:p w14:paraId="5A4EEE9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发包人在退还质量保证金的同时按照中国人民银行发布的同期同类贷款基准利率支付利息。</w:t>
      </w:r>
    </w:p>
    <w:p w14:paraId="6ABAFC2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15.3.3 </w:t>
      </w:r>
      <w:r>
        <w:rPr>
          <w:rFonts w:ascii="Times New Roman" w:hAnsi="Times New Roman" w:eastAsia="仿宋_GB2312;仿宋" w:cs="Times New Roman"/>
          <w:color w:val="000000"/>
          <w:sz w:val="24"/>
          <w:szCs w:val="24"/>
        </w:rPr>
        <w:t>质量保证金</w:t>
      </w:r>
      <w:r>
        <w:rPr>
          <w:rFonts w:ascii="Times New Roman" w:hAnsi="Times New Roman" w:eastAsia="仿宋_GB2312;仿宋" w:cs="Times New Roman"/>
          <w:color w:val="000000"/>
          <w:kern w:val="0"/>
          <w:sz w:val="24"/>
          <w:szCs w:val="24"/>
        </w:rPr>
        <w:t>的退还</w:t>
      </w:r>
    </w:p>
    <w:p w14:paraId="776D2738">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缺陷责任期内，承包人认真履行合同约定的责任，到期后，承包人可向发包人申请返还保证金。</w:t>
      </w:r>
    </w:p>
    <w:p w14:paraId="76EB215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6989F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olor w:val="000000"/>
          <w:kern w:val="0"/>
          <w:sz w:val="24"/>
          <w:szCs w:val="24"/>
        </w:rPr>
        <w:t>发包人和承包人对保证金预留、返还以及工程维修质量、费用有争议的，按本合同第20条约定的争议和纠纷解决程序处理</w:t>
      </w:r>
      <w:r>
        <w:rPr>
          <w:rFonts w:ascii="Times New Roman" w:hAnsi="Times New Roman" w:eastAsia="仿宋_GB2312;仿宋" w:cs="Times New Roman"/>
          <w:color w:val="000000"/>
          <w:kern w:val="0"/>
          <w:sz w:val="24"/>
          <w:szCs w:val="24"/>
        </w:rPr>
        <w:t>。</w:t>
      </w:r>
    </w:p>
    <w:p w14:paraId="7D0D6C8D">
      <w:pPr>
        <w:pStyle w:val="6"/>
        <w:spacing w:before="120" w:after="120" w:line="360" w:lineRule="auto"/>
        <w:ind w:firstLine="480"/>
        <w:rPr>
          <w:rFonts w:ascii="Times New Roman" w:hAnsi="Times New Roman" w:eastAsia="黑体" w:cs="Times New Roman"/>
          <w:b w:val="0"/>
          <w:color w:val="000000"/>
          <w:sz w:val="24"/>
          <w:szCs w:val="24"/>
        </w:rPr>
      </w:pPr>
      <w:bookmarkStart w:id="144" w:name="__RefHeading___Toc351203602"/>
      <w:bookmarkEnd w:id="144"/>
      <w:r>
        <w:rPr>
          <w:rFonts w:eastAsia="黑体" w:cs="Times New Roman"/>
          <w:b w:val="0"/>
          <w:color w:val="000000"/>
          <w:sz w:val="24"/>
          <w:szCs w:val="24"/>
        </w:rPr>
        <w:t xml:space="preserve">15.4 </w:t>
      </w:r>
      <w:r>
        <w:rPr>
          <w:rFonts w:ascii="Times New Roman" w:hAnsi="Times New Roman" w:eastAsia="黑体" w:cs="Times New Roman"/>
          <w:b w:val="0"/>
          <w:color w:val="000000"/>
          <w:sz w:val="24"/>
          <w:szCs w:val="24"/>
        </w:rPr>
        <w:t>保修</w:t>
      </w:r>
    </w:p>
    <w:p w14:paraId="7E14211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15.4.1</w:t>
      </w:r>
      <w:r>
        <w:rPr>
          <w:rFonts w:ascii="Times New Roman" w:hAnsi="Times New Roman" w:eastAsia="仿宋_GB2312;仿宋" w:cs="Times New Roman"/>
          <w:color w:val="000000"/>
          <w:kern w:val="0"/>
          <w:sz w:val="24"/>
          <w:szCs w:val="24"/>
        </w:rPr>
        <w:t>保修责任</w:t>
      </w:r>
    </w:p>
    <w:p w14:paraId="60AEDD6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0178035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发包人未经竣工验收擅自使用工程的，保修期自</w:t>
      </w:r>
      <w:r>
        <w:rPr>
          <w:rFonts w:ascii="Times New Roman" w:hAnsi="Times New Roman" w:eastAsia="仿宋_GB2312;仿宋" w:cs="Times New Roman"/>
          <w:color w:val="000000"/>
          <w:kern w:val="0"/>
          <w:sz w:val="24"/>
          <w:szCs w:val="24"/>
        </w:rPr>
        <w:t>转移占有之日起算</w:t>
      </w:r>
      <w:r>
        <w:rPr>
          <w:rFonts w:ascii="Times New Roman" w:hAnsi="Times New Roman" w:eastAsia="仿宋_GB2312;仿宋" w:cs="Times New Roman"/>
          <w:color w:val="000000"/>
          <w:sz w:val="24"/>
          <w:szCs w:val="24"/>
        </w:rPr>
        <w:t>。</w:t>
      </w:r>
    </w:p>
    <w:p w14:paraId="647463D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15.4.2 </w:t>
      </w:r>
      <w:r>
        <w:rPr>
          <w:rFonts w:ascii="Times New Roman" w:hAnsi="Times New Roman" w:eastAsia="仿宋_GB2312;仿宋" w:cs="Times New Roman"/>
          <w:color w:val="000000"/>
          <w:kern w:val="0"/>
          <w:sz w:val="24"/>
          <w:szCs w:val="24"/>
        </w:rPr>
        <w:t>修复费用</w:t>
      </w:r>
    </w:p>
    <w:p w14:paraId="7387CB8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保修期内，修复的费用按照以下约定处理：</w:t>
      </w:r>
    </w:p>
    <w:p w14:paraId="3EFC1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）保修期内，因承包人原因造成工程的缺陷、损坏，承包人应负责修复，并承担修复的费用以及因工程的缺陷、损坏造成的人身伤害和财产损失；</w:t>
      </w:r>
    </w:p>
    <w:p w14:paraId="3B5CA0B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）保修期内，因发包人使用不当造成工程的缺陷、损坏，可以委托承包人修复，但发包人应承担修复的费用，并支付承包人合理利润；</w:t>
      </w:r>
    </w:p>
    <w:p w14:paraId="41AED88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）因其他原因造成工程的缺陷、损坏，可以委托承包人修复，发包人应承担修复的费用，并支付承包人合理的利润，因工程的缺陷、损坏造成的人身伤害和财产损失由责任方承担。</w:t>
      </w:r>
    </w:p>
    <w:p w14:paraId="666FD2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15.4.3 </w:t>
      </w:r>
      <w:r>
        <w:rPr>
          <w:rFonts w:ascii="Times New Roman" w:hAnsi="Times New Roman" w:eastAsia="仿宋_GB2312;仿宋" w:cs="Times New Roman"/>
          <w:color w:val="000000"/>
          <w:kern w:val="0"/>
          <w:sz w:val="24"/>
          <w:szCs w:val="24"/>
        </w:rPr>
        <w:t>修复通知</w:t>
      </w:r>
    </w:p>
    <w:p w14:paraId="70CAEDB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在保修期内，发包人在使用过程中，发现已接收的工程存在缺陷或损坏的，应书面通知承包人予以修复，但情况紧急必须立即修复缺陷或损坏的，发包人可以口头通知承包人并在口头通知后</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小时内书面确认，承包人应在专用合同条款约定的合理期限内到达工程现场并修复缺陷或损坏。</w:t>
      </w:r>
    </w:p>
    <w:p w14:paraId="346D611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15.4.4 </w:t>
      </w:r>
      <w:r>
        <w:rPr>
          <w:rFonts w:ascii="Times New Roman" w:hAnsi="Times New Roman" w:eastAsia="仿宋_GB2312;仿宋" w:cs="Times New Roman"/>
          <w:color w:val="000000"/>
          <w:kern w:val="0"/>
          <w:sz w:val="24"/>
          <w:szCs w:val="24"/>
        </w:rPr>
        <w:t>未能修复</w:t>
      </w:r>
    </w:p>
    <w:p w14:paraId="56833B2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1864C6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15.4.5 </w:t>
      </w:r>
      <w:r>
        <w:rPr>
          <w:rFonts w:ascii="Times New Roman" w:hAnsi="Times New Roman" w:eastAsia="仿宋_GB2312;仿宋" w:cs="Times New Roman"/>
          <w:color w:val="000000"/>
          <w:kern w:val="0"/>
          <w:sz w:val="24"/>
          <w:szCs w:val="24"/>
        </w:rPr>
        <w:t>承包人出入权</w:t>
      </w:r>
    </w:p>
    <w:p w14:paraId="4C75812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在保修期内，为了修复缺陷或损坏，承包人有权出入工程现场，除情况紧急必须立即修复缺陷或损坏外，承包人应提前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小时通知发包人进场修复的时间。承包人进入工程现场前应获得发包人同意，且不应影响发包人正常的生产经营，并应遵守发包人有关保安和保密等规定。</w:t>
      </w:r>
    </w:p>
    <w:p w14:paraId="35549B64">
      <w:pPr>
        <w:pStyle w:val="5"/>
        <w:spacing w:before="120" w:after="120" w:line="360" w:lineRule="auto"/>
        <w:rPr>
          <w:rFonts w:ascii="Times New Roman" w:hAnsi="Times New Roman" w:eastAsia="黑体" w:cs="Times New Roman"/>
          <w:b w:val="0"/>
          <w:color w:val="000000"/>
          <w:sz w:val="24"/>
          <w:szCs w:val="24"/>
        </w:rPr>
      </w:pPr>
      <w:bookmarkStart w:id="145" w:name="__RefHeading___Toc351203603"/>
      <w:bookmarkEnd w:id="145"/>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62B69506">
      <w:pPr>
        <w:pStyle w:val="6"/>
        <w:spacing w:before="120" w:after="120" w:line="360" w:lineRule="auto"/>
        <w:ind w:firstLine="480"/>
        <w:rPr>
          <w:rFonts w:ascii="Times New Roman" w:hAnsi="Times New Roman" w:eastAsia="黑体" w:cs="Times New Roman"/>
          <w:b w:val="0"/>
          <w:color w:val="000000"/>
          <w:sz w:val="24"/>
          <w:szCs w:val="24"/>
        </w:rPr>
      </w:pPr>
      <w:bookmarkStart w:id="146" w:name="__RefHeading___Toc351203604"/>
      <w:bookmarkEnd w:id="146"/>
      <w:r>
        <w:rPr>
          <w:rFonts w:eastAsia="黑体" w:cs="Times New Roman"/>
          <w:b w:val="0"/>
          <w:color w:val="000000"/>
          <w:sz w:val="24"/>
          <w:szCs w:val="24"/>
        </w:rPr>
        <w:t xml:space="preserve">16.1 </w:t>
      </w:r>
      <w:r>
        <w:rPr>
          <w:rFonts w:ascii="Times New Roman" w:hAnsi="Times New Roman" w:eastAsia="黑体" w:cs="Times New Roman"/>
          <w:b w:val="0"/>
          <w:color w:val="000000"/>
          <w:sz w:val="24"/>
          <w:szCs w:val="24"/>
        </w:rPr>
        <w:t>发包人违约</w:t>
      </w:r>
    </w:p>
    <w:p w14:paraId="5FA8F3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16.1.1 </w:t>
      </w:r>
      <w:r>
        <w:rPr>
          <w:rFonts w:ascii="Times New Roman" w:hAnsi="Times New Roman" w:eastAsia="仿宋_GB2312;仿宋" w:cs="Times New Roman"/>
          <w:color w:val="000000"/>
          <w:kern w:val="0"/>
          <w:sz w:val="24"/>
          <w:szCs w:val="24"/>
        </w:rPr>
        <w:t>发包人违约的情形</w:t>
      </w:r>
    </w:p>
    <w:p w14:paraId="4F2698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在合同履行过程中发生的下列情形，属于发包人违约：</w:t>
      </w:r>
    </w:p>
    <w:p w14:paraId="0F5E34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w:t>
      </w:r>
    </w:p>
    <w:p w14:paraId="354C25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w:t>
      </w:r>
    </w:p>
    <w:p w14:paraId="69CA01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w:t>
      </w:r>
    </w:p>
    <w:p w14:paraId="1589E2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w:t>
      </w:r>
    </w:p>
    <w:p w14:paraId="5E2CCF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w:t>
      </w:r>
    </w:p>
    <w:p w14:paraId="0DA47A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w:t>
      </w:r>
    </w:p>
    <w:p w14:paraId="2BB94A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）发包人明确表示或者以其行为表明不履行合同主要义务的；</w:t>
      </w:r>
    </w:p>
    <w:p w14:paraId="30083B2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）发包人未能按照合同约定履行其他义务的。</w:t>
      </w:r>
    </w:p>
    <w:p w14:paraId="3376F2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）目以外的违约情况时，承包人可向发包人发出通知，要求发包人采取有效措施纠正违约行为。发包人收到承包人通知后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天内仍不纠正违约行为的，承包人有权暂停相应部位工程施工，并通知监理人。</w:t>
      </w:r>
    </w:p>
    <w:p w14:paraId="7B6C1C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03D5988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发包人应承担因其违约给承包人增加的费用和（或）延误的工期，并支付承包人合理的利润。此外，合同当事人可在专用合同条款中另行约定发包人违约责任的承担方式和计算方法。</w:t>
      </w:r>
    </w:p>
    <w:p w14:paraId="4C2494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16.1.3 </w:t>
      </w:r>
      <w:r>
        <w:rPr>
          <w:rFonts w:ascii="Times New Roman" w:hAnsi="Times New Roman" w:eastAsia="仿宋_GB2312;仿宋" w:cs="Times New Roman"/>
          <w:color w:val="000000"/>
          <w:kern w:val="0"/>
          <w:sz w:val="24"/>
          <w:szCs w:val="24"/>
        </w:rPr>
        <w:t>因发包人违约解除合同</w:t>
      </w:r>
    </w:p>
    <w:p w14:paraId="389DB0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天后，发包人仍不纠正其违约行为并致使合同目的不能实现的，或出现第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）目约定的违约情况，承包人有权解除合同，发包人应承担由此增加的费用，并支付承包人合理的利润。</w:t>
      </w:r>
    </w:p>
    <w:p w14:paraId="2E0DBB42">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16.1.4 </w:t>
      </w:r>
      <w:r>
        <w:rPr>
          <w:rFonts w:ascii="Times New Roman" w:hAnsi="Times New Roman" w:eastAsia="仿宋_GB2312;仿宋" w:cs="Times New Roman"/>
          <w:color w:val="000000"/>
          <w:kern w:val="0"/>
          <w:sz w:val="24"/>
          <w:szCs w:val="24"/>
        </w:rPr>
        <w:t>因发包人违约解除合同后的付款</w:t>
      </w:r>
    </w:p>
    <w:p w14:paraId="7D819F2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承包人按照本款约定解除合同的，发包人应在解除合同后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天内支付下列款项，并解除履约担保：</w:t>
      </w:r>
    </w:p>
    <w:p w14:paraId="63F84E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）合同解除前所完成工作的价款；</w:t>
      </w:r>
    </w:p>
    <w:p w14:paraId="1D6260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）承包人为工程施工订购并已付款的材料、工程设备和其他物品的价款；</w:t>
      </w:r>
    </w:p>
    <w:p w14:paraId="0E7135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）承包人撤离施工现场以及遣散承包人人员的款项；</w:t>
      </w:r>
    </w:p>
    <w:p w14:paraId="1545EF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）按照合同约定在合同解除前应支付的违约金；</w:t>
      </w:r>
    </w:p>
    <w:p w14:paraId="3153B80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）按照合同约定应当支付给承包人的其他款项；</w:t>
      </w:r>
    </w:p>
    <w:p w14:paraId="77780D0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）按照合同约定应退还的质量保证金；</w:t>
      </w:r>
    </w:p>
    <w:p w14:paraId="0ABEFAC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）因解除合同给承包人造成的损失。</w:t>
      </w:r>
    </w:p>
    <w:p w14:paraId="6647D7D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合同当事人未能就解除合同后的结清达成一致的，按照第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A46CAE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承包人应妥善做好已完工程和与工程有关的已购材料、工程设备的保护和移交工作，并将施工设备和人员撤出施工现场，发包人应为承包人撤出提供必要条件。</w:t>
      </w:r>
    </w:p>
    <w:p w14:paraId="77A8A2A7">
      <w:pPr>
        <w:pStyle w:val="6"/>
        <w:spacing w:before="120" w:after="120" w:line="360" w:lineRule="auto"/>
        <w:ind w:firstLine="480"/>
        <w:rPr>
          <w:rFonts w:ascii="Times New Roman" w:hAnsi="Times New Roman" w:eastAsia="黑体" w:cs="Times New Roman"/>
          <w:b w:val="0"/>
          <w:color w:val="000000"/>
          <w:sz w:val="24"/>
          <w:szCs w:val="24"/>
        </w:rPr>
      </w:pPr>
      <w:bookmarkStart w:id="147" w:name="__RefHeading___Toc351203605"/>
      <w:bookmarkEnd w:id="147"/>
      <w:r>
        <w:rPr>
          <w:rFonts w:eastAsia="黑体" w:cs="Times New Roman"/>
          <w:b w:val="0"/>
          <w:color w:val="000000"/>
          <w:sz w:val="24"/>
          <w:szCs w:val="24"/>
        </w:rPr>
        <w:t xml:space="preserve">16.2 </w:t>
      </w:r>
      <w:r>
        <w:rPr>
          <w:rFonts w:ascii="Times New Roman" w:hAnsi="Times New Roman" w:eastAsia="黑体" w:cs="Times New Roman"/>
          <w:b w:val="0"/>
          <w:color w:val="000000"/>
          <w:sz w:val="24"/>
          <w:szCs w:val="24"/>
        </w:rPr>
        <w:t>承包人违约</w:t>
      </w:r>
    </w:p>
    <w:p w14:paraId="4D8DF5D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CEB309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在合同履行过程中发生的下列情形，属于承包人违约：</w:t>
      </w:r>
    </w:p>
    <w:p w14:paraId="59D397F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）承包人违反合同约定进行转包或违法分包的；</w:t>
      </w:r>
    </w:p>
    <w:p w14:paraId="111CA1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）承包人违反合同约定采购和使用不合格的材料和工程设备的；</w:t>
      </w:r>
    </w:p>
    <w:p w14:paraId="25B8E4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）因承包人原因导致工程质量不符合合同要求的；</w:t>
      </w:r>
      <w:r>
        <w:rPr>
          <w:rFonts w:ascii="Times New Roman" w:hAnsi="Times New Roman" w:eastAsia="Times New Roman" w:cs="Times New Roman"/>
          <w:color w:val="000000"/>
          <w:kern w:val="0"/>
          <w:sz w:val="24"/>
          <w:szCs w:val="24"/>
        </w:rPr>
        <w:t xml:space="preserve"> </w:t>
      </w:r>
    </w:p>
    <w:p w14:paraId="20AF103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）承包人违反第</w:t>
      </w:r>
      <w:r>
        <w:rPr>
          <w:rFonts w:eastAsia="仿宋_GB2312;仿宋" w:cs="Times New Roman"/>
          <w:color w:val="000000"/>
          <w:kern w:val="0"/>
          <w:sz w:val="24"/>
          <w:szCs w:val="24"/>
        </w:rPr>
        <w:t>8.9</w:t>
      </w:r>
      <w:r>
        <w:rPr>
          <w:rFonts w:ascii="Times New Roman" w:hAnsi="Times New Roman" w:eastAsia="仿宋_GB2312;仿宋" w:cs="Times New Roman"/>
          <w:color w:val="000000"/>
          <w:kern w:val="0"/>
          <w:sz w:val="24"/>
          <w:szCs w:val="24"/>
        </w:rPr>
        <w:t>款〔材料与设备专用要求〕的约定，未经批准，私自将已按照合同约定进入施工现场的材料或设备撤离施工现场的；</w:t>
      </w:r>
    </w:p>
    <w:p w14:paraId="615C32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）承包人未能按施工进度计划及时完成合同约定的工作，造成工期延误的；</w:t>
      </w:r>
    </w:p>
    <w:p w14:paraId="17E70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）承包人在缺陷责任期及保修期内，未能在合理期限对工程缺陷进行修复，或拒绝按发包人要求进行修复的；</w:t>
      </w:r>
    </w:p>
    <w:p w14:paraId="019D4E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）承包人明确表示或者以其行为表明不履行合同主要义务的；</w:t>
      </w:r>
    </w:p>
    <w:p w14:paraId="21F16E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）承包人未能按照合同约定履行其他义务的。</w:t>
      </w:r>
    </w:p>
    <w:p w14:paraId="7A1DC01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）目约定以外的其他违约情况时，监理人可向承包人发出整改通知，要求其在指定的期限内改正。</w:t>
      </w:r>
    </w:p>
    <w:p w14:paraId="4343428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16.2.2 </w:t>
      </w:r>
      <w:r>
        <w:rPr>
          <w:rFonts w:ascii="Times New Roman" w:hAnsi="Times New Roman" w:eastAsia="仿宋_GB2312;仿宋" w:cs="Times New Roman"/>
          <w:color w:val="000000"/>
          <w:kern w:val="0"/>
          <w:sz w:val="24"/>
          <w:szCs w:val="24"/>
        </w:rPr>
        <w:t>承包人违约的责任</w:t>
      </w:r>
    </w:p>
    <w:p w14:paraId="5D9285E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承包人应承担因其违约行为而增加的费用和（或）延误的工期。此外，合同当事人可在专用合同条款中另行约定承包人违约责任的承担方式和计算方法。</w:t>
      </w:r>
    </w:p>
    <w:p w14:paraId="65D0BDB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16.2.3 </w:t>
      </w:r>
      <w:r>
        <w:rPr>
          <w:rFonts w:ascii="Times New Roman" w:hAnsi="Times New Roman" w:eastAsia="仿宋_GB2312;仿宋" w:cs="Times New Roman"/>
          <w:color w:val="000000"/>
          <w:kern w:val="0"/>
          <w:sz w:val="24"/>
          <w:szCs w:val="24"/>
        </w:rPr>
        <w:t>因承包人违约解除合同</w:t>
      </w:r>
    </w:p>
    <w:p w14:paraId="4317454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除专用合同条款另有约定外，出现第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7841CAE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16.2.4</w:t>
      </w:r>
      <w:r>
        <w:rPr>
          <w:rFonts w:ascii="Times New Roman" w:hAnsi="Times New Roman" w:eastAsia="仿宋_GB2312;仿宋" w:cs="Times New Roman"/>
          <w:color w:val="000000"/>
          <w:kern w:val="0"/>
          <w:sz w:val="24"/>
          <w:szCs w:val="24"/>
        </w:rPr>
        <w:t>因承包人违约解除合同后的处理</w:t>
      </w:r>
    </w:p>
    <w:p w14:paraId="0C82A5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因承包人原因导致合同解除的，则合同当事人应在合同解除后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天内完成估价、付款和清算，并按以下约定执行：</w:t>
      </w:r>
    </w:p>
    <w:p w14:paraId="2521CA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）合同解除后，按第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款〔商定或确定〕商定或确定承包人实际完成工作对应的合同价款，以及承包人已提供的材料、工程设备、施工设备和临时工程等的价值；</w:t>
      </w:r>
    </w:p>
    <w:p w14:paraId="14946B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）合同解除后，承包人应支付的违约金；</w:t>
      </w:r>
    </w:p>
    <w:p w14:paraId="1B268B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）合同解除后，因解除合同给发包人造成的损失；</w:t>
      </w:r>
    </w:p>
    <w:p w14:paraId="1F5596E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）合同解除后，承包人应按照发包人要求和监理人的指示完成现场的清理和撤离；</w:t>
      </w:r>
    </w:p>
    <w:p w14:paraId="5A568C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）发包人和承包人应在合同解除后进行清算，出具最终结清付款证书，结清全部款项。</w:t>
      </w:r>
    </w:p>
    <w:p w14:paraId="5CE3D0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因承包人违约解除合同的，发包人有权暂停对承包人的付款，查清各项付款和已扣款项。发包人和承包人未能就合同解除后的清算和款项支付达成一致的，按照第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328C16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16.2.5</w:t>
      </w:r>
      <w:r>
        <w:rPr>
          <w:rFonts w:ascii="Times New Roman" w:hAnsi="Times New Roman" w:eastAsia="仿宋_GB2312;仿宋" w:cs="Times New Roman"/>
          <w:color w:val="000000"/>
          <w:kern w:val="0"/>
          <w:sz w:val="24"/>
          <w:szCs w:val="24"/>
        </w:rPr>
        <w:t>采购合同权益转让</w:t>
      </w:r>
    </w:p>
    <w:p w14:paraId="7DE127E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因承包人违约解除合同的，发包人有权要求承包人将其为实施合同而签订的材料和设备的采购合同的权益转让给发包人，承包人应在收到解除合同通知后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天内，协助发包人与采购合同的供应商达成相关的转让协议。</w:t>
      </w:r>
    </w:p>
    <w:p w14:paraId="00C4BF7B">
      <w:pPr>
        <w:pStyle w:val="6"/>
        <w:spacing w:before="120" w:after="120" w:line="360" w:lineRule="auto"/>
        <w:ind w:firstLine="480"/>
        <w:rPr>
          <w:rFonts w:ascii="Times New Roman" w:hAnsi="Times New Roman" w:eastAsia="黑体" w:cs="Times New Roman"/>
          <w:b w:val="0"/>
          <w:color w:val="000000"/>
          <w:sz w:val="24"/>
          <w:szCs w:val="24"/>
        </w:rPr>
      </w:pPr>
      <w:bookmarkStart w:id="148" w:name="__RefHeading___Toc351203606"/>
      <w:bookmarkEnd w:id="148"/>
      <w:r>
        <w:rPr>
          <w:rFonts w:eastAsia="黑体" w:cs="Times New Roman"/>
          <w:b w:val="0"/>
          <w:color w:val="000000"/>
          <w:sz w:val="24"/>
          <w:szCs w:val="24"/>
        </w:rPr>
        <w:t xml:space="preserve">16.3 </w:t>
      </w:r>
      <w:r>
        <w:rPr>
          <w:rFonts w:ascii="Times New Roman" w:hAnsi="Times New Roman" w:eastAsia="黑体" w:cs="Times New Roman"/>
          <w:b w:val="0"/>
          <w:color w:val="000000"/>
          <w:sz w:val="24"/>
          <w:szCs w:val="24"/>
        </w:rPr>
        <w:t>第三人造成的违约</w:t>
      </w:r>
    </w:p>
    <w:p w14:paraId="281F34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在履行合同过程中，一方当事人因第三人的原因造成违约的，应当向对方当事人承担违约责任。一方当事人和第三人之间的纠纷，依照法律规定或者按照约定解决。</w:t>
      </w:r>
    </w:p>
    <w:p w14:paraId="444DF01E">
      <w:pPr>
        <w:pStyle w:val="5"/>
        <w:spacing w:before="120" w:after="120" w:line="360" w:lineRule="auto"/>
        <w:rPr>
          <w:rFonts w:ascii="Times New Roman" w:hAnsi="Times New Roman" w:eastAsia="黑体" w:cs="Times New Roman"/>
          <w:b w:val="0"/>
          <w:color w:val="000000"/>
          <w:sz w:val="24"/>
          <w:szCs w:val="24"/>
        </w:rPr>
      </w:pPr>
      <w:bookmarkStart w:id="149" w:name="__RefHeading___Toc351203607"/>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49"/>
      <w:r>
        <w:rPr>
          <w:rFonts w:ascii="Times New Roman" w:hAnsi="Times New Roman" w:eastAsia="Times New Roman" w:cs="Times New Roman"/>
          <w:b w:val="0"/>
          <w:color w:val="000000"/>
          <w:sz w:val="24"/>
          <w:szCs w:val="24"/>
        </w:rPr>
        <w:t xml:space="preserve"> </w:t>
      </w:r>
    </w:p>
    <w:p w14:paraId="43286E5C">
      <w:pPr>
        <w:pStyle w:val="6"/>
        <w:spacing w:before="120" w:after="120" w:line="360" w:lineRule="auto"/>
        <w:ind w:firstLine="480"/>
        <w:rPr>
          <w:rFonts w:ascii="Times New Roman" w:hAnsi="Times New Roman" w:eastAsia="黑体" w:cs="Times New Roman"/>
          <w:b w:val="0"/>
          <w:color w:val="000000"/>
          <w:sz w:val="24"/>
          <w:szCs w:val="24"/>
        </w:rPr>
      </w:pPr>
      <w:bookmarkStart w:id="150" w:name="__RefHeading___Toc351203608"/>
      <w:bookmarkEnd w:id="150"/>
      <w:r>
        <w:rPr>
          <w:rFonts w:eastAsia="黑体" w:cs="Times New Roman"/>
          <w:b w:val="0"/>
          <w:color w:val="000000"/>
          <w:sz w:val="24"/>
          <w:szCs w:val="24"/>
        </w:rPr>
        <w:t xml:space="preserve">17.1 </w:t>
      </w:r>
      <w:r>
        <w:rPr>
          <w:rFonts w:ascii="Times New Roman" w:hAnsi="Times New Roman" w:eastAsia="黑体" w:cs="Times New Roman"/>
          <w:b w:val="0"/>
          <w:color w:val="000000"/>
          <w:sz w:val="24"/>
          <w:szCs w:val="24"/>
        </w:rPr>
        <w:t>不可抗力的确认</w:t>
      </w:r>
    </w:p>
    <w:p w14:paraId="65D7CC7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不可抗力是指合同当事人在签订合同时不可预见，在合同履行过程中不可避免且不能克服的自然灾害和社会性突发事件，如地震、海啸、瘟疫、骚乱、戒严、暴动、战争和专用合同条款中约定的其他情形。</w:t>
      </w:r>
    </w:p>
    <w:p w14:paraId="0DDA884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不可抗力发生后，发包人和承包人应收集证明不可抗力发生及不可抗力造成损失的证据，并及时认真统计所造成的损失。合同当事人对是否属于不可抗力或其损失的意见不一致的，由监理人按第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款〔商定或确定〕的约定处理。发生争议时，按第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6FF8FEE0">
      <w:pPr>
        <w:pStyle w:val="6"/>
        <w:spacing w:before="120" w:after="120" w:line="360" w:lineRule="auto"/>
        <w:ind w:firstLine="480"/>
        <w:rPr>
          <w:rFonts w:ascii="Times New Roman" w:hAnsi="Times New Roman" w:eastAsia="黑体" w:cs="Times New Roman"/>
          <w:b w:val="0"/>
          <w:color w:val="000000"/>
          <w:sz w:val="24"/>
          <w:szCs w:val="24"/>
        </w:rPr>
      </w:pPr>
      <w:bookmarkStart w:id="151" w:name="__RefHeading___Toc351203609"/>
      <w:bookmarkEnd w:id="151"/>
      <w:r>
        <w:rPr>
          <w:rFonts w:eastAsia="黑体" w:cs="Times New Roman"/>
          <w:b w:val="0"/>
          <w:color w:val="000000"/>
          <w:sz w:val="24"/>
          <w:szCs w:val="24"/>
        </w:rPr>
        <w:t xml:space="preserve">17.2 </w:t>
      </w:r>
      <w:r>
        <w:rPr>
          <w:rFonts w:ascii="Times New Roman" w:hAnsi="Times New Roman" w:eastAsia="黑体" w:cs="Times New Roman"/>
          <w:b w:val="0"/>
          <w:color w:val="000000"/>
          <w:sz w:val="24"/>
          <w:szCs w:val="24"/>
        </w:rPr>
        <w:t>不可抗力的通知</w:t>
      </w:r>
    </w:p>
    <w:p w14:paraId="713A6D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合同一方当事人遇到不可抗力事件，使其履行合同义务受到阻碍时，应立即通知合同另一方当事人和监理人，书面说明不可抗力和受阻碍的详细情况，并提供必要的证明。</w:t>
      </w:r>
    </w:p>
    <w:p w14:paraId="456A1B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不可抗力持续发生的，合同一方当事人应及时向合同另一方当事人和监理人提交中间报告，说明不可抗力和履行合同受阻的情况，并于不可抗力事件结束后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天内提交最终报告及有关资料。</w:t>
      </w:r>
    </w:p>
    <w:p w14:paraId="56C06A96">
      <w:pPr>
        <w:pStyle w:val="6"/>
        <w:spacing w:before="120" w:after="120" w:line="360" w:lineRule="auto"/>
        <w:ind w:firstLine="480"/>
        <w:rPr>
          <w:rFonts w:ascii="Times New Roman" w:hAnsi="Times New Roman" w:eastAsia="黑体" w:cs="Times New Roman"/>
          <w:b w:val="0"/>
          <w:color w:val="000000"/>
          <w:sz w:val="24"/>
          <w:szCs w:val="24"/>
        </w:rPr>
      </w:pPr>
      <w:bookmarkStart w:id="152" w:name="__RefHeading___Toc351203610"/>
      <w:bookmarkEnd w:id="152"/>
      <w:r>
        <w:rPr>
          <w:rFonts w:eastAsia="黑体" w:cs="Times New Roman"/>
          <w:b w:val="0"/>
          <w:color w:val="000000"/>
          <w:sz w:val="24"/>
          <w:szCs w:val="24"/>
        </w:rPr>
        <w:t xml:space="preserve">17.3 </w:t>
      </w:r>
      <w:r>
        <w:rPr>
          <w:rFonts w:ascii="Times New Roman" w:hAnsi="Times New Roman" w:eastAsia="黑体" w:cs="Times New Roman"/>
          <w:b w:val="0"/>
          <w:color w:val="000000"/>
          <w:sz w:val="24"/>
          <w:szCs w:val="24"/>
        </w:rPr>
        <w:t>不可抗力后果的承担</w:t>
      </w:r>
    </w:p>
    <w:p w14:paraId="4CC17DE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17.3.1 </w:t>
      </w:r>
      <w:r>
        <w:rPr>
          <w:rFonts w:ascii="Times New Roman" w:hAnsi="Times New Roman" w:eastAsia="仿宋_GB2312;仿宋" w:cs="Times New Roman"/>
          <w:color w:val="000000"/>
          <w:kern w:val="0"/>
          <w:sz w:val="24"/>
          <w:szCs w:val="24"/>
        </w:rPr>
        <w:t>不可抗力引起的后果及造成的损失由合同当事人按照法律规定及合同约定各自承担。不可抗力发生前已完成的工程应当按照合同约定进行计量支付。</w:t>
      </w:r>
    </w:p>
    <w:p w14:paraId="33104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17.3.2 </w:t>
      </w:r>
      <w:r>
        <w:rPr>
          <w:rFonts w:ascii="Times New Roman" w:hAnsi="Times New Roman" w:eastAsia="仿宋_GB2312;仿宋" w:cs="Times New Roman"/>
          <w:color w:val="000000"/>
          <w:kern w:val="0"/>
          <w:sz w:val="24"/>
          <w:szCs w:val="24"/>
        </w:rPr>
        <w:t>不可抗力导致的人员伤亡、财产损失、费用增加和（或）工期延误等后果，由合同当事人按以下原则承担：</w:t>
      </w:r>
    </w:p>
    <w:p w14:paraId="0563A1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）永久工程、已运至施工现场的材料和工程设备的损坏，以及因工程损坏造成的第三人人员伤亡和财产损失由发包人承担；</w:t>
      </w:r>
    </w:p>
    <w:p w14:paraId="4A01A5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）承包人施工设备的损坏由承包人承担；</w:t>
      </w:r>
    </w:p>
    <w:p w14:paraId="39E095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）发包人和承包人承担各自人员伤亡和财产的损失；</w:t>
      </w:r>
    </w:p>
    <w:p w14:paraId="01876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）因不可抗力影响承包人履行合同约定的义务，已经引起或将引起工期延误的，应当顺延工期，由此导致承包人停工的费用损失由发包人和承包人合理分担，停工期间必须支付的工人工资由发包人承担；</w:t>
      </w:r>
    </w:p>
    <w:p w14:paraId="7A6DAFC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）因不可抗力引起或将引起工期延误，发包人要求赶工的，由此增加的赶工费用由发包人承担；</w:t>
      </w:r>
    </w:p>
    <w:p w14:paraId="30C447D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）承包人在停工期间按照发包人要求照管、清理和修复工程的费用由发包人承担。</w:t>
      </w:r>
    </w:p>
    <w:p w14:paraId="308260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不可抗力发生后，合同当事人均应采取措施尽量避免和减少损失的扩大，任何一方当事人没有采取有效措施导致损失扩大的，应对扩大的损失承担责任。</w:t>
      </w:r>
    </w:p>
    <w:p w14:paraId="73E8B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因合同一方迟延履行合同义务，在迟延履行期间遭遇不可抗力的，不免除其违约责任。</w:t>
      </w:r>
    </w:p>
    <w:p w14:paraId="664D8247">
      <w:pPr>
        <w:pStyle w:val="6"/>
        <w:spacing w:before="120" w:after="120" w:line="360" w:lineRule="auto"/>
        <w:ind w:firstLine="480"/>
        <w:rPr>
          <w:rFonts w:ascii="Times New Roman" w:hAnsi="Times New Roman" w:eastAsia="黑体" w:cs="Times New Roman"/>
          <w:b w:val="0"/>
          <w:color w:val="000000"/>
          <w:sz w:val="24"/>
          <w:szCs w:val="24"/>
        </w:rPr>
      </w:pPr>
      <w:bookmarkStart w:id="153" w:name="__RefHeading___Toc351203611"/>
      <w:bookmarkEnd w:id="153"/>
      <w:r>
        <w:rPr>
          <w:rFonts w:eastAsia="黑体" w:cs="Times New Roman"/>
          <w:b w:val="0"/>
          <w:color w:val="000000"/>
          <w:sz w:val="24"/>
          <w:szCs w:val="24"/>
        </w:rPr>
        <w:t xml:space="preserve">17.4 </w:t>
      </w:r>
      <w:r>
        <w:rPr>
          <w:rFonts w:ascii="Times New Roman" w:hAnsi="Times New Roman" w:eastAsia="黑体" w:cs="Times New Roman"/>
          <w:b w:val="0"/>
          <w:color w:val="000000"/>
          <w:sz w:val="24"/>
          <w:szCs w:val="24"/>
        </w:rPr>
        <w:t>因不可抗力解除合同</w:t>
      </w:r>
    </w:p>
    <w:p w14:paraId="446A84D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因不可抗力导致合同无法履行连续超过</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天或累计超过</w:t>
      </w:r>
      <w:r>
        <w:rPr>
          <w:rFonts w:eastAsia="仿宋_GB2312;仿宋" w:cs="Times New Roman"/>
          <w:color w:val="000000"/>
          <w:kern w:val="0"/>
          <w:sz w:val="24"/>
          <w:szCs w:val="24"/>
        </w:rPr>
        <w:t>140</w:t>
      </w:r>
      <w:r>
        <w:rPr>
          <w:rFonts w:ascii="Times New Roman" w:hAnsi="Times New Roman" w:eastAsia="仿宋_GB2312;仿宋" w:cs="Times New Roman"/>
          <w:color w:val="000000"/>
          <w:kern w:val="0"/>
          <w:sz w:val="24"/>
          <w:szCs w:val="24"/>
        </w:rPr>
        <w:t>天的，发包人和承包人均有权解除合同。合同解除后，由双方当事人按照第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款〔商定或确定〕商定或确定发包人应支付的款项，该款项包括：</w:t>
      </w:r>
    </w:p>
    <w:p w14:paraId="60566F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）合同解除前承包人已完成工作的价款；</w:t>
      </w:r>
    </w:p>
    <w:p w14:paraId="3788C9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）承包人为工程订购的并已交付给承包人，或承包人有责任接受交付的材料、工程设备和其他物品的价款；</w:t>
      </w:r>
    </w:p>
    <w:p w14:paraId="5B6BED9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）发包人要求承包人退货或解除订货合同而产生的费用，或因不能退货或解除合同而产生的损失；</w:t>
      </w:r>
    </w:p>
    <w:p w14:paraId="5AB1030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）承包人撤离施工现场以及遣散承包人人员的费用；</w:t>
      </w:r>
    </w:p>
    <w:p w14:paraId="1A08BC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）按照合同约定在合同解除前应支付给承包人的其他款项；</w:t>
      </w:r>
    </w:p>
    <w:p w14:paraId="565A596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）扣减承包人按照合同约定应向发包人支付的款项；</w:t>
      </w:r>
    </w:p>
    <w:p w14:paraId="238F58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）双方商定或确定的其他款项。</w:t>
      </w:r>
    </w:p>
    <w:p w14:paraId="79FAF08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除专用合同条款另有约定外，合同解除后，发包人应在商定或确定上述款项后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天内完成上述款项的支付。</w:t>
      </w:r>
    </w:p>
    <w:p w14:paraId="3A758BD0">
      <w:pPr>
        <w:pStyle w:val="5"/>
        <w:spacing w:before="120" w:after="120" w:line="360" w:lineRule="auto"/>
        <w:rPr>
          <w:rFonts w:ascii="Times New Roman" w:hAnsi="Times New Roman" w:eastAsia="黑体" w:cs="Times New Roman"/>
          <w:b w:val="0"/>
          <w:color w:val="000000"/>
          <w:sz w:val="24"/>
          <w:szCs w:val="24"/>
        </w:rPr>
      </w:pPr>
      <w:bookmarkStart w:id="154" w:name="__RefHeading___Toc351203612"/>
      <w:bookmarkEnd w:id="154"/>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61C01B29">
      <w:pPr>
        <w:pStyle w:val="6"/>
        <w:spacing w:before="120" w:after="120" w:line="360" w:lineRule="auto"/>
        <w:ind w:firstLine="480"/>
        <w:rPr>
          <w:rFonts w:ascii="Times New Roman" w:hAnsi="Times New Roman" w:eastAsia="黑体" w:cs="Times New Roman"/>
          <w:b w:val="0"/>
          <w:color w:val="000000"/>
          <w:sz w:val="24"/>
          <w:szCs w:val="24"/>
        </w:rPr>
      </w:pPr>
      <w:bookmarkStart w:id="155" w:name="__RefHeading___Toc351203613"/>
      <w:bookmarkEnd w:id="155"/>
      <w:r>
        <w:rPr>
          <w:rFonts w:eastAsia="黑体" w:cs="Times New Roman"/>
          <w:b w:val="0"/>
          <w:color w:val="000000"/>
          <w:sz w:val="24"/>
          <w:szCs w:val="24"/>
        </w:rPr>
        <w:t xml:space="preserve">18.1 </w:t>
      </w:r>
      <w:r>
        <w:rPr>
          <w:rFonts w:ascii="Times New Roman" w:hAnsi="Times New Roman" w:eastAsia="黑体" w:cs="Times New Roman"/>
          <w:b w:val="0"/>
          <w:color w:val="000000"/>
          <w:sz w:val="24"/>
          <w:szCs w:val="24"/>
        </w:rPr>
        <w:t>工程保险</w:t>
      </w:r>
    </w:p>
    <w:p w14:paraId="1AC078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除专用合同条款另有约定外，发包人应投保建筑工程一切险或安装工程一切险；发包人委托承包人投保的，因投保产生的保险费和其他相关费用由发包人承担。</w:t>
      </w:r>
    </w:p>
    <w:p w14:paraId="73461F25">
      <w:pPr>
        <w:pStyle w:val="6"/>
        <w:spacing w:before="120" w:after="120" w:line="360" w:lineRule="auto"/>
        <w:ind w:firstLine="480"/>
        <w:rPr>
          <w:rFonts w:ascii="Times New Roman" w:hAnsi="Times New Roman" w:eastAsia="黑体" w:cs="Times New Roman"/>
          <w:b w:val="0"/>
          <w:color w:val="000000"/>
          <w:sz w:val="24"/>
          <w:szCs w:val="24"/>
        </w:rPr>
      </w:pPr>
      <w:bookmarkStart w:id="156" w:name="__RefHeading___Toc351203614"/>
      <w:bookmarkEnd w:id="156"/>
      <w:r>
        <w:rPr>
          <w:rFonts w:eastAsia="黑体" w:cs="Times New Roman"/>
          <w:b w:val="0"/>
          <w:color w:val="000000"/>
          <w:sz w:val="24"/>
          <w:szCs w:val="24"/>
        </w:rPr>
        <w:t xml:space="preserve">18.2 </w:t>
      </w:r>
      <w:r>
        <w:rPr>
          <w:rFonts w:ascii="Times New Roman" w:hAnsi="Times New Roman" w:eastAsia="黑体" w:cs="Times New Roman"/>
          <w:b w:val="0"/>
          <w:color w:val="000000"/>
          <w:sz w:val="24"/>
          <w:szCs w:val="24"/>
        </w:rPr>
        <w:t>工伤保险</w:t>
      </w:r>
    </w:p>
    <w:p w14:paraId="0C03B1F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18.2.1 </w:t>
      </w:r>
      <w:r>
        <w:rPr>
          <w:rFonts w:ascii="Times New Roman" w:hAnsi="Times New Roman" w:eastAsia="仿宋_GB2312;仿宋" w:cs="Times New Roman"/>
          <w:color w:val="000000"/>
          <w:kern w:val="0"/>
          <w:sz w:val="24"/>
          <w:szCs w:val="24"/>
        </w:rPr>
        <w:t>发包人应依照法律规定参加工伤保险，并为在施工现场的全部员工办理工伤保险，缴纳工伤保险费，并要求监理人及由发包人为履行合同聘请的第三方依法参加工伤保险。</w:t>
      </w:r>
    </w:p>
    <w:p w14:paraId="4A547A3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18.2.2 </w:t>
      </w:r>
      <w:r>
        <w:rPr>
          <w:rFonts w:ascii="Times New Roman" w:hAnsi="Times New Roman" w:eastAsia="仿宋_GB2312;仿宋" w:cs="Times New Roman"/>
          <w:color w:val="000000"/>
          <w:kern w:val="0"/>
          <w:sz w:val="24"/>
          <w:szCs w:val="24"/>
        </w:rPr>
        <w:t>承包人应依照法律规定参加工伤保险，并为其履行合同的全部员工办理工伤保险，缴纳工伤保险费，并要求分包人及由承包人为履行合同聘请的第三方依法参加工伤保险。</w:t>
      </w:r>
    </w:p>
    <w:p w14:paraId="2589912B">
      <w:pPr>
        <w:pStyle w:val="6"/>
        <w:spacing w:before="120" w:after="120" w:line="360" w:lineRule="auto"/>
        <w:ind w:firstLine="480"/>
        <w:rPr>
          <w:rFonts w:ascii="Times New Roman" w:hAnsi="Times New Roman" w:eastAsia="黑体" w:cs="Times New Roman"/>
          <w:b w:val="0"/>
          <w:color w:val="000000"/>
          <w:sz w:val="24"/>
          <w:szCs w:val="24"/>
        </w:rPr>
      </w:pPr>
      <w:bookmarkStart w:id="157" w:name="__RefHeading___Toc351203615"/>
      <w:bookmarkEnd w:id="157"/>
      <w:r>
        <w:rPr>
          <w:rFonts w:eastAsia="黑体" w:cs="Times New Roman"/>
          <w:b w:val="0"/>
          <w:color w:val="000000"/>
          <w:sz w:val="24"/>
          <w:szCs w:val="24"/>
        </w:rPr>
        <w:t>18.3</w:t>
      </w:r>
      <w:r>
        <w:rPr>
          <w:rFonts w:ascii="Times New Roman" w:hAnsi="Times New Roman" w:eastAsia="黑体" w:cs="Times New Roman"/>
          <w:b w:val="0"/>
          <w:color w:val="000000"/>
          <w:sz w:val="24"/>
          <w:szCs w:val="24"/>
        </w:rPr>
        <w:t>其他保险</w:t>
      </w:r>
    </w:p>
    <w:p w14:paraId="69513D0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发包人和承包人可以为其施工现场的全部人员办理意外伤害保险并支付保险费，包括其员工及为履行合同聘请的第三方的人员，具体事项由合同当事人在专用合同条款约定。</w:t>
      </w:r>
    </w:p>
    <w:p w14:paraId="7D0E96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除专用合同条款另有约定外，承包人应为其施工设备等办理财产保险。</w:t>
      </w:r>
    </w:p>
    <w:p w14:paraId="3272A432">
      <w:pPr>
        <w:pStyle w:val="6"/>
        <w:spacing w:before="120" w:after="120" w:line="360" w:lineRule="auto"/>
        <w:ind w:firstLine="480"/>
        <w:rPr>
          <w:rFonts w:ascii="Times New Roman" w:hAnsi="Times New Roman" w:eastAsia="黑体" w:cs="Times New Roman"/>
          <w:b w:val="0"/>
          <w:color w:val="000000"/>
          <w:sz w:val="24"/>
          <w:szCs w:val="24"/>
        </w:rPr>
      </w:pPr>
      <w:bookmarkStart w:id="158" w:name="__RefHeading___Toc351203616"/>
      <w:bookmarkEnd w:id="158"/>
      <w:r>
        <w:rPr>
          <w:rFonts w:eastAsia="黑体" w:cs="Times New Roman"/>
          <w:b w:val="0"/>
          <w:color w:val="000000"/>
          <w:sz w:val="24"/>
          <w:szCs w:val="24"/>
        </w:rPr>
        <w:t>18.4</w:t>
      </w:r>
      <w:r>
        <w:rPr>
          <w:rFonts w:ascii="Times New Roman" w:hAnsi="Times New Roman" w:eastAsia="黑体" w:cs="Times New Roman"/>
          <w:b w:val="0"/>
          <w:color w:val="000000"/>
          <w:sz w:val="24"/>
          <w:szCs w:val="24"/>
        </w:rPr>
        <w:t>持续保险</w:t>
      </w:r>
    </w:p>
    <w:p w14:paraId="7A9FF70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合同当事人应与保险人保持联系，使保险人能够随时了解工程实施中的变动，并确保按保险合同条款要求持续保险。</w:t>
      </w:r>
    </w:p>
    <w:p w14:paraId="72CE5A1E">
      <w:pPr>
        <w:pStyle w:val="6"/>
        <w:spacing w:before="120" w:after="120" w:line="360" w:lineRule="auto"/>
        <w:ind w:firstLine="480"/>
        <w:rPr>
          <w:rFonts w:ascii="Times New Roman" w:hAnsi="Times New Roman" w:eastAsia="黑体" w:cs="Times New Roman"/>
          <w:b w:val="0"/>
          <w:color w:val="000000"/>
          <w:sz w:val="24"/>
          <w:szCs w:val="24"/>
        </w:rPr>
      </w:pPr>
      <w:bookmarkStart w:id="159" w:name="__RefHeading___Toc351203617"/>
      <w:bookmarkEnd w:id="159"/>
      <w:r>
        <w:rPr>
          <w:rFonts w:eastAsia="黑体" w:cs="Times New Roman"/>
          <w:b w:val="0"/>
          <w:color w:val="000000"/>
          <w:sz w:val="24"/>
          <w:szCs w:val="24"/>
        </w:rPr>
        <w:t xml:space="preserve">18.5 </w:t>
      </w:r>
      <w:r>
        <w:rPr>
          <w:rFonts w:ascii="Times New Roman" w:hAnsi="Times New Roman" w:eastAsia="黑体" w:cs="Times New Roman"/>
          <w:b w:val="0"/>
          <w:color w:val="000000"/>
          <w:sz w:val="24"/>
          <w:szCs w:val="24"/>
        </w:rPr>
        <w:t>保险凭证</w:t>
      </w:r>
    </w:p>
    <w:p w14:paraId="4FA9481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合同当事人应及时向另一方当事人提交其已投保的各项保险的凭证和保险单复印件。</w:t>
      </w:r>
    </w:p>
    <w:p w14:paraId="7C5E7EB3">
      <w:pPr>
        <w:pStyle w:val="6"/>
        <w:spacing w:before="120" w:after="120" w:line="360" w:lineRule="auto"/>
        <w:ind w:firstLine="480"/>
        <w:rPr>
          <w:rFonts w:ascii="Times New Roman" w:hAnsi="Times New Roman" w:eastAsia="黑体" w:cs="Times New Roman"/>
          <w:b w:val="0"/>
          <w:color w:val="000000"/>
          <w:sz w:val="24"/>
          <w:szCs w:val="24"/>
        </w:rPr>
      </w:pPr>
      <w:bookmarkStart w:id="160" w:name="__RefHeading___Toc351203618"/>
      <w:bookmarkEnd w:id="160"/>
      <w:r>
        <w:rPr>
          <w:rFonts w:eastAsia="黑体" w:cs="Times New Roman"/>
          <w:b w:val="0"/>
          <w:color w:val="000000"/>
          <w:sz w:val="24"/>
          <w:szCs w:val="24"/>
        </w:rPr>
        <w:t xml:space="preserve">18.6 </w:t>
      </w:r>
      <w:r>
        <w:rPr>
          <w:rFonts w:ascii="Times New Roman" w:hAnsi="Times New Roman" w:eastAsia="黑体" w:cs="Times New Roman"/>
          <w:b w:val="0"/>
          <w:color w:val="000000"/>
          <w:sz w:val="24"/>
          <w:szCs w:val="24"/>
        </w:rPr>
        <w:t>未按约定投保的补救</w:t>
      </w:r>
    </w:p>
    <w:p w14:paraId="704D95D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18.6.1</w:t>
      </w:r>
      <w:r>
        <w:rPr>
          <w:rFonts w:ascii="Times New Roman" w:hAnsi="Times New Roman" w:eastAsia="仿宋_GB2312;仿宋" w:cs="Times New Roman"/>
          <w:color w:val="000000"/>
          <w:sz w:val="24"/>
          <w:szCs w:val="24"/>
        </w:rPr>
        <w:t>发包人未按合同约定办理保险，或未能使保险持续有效的，则承包人可代为办理，所需费用由发包人承担。发包人未按合同约定办理保险，导致未能得到足额赔偿的，由发包人负责补足。</w:t>
      </w:r>
    </w:p>
    <w:p w14:paraId="1083C04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18.6.2</w:t>
      </w:r>
      <w:r>
        <w:rPr>
          <w:rFonts w:ascii="Times New Roman" w:hAnsi="Times New Roman" w:eastAsia="仿宋_GB2312;仿宋" w:cs="Times New Roman"/>
          <w:color w:val="000000"/>
          <w:sz w:val="24"/>
          <w:szCs w:val="24"/>
        </w:rPr>
        <w:t>承包人未按合同约定办理保险，或未能使保险持续有效的，则发包人可代为办理，所需费用由承包人承担。承包人未按合同约定办理保险，导致未能得到足额赔偿的，由承包人负责补足。</w:t>
      </w:r>
    </w:p>
    <w:p w14:paraId="3C1FB3BA">
      <w:pPr>
        <w:pStyle w:val="6"/>
        <w:spacing w:before="120" w:after="120" w:line="360" w:lineRule="auto"/>
        <w:ind w:firstLine="480"/>
        <w:rPr>
          <w:rFonts w:ascii="Times New Roman" w:hAnsi="Times New Roman" w:eastAsia="黑体" w:cs="Times New Roman"/>
          <w:b w:val="0"/>
          <w:color w:val="000000"/>
          <w:sz w:val="24"/>
          <w:szCs w:val="24"/>
        </w:rPr>
      </w:pPr>
      <w:bookmarkStart w:id="161" w:name="__RefHeading___Toc351203619"/>
      <w:bookmarkEnd w:id="161"/>
      <w:r>
        <w:rPr>
          <w:rFonts w:eastAsia="黑体" w:cs="Times New Roman"/>
          <w:b w:val="0"/>
          <w:color w:val="000000"/>
          <w:sz w:val="24"/>
          <w:szCs w:val="24"/>
        </w:rPr>
        <w:t xml:space="preserve">18.7 </w:t>
      </w:r>
      <w:r>
        <w:rPr>
          <w:rFonts w:ascii="Times New Roman" w:hAnsi="Times New Roman" w:eastAsia="黑体" w:cs="Times New Roman"/>
          <w:b w:val="0"/>
          <w:color w:val="000000"/>
          <w:sz w:val="24"/>
          <w:szCs w:val="24"/>
        </w:rPr>
        <w:t>通知义务</w:t>
      </w:r>
    </w:p>
    <w:p w14:paraId="5B71097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除专用合同条款另有约定外，发包人变更除工伤保险之外的保险合同时，应事先征得承包人同意，并通知监理人；承包人变更除工伤保险之外的保险合同时，应事先征得发包人同意，并通知监理人。</w:t>
      </w:r>
    </w:p>
    <w:p w14:paraId="022CF01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保险事故发生时，投保人应按照保险合同规定的条件和期限及时向保险人报告。发包人和承包人应当在知道保险事故发生后及时通知对方。</w:t>
      </w:r>
    </w:p>
    <w:p w14:paraId="5C22933E">
      <w:pPr>
        <w:pStyle w:val="5"/>
        <w:spacing w:before="120" w:after="120" w:line="360" w:lineRule="auto"/>
        <w:rPr>
          <w:rFonts w:ascii="Times New Roman" w:hAnsi="Times New Roman" w:eastAsia="黑体" w:cs="Times New Roman"/>
          <w:b w:val="0"/>
          <w:color w:val="000000"/>
          <w:sz w:val="24"/>
          <w:szCs w:val="24"/>
        </w:rPr>
      </w:pPr>
      <w:bookmarkStart w:id="162" w:name="__RefHeading___Toc351203620"/>
      <w:bookmarkEnd w:id="162"/>
      <w:r>
        <w:rPr>
          <w:rFonts w:ascii="Times New Roman" w:hAnsi="Times New Roman" w:eastAsia="黑体" w:cs="Times New Roman"/>
          <w:b w:val="0"/>
          <w:color w:val="000000"/>
          <w:sz w:val="24"/>
          <w:szCs w:val="24"/>
        </w:rPr>
        <w:t xml:space="preserve">19. </w:t>
      </w:r>
      <w:r>
        <w:rPr>
          <w:rFonts w:ascii="Times New Roman" w:hAnsi="Times New Roman" w:cs="Times New Roman"/>
          <w:b w:val="0"/>
          <w:color w:val="000000"/>
          <w:sz w:val="24"/>
          <w:szCs w:val="24"/>
        </w:rPr>
        <w:t>索赔</w:t>
      </w:r>
    </w:p>
    <w:p w14:paraId="16E27370">
      <w:pPr>
        <w:pStyle w:val="6"/>
        <w:spacing w:before="120" w:after="120" w:line="360" w:lineRule="auto"/>
        <w:ind w:firstLine="480"/>
        <w:rPr>
          <w:rFonts w:ascii="Times New Roman" w:hAnsi="Times New Roman" w:eastAsia="黑体" w:cs="Times New Roman"/>
          <w:b w:val="0"/>
          <w:color w:val="000000"/>
          <w:sz w:val="24"/>
          <w:szCs w:val="24"/>
        </w:rPr>
      </w:pPr>
      <w:bookmarkStart w:id="163" w:name="__RefHeading___Toc351203621"/>
      <w:bookmarkEnd w:id="163"/>
      <w:r>
        <w:rPr>
          <w:rFonts w:eastAsia="黑体" w:cs="Times New Roman"/>
          <w:b w:val="0"/>
          <w:color w:val="000000"/>
          <w:sz w:val="24"/>
          <w:szCs w:val="24"/>
        </w:rPr>
        <w:t>19.1</w:t>
      </w:r>
      <w:r>
        <w:rPr>
          <w:rFonts w:ascii="Times New Roman" w:hAnsi="Times New Roman" w:eastAsia="黑体" w:cs="Times New Roman"/>
          <w:b w:val="0"/>
          <w:color w:val="000000"/>
          <w:sz w:val="24"/>
          <w:szCs w:val="24"/>
        </w:rPr>
        <w:t>承包人的索赔</w:t>
      </w:r>
    </w:p>
    <w:p w14:paraId="638CE8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根据合同约定，承包人认为有权得到追加付款和（或）延长工期的，应按以下程序向发包人提出索赔：</w:t>
      </w:r>
    </w:p>
    <w:p w14:paraId="0A1365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天内，向监理人递交索赔意向通知书，并说明发生索赔事件的事由；承包人未在前述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天内发出索赔意向通知书的，丧失要求追加付款和（或）延长工期的权利；</w:t>
      </w:r>
    </w:p>
    <w:p w14:paraId="1874D4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天内，向监理人正式递交索赔报告；索赔报告应详细说明索赔理由以及要求追加的付款金额和（或）延长的工期，并附必要的记录和证明材料；</w:t>
      </w:r>
    </w:p>
    <w:p w14:paraId="18F884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）索赔事件具有持续影响的，承包人应按合理时间间隔继续递交延续索赔通知，说明持续影响的实际情况和记录，列出累计的追加付款金额和（或）工期延长天数；</w:t>
      </w:r>
    </w:p>
    <w:p w14:paraId="3D6248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）在索赔事件影响结束后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天内，承包人应向监理人递交最终索赔报告，说明最终要求索赔的追加付款金额和（或）延长的工期，并附必要的记录和证明材料。</w:t>
      </w:r>
    </w:p>
    <w:p w14:paraId="3E720F77">
      <w:pPr>
        <w:pStyle w:val="6"/>
        <w:spacing w:before="120" w:after="120" w:line="360" w:lineRule="auto"/>
        <w:ind w:firstLine="480"/>
        <w:rPr>
          <w:rFonts w:ascii="Times New Roman" w:hAnsi="Times New Roman" w:eastAsia="黑体" w:cs="Times New Roman"/>
          <w:b w:val="0"/>
          <w:color w:val="000000"/>
          <w:sz w:val="24"/>
          <w:szCs w:val="24"/>
        </w:rPr>
      </w:pPr>
      <w:bookmarkStart w:id="164" w:name="__RefHeading___Toc351203622"/>
      <w:bookmarkEnd w:id="164"/>
      <w:r>
        <w:rPr>
          <w:rFonts w:eastAsia="黑体" w:cs="Times New Roman"/>
          <w:b w:val="0"/>
          <w:color w:val="000000"/>
          <w:sz w:val="24"/>
          <w:szCs w:val="24"/>
        </w:rPr>
        <w:t xml:space="preserve">19.2 </w:t>
      </w:r>
      <w:r>
        <w:rPr>
          <w:rFonts w:ascii="Times New Roman" w:hAnsi="Times New Roman" w:eastAsia="黑体" w:cs="Times New Roman"/>
          <w:b w:val="0"/>
          <w:color w:val="000000"/>
          <w:sz w:val="24"/>
          <w:szCs w:val="24"/>
        </w:rPr>
        <w:t>对承包人索赔的处理</w:t>
      </w:r>
    </w:p>
    <w:p w14:paraId="4B5AAA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对承包人索赔的处理如下：</w:t>
      </w:r>
    </w:p>
    <w:p w14:paraId="160AE2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）监理人应在收到索赔报告后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天内完成审查并报送发包人。监理人对索赔报告存在异议的，有权要求承包人提交全部原始记录副本；</w:t>
      </w:r>
    </w:p>
    <w:p w14:paraId="3011837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）发包人应在监理人收到索赔报告或有关索赔的进一步证明材料后的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天内，由监理人向承包人出具经发包人签认的索赔处理结果。发包人逾期答复的，则视为认可承包人的索赔要求；</w:t>
      </w:r>
    </w:p>
    <w:p w14:paraId="61D5D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）承包人接受索赔处理结果的，索赔款项在当期进度款中进行支付；承包人不接受索赔处理结果的，按照第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F16D860">
      <w:pPr>
        <w:pStyle w:val="6"/>
        <w:spacing w:before="120" w:after="120" w:line="360" w:lineRule="auto"/>
        <w:ind w:firstLine="480"/>
        <w:rPr>
          <w:rFonts w:ascii="Times New Roman" w:hAnsi="Times New Roman" w:eastAsia="黑体" w:cs="Times New Roman"/>
          <w:b w:val="0"/>
          <w:color w:val="000000"/>
          <w:sz w:val="24"/>
          <w:szCs w:val="24"/>
        </w:rPr>
      </w:pPr>
      <w:bookmarkStart w:id="165" w:name="__RefHeading___Toc351203623"/>
      <w:bookmarkEnd w:id="165"/>
      <w:r>
        <w:rPr>
          <w:rFonts w:eastAsia="黑体" w:cs="Times New Roman"/>
          <w:b w:val="0"/>
          <w:color w:val="000000"/>
          <w:sz w:val="24"/>
          <w:szCs w:val="24"/>
        </w:rPr>
        <w:t>19.3</w:t>
      </w:r>
      <w:r>
        <w:rPr>
          <w:rFonts w:ascii="Times New Roman" w:hAnsi="Times New Roman" w:eastAsia="黑体" w:cs="Times New Roman"/>
          <w:b w:val="0"/>
          <w:color w:val="000000"/>
          <w:sz w:val="24"/>
          <w:szCs w:val="24"/>
        </w:rPr>
        <w:t>发包人的索赔</w:t>
      </w:r>
    </w:p>
    <w:p w14:paraId="7674F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根据合同约定，发包人认为有权得到赔付金额和（或）延长缺陷责任期的，监理人应向承包人发出通知并附有详细的证明。</w:t>
      </w:r>
    </w:p>
    <w:p w14:paraId="3C550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天内通过监理人向承包人提出索赔意向通知书，发包人未在前述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天内发出索赔意向通知书的，丧失要求赔付金额和（或）延长缺陷责任期的权利。发包人应在发出索赔意向通知书后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天内，通过监理人向承包人正式递交索赔报告。</w:t>
      </w:r>
    </w:p>
    <w:p w14:paraId="5C11F83A">
      <w:pPr>
        <w:pStyle w:val="6"/>
        <w:spacing w:before="120" w:after="120" w:line="360" w:lineRule="auto"/>
        <w:ind w:firstLine="480"/>
        <w:rPr>
          <w:rFonts w:ascii="Times New Roman" w:hAnsi="Times New Roman" w:eastAsia="黑体" w:cs="Times New Roman"/>
          <w:b w:val="0"/>
          <w:color w:val="000000"/>
          <w:sz w:val="24"/>
          <w:szCs w:val="24"/>
        </w:rPr>
      </w:pPr>
      <w:bookmarkStart w:id="166" w:name="__RefHeading___Toc351203624"/>
      <w:bookmarkEnd w:id="166"/>
      <w:r>
        <w:rPr>
          <w:rFonts w:eastAsia="黑体" w:cs="Times New Roman"/>
          <w:b w:val="0"/>
          <w:color w:val="000000"/>
          <w:sz w:val="24"/>
          <w:szCs w:val="24"/>
        </w:rPr>
        <w:t xml:space="preserve">19.4 </w:t>
      </w:r>
      <w:r>
        <w:rPr>
          <w:rFonts w:ascii="Times New Roman" w:hAnsi="Times New Roman" w:eastAsia="黑体" w:cs="Times New Roman"/>
          <w:b w:val="0"/>
          <w:color w:val="000000"/>
          <w:sz w:val="24"/>
          <w:szCs w:val="24"/>
        </w:rPr>
        <w:t>对发包人索赔的处理</w:t>
      </w:r>
    </w:p>
    <w:p w14:paraId="28BBBF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对发包人索赔的处理如下：</w:t>
      </w:r>
    </w:p>
    <w:p w14:paraId="4B0331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）承包人收到发包人提交的索赔报告后，应及时审查索赔报告的内容、查验发包人证明材料；</w:t>
      </w:r>
    </w:p>
    <w:p w14:paraId="7FC96B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）承包人应在收到索赔报告或有关索赔的进一步证明材料后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天内，将索赔处理结果答复发包人。如果承包人未在上述期限内作出答复的，则视为对发包人索赔要求的认可；</w:t>
      </w:r>
    </w:p>
    <w:p w14:paraId="5D05FC6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）承包人接受索赔处理结果的，发包人可从应支付给承包人的合同价款中扣除赔付的金额或延长缺陷责任期；发包人不接受索赔处理结果的，按第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7A9CF8E">
      <w:pPr>
        <w:pStyle w:val="6"/>
        <w:spacing w:before="120" w:after="120" w:line="360" w:lineRule="auto"/>
        <w:ind w:firstLine="480"/>
        <w:rPr>
          <w:rFonts w:ascii="Times New Roman" w:hAnsi="Times New Roman" w:eastAsia="黑体" w:cs="Times New Roman"/>
          <w:b w:val="0"/>
          <w:color w:val="000000"/>
          <w:sz w:val="24"/>
          <w:szCs w:val="24"/>
        </w:rPr>
      </w:pPr>
      <w:bookmarkStart w:id="167" w:name="__RefHeading___Toc351203625"/>
      <w:bookmarkEnd w:id="167"/>
      <w:r>
        <w:rPr>
          <w:rFonts w:eastAsia="黑体" w:cs="Times New Roman"/>
          <w:b w:val="0"/>
          <w:color w:val="000000"/>
          <w:sz w:val="24"/>
          <w:szCs w:val="24"/>
        </w:rPr>
        <w:t xml:space="preserve">19.5 </w:t>
      </w:r>
      <w:r>
        <w:rPr>
          <w:rFonts w:ascii="Times New Roman" w:hAnsi="Times New Roman" w:eastAsia="黑体" w:cs="Times New Roman"/>
          <w:b w:val="0"/>
          <w:color w:val="000000"/>
          <w:sz w:val="24"/>
          <w:szCs w:val="24"/>
        </w:rPr>
        <w:t>提出索赔的期限</w:t>
      </w:r>
    </w:p>
    <w:p w14:paraId="174620E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14.2</w:t>
      </w:r>
      <w:r>
        <w:rPr>
          <w:rFonts w:ascii="Times New Roman" w:hAnsi="Times New Roman" w:eastAsia="仿宋_GB2312;仿宋" w:cs="Times New Roman"/>
          <w:color w:val="000000"/>
          <w:kern w:val="0"/>
          <w:sz w:val="24"/>
          <w:szCs w:val="24"/>
        </w:rPr>
        <w:t>款〔竣工结算审核〕约定接收竣工付款证书后，应被视为已无权再提出在工程接收证书颁发前所发生的任何索赔。</w:t>
      </w:r>
    </w:p>
    <w:p w14:paraId="3AFEDD5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14.4</w:t>
      </w:r>
      <w:r>
        <w:rPr>
          <w:rFonts w:ascii="Times New Roman" w:hAnsi="Times New Roman" w:eastAsia="仿宋_GB2312;仿宋" w:cs="Times New Roman"/>
          <w:color w:val="000000"/>
          <w:kern w:val="0"/>
          <w:sz w:val="24"/>
          <w:szCs w:val="24"/>
        </w:rPr>
        <w:t>款〔最终结清〕提交的最终结清申请单中，只限于提出工程接收证书颁发后发生的索赔。提出索赔的期限自接受最终结清证书时终止。</w:t>
      </w:r>
    </w:p>
    <w:p w14:paraId="34D2F240">
      <w:pPr>
        <w:pStyle w:val="5"/>
        <w:spacing w:before="120" w:after="120" w:line="360" w:lineRule="auto"/>
        <w:rPr>
          <w:rFonts w:ascii="Times New Roman" w:hAnsi="Times New Roman" w:eastAsia="黑体" w:cs="Times New Roman"/>
          <w:b w:val="0"/>
          <w:color w:val="000000"/>
          <w:sz w:val="24"/>
          <w:szCs w:val="24"/>
        </w:rPr>
      </w:pPr>
      <w:bookmarkStart w:id="168" w:name="__RefHeading___Toc351203626"/>
      <w:bookmarkEnd w:id="168"/>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3BA5AB2C">
      <w:pPr>
        <w:pStyle w:val="6"/>
        <w:spacing w:before="120" w:after="120" w:line="360" w:lineRule="auto"/>
        <w:ind w:firstLine="480"/>
        <w:rPr>
          <w:rFonts w:ascii="Times New Roman" w:hAnsi="Times New Roman" w:eastAsia="黑体" w:cs="Times New Roman"/>
          <w:b w:val="0"/>
          <w:color w:val="000000"/>
          <w:sz w:val="24"/>
          <w:szCs w:val="24"/>
        </w:rPr>
      </w:pPr>
      <w:bookmarkStart w:id="169" w:name="__RefHeading___Toc351203627"/>
      <w:bookmarkEnd w:id="169"/>
      <w:r>
        <w:rPr>
          <w:rFonts w:eastAsia="黑体" w:cs="Times New Roman"/>
          <w:b w:val="0"/>
          <w:color w:val="000000"/>
          <w:sz w:val="24"/>
          <w:szCs w:val="24"/>
        </w:rPr>
        <w:t>20.1</w:t>
      </w:r>
      <w:r>
        <w:rPr>
          <w:rFonts w:ascii="Times New Roman" w:hAnsi="Times New Roman" w:eastAsia="黑体" w:cs="Times New Roman"/>
          <w:b w:val="0"/>
          <w:color w:val="000000"/>
          <w:sz w:val="24"/>
          <w:szCs w:val="24"/>
        </w:rPr>
        <w:t>和解</w:t>
      </w:r>
    </w:p>
    <w:p w14:paraId="6E4946B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合同当事人可以就争议自行和解，自行和解达成协议的经双方签字并盖章后作为合同补充文件，双方均应遵照执行。</w:t>
      </w:r>
    </w:p>
    <w:p w14:paraId="2B31F3DE">
      <w:pPr>
        <w:pStyle w:val="6"/>
        <w:spacing w:before="120" w:after="120" w:line="360" w:lineRule="auto"/>
        <w:ind w:firstLine="480"/>
        <w:rPr>
          <w:rFonts w:ascii="Times New Roman" w:hAnsi="Times New Roman" w:eastAsia="黑体" w:cs="Times New Roman"/>
          <w:b w:val="0"/>
          <w:color w:val="000000"/>
          <w:sz w:val="24"/>
          <w:szCs w:val="24"/>
        </w:rPr>
      </w:pPr>
      <w:bookmarkStart w:id="170" w:name="__RefHeading___Toc351203628"/>
      <w:bookmarkEnd w:id="170"/>
      <w:r>
        <w:rPr>
          <w:rFonts w:eastAsia="黑体" w:cs="Times New Roman"/>
          <w:b w:val="0"/>
          <w:color w:val="000000"/>
          <w:sz w:val="24"/>
          <w:szCs w:val="24"/>
        </w:rPr>
        <w:t>20.2</w:t>
      </w:r>
      <w:r>
        <w:rPr>
          <w:rFonts w:ascii="Times New Roman" w:hAnsi="Times New Roman" w:eastAsia="黑体" w:cs="Times New Roman"/>
          <w:b w:val="0"/>
          <w:color w:val="000000"/>
          <w:sz w:val="24"/>
          <w:szCs w:val="24"/>
        </w:rPr>
        <w:t>调解</w:t>
      </w:r>
    </w:p>
    <w:p w14:paraId="4B7249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合同当事人可以就争议请求建设行政主管部门、行业协会或其他第三方进行调解，调解达成协议的，经双方签字并盖章后作为合同补充文件，双方均应遵照执行。</w:t>
      </w:r>
    </w:p>
    <w:p w14:paraId="1B49813F">
      <w:pPr>
        <w:pStyle w:val="6"/>
        <w:spacing w:before="120" w:after="120" w:line="360" w:lineRule="auto"/>
        <w:ind w:firstLine="480"/>
        <w:rPr>
          <w:rFonts w:ascii="Times New Roman" w:hAnsi="Times New Roman" w:eastAsia="黑体" w:cs="Times New Roman"/>
          <w:b w:val="0"/>
          <w:color w:val="000000"/>
          <w:sz w:val="24"/>
          <w:szCs w:val="24"/>
        </w:rPr>
      </w:pPr>
      <w:bookmarkStart w:id="171" w:name="__RefHeading___Toc351203629"/>
      <w:bookmarkEnd w:id="171"/>
      <w:r>
        <w:rPr>
          <w:rFonts w:eastAsia="黑体" w:cs="Times New Roman"/>
          <w:b w:val="0"/>
          <w:color w:val="000000"/>
          <w:sz w:val="24"/>
          <w:szCs w:val="24"/>
        </w:rPr>
        <w:t>20.3</w:t>
      </w:r>
      <w:r>
        <w:rPr>
          <w:rFonts w:ascii="Times New Roman" w:hAnsi="Times New Roman" w:eastAsia="黑体" w:cs="Times New Roman"/>
          <w:b w:val="0"/>
          <w:color w:val="000000"/>
          <w:sz w:val="24"/>
          <w:szCs w:val="24"/>
        </w:rPr>
        <w:t>争议评审</w:t>
      </w:r>
    </w:p>
    <w:p w14:paraId="23DA039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合同当事人在专用合同条款中约定采取争议评审方式解决争议以及评审规则，并按下列约定执行：</w:t>
      </w:r>
      <w:r>
        <w:rPr>
          <w:rFonts w:ascii="Times New Roman" w:hAnsi="Times New Roman" w:eastAsia="Times New Roman" w:cs="Times New Roman"/>
          <w:color w:val="000000"/>
          <w:kern w:val="0"/>
          <w:sz w:val="24"/>
          <w:szCs w:val="24"/>
        </w:rPr>
        <w:t xml:space="preserve"> </w:t>
      </w:r>
    </w:p>
    <w:p w14:paraId="501249C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20.3.1 </w:t>
      </w:r>
      <w:r>
        <w:rPr>
          <w:rFonts w:ascii="Times New Roman" w:hAnsi="Times New Roman" w:eastAsia="仿宋_GB2312;仿宋" w:cs="Times New Roman"/>
          <w:color w:val="000000"/>
          <w:kern w:val="0"/>
          <w:sz w:val="24"/>
          <w:szCs w:val="24"/>
        </w:rPr>
        <w:t>争议评审小组的确定</w:t>
      </w:r>
    </w:p>
    <w:p w14:paraId="13D2F9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合同当事人可以共同选择一名或三名争议评审员，组成争议评审小组。除专用合同条款另有约定外，合同当事人应当自合同签订后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天内，或者争议发生后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天内，选定争议评审员。</w:t>
      </w:r>
    </w:p>
    <w:p w14:paraId="60797C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r>
        <w:rPr>
          <w:rFonts w:ascii="Times New Roman" w:hAnsi="Times New Roman" w:eastAsia="Times New Roman" w:cs="Times New Roman"/>
          <w:color w:val="000000"/>
          <w:kern w:val="0"/>
          <w:sz w:val="24"/>
          <w:szCs w:val="24"/>
        </w:rPr>
        <w:t xml:space="preserve"> </w:t>
      </w:r>
    </w:p>
    <w:p w14:paraId="4898ED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除专用合同条款另有约定外，评审员报酬由发包人和承包人各承担一半。</w:t>
      </w:r>
    </w:p>
    <w:p w14:paraId="4564C5A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4FEA17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天内作出书面决定，并说明理由。合同当事人可以在专用合同条款中对本项事项另行约定。</w:t>
      </w:r>
    </w:p>
    <w:p w14:paraId="483F41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20.3.3 </w:t>
      </w:r>
      <w:r>
        <w:rPr>
          <w:rFonts w:ascii="Times New Roman" w:hAnsi="Times New Roman" w:eastAsia="仿宋_GB2312;仿宋" w:cs="Times New Roman"/>
          <w:color w:val="000000"/>
          <w:kern w:val="0"/>
          <w:sz w:val="24"/>
          <w:szCs w:val="24"/>
        </w:rPr>
        <w:t>争议评审小组决定的效力</w:t>
      </w:r>
    </w:p>
    <w:p w14:paraId="67A8FB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争议评审小组作出的书面决定经合同当事人签字确认后，对双方具有约束力，双方应遵照执行。</w:t>
      </w:r>
    </w:p>
    <w:p w14:paraId="3A9D018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任何一方当事人不接受争议评审小组决定或不履行争议评审小组决定的，双方可选择采用其他争议解决方式。</w:t>
      </w:r>
    </w:p>
    <w:p w14:paraId="5975096A">
      <w:pPr>
        <w:pStyle w:val="6"/>
        <w:spacing w:before="120" w:after="120" w:line="360" w:lineRule="auto"/>
        <w:ind w:firstLine="480"/>
        <w:rPr>
          <w:rFonts w:ascii="Times New Roman" w:hAnsi="Times New Roman" w:eastAsia="黑体" w:cs="Times New Roman"/>
          <w:b w:val="0"/>
          <w:color w:val="000000"/>
          <w:sz w:val="24"/>
          <w:szCs w:val="24"/>
        </w:rPr>
      </w:pPr>
      <w:bookmarkStart w:id="172" w:name="__RefHeading___Toc351203630"/>
      <w:bookmarkEnd w:id="172"/>
      <w:r>
        <w:rPr>
          <w:rFonts w:eastAsia="黑体" w:cs="Times New Roman"/>
          <w:b w:val="0"/>
          <w:color w:val="000000"/>
          <w:sz w:val="24"/>
          <w:szCs w:val="24"/>
        </w:rPr>
        <w:t>20.4</w:t>
      </w:r>
      <w:r>
        <w:rPr>
          <w:rFonts w:ascii="Times New Roman" w:hAnsi="Times New Roman" w:eastAsia="黑体" w:cs="Times New Roman"/>
          <w:b w:val="0"/>
          <w:color w:val="000000"/>
          <w:sz w:val="24"/>
          <w:szCs w:val="24"/>
        </w:rPr>
        <w:t>仲裁或诉讼</w:t>
      </w:r>
    </w:p>
    <w:p w14:paraId="300BA97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因合同及合同有关事项产生的争议，合同当事人可以在专用合同条款中约定以下一种方式解决争议：</w:t>
      </w:r>
    </w:p>
    <w:p w14:paraId="6C59FC7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）向约定的仲裁委员会申请仲裁；</w:t>
      </w:r>
    </w:p>
    <w:p w14:paraId="36CD848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）向有管辖权的人民法院起诉。</w:t>
      </w:r>
    </w:p>
    <w:p w14:paraId="7E43627E">
      <w:pPr>
        <w:pStyle w:val="6"/>
        <w:spacing w:before="120" w:after="120" w:line="360" w:lineRule="auto"/>
        <w:ind w:firstLine="480"/>
        <w:rPr>
          <w:rFonts w:ascii="Times New Roman" w:hAnsi="Times New Roman" w:eastAsia="黑体" w:cs="Times New Roman"/>
          <w:b w:val="0"/>
          <w:color w:val="000000"/>
          <w:sz w:val="24"/>
          <w:szCs w:val="24"/>
        </w:rPr>
      </w:pPr>
      <w:bookmarkStart w:id="173" w:name="__RefHeading___Toc351203631"/>
      <w:bookmarkEnd w:id="173"/>
      <w:r>
        <w:rPr>
          <w:rFonts w:eastAsia="黑体" w:cs="Times New Roman"/>
          <w:b w:val="0"/>
          <w:color w:val="000000"/>
          <w:sz w:val="24"/>
          <w:szCs w:val="24"/>
        </w:rPr>
        <w:t>20.5</w:t>
      </w:r>
      <w:r>
        <w:rPr>
          <w:rFonts w:ascii="Times New Roman" w:hAnsi="Times New Roman" w:eastAsia="黑体" w:cs="Times New Roman"/>
          <w:b w:val="0"/>
          <w:color w:val="000000"/>
          <w:sz w:val="24"/>
          <w:szCs w:val="24"/>
        </w:rPr>
        <w:t>争议解决条款效力</w:t>
      </w:r>
    </w:p>
    <w:p w14:paraId="4C376F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合同有关争议解决的条款独立存在，合同的变更、解除、终止、无效或者被撤销均不影响其效力。</w:t>
      </w:r>
      <w:r>
        <w:rPr>
          <w:rFonts w:ascii="Times New Roman" w:hAnsi="Times New Roman" w:eastAsia="Times New Roman" w:cs="Times New Roman"/>
          <w:color w:val="000000"/>
          <w:kern w:val="0"/>
          <w:sz w:val="24"/>
          <w:szCs w:val="24"/>
        </w:rPr>
        <w:t xml:space="preserve"> </w:t>
      </w:r>
      <w:r>
        <w:br w:type="page"/>
      </w:r>
    </w:p>
    <w:p w14:paraId="1BEFAB91">
      <w:pPr>
        <w:pStyle w:val="4"/>
        <w:jc w:val="center"/>
        <w:rPr>
          <w:rFonts w:ascii="华文中宋;宋体" w:hAnsi="华文中宋;宋体" w:eastAsia="华文中宋;宋体" w:cs="华文中宋;宋体"/>
          <w:sz w:val="36"/>
          <w:szCs w:val="36"/>
        </w:rPr>
      </w:pPr>
      <w:bookmarkStart w:id="174" w:name="__RefHeading___Toc351203632"/>
      <w:bookmarkEnd w:id="174"/>
      <w:r>
        <w:rPr>
          <w:rFonts w:ascii="华文中宋;宋体" w:hAnsi="华文中宋;宋体" w:eastAsia="华文中宋;宋体" w:cs="华文中宋;宋体"/>
          <w:sz w:val="36"/>
          <w:szCs w:val="36"/>
        </w:rPr>
        <w:t>第三部分 专用合同条款</w:t>
      </w:r>
    </w:p>
    <w:p w14:paraId="1658294F">
      <w:pPr>
        <w:pStyle w:val="5"/>
        <w:spacing w:before="120" w:after="120" w:line="360" w:lineRule="auto"/>
        <w:rPr>
          <w:rFonts w:ascii="Times New Roman" w:hAnsi="Times New Roman" w:eastAsia="黑体" w:cs="Times New Roman"/>
          <w:b w:val="0"/>
          <w:color w:val="000000"/>
          <w:sz w:val="24"/>
          <w:szCs w:val="24"/>
        </w:rPr>
      </w:pPr>
      <w:bookmarkStart w:id="175" w:name="__RefHeading___Toc351203633"/>
      <w:bookmarkEnd w:id="175"/>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7AB57C5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 </w:t>
      </w:r>
      <w:r>
        <w:rPr>
          <w:rFonts w:ascii="Times New Roman" w:hAnsi="Times New Roman" w:eastAsia="黑体" w:cs="Times New Roman"/>
          <w:color w:val="000000"/>
          <w:sz w:val="24"/>
          <w:szCs w:val="24"/>
        </w:rPr>
        <w:t>词语定义</w:t>
      </w:r>
    </w:p>
    <w:p w14:paraId="56D28776">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合同</w:t>
      </w:r>
    </w:p>
    <w:p w14:paraId="6D857DE1">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1.1.1.10</w:t>
      </w:r>
      <w:r>
        <w:rPr>
          <w:rFonts w:ascii="Times New Roman" w:hAnsi="Times New Roman" w:eastAsia="仿宋_GB2312;仿宋" w:cs="Times New Roman"/>
          <w:color w:val="000000"/>
          <w:kern w:val="0"/>
          <w:sz w:val="24"/>
          <w:szCs w:val="24"/>
        </w:rPr>
        <w:t>其他合同文件包括：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0FC20C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 </w:t>
      </w:r>
      <w:r>
        <w:rPr>
          <w:rFonts w:ascii="Times New Roman" w:hAnsi="Times New Roman" w:eastAsia="仿宋_GB2312;仿宋" w:cs="Times New Roman"/>
          <w:color w:val="000000"/>
          <w:sz w:val="24"/>
          <w:szCs w:val="24"/>
        </w:rPr>
        <w:t>合同当事人及其他相关方</w:t>
      </w:r>
    </w:p>
    <w:p w14:paraId="4403F99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1.1.2.4</w:t>
      </w:r>
      <w:r>
        <w:rPr>
          <w:rFonts w:ascii="Times New Roman" w:hAnsi="Times New Roman" w:eastAsia="仿宋_GB2312;仿宋" w:cs="Times New Roman"/>
          <w:color w:val="000000"/>
          <w:sz w:val="24"/>
          <w:szCs w:val="24"/>
        </w:rPr>
        <w:t>监理人：</w:t>
      </w:r>
    </w:p>
    <w:p w14:paraId="7C7F3D5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F91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E31F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B523A2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05CD73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C6EDEE">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1.1.2.5 </w:t>
      </w:r>
      <w:r>
        <w:rPr>
          <w:rFonts w:ascii="Times New Roman" w:hAnsi="Times New Roman" w:eastAsia="仿宋_GB2312;仿宋" w:cs="Times New Roman"/>
          <w:color w:val="000000"/>
          <w:sz w:val="24"/>
          <w:szCs w:val="24"/>
        </w:rPr>
        <w:t>设计人：</w:t>
      </w:r>
    </w:p>
    <w:p w14:paraId="02579BE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52780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8E5A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49F4C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2097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487FCE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 </w:t>
      </w:r>
      <w:r>
        <w:rPr>
          <w:rFonts w:ascii="Times New Roman" w:hAnsi="Times New Roman" w:eastAsia="仿宋_GB2312;仿宋" w:cs="Times New Roman"/>
          <w:color w:val="000000"/>
          <w:sz w:val="24"/>
          <w:szCs w:val="24"/>
        </w:rPr>
        <w:t>工程和设备</w:t>
      </w:r>
    </w:p>
    <w:p w14:paraId="675E4B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1.1.3.7 </w:t>
      </w:r>
      <w:r>
        <w:rPr>
          <w:rFonts w:ascii="Times New Roman" w:hAnsi="Times New Roman" w:eastAsia="仿宋_GB2312;仿宋" w:cs="Times New Roman"/>
          <w:color w:val="000000"/>
          <w:sz w:val="24"/>
          <w:szCs w:val="24"/>
        </w:rPr>
        <w:t>作为施工现场组成部分的其他场所包括：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3743CC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B3989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02A22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1.3</w:t>
      </w:r>
      <w:r>
        <w:rPr>
          <w:rFonts w:ascii="Times New Roman" w:hAnsi="Times New Roman" w:eastAsia="黑体" w:cs="Times New Roman"/>
          <w:color w:val="000000"/>
          <w:sz w:val="24"/>
          <w:szCs w:val="24"/>
        </w:rPr>
        <w:t>法律</w:t>
      </w:r>
      <w:r>
        <w:rPr>
          <w:rFonts w:ascii="Times New Roman" w:hAnsi="Times New Roman" w:eastAsia="Times New Roman" w:cs="Times New Roman"/>
          <w:color w:val="000000"/>
          <w:sz w:val="24"/>
          <w:szCs w:val="24"/>
        </w:rPr>
        <w:t xml:space="preserve"> </w:t>
      </w:r>
    </w:p>
    <w:p w14:paraId="0A5C2D37">
      <w:pPr>
        <w:autoSpaceDE w:val="0"/>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适用于合同的其他规范性文件：</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8FFE0C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 </w:t>
      </w:r>
      <w:r>
        <w:rPr>
          <w:rFonts w:ascii="Times New Roman" w:hAnsi="Times New Roman" w:eastAsia="黑体" w:cs="Times New Roman"/>
          <w:color w:val="000000"/>
          <w:sz w:val="24"/>
          <w:szCs w:val="24"/>
        </w:rPr>
        <w:t>标准和规范</w:t>
      </w:r>
    </w:p>
    <w:p w14:paraId="2FCFBAC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1.4.1</w:t>
      </w:r>
      <w:r>
        <w:rPr>
          <w:rFonts w:ascii="Times New Roman" w:hAnsi="Times New Roman" w:eastAsia="仿宋_GB2312;仿宋" w:cs="Times New Roman"/>
          <w:color w:val="000000"/>
          <w:sz w:val="24"/>
          <w:szCs w:val="24"/>
        </w:rPr>
        <w:t>适用于工程的标准规范包括：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9A59E4">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664A19D">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发包人提供国外标准、规范的份数：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10080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A1CD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1.4.3</w:t>
      </w:r>
      <w:r>
        <w:rPr>
          <w:rFonts w:ascii="Times New Roman" w:hAnsi="Times New Roman" w:eastAsia="仿宋_GB2312;仿宋" w:cs="Times New Roman"/>
          <w:color w:val="000000"/>
          <w:sz w:val="24"/>
          <w:szCs w:val="24"/>
        </w:rPr>
        <w:t>发包人对工程的技术标准和功能要求的特殊要求：</w:t>
      </w:r>
    </w:p>
    <w:p w14:paraId="0A3F0234">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9D38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 </w:t>
      </w:r>
      <w:r>
        <w:rPr>
          <w:rFonts w:ascii="Times New Roman" w:hAnsi="Times New Roman" w:eastAsia="黑体" w:cs="Times New Roman"/>
          <w:color w:val="000000"/>
          <w:sz w:val="24"/>
          <w:szCs w:val="24"/>
        </w:rPr>
        <w:t>合同文件的优先顺序</w:t>
      </w:r>
    </w:p>
    <w:p w14:paraId="39A4E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合同文件组成及优先顺序为：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9EFB6C">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 </w:t>
      </w:r>
      <w:r>
        <w:rPr>
          <w:rFonts w:ascii="Times New Roman" w:hAnsi="Times New Roman" w:eastAsia="黑体" w:cs="Times New Roman"/>
          <w:color w:val="000000"/>
          <w:sz w:val="24"/>
          <w:szCs w:val="24"/>
        </w:rPr>
        <w:t>图纸和承包人文件</w:t>
      </w:r>
      <w:r>
        <w:rPr>
          <w:rFonts w:eastAsia="黑体" w:cs="Times New Roman"/>
          <w:color w:val="000000"/>
          <w:sz w:val="24"/>
          <w:szCs w:val="24"/>
        </w:rPr>
        <w:tab/>
      </w:r>
    </w:p>
    <w:p w14:paraId="1012A5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 </w:t>
      </w:r>
      <w:r>
        <w:rPr>
          <w:rFonts w:ascii="Times New Roman" w:hAnsi="Times New Roman" w:eastAsia="仿宋_GB2312;仿宋" w:cs="Times New Roman"/>
          <w:color w:val="000000"/>
          <w:sz w:val="24"/>
          <w:szCs w:val="24"/>
        </w:rPr>
        <w:t>图纸的提供</w:t>
      </w:r>
    </w:p>
    <w:p w14:paraId="1EF9264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0D784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发包人向承包人提供图纸的数量：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8B250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85271B">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1.6.4 </w:t>
      </w:r>
      <w:r>
        <w:rPr>
          <w:rFonts w:ascii="Times New Roman" w:hAnsi="Times New Roman" w:eastAsia="仿宋_GB2312;仿宋" w:cs="Times New Roman"/>
          <w:color w:val="000000"/>
          <w:sz w:val="24"/>
          <w:szCs w:val="24"/>
        </w:rPr>
        <w:t>承包人文件</w:t>
      </w:r>
    </w:p>
    <w:p w14:paraId="5513528D">
      <w:pPr>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需要由承包人提供的文件，包括：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ECAC4A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承包人提供的文件的期限为：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4860A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承包人提供的文件的数量为：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F21CD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承包人提供的文件的形式为：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23659B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发包人审批承包人文件的期限：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6624BF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1.6.5 </w:t>
      </w:r>
      <w:r>
        <w:rPr>
          <w:rFonts w:ascii="Times New Roman" w:hAnsi="Times New Roman" w:eastAsia="仿宋_GB2312;仿宋" w:cs="Times New Roman"/>
          <w:color w:val="000000"/>
          <w:sz w:val="24"/>
          <w:szCs w:val="24"/>
        </w:rPr>
        <w:t>现场图纸准备</w:t>
      </w:r>
    </w:p>
    <w:p w14:paraId="7E18D3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关于现场图纸准备的约定：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FD950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 </w:t>
      </w:r>
      <w:r>
        <w:rPr>
          <w:rFonts w:ascii="Times New Roman" w:hAnsi="Times New Roman" w:eastAsia="黑体" w:cs="Times New Roman"/>
          <w:color w:val="000000"/>
          <w:sz w:val="24"/>
          <w:szCs w:val="24"/>
        </w:rPr>
        <w:t>联络</w:t>
      </w:r>
    </w:p>
    <w:p w14:paraId="51B4ECDF">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1.7.1</w:t>
      </w:r>
      <w:r>
        <w:rPr>
          <w:rFonts w:ascii="Times New Roman" w:hAnsi="Times New Roman" w:eastAsia="仿宋_GB2312;仿宋" w:cs="Times New Roman"/>
          <w:color w:val="000000"/>
          <w:kern w:val="0"/>
          <w:sz w:val="24"/>
          <w:szCs w:val="24"/>
        </w:rPr>
        <w:t>发包人和承包人应当在</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天内将与合同有关的通知、批准、证明、证书、指示、指令、要求、请求、同意、意见、确定和决定等书面函件送达对方当事人。</w:t>
      </w:r>
    </w:p>
    <w:p w14:paraId="7D71F297">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04D48CA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29606436">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4F9C46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59E8CEE9">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36135EBE">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7A08DC9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1.10 </w:t>
      </w:r>
      <w:r>
        <w:rPr>
          <w:rFonts w:ascii="Times New Roman" w:hAnsi="Times New Roman" w:eastAsia="黑体" w:cs="Times New Roman"/>
          <w:color w:val="000000"/>
          <w:sz w:val="24"/>
          <w:szCs w:val="24"/>
        </w:rPr>
        <w:t>交通运输</w:t>
      </w:r>
    </w:p>
    <w:p w14:paraId="06EA29B8">
      <w:pPr>
        <w:numPr>
          <w:ilvl w:val="0"/>
          <w:numId w:val="0"/>
        </w:numPr>
        <w:spacing w:line="360" w:lineRule="auto"/>
        <w:ind w:firstLine="480"/>
        <w:outlineLvl w:val="0"/>
        <w:rPr>
          <w:rFonts w:ascii="Times New Roman" w:hAnsi="Times New Roman" w:eastAsia="仿宋_GB2312;仿宋" w:cs="Times New Roman"/>
          <w:sz w:val="24"/>
          <w:szCs w:val="24"/>
        </w:rPr>
      </w:pPr>
      <w:r>
        <w:rPr>
          <w:rFonts w:eastAsia="仿宋_GB2312;仿宋" w:cs="Times New Roman"/>
          <w:sz w:val="24"/>
          <w:szCs w:val="24"/>
        </w:rPr>
        <w:t xml:space="preserve">1.10.1 </w:t>
      </w:r>
      <w:r>
        <w:rPr>
          <w:rFonts w:ascii="Times New Roman" w:hAnsi="Times New Roman" w:eastAsia="仿宋_GB2312;仿宋" w:cs="Times New Roman"/>
          <w:sz w:val="24"/>
          <w:szCs w:val="24"/>
        </w:rPr>
        <w:t>出入现场的权利</w:t>
      </w:r>
    </w:p>
    <w:p w14:paraId="70267A8D">
      <w:pPr>
        <w:spacing w:line="360" w:lineRule="auto"/>
        <w:ind w:left="596" w:firstLine="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关于出入现场的权利的约定：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2CC87A0C">
      <w:pPr>
        <w:numPr>
          <w:ilvl w:val="0"/>
          <w:numId w:val="0"/>
        </w:numPr>
        <w:spacing w:line="360" w:lineRule="auto"/>
        <w:ind w:firstLine="480"/>
        <w:jc w:val="left"/>
        <w:outlineLvl w:val="0"/>
        <w:rPr>
          <w:rFonts w:ascii="Times New Roman" w:hAnsi="Times New Roman" w:eastAsia="仿宋_GB2312;仿宋" w:cs="Times New Roman"/>
          <w:sz w:val="24"/>
          <w:szCs w:val="24"/>
        </w:rPr>
      </w:pPr>
      <w:r>
        <w:rPr>
          <w:rFonts w:eastAsia="仿宋_GB2312;仿宋" w:cs="Times New Roman"/>
          <w:sz w:val="24"/>
          <w:szCs w:val="24"/>
        </w:rPr>
        <w:t xml:space="preserve">1.10.3 </w:t>
      </w:r>
      <w:r>
        <w:rPr>
          <w:rFonts w:ascii="Times New Roman" w:hAnsi="Times New Roman" w:eastAsia="仿宋_GB2312;仿宋" w:cs="Times New Roman"/>
          <w:sz w:val="24"/>
          <w:szCs w:val="24"/>
        </w:rPr>
        <w:t>场内交通</w:t>
      </w:r>
    </w:p>
    <w:p w14:paraId="6CF6AC2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关于场外交通和场内交通的边界的约定：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49A6A25F">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关于发包人向承包人免费提供满足工程施工需要的场内道路和交通设施的约定：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rPr>
        <w:t xml:space="preserve">  </w:t>
      </w:r>
    </w:p>
    <w:p w14:paraId="406DD852">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1.10.4</w:t>
      </w:r>
      <w:r>
        <w:rPr>
          <w:rFonts w:ascii="Times New Roman" w:hAnsi="Times New Roman" w:eastAsia="仿宋_GB2312;仿宋" w:cs="Times New Roman"/>
          <w:sz w:val="24"/>
          <w:szCs w:val="24"/>
        </w:rPr>
        <w:t>超大件和超重件的运输</w:t>
      </w:r>
    </w:p>
    <w:p w14:paraId="1768DC4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运输超大件或超重件所需的道路和桥梁临时加固改造费用和其他有关费用由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承担。</w:t>
      </w:r>
    </w:p>
    <w:p w14:paraId="41589A32">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知识产权</w:t>
      </w:r>
    </w:p>
    <w:p w14:paraId="6B514D8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1.11.1</w:t>
      </w:r>
      <w:r>
        <w:rPr>
          <w:rFonts w:ascii="Times New Roman" w:hAnsi="Times New Roman" w:eastAsia="仿宋_GB2312;仿宋" w:cs="Times New Roman"/>
          <w:color w:val="000000"/>
          <w:sz w:val="24"/>
          <w:szCs w:val="24"/>
        </w:rPr>
        <w:t>关于发包人提供给承包人的图纸、发包人为实施工程自行编制或委托编制的技术规范以及反映发包人关于合同要求或其他类似性质的文件的著作权的归属：</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6D9BBDD">
      <w:pPr>
        <w:spacing w:line="360" w:lineRule="auto"/>
        <w:ind w:left="596"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关于发包人提供的上述文件的使用限制的要求：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C825B3">
      <w:pPr>
        <w:numPr>
          <w:ilvl w:val="0"/>
          <w:numId w:val="0"/>
        </w:numPr>
        <w:spacing w:line="360" w:lineRule="auto"/>
        <w:ind w:left="596" w:firstLine="0"/>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1.11.2 </w:t>
      </w:r>
      <w:r>
        <w:rPr>
          <w:rFonts w:ascii="Times New Roman" w:hAnsi="Times New Roman" w:eastAsia="仿宋_GB2312;仿宋" w:cs="Times New Roman"/>
          <w:color w:val="000000"/>
          <w:sz w:val="24"/>
          <w:szCs w:val="24"/>
        </w:rPr>
        <w:t>关于承包人为实施工程所编制文件的著作权的归属：</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CA4110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关于承包人提供的上述文件的使用限制的要求：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3B9DB9">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承包人在施工过程中所采用的专利、专有技术、技术秘密的使用费的承担方式：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016BC67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工程量清单错误的修正</w:t>
      </w:r>
    </w:p>
    <w:p w14:paraId="41BCEAE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出现工程量清单错误时，是否调整合同价格：</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6247F2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允许调整合同价格的工程量偏差范围：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D88085C">
      <w:pPr>
        <w:pStyle w:val="5"/>
        <w:spacing w:before="120" w:after="120" w:line="360" w:lineRule="auto"/>
        <w:rPr>
          <w:rFonts w:ascii="Times New Roman" w:hAnsi="Times New Roman" w:eastAsia="黑体" w:cs="Times New Roman"/>
          <w:b w:val="0"/>
          <w:color w:val="000000"/>
          <w:sz w:val="24"/>
          <w:szCs w:val="24"/>
        </w:rPr>
      </w:pPr>
      <w:bookmarkStart w:id="176" w:name="__RefHeading___Toc351203634"/>
      <w:bookmarkEnd w:id="176"/>
      <w:r>
        <w:rPr>
          <w:rFonts w:ascii="Times New Roman" w:hAnsi="Times New Roman" w:eastAsia="黑体" w:cs="Times New Roman"/>
          <w:b w:val="0"/>
          <w:color w:val="000000"/>
          <w:sz w:val="24"/>
          <w:szCs w:val="24"/>
        </w:rPr>
        <w:t xml:space="preserve">2. </w:t>
      </w:r>
      <w:r>
        <w:rPr>
          <w:rFonts w:ascii="Times New Roman" w:hAnsi="Times New Roman" w:cs="Times New Roman"/>
          <w:b w:val="0"/>
          <w:color w:val="000000"/>
          <w:sz w:val="24"/>
          <w:szCs w:val="24"/>
        </w:rPr>
        <w:t>发包人</w:t>
      </w:r>
    </w:p>
    <w:p w14:paraId="28075FC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2.2 </w:t>
      </w:r>
      <w:r>
        <w:rPr>
          <w:rFonts w:ascii="Times New Roman" w:hAnsi="Times New Roman" w:eastAsia="黑体" w:cs="Times New Roman"/>
          <w:color w:val="000000"/>
          <w:sz w:val="24"/>
          <w:szCs w:val="24"/>
        </w:rPr>
        <w:t>发包人代表</w:t>
      </w:r>
    </w:p>
    <w:p w14:paraId="5AA14E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发包人代表：</w:t>
      </w:r>
    </w:p>
    <w:p w14:paraId="591C45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37C9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A1E8A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2AB24F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F7555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8942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F5927A">
      <w:pPr>
        <w:spacing w:line="360" w:lineRule="auto"/>
        <w:ind w:firstLine="480"/>
        <w:rPr>
          <w:rFonts w:ascii="Times New Roman" w:hAnsi="Times New Roman" w:eastAsia="仿宋_GB2312;仿宋" w:cs="Times New Roman"/>
          <w:b/>
          <w:color w:val="000000"/>
          <w:sz w:val="24"/>
          <w:szCs w:val="24"/>
        </w:rPr>
      </w:pPr>
      <w:r>
        <w:rPr>
          <w:rFonts w:ascii="Times New Roman" w:hAnsi="Times New Roman" w:eastAsia="仿宋_GB2312;仿宋" w:cs="Times New Roman"/>
          <w:color w:val="000000"/>
          <w:sz w:val="24"/>
          <w:szCs w:val="24"/>
        </w:rPr>
        <w:t>发包人对发包人代表的授权范围如下：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871C5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2.4 </w:t>
      </w:r>
      <w:r>
        <w:rPr>
          <w:rFonts w:ascii="Times New Roman" w:hAnsi="Times New Roman" w:eastAsia="黑体" w:cs="Times New Roman"/>
          <w:color w:val="000000"/>
          <w:sz w:val="24"/>
          <w:szCs w:val="24"/>
        </w:rPr>
        <w:t>施工现场、施工条件和基础资料的提供</w:t>
      </w:r>
    </w:p>
    <w:p w14:paraId="359AB7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2.4.1 </w:t>
      </w:r>
      <w:r>
        <w:rPr>
          <w:rFonts w:ascii="Times New Roman" w:hAnsi="Times New Roman" w:eastAsia="仿宋_GB2312;仿宋" w:cs="Times New Roman"/>
          <w:color w:val="000000"/>
          <w:sz w:val="24"/>
          <w:szCs w:val="24"/>
        </w:rPr>
        <w:t>提供施工现场</w:t>
      </w:r>
    </w:p>
    <w:p w14:paraId="018E8ED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关于发包人移交施工现场的期限要求：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1E7667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2.4.2 </w:t>
      </w:r>
      <w:r>
        <w:rPr>
          <w:rFonts w:ascii="Times New Roman" w:hAnsi="Times New Roman" w:eastAsia="仿宋_GB2312;仿宋" w:cs="Times New Roman"/>
          <w:color w:val="000000"/>
          <w:sz w:val="24"/>
          <w:szCs w:val="24"/>
        </w:rPr>
        <w:t>提供施工条件</w:t>
      </w:r>
    </w:p>
    <w:p w14:paraId="0356FCF4">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关于发包人应负责提供施工所需要的条件，包括：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85C36C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2.5 </w:t>
      </w:r>
      <w:r>
        <w:rPr>
          <w:rFonts w:ascii="Times New Roman" w:hAnsi="Times New Roman" w:eastAsia="黑体" w:cs="Times New Roman"/>
          <w:color w:val="000000"/>
          <w:sz w:val="24"/>
          <w:szCs w:val="24"/>
        </w:rPr>
        <w:t>资金来源证明及支付担保</w:t>
      </w:r>
    </w:p>
    <w:p w14:paraId="2F3D2A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发包人提供资金来源证明的期限要求：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5ABD4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发包人是否提供支付担保：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C3F4E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发包人提供支付担保的形式：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60462E3">
      <w:pPr>
        <w:pStyle w:val="5"/>
        <w:spacing w:before="120" w:after="120" w:line="360" w:lineRule="auto"/>
        <w:rPr>
          <w:rFonts w:ascii="Times New Roman" w:hAnsi="Times New Roman" w:eastAsia="黑体" w:cs="Times New Roman"/>
          <w:b w:val="0"/>
          <w:color w:val="000000"/>
          <w:sz w:val="24"/>
          <w:szCs w:val="24"/>
        </w:rPr>
      </w:pPr>
      <w:bookmarkStart w:id="177" w:name="__RefHeading___Toc351203635"/>
      <w:bookmarkEnd w:id="177"/>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440B7CC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3.1 </w:t>
      </w:r>
      <w:r>
        <w:rPr>
          <w:rFonts w:ascii="Times New Roman" w:hAnsi="Times New Roman" w:eastAsia="黑体" w:cs="Times New Roman"/>
          <w:color w:val="000000"/>
          <w:sz w:val="24"/>
          <w:szCs w:val="24"/>
        </w:rPr>
        <w:t>承包人的一般义务</w:t>
      </w:r>
    </w:p>
    <w:p w14:paraId="51E85C4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w:t>
      </w:r>
      <w:r>
        <w:rPr>
          <w:rFonts w:ascii="Times New Roman" w:hAnsi="Times New Roman" w:eastAsia="仿宋_GB2312;仿宋" w:cs="Times New Roman"/>
          <w:color w:val="000000"/>
          <w:sz w:val="24"/>
          <w:szCs w:val="24"/>
        </w:rPr>
        <w:t>承包人提交的竣工资料的内容：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5DE3C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承包人需要提交的竣工资料套数：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0FDB64">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承包人提交的竣工资料的费用承担：</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2B3591">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承包人提交的竣工资料移交时间：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28E93E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承包人提交的竣工资料形式要求：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32F00A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）承包人应履行的其他义务：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F4288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3.2 </w:t>
      </w:r>
      <w:r>
        <w:rPr>
          <w:rFonts w:ascii="Times New Roman" w:hAnsi="Times New Roman" w:eastAsia="黑体" w:cs="Times New Roman"/>
          <w:color w:val="000000"/>
          <w:sz w:val="24"/>
          <w:szCs w:val="24"/>
        </w:rPr>
        <w:t>项目经理</w:t>
      </w:r>
    </w:p>
    <w:p w14:paraId="3D02AEA0">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sz w:val="24"/>
          <w:szCs w:val="24"/>
        </w:rPr>
        <w:t>项目经理：</w:t>
      </w:r>
    </w:p>
    <w:p w14:paraId="7EAF730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3F68B3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144D95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建造师执业资格等级：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60948B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建造师注册证书号：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81C0C7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建造师执业印章号：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740F8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安全生产考核合格证书号：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42A71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E34810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2071C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98A795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承包人对项目经理的授权范围如下：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94AF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关于项目经理每月在施工现场的时间要求：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60D590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承包人未提交劳动合同，以及没有为项目经理缴纳社会保险证明的违约责任：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3E5439">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项目经理未经批准，擅自离开施工现场的违约责任：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EB3B23F">
      <w:pPr>
        <w:spacing w:line="360" w:lineRule="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3.2.3 </w:t>
      </w:r>
      <w:r>
        <w:rPr>
          <w:rFonts w:ascii="Times New Roman" w:hAnsi="Times New Roman" w:eastAsia="仿宋_GB2312;仿宋" w:cs="Times New Roman"/>
          <w:color w:val="000000"/>
          <w:sz w:val="24"/>
          <w:szCs w:val="24"/>
        </w:rPr>
        <w:t>承包人擅自更换项目经理的违约责任：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8A7CD2B">
      <w:pPr>
        <w:numPr>
          <w:ilvl w:val="0"/>
          <w:numId w:val="0"/>
        </w:numPr>
        <w:spacing w:line="360" w:lineRule="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仿宋_GB2312;仿宋" w:cs="Times New Roman"/>
          <w:color w:val="000000"/>
          <w:sz w:val="24"/>
          <w:szCs w:val="24"/>
        </w:rPr>
        <w:t xml:space="preserve">3.2.4 </w:t>
      </w:r>
      <w:r>
        <w:rPr>
          <w:rFonts w:ascii="Times New Roman" w:hAnsi="Times New Roman" w:eastAsia="仿宋_GB2312;仿宋" w:cs="Times New Roman"/>
          <w:color w:val="000000"/>
          <w:sz w:val="24"/>
          <w:szCs w:val="24"/>
        </w:rPr>
        <w:t>承包人无正当理由拒绝更换项目经理的违约责任：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E58085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3.3 </w:t>
      </w:r>
      <w:r>
        <w:rPr>
          <w:rFonts w:ascii="Times New Roman" w:hAnsi="Times New Roman" w:eastAsia="黑体" w:cs="Times New Roman"/>
          <w:color w:val="000000"/>
          <w:sz w:val="24"/>
          <w:szCs w:val="24"/>
        </w:rPr>
        <w:t>承包人人员</w:t>
      </w:r>
    </w:p>
    <w:p w14:paraId="6773C4E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3.3.1 </w:t>
      </w:r>
      <w:r>
        <w:rPr>
          <w:rFonts w:ascii="Times New Roman" w:hAnsi="Times New Roman" w:eastAsia="仿宋_GB2312;仿宋" w:cs="Times New Roman"/>
          <w:color w:val="000000"/>
          <w:sz w:val="24"/>
          <w:szCs w:val="24"/>
        </w:rPr>
        <w:t>承包人提交项目管理机构及施工现场管理人员安排报告的期限：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85B386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3.3.3 </w:t>
      </w:r>
      <w:r>
        <w:rPr>
          <w:rFonts w:ascii="Times New Roman" w:hAnsi="Times New Roman" w:eastAsia="仿宋_GB2312;仿宋" w:cs="Times New Roman"/>
          <w:color w:val="000000"/>
          <w:sz w:val="24"/>
          <w:szCs w:val="24"/>
        </w:rPr>
        <w:t>承包人无正当理由拒绝撤换主要施工管理人员的违约责任：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96F7774">
      <w:pPr>
        <w:spacing w:line="360" w:lineRule="auto"/>
        <w:ind w:firstLine="480"/>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 xml:space="preserve">3.3.4 </w:t>
      </w:r>
      <w:r>
        <w:rPr>
          <w:rFonts w:ascii="Times New Roman" w:hAnsi="Times New Roman" w:eastAsia="仿宋_GB2312;仿宋" w:cs="Times New Roman"/>
          <w:color w:val="000000"/>
          <w:sz w:val="24"/>
          <w:szCs w:val="24"/>
        </w:rPr>
        <w:t>承包人主要施工管理人员离开施工现场的批准要求：</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82F02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3.3.5</w:t>
      </w:r>
      <w:r>
        <w:rPr>
          <w:rFonts w:ascii="Times New Roman" w:hAnsi="Times New Roman" w:eastAsia="仿宋_GB2312;仿宋" w:cs="Times New Roman"/>
          <w:color w:val="000000"/>
          <w:sz w:val="24"/>
          <w:szCs w:val="24"/>
        </w:rPr>
        <w:t>承包人擅自更换主要施工管理人员的违约责任：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57B741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承包人主要施工管理人员擅自离开施工现场的违约责任：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A5E4379">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3.5 </w:t>
      </w:r>
      <w:r>
        <w:rPr>
          <w:rFonts w:ascii="Times New Roman" w:hAnsi="Times New Roman" w:eastAsia="黑体" w:cs="Times New Roman"/>
          <w:color w:val="000000"/>
          <w:sz w:val="24"/>
          <w:szCs w:val="24"/>
        </w:rPr>
        <w:t>分包</w:t>
      </w:r>
    </w:p>
    <w:p w14:paraId="683742EE">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3.5.1 </w:t>
      </w:r>
      <w:r>
        <w:rPr>
          <w:rFonts w:ascii="Times New Roman" w:hAnsi="Times New Roman" w:eastAsia="仿宋_GB2312;仿宋" w:cs="Times New Roman"/>
          <w:sz w:val="24"/>
          <w:szCs w:val="24"/>
        </w:rPr>
        <w:t>分包的一般约定</w:t>
      </w:r>
    </w:p>
    <w:p w14:paraId="1CC45B3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禁止分包的工程包括：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5FDA77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主体结构、关键性工作的范围：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CFE51">
      <w:pPr>
        <w:spacing w:line="360" w:lineRule="auto"/>
        <w:rPr>
          <w:rFonts w:ascii="Times New Roman" w:hAnsi="Times New Roman" w:eastAsia="仿宋_GB2312;仿宋" w:cs="Times New Roman"/>
          <w:sz w:val="24"/>
          <w:szCs w:val="24"/>
        </w:rPr>
      </w:pPr>
      <w:r>
        <w:rPr>
          <w:rFonts w:eastAsia="Times New Roman" w:cs="Times New Roman"/>
          <w:sz w:val="24"/>
          <w:szCs w:val="24"/>
        </w:rPr>
        <w:t xml:space="preserve">    </w:t>
      </w:r>
      <w:r>
        <w:rPr>
          <w:rFonts w:eastAsia="仿宋_GB2312;仿宋" w:cs="Times New Roman"/>
          <w:sz w:val="24"/>
          <w:szCs w:val="24"/>
        </w:rPr>
        <w:t>3.5.2</w:t>
      </w:r>
      <w:r>
        <w:rPr>
          <w:rFonts w:ascii="Times New Roman" w:hAnsi="Times New Roman" w:eastAsia="仿宋_GB2312;仿宋" w:cs="Times New Roman"/>
          <w:sz w:val="24"/>
          <w:szCs w:val="24"/>
        </w:rPr>
        <w:t>分包的确定</w:t>
      </w:r>
    </w:p>
    <w:p w14:paraId="0B32B02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允许分包的专业工程包括：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05FC5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其他关于分包的约定：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53D0C2">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3.5.4 </w:t>
      </w:r>
      <w:r>
        <w:rPr>
          <w:rFonts w:ascii="Times New Roman" w:hAnsi="Times New Roman" w:eastAsia="仿宋_GB2312;仿宋" w:cs="Times New Roman"/>
          <w:sz w:val="24"/>
          <w:szCs w:val="24"/>
        </w:rPr>
        <w:t>分包合同价款</w:t>
      </w:r>
    </w:p>
    <w:p w14:paraId="4E7DE1FC">
      <w:pPr>
        <w:spacing w:line="360" w:lineRule="auto"/>
        <w:ind w:firstLine="48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关于分包合同价款支付的约定：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63FF40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3.6 </w:t>
      </w:r>
      <w:r>
        <w:rPr>
          <w:rFonts w:ascii="Times New Roman" w:hAnsi="Times New Roman" w:eastAsia="黑体" w:cs="Times New Roman"/>
          <w:color w:val="000000"/>
          <w:sz w:val="24"/>
          <w:szCs w:val="24"/>
        </w:rPr>
        <w:t>工程照管与成品、半成品保护</w:t>
      </w:r>
    </w:p>
    <w:p w14:paraId="3A1DDC59">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承包人负责照管工程及工程相关的材料、工程设备的起始时间：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80A9F9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3.7 </w:t>
      </w:r>
      <w:r>
        <w:rPr>
          <w:rFonts w:ascii="Times New Roman" w:hAnsi="Times New Roman" w:eastAsia="黑体" w:cs="Times New Roman"/>
          <w:color w:val="000000"/>
          <w:sz w:val="24"/>
          <w:szCs w:val="24"/>
        </w:rPr>
        <w:t>履约担保</w:t>
      </w:r>
    </w:p>
    <w:p w14:paraId="3F54E52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承包人是否提供履约担保：</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5286EE9">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承包人提供履约担保的形式、金额及期限的：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BF5A6FD">
      <w:pPr>
        <w:pStyle w:val="5"/>
        <w:spacing w:before="120" w:after="120" w:line="360" w:lineRule="auto"/>
        <w:rPr>
          <w:rFonts w:ascii="Times New Roman" w:hAnsi="Times New Roman" w:eastAsia="黑体" w:cs="Times New Roman"/>
          <w:b w:val="0"/>
          <w:color w:val="000000"/>
          <w:sz w:val="24"/>
          <w:szCs w:val="24"/>
        </w:rPr>
      </w:pPr>
      <w:bookmarkStart w:id="178" w:name="__RefHeading___Toc351203636"/>
      <w:bookmarkEnd w:id="178"/>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7145A0E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4.1</w:t>
      </w:r>
      <w:r>
        <w:rPr>
          <w:rFonts w:ascii="Times New Roman" w:hAnsi="Times New Roman" w:eastAsia="黑体" w:cs="Times New Roman"/>
          <w:color w:val="000000"/>
          <w:sz w:val="24"/>
          <w:szCs w:val="24"/>
        </w:rPr>
        <w:t>监理人的一般规定</w:t>
      </w:r>
    </w:p>
    <w:p w14:paraId="7BB546D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6FAC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关于监理人的监理权限：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0885CD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关于监理人在施工现场的办公场所、生活场所的提供和费用承担的约定：</w:t>
      </w:r>
      <w:r>
        <w:rPr>
          <w:rFonts w:ascii="Times New Roman" w:hAnsi="Times New Roman" w:eastAsia="Times New Roman" w:cs="Times New Roman"/>
          <w:color w:val="000000"/>
          <w:sz w:val="24"/>
          <w:szCs w:val="24"/>
          <w:u w:val="single"/>
        </w:rPr>
        <w:t xml:space="preserve">                                                </w:t>
      </w:r>
    </w:p>
    <w:p w14:paraId="2CE388A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7E572B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4.2 </w:t>
      </w:r>
      <w:r>
        <w:rPr>
          <w:rFonts w:ascii="Times New Roman" w:hAnsi="Times New Roman" w:eastAsia="黑体" w:cs="Times New Roman"/>
          <w:color w:val="000000"/>
          <w:sz w:val="24"/>
          <w:szCs w:val="24"/>
        </w:rPr>
        <w:t>监理人员</w:t>
      </w:r>
    </w:p>
    <w:p w14:paraId="68FC14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总监理工程师：</w:t>
      </w:r>
    </w:p>
    <w:p w14:paraId="7516A93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AD4A2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B37645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监理工程师执业资格证书号：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32466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4FDBEA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B7B8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6FF708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关于监理人的其他约定：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50D609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4.4 </w:t>
      </w:r>
      <w:r>
        <w:rPr>
          <w:rFonts w:ascii="Times New Roman" w:hAnsi="Times New Roman" w:eastAsia="黑体" w:cs="Times New Roman"/>
          <w:color w:val="000000"/>
          <w:sz w:val="24"/>
          <w:szCs w:val="24"/>
        </w:rPr>
        <w:t>商定或确定</w:t>
      </w:r>
    </w:p>
    <w:p w14:paraId="79F50B7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在发包人和承包人不能通过协商达成一致意见时，发包人授权监理人对以下事项进行确定：</w:t>
      </w:r>
    </w:p>
    <w:p w14:paraId="6A05B3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13DF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0B487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0925D07">
      <w:pPr>
        <w:pStyle w:val="5"/>
        <w:spacing w:before="120" w:after="120" w:line="360" w:lineRule="auto"/>
        <w:rPr>
          <w:rFonts w:ascii="Times New Roman" w:hAnsi="Times New Roman" w:eastAsia="黑体" w:cs="Times New Roman"/>
          <w:b w:val="0"/>
          <w:color w:val="000000"/>
          <w:sz w:val="24"/>
          <w:szCs w:val="24"/>
        </w:rPr>
      </w:pPr>
      <w:bookmarkStart w:id="179" w:name="__RefHeading___Toc351203637"/>
      <w:bookmarkEnd w:id="179"/>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1E4FEAB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5.1 </w:t>
      </w:r>
      <w:r>
        <w:rPr>
          <w:rFonts w:ascii="Times New Roman" w:hAnsi="Times New Roman" w:eastAsia="黑体" w:cs="Times New Roman"/>
          <w:color w:val="000000"/>
          <w:sz w:val="24"/>
          <w:szCs w:val="24"/>
        </w:rPr>
        <w:t>质量要求</w:t>
      </w:r>
    </w:p>
    <w:p w14:paraId="2A9E0E8D">
      <w:pPr>
        <w:spacing w:line="360" w:lineRule="auto"/>
        <w:jc w:val="left"/>
        <w:rPr>
          <w:rFonts w:ascii="Times New Roman" w:hAnsi="Times New Roman" w:eastAsia="仿宋_GB2312;仿宋" w:cs="Times New Roman"/>
          <w:sz w:val="24"/>
          <w:szCs w:val="24"/>
        </w:rPr>
      </w:pPr>
      <w:r>
        <w:rPr>
          <w:rFonts w:eastAsia="仿宋_GB2312;仿宋" w:cs="Times New Roman"/>
          <w:sz w:val="24"/>
          <w:szCs w:val="24"/>
        </w:rPr>
        <w:t xml:space="preserve">5.1.1 </w:t>
      </w:r>
      <w:r>
        <w:rPr>
          <w:rFonts w:ascii="Times New Roman" w:hAnsi="Times New Roman" w:eastAsia="仿宋_GB2312;仿宋" w:cs="Times New Roman"/>
          <w:sz w:val="24"/>
          <w:szCs w:val="24"/>
        </w:rPr>
        <w:t>特殊质量标准和要求：</w:t>
      </w:r>
      <w:r>
        <w:rPr>
          <w:rFonts w:ascii="Times New Roman" w:hAnsi="Times New Roman" w:eastAsia="Times New Roman" w:cs="Times New Roman"/>
          <w:sz w:val="24"/>
          <w:szCs w:val="24"/>
          <w:u w:val="single"/>
        </w:rPr>
        <w:t xml:space="preserve">    </w:t>
      </w:r>
      <w:r>
        <w:rPr>
          <w:rFonts w:ascii="仿宋" w:hAnsi="仿宋" w:eastAsia="仿宋" w:cs="仿宋"/>
          <w:b/>
          <w:color w:val="000000"/>
          <w:sz w:val="22"/>
          <w:szCs w:val="22"/>
          <w:u w:val="single"/>
        </w:rPr>
        <w:t>按规范施工达到合格</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026976F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关于工程奖项的约定：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945B5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5.3 </w:t>
      </w:r>
      <w:r>
        <w:rPr>
          <w:rFonts w:ascii="Times New Roman" w:hAnsi="Times New Roman" w:eastAsia="黑体" w:cs="Times New Roman"/>
          <w:color w:val="000000"/>
          <w:sz w:val="24"/>
          <w:szCs w:val="24"/>
        </w:rPr>
        <w:t>隐蔽工程检查</w:t>
      </w:r>
    </w:p>
    <w:p w14:paraId="164D2BDD">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5.3.2</w:t>
      </w:r>
      <w:r>
        <w:rPr>
          <w:rFonts w:ascii="Times New Roman" w:hAnsi="Times New Roman" w:eastAsia="仿宋_GB2312;仿宋" w:cs="Times New Roman"/>
          <w:sz w:val="24"/>
          <w:szCs w:val="24"/>
        </w:rPr>
        <w:t>承包人提前通知监理人隐蔽工程检查的期限的约定：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DCCE6C">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监理人不能按时进行检查时，应提前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159E588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74736C5C">
      <w:pPr>
        <w:pStyle w:val="5"/>
        <w:spacing w:before="120" w:after="120" w:line="360" w:lineRule="auto"/>
        <w:rPr>
          <w:rFonts w:ascii="Times New Roman" w:hAnsi="Times New Roman" w:eastAsia="黑体" w:cs="Times New Roman"/>
          <w:b w:val="0"/>
          <w:color w:val="000000"/>
          <w:sz w:val="24"/>
          <w:szCs w:val="24"/>
        </w:rPr>
      </w:pPr>
      <w:bookmarkStart w:id="180" w:name="__RefHeading___Toc351203638"/>
      <w:bookmarkEnd w:id="180"/>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0133262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6.1</w:t>
      </w:r>
      <w:r>
        <w:rPr>
          <w:rFonts w:ascii="Times New Roman" w:hAnsi="Times New Roman" w:eastAsia="黑体" w:cs="Times New Roman"/>
          <w:color w:val="000000"/>
          <w:sz w:val="24"/>
          <w:szCs w:val="24"/>
        </w:rPr>
        <w:t>安全文明施工</w:t>
      </w:r>
    </w:p>
    <w:p w14:paraId="2F421DDA">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6.1.1</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项目安全生产的达标目标及相应事项的约定：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3612CB">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6.1.4 </w:t>
      </w:r>
      <w:r>
        <w:rPr>
          <w:rFonts w:ascii="Times New Roman" w:hAnsi="Times New Roman" w:eastAsia="仿宋_GB2312;仿宋" w:cs="Times New Roman"/>
          <w:sz w:val="24"/>
          <w:szCs w:val="24"/>
        </w:rPr>
        <w:t>关于治安保卫的特别约定：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13521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关于编制施工场地治安管理计划的约定：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s="Times New Roman"/>
          <w:sz w:val="24"/>
          <w:szCs w:val="24"/>
          <w:u w:val="single"/>
        </w:rPr>
        <w:br w:type="textWrapping"/>
      </w:r>
      <w:r>
        <w:rPr>
          <w:rFonts w:eastAsia="仿宋_GB2312;仿宋" w:cs="Times New Roman"/>
          <w:sz w:val="24"/>
          <w:szCs w:val="24"/>
        </w:rPr>
        <w:t xml:space="preserve">6.1.5 </w:t>
      </w:r>
      <w:r>
        <w:rPr>
          <w:rFonts w:ascii="Times New Roman" w:hAnsi="Times New Roman" w:eastAsia="仿宋_GB2312;仿宋" w:cs="Times New Roman"/>
          <w:sz w:val="24"/>
          <w:szCs w:val="24"/>
        </w:rPr>
        <w:t>文明施工</w:t>
      </w:r>
    </w:p>
    <w:p w14:paraId="3AF99AC2">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合同当事人对文明施工的要求：</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73317CF">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6.1.6 </w:t>
      </w:r>
      <w:r>
        <w:rPr>
          <w:rFonts w:ascii="Times New Roman" w:hAnsi="Times New Roman" w:eastAsia="仿宋_GB2312;仿宋" w:cs="Times New Roman"/>
          <w:sz w:val="24"/>
          <w:szCs w:val="24"/>
        </w:rPr>
        <w:t>关于安全文明施工费支付比例和支付期限的约定：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3E35AD">
      <w:pPr>
        <w:pStyle w:val="5"/>
        <w:spacing w:before="120" w:after="120" w:line="360" w:lineRule="auto"/>
        <w:rPr>
          <w:rFonts w:ascii="Times New Roman" w:hAnsi="Times New Roman" w:eastAsia="黑体" w:cs="Times New Roman"/>
          <w:b w:val="0"/>
          <w:color w:val="000000"/>
          <w:sz w:val="24"/>
          <w:szCs w:val="24"/>
        </w:rPr>
      </w:pPr>
      <w:bookmarkStart w:id="181" w:name="__RefHeading___Toc351203639"/>
      <w:bookmarkEnd w:id="181"/>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0044E6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7.1 </w:t>
      </w:r>
      <w:r>
        <w:rPr>
          <w:rFonts w:ascii="Times New Roman" w:hAnsi="Times New Roman" w:eastAsia="黑体" w:cs="Times New Roman"/>
          <w:color w:val="000000"/>
          <w:sz w:val="24"/>
          <w:szCs w:val="24"/>
        </w:rPr>
        <w:t>施工组织设计</w:t>
      </w:r>
    </w:p>
    <w:p w14:paraId="6BA17428">
      <w:pPr>
        <w:autoSpaceDE w:val="0"/>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 xml:space="preserve">7.1.1 </w:t>
      </w:r>
      <w:r>
        <w:rPr>
          <w:rFonts w:ascii="Times New Roman" w:hAnsi="Times New Roman" w:eastAsia="仿宋_GB2312;仿宋" w:cs="Times New Roman"/>
          <w:color w:val="000000"/>
          <w:sz w:val="24"/>
          <w:szCs w:val="24"/>
        </w:rPr>
        <w:t>合</w:t>
      </w:r>
      <w:r>
        <w:rPr>
          <w:rFonts w:ascii="Times New Roman" w:hAnsi="Times New Roman" w:eastAsia="仿宋_GB2312;仿宋" w:cs="Times New Roman"/>
          <w:color w:val="000000"/>
          <w:kern w:val="0"/>
          <w:sz w:val="24"/>
          <w:szCs w:val="24"/>
        </w:rPr>
        <w:t>同当事人约定的施工组织设计应包括的其他内容：</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E66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56B7057C">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承包人提交详细施工组织设计的期限的约定：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4EF6CA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发包人和监理人在收到详细的施工组织设计后确认或提出修改意见的期</w:t>
      </w:r>
      <w:r>
        <w:rPr>
          <w:rFonts w:ascii="Times New Roman" w:hAnsi="Times New Roman" w:eastAsia="仿宋_GB2312;仿宋" w:cs="Times New Roman"/>
          <w:color w:val="000000"/>
          <w:sz w:val="24"/>
          <w:szCs w:val="24"/>
          <w:lang w:val="en-US" w:eastAsia="zh-CN"/>
        </w:rPr>
        <w:t>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4F46480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7.2 </w:t>
      </w:r>
      <w:r>
        <w:rPr>
          <w:rFonts w:ascii="Times New Roman" w:hAnsi="Times New Roman" w:eastAsia="黑体" w:cs="Times New Roman"/>
          <w:color w:val="000000"/>
          <w:sz w:val="24"/>
          <w:szCs w:val="24"/>
        </w:rPr>
        <w:t>施工进度计划</w:t>
      </w:r>
    </w:p>
    <w:p w14:paraId="48BB38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3F2EF8C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发包人和监理人在收到修订的施工进度计划后确认或提出修改意见的期限：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F1CEA7">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7.3 </w:t>
      </w:r>
      <w:r>
        <w:rPr>
          <w:rFonts w:ascii="Times New Roman" w:hAnsi="Times New Roman" w:eastAsia="黑体" w:cs="Times New Roman"/>
          <w:color w:val="000000"/>
          <w:sz w:val="24"/>
          <w:szCs w:val="24"/>
        </w:rPr>
        <w:t>开工</w:t>
      </w:r>
    </w:p>
    <w:p w14:paraId="7DA6EBB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7.3.1 </w:t>
      </w:r>
      <w:r>
        <w:rPr>
          <w:rFonts w:ascii="Times New Roman" w:hAnsi="Times New Roman" w:eastAsia="仿宋_GB2312;仿宋" w:cs="Times New Roman"/>
          <w:color w:val="000000"/>
          <w:sz w:val="24"/>
          <w:szCs w:val="24"/>
        </w:rPr>
        <w:t>开工准备</w:t>
      </w:r>
    </w:p>
    <w:p w14:paraId="7BA2D1C0">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关于承包人提交</w:t>
      </w:r>
      <w:r>
        <w:rPr>
          <w:rFonts w:ascii="Times New Roman" w:hAnsi="Times New Roman" w:eastAsia="仿宋_GB2312;仿宋" w:cs="Times New Roman"/>
          <w:color w:val="000000"/>
          <w:kern w:val="0"/>
          <w:sz w:val="24"/>
          <w:szCs w:val="24"/>
        </w:rPr>
        <w:t>工程开工报审表的期限：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EF462E1">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关于发包人应完成的其他开工准备工作及期限：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5AF58">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2B606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7.3.2</w:t>
      </w:r>
      <w:r>
        <w:rPr>
          <w:rFonts w:ascii="Times New Roman" w:hAnsi="Times New Roman" w:eastAsia="仿宋_GB2312;仿宋" w:cs="Times New Roman"/>
          <w:color w:val="000000"/>
          <w:sz w:val="24"/>
          <w:szCs w:val="24"/>
        </w:rPr>
        <w:t>开工通知</w:t>
      </w:r>
    </w:p>
    <w:p w14:paraId="76BDA7A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因发包人原因造成监理人未能在计划开工日期之日起</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天内发出开工通知的，承包人有权提出价格调整要求，或者解除合同。</w:t>
      </w:r>
    </w:p>
    <w:p w14:paraId="7AB498E3">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7.4 </w:t>
      </w:r>
      <w:r>
        <w:rPr>
          <w:rFonts w:ascii="Times New Roman" w:hAnsi="Times New Roman" w:eastAsia="黑体" w:cs="Times New Roman"/>
          <w:color w:val="000000"/>
          <w:sz w:val="24"/>
          <w:szCs w:val="24"/>
        </w:rPr>
        <w:t>测量放线</w:t>
      </w:r>
    </w:p>
    <w:p w14:paraId="132E78E8">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7.4.1</w:t>
      </w:r>
      <w:r>
        <w:rPr>
          <w:rFonts w:ascii="Times New Roman" w:hAnsi="Times New Roman" w:eastAsia="仿宋_GB2312;仿宋" w:cs="Times New Roman"/>
          <w:sz w:val="24"/>
          <w:szCs w:val="24"/>
        </w:rPr>
        <w:t>发包人通过监理人向承包人提供测量基准点、基准线和水准点及其书面资料的期限：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39A010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7.5 </w:t>
      </w:r>
      <w:r>
        <w:rPr>
          <w:rFonts w:ascii="Times New Roman" w:hAnsi="Times New Roman" w:eastAsia="黑体" w:cs="Times New Roman"/>
          <w:color w:val="000000"/>
          <w:sz w:val="24"/>
          <w:szCs w:val="24"/>
        </w:rPr>
        <w:t>工期延误</w:t>
      </w:r>
    </w:p>
    <w:p w14:paraId="55F29C4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7.5.1 </w:t>
      </w:r>
      <w:r>
        <w:rPr>
          <w:rFonts w:ascii="Times New Roman" w:hAnsi="Times New Roman" w:eastAsia="仿宋_GB2312;仿宋" w:cs="Times New Roman"/>
          <w:sz w:val="24"/>
          <w:szCs w:val="24"/>
        </w:rPr>
        <w:t>因发包人原因导致工期延误</w:t>
      </w:r>
    </w:p>
    <w:p w14:paraId="7F6B65D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w:t>
      </w:r>
      <w:r>
        <w:rPr>
          <w:rFonts w:eastAsia="仿宋_GB2312;仿宋" w:cs="Times New Roman"/>
          <w:sz w:val="24"/>
          <w:szCs w:val="24"/>
        </w:rPr>
        <w:t>7</w:t>
      </w:r>
      <w:r>
        <w:rPr>
          <w:rFonts w:ascii="Times New Roman" w:hAnsi="Times New Roman" w:eastAsia="仿宋_GB2312;仿宋" w:cs="Times New Roman"/>
          <w:sz w:val="24"/>
          <w:szCs w:val="24"/>
        </w:rPr>
        <w:t>）因发包人原因导致工期延误的其他情形：</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0C928BA">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7.5.2 </w:t>
      </w:r>
      <w:r>
        <w:rPr>
          <w:rFonts w:ascii="Times New Roman" w:hAnsi="Times New Roman" w:eastAsia="仿宋_GB2312;仿宋" w:cs="Times New Roman"/>
          <w:sz w:val="24"/>
          <w:szCs w:val="24"/>
        </w:rPr>
        <w:t>因承包人原因导致工期延误</w:t>
      </w:r>
    </w:p>
    <w:p w14:paraId="1AA480E6">
      <w:pPr>
        <w:spacing w:line="360" w:lineRule="auto"/>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因承包人原因造成工期延误，逾期竣工违约金的计算方法为：</w:t>
      </w:r>
      <w:r>
        <w:rPr>
          <w:rFonts w:ascii="Times New Roman" w:hAnsi="Times New Roman" w:eastAsia="Times New Roman" w:cs="Times New Roman"/>
          <w:sz w:val="24"/>
          <w:szCs w:val="24"/>
          <w:u w:val="single"/>
          <w:lang w:val="en-US" w:eastAsia="zh-CN"/>
        </w:rPr>
        <w:t xml:space="preserve">  </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D7CA1B4">
      <w:pPr>
        <w:spacing w:line="360" w:lineRule="auto"/>
        <w:jc w:val="left"/>
        <w:rPr>
          <w:rFonts w:ascii="Times New Roman" w:hAnsi="Times New Roman" w:eastAsia="仿宋_GB2312;仿宋" w:cs="Times New Roman"/>
          <w:sz w:val="24"/>
          <w:szCs w:val="24"/>
          <w:u w:val="single"/>
          <w:lang w:val="en-US" w:eastAsia="zh-CN"/>
        </w:rPr>
      </w:pPr>
      <w:r>
        <w:rPr>
          <w:rFonts w:ascii="Times New Roman" w:hAnsi="Times New Roman" w:eastAsia="仿宋_GB2312;仿宋" w:cs="Times New Roman"/>
          <w:sz w:val="24"/>
          <w:szCs w:val="24"/>
        </w:rPr>
        <w:t>因承包人原因造成工期延误，逾期竣工违约金的上限：</w:t>
      </w:r>
      <w:r>
        <w:rPr>
          <w:rFonts w:ascii="Times New Roman" w:hAnsi="Times New Roman" w:eastAsia="Times New Roman" w:cs="Times New Roman"/>
          <w:sz w:val="24"/>
          <w:szCs w:val="24"/>
          <w:u w:val="single"/>
          <w:lang w:val="en-US" w:eastAsia="zh-CN"/>
        </w:rPr>
        <w:t xml:space="preserve">             </w:t>
      </w:r>
      <w:r>
        <w:rPr>
          <w:rFonts w:ascii="Times New Roman" w:hAnsi="Times New Roman" w:eastAsia="仿宋_GB2312;仿宋" w:cs="Times New Roman"/>
          <w:sz w:val="24"/>
          <w:szCs w:val="24"/>
          <w:u w:val="single"/>
          <w:lang w:val="en-US" w:eastAsia="zh-CN"/>
        </w:rPr>
        <w:t>。</w:t>
      </w:r>
    </w:p>
    <w:p w14:paraId="23B07C5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7.6 </w:t>
      </w:r>
      <w:r>
        <w:rPr>
          <w:rFonts w:ascii="Times New Roman" w:hAnsi="Times New Roman" w:eastAsia="黑体" w:cs="Times New Roman"/>
          <w:color w:val="000000"/>
          <w:sz w:val="24"/>
          <w:szCs w:val="24"/>
        </w:rPr>
        <w:t>不利物质条件</w:t>
      </w:r>
    </w:p>
    <w:p w14:paraId="0816292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不利物质条件的其他情形和有关约定：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655ED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7.7</w:t>
      </w:r>
      <w:r>
        <w:rPr>
          <w:rFonts w:ascii="Times New Roman" w:hAnsi="Times New Roman" w:eastAsia="黑体" w:cs="Times New Roman"/>
          <w:color w:val="000000"/>
          <w:sz w:val="24"/>
          <w:szCs w:val="24"/>
        </w:rPr>
        <w:t>异常恶劣的气候条件</w:t>
      </w:r>
    </w:p>
    <w:p w14:paraId="78A4262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发包人和承包人同意以下情形视为异常恶劣的气候条件：</w:t>
      </w:r>
    </w:p>
    <w:p w14:paraId="44B40A01">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702A9E">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22C10132">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3</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3A84CE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7.9 </w:t>
      </w:r>
      <w:r>
        <w:rPr>
          <w:rFonts w:ascii="Times New Roman" w:hAnsi="Times New Roman" w:eastAsia="黑体" w:cs="Times New Roman"/>
          <w:color w:val="000000"/>
          <w:sz w:val="24"/>
          <w:szCs w:val="24"/>
        </w:rPr>
        <w:t>提前竣工的奖励</w:t>
      </w:r>
    </w:p>
    <w:p w14:paraId="5441B3E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7.9.2</w:t>
      </w:r>
      <w:r>
        <w:rPr>
          <w:rFonts w:ascii="Times New Roman" w:hAnsi="Times New Roman" w:eastAsia="仿宋_GB2312;仿宋" w:cs="Times New Roman"/>
          <w:sz w:val="24"/>
          <w:szCs w:val="24"/>
        </w:rPr>
        <w:t>提前竣工的奖励：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A12F023">
      <w:pPr>
        <w:pStyle w:val="5"/>
        <w:spacing w:before="120" w:after="120" w:line="360" w:lineRule="auto"/>
        <w:rPr>
          <w:rFonts w:ascii="Times New Roman" w:hAnsi="Times New Roman" w:eastAsia="黑体" w:cs="Times New Roman"/>
          <w:b w:val="0"/>
          <w:color w:val="000000"/>
          <w:sz w:val="24"/>
          <w:szCs w:val="24"/>
        </w:rPr>
      </w:pPr>
      <w:bookmarkStart w:id="182" w:name="__RefHeading___Toc351203640"/>
      <w:bookmarkEnd w:id="182"/>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1028FA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8.4</w:t>
      </w:r>
      <w:r>
        <w:rPr>
          <w:rFonts w:ascii="Times New Roman" w:hAnsi="Times New Roman" w:eastAsia="黑体" w:cs="Times New Roman"/>
          <w:color w:val="000000"/>
          <w:sz w:val="24"/>
          <w:szCs w:val="24"/>
        </w:rPr>
        <w:t>材料与工程设备的保管与使用</w:t>
      </w:r>
    </w:p>
    <w:p w14:paraId="513B145F">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8.4.1</w:t>
      </w:r>
      <w:r>
        <w:rPr>
          <w:rFonts w:ascii="Times New Roman" w:hAnsi="Times New Roman" w:eastAsia="仿宋_GB2312;仿宋" w:cs="Times New Roman"/>
          <w:sz w:val="24"/>
          <w:szCs w:val="24"/>
        </w:rPr>
        <w:t>发包人供应的材料设备的保管费用的承担：</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2EDCA9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8.6 </w:t>
      </w:r>
      <w:r>
        <w:rPr>
          <w:rFonts w:ascii="Times New Roman" w:hAnsi="Times New Roman" w:eastAsia="黑体" w:cs="Times New Roman"/>
          <w:color w:val="000000"/>
          <w:sz w:val="24"/>
          <w:szCs w:val="24"/>
        </w:rPr>
        <w:t>样品</w:t>
      </w:r>
    </w:p>
    <w:p w14:paraId="72B906E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4053A0C5">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需要承包人报送样品的材料或工程设备，样品的种类、名称、规格、数量要求：</w:t>
      </w:r>
      <w:r>
        <w:rPr>
          <w:rFonts w:ascii="Times New Roman" w:hAnsi="Times New Roman" w:eastAsia="Times New Roman" w:cs="Times New Roman"/>
          <w:sz w:val="24"/>
          <w:szCs w:val="24"/>
          <w:u w:val="single"/>
        </w:rPr>
        <w:t xml:space="preserve">                                          </w:t>
      </w:r>
    </w:p>
    <w:p w14:paraId="2E39FA8E">
      <w:pPr>
        <w:autoSpaceDE w:val="0"/>
        <w:spacing w:line="360" w:lineRule="auto"/>
        <w:jc w:val="left"/>
        <w:rPr>
          <w:rFonts w:ascii="Times New Roman" w:hAnsi="Times New Roman" w:eastAsia="仿宋_GB2312;仿宋" w:cs="Times New Roman"/>
          <w:sz w:val="24"/>
          <w:szCs w:val="24"/>
        </w:rPr>
      </w:pPr>
      <w:r>
        <w:rPr>
          <w:rFonts w:eastAsia="Times New Roman" w:cs="Times New Roman"/>
          <w:sz w:val="24"/>
          <w:szCs w:val="24"/>
          <w:u w:val="single"/>
        </w:rPr>
        <w:t xml:space="preserve">                                                         </w:t>
      </w:r>
      <w:r>
        <w:rPr>
          <w:rFonts w:ascii="Times New Roman" w:hAnsi="Times New Roman" w:eastAsia="仿宋_GB2312;仿宋" w:cs="Times New Roman"/>
          <w:sz w:val="24"/>
          <w:szCs w:val="24"/>
        </w:rPr>
        <w:t>。</w:t>
      </w:r>
    </w:p>
    <w:p w14:paraId="5B21413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8.8 </w:t>
      </w:r>
      <w:r>
        <w:rPr>
          <w:rFonts w:ascii="Times New Roman" w:hAnsi="Times New Roman" w:eastAsia="黑体" w:cs="Times New Roman"/>
          <w:color w:val="000000"/>
          <w:sz w:val="24"/>
          <w:szCs w:val="24"/>
        </w:rPr>
        <w:t>施工设备和临时设施</w:t>
      </w:r>
    </w:p>
    <w:p w14:paraId="5A660CD9">
      <w:pPr>
        <w:autoSpaceDE w:val="0"/>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8.8.1 </w:t>
      </w:r>
      <w:r>
        <w:rPr>
          <w:rFonts w:ascii="Times New Roman" w:hAnsi="Times New Roman" w:eastAsia="仿宋_GB2312;仿宋" w:cs="Times New Roman"/>
          <w:sz w:val="24"/>
          <w:szCs w:val="24"/>
        </w:rPr>
        <w:t>承包人提供的施工设备和临时设施</w:t>
      </w:r>
    </w:p>
    <w:p w14:paraId="512ECE8D">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关于修建临时设施费用承担的约定：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22ADD8">
      <w:pPr>
        <w:pStyle w:val="5"/>
        <w:spacing w:before="120" w:after="120" w:line="360" w:lineRule="auto"/>
        <w:rPr>
          <w:rFonts w:ascii="Times New Roman" w:hAnsi="Times New Roman" w:eastAsia="黑体" w:cs="Times New Roman"/>
          <w:b w:val="0"/>
          <w:color w:val="000000"/>
          <w:sz w:val="24"/>
          <w:szCs w:val="24"/>
        </w:rPr>
      </w:pPr>
      <w:bookmarkStart w:id="183" w:name="__RefHeading___Toc351203641"/>
      <w:bookmarkEnd w:id="183"/>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2BA4FEF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9.1</w:t>
      </w:r>
      <w:r>
        <w:rPr>
          <w:rFonts w:ascii="Times New Roman" w:hAnsi="Times New Roman" w:eastAsia="黑体" w:cs="Times New Roman"/>
          <w:color w:val="000000"/>
          <w:sz w:val="24"/>
          <w:szCs w:val="24"/>
        </w:rPr>
        <w:t>试验设备与试验人员</w:t>
      </w:r>
    </w:p>
    <w:p w14:paraId="589931FE">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9.1.2 </w:t>
      </w:r>
      <w:r>
        <w:rPr>
          <w:rFonts w:ascii="Times New Roman" w:hAnsi="Times New Roman" w:eastAsia="仿宋_GB2312;仿宋" w:cs="Times New Roman"/>
          <w:sz w:val="24"/>
          <w:szCs w:val="24"/>
        </w:rPr>
        <w:t>试验设备</w:t>
      </w:r>
    </w:p>
    <w:p w14:paraId="2F16E71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施工现场需要配置的试验场所：</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C4822E">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施工现场需要配备的试验设备：</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6BAA7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施工现场需要具备的其他试验条件：</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E7DDF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9.4 </w:t>
      </w:r>
      <w:r>
        <w:rPr>
          <w:rFonts w:ascii="Times New Roman" w:hAnsi="Times New Roman" w:eastAsia="黑体" w:cs="Times New Roman"/>
          <w:color w:val="000000"/>
          <w:sz w:val="24"/>
          <w:szCs w:val="24"/>
        </w:rPr>
        <w:t>现场工艺试验</w:t>
      </w:r>
      <w:r>
        <w:rPr>
          <w:rFonts w:ascii="Times New Roman" w:hAnsi="Times New Roman" w:eastAsia="Times New Roman" w:cs="Times New Roman"/>
          <w:color w:val="000000"/>
          <w:sz w:val="24"/>
          <w:szCs w:val="24"/>
        </w:rPr>
        <w:t xml:space="preserve"> </w:t>
      </w:r>
    </w:p>
    <w:p w14:paraId="539F70E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现场工艺试验的有关约定：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34906D">
      <w:pPr>
        <w:pStyle w:val="5"/>
        <w:spacing w:before="120" w:after="120" w:line="360" w:lineRule="auto"/>
        <w:rPr>
          <w:rFonts w:ascii="Times New Roman" w:hAnsi="Times New Roman" w:eastAsia="黑体" w:cs="Times New Roman"/>
          <w:b w:val="0"/>
          <w:color w:val="000000"/>
          <w:sz w:val="24"/>
          <w:szCs w:val="24"/>
        </w:rPr>
      </w:pPr>
      <w:bookmarkStart w:id="184" w:name="__RefHeading___Toc351203642"/>
      <w:bookmarkEnd w:id="184"/>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518773F6">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10.1</w:t>
      </w:r>
      <w:r>
        <w:rPr>
          <w:rFonts w:ascii="Times New Roman" w:hAnsi="Times New Roman" w:eastAsia="黑体" w:cs="Times New Roman"/>
          <w:color w:val="000000"/>
          <w:sz w:val="24"/>
          <w:szCs w:val="24"/>
        </w:rPr>
        <w:t>变更的范围</w:t>
      </w:r>
    </w:p>
    <w:p w14:paraId="7214A08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关于变更的范围的约定：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6C2976E">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10.4 </w:t>
      </w:r>
      <w:r>
        <w:rPr>
          <w:rFonts w:ascii="Times New Roman" w:hAnsi="Times New Roman" w:eastAsia="黑体" w:cs="Times New Roman"/>
          <w:color w:val="000000"/>
          <w:sz w:val="24"/>
          <w:szCs w:val="24"/>
        </w:rPr>
        <w:t>变更估价</w:t>
      </w:r>
    </w:p>
    <w:p w14:paraId="2A571227">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10.4.1 </w:t>
      </w:r>
      <w:r>
        <w:rPr>
          <w:rFonts w:ascii="Times New Roman" w:hAnsi="Times New Roman" w:eastAsia="仿宋_GB2312;仿宋" w:cs="Times New Roman"/>
          <w:sz w:val="24"/>
          <w:szCs w:val="24"/>
        </w:rPr>
        <w:t>变更估价原则</w:t>
      </w:r>
    </w:p>
    <w:p w14:paraId="0F2830C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关于变更估价的约定</w:t>
      </w:r>
      <w:r>
        <w:rPr>
          <w:rFonts w:eastAsia="仿宋_GB2312;仿宋" w:cs="Times New Roman"/>
          <w:color w:val="000000"/>
          <w:sz w:val="24"/>
          <w:szCs w:val="24"/>
        </w:rPr>
        <w:t xml:space="preserve">: </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BFBF1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10.5</w:t>
      </w:r>
      <w:r>
        <w:rPr>
          <w:rFonts w:ascii="Times New Roman" w:hAnsi="Times New Roman" w:eastAsia="黑体" w:cs="Times New Roman"/>
          <w:color w:val="000000"/>
          <w:sz w:val="24"/>
          <w:szCs w:val="24"/>
        </w:rPr>
        <w:t>承包人的合理化建议</w:t>
      </w:r>
    </w:p>
    <w:p w14:paraId="7E6D21B7">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监理人审查承包人合理化建议的期限：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7ABE87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EC7CB1B">
      <w:pPr>
        <w:spacing w:line="360" w:lineRule="auto"/>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承包人提出的合理化建议降低了合同价格或者提高了工程经济效益的奖励的方法和金额为：</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508E2006">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10.7 </w:t>
      </w:r>
      <w:r>
        <w:rPr>
          <w:rFonts w:ascii="Times New Roman" w:hAnsi="Times New Roman" w:eastAsia="黑体" w:cs="Times New Roman"/>
          <w:color w:val="000000"/>
          <w:sz w:val="24"/>
          <w:szCs w:val="24"/>
        </w:rPr>
        <w:t>暂估价</w:t>
      </w:r>
    </w:p>
    <w:p w14:paraId="094FB293">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kern w:val="0"/>
          <w:sz w:val="24"/>
          <w:szCs w:val="24"/>
        </w:rPr>
        <w:t>暂估价材料和工程设备的明细详见附件</w:t>
      </w:r>
      <w:r>
        <w:rPr>
          <w:rFonts w:eastAsia="仿宋_GB2312;仿宋" w:cs="Times New Roman"/>
          <w:kern w:val="0"/>
          <w:sz w:val="24"/>
          <w:szCs w:val="24"/>
        </w:rPr>
        <w:t>11</w:t>
      </w:r>
      <w:r>
        <w:rPr>
          <w:rFonts w:ascii="Times New Roman" w:hAnsi="Times New Roman" w:eastAsia="仿宋_GB2312;仿宋" w:cs="Times New Roman"/>
          <w:kern w:val="0"/>
          <w:sz w:val="24"/>
          <w:szCs w:val="24"/>
        </w:rPr>
        <w:t>：《</w:t>
      </w:r>
      <w:r>
        <w:rPr>
          <w:rFonts w:ascii="Times New Roman" w:hAnsi="Times New Roman" w:eastAsia="仿宋_GB2312;仿宋" w:cs="Times New Roman"/>
          <w:color w:val="000000"/>
          <w:sz w:val="24"/>
          <w:szCs w:val="24"/>
        </w:rPr>
        <w:t>暂估价一览表》</w:t>
      </w:r>
      <w:r>
        <w:rPr>
          <w:rFonts w:ascii="Times New Roman" w:hAnsi="Times New Roman" w:eastAsia="仿宋_GB2312;仿宋" w:cs="Times New Roman"/>
          <w:kern w:val="0"/>
          <w:sz w:val="24"/>
          <w:szCs w:val="24"/>
        </w:rPr>
        <w:t>。</w:t>
      </w:r>
    </w:p>
    <w:p w14:paraId="53C7A5B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10.7.1 </w:t>
      </w:r>
      <w:r>
        <w:rPr>
          <w:rFonts w:ascii="Times New Roman" w:hAnsi="Times New Roman" w:eastAsia="仿宋_GB2312;仿宋" w:cs="Times New Roman"/>
          <w:sz w:val="24"/>
          <w:szCs w:val="24"/>
        </w:rPr>
        <w:t>依法必须招标的暂估价项目</w:t>
      </w:r>
    </w:p>
    <w:p w14:paraId="0982B2F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种方式确定。</w:t>
      </w:r>
    </w:p>
    <w:p w14:paraId="5603E0F5">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10.7.2 </w:t>
      </w:r>
      <w:r>
        <w:rPr>
          <w:rFonts w:ascii="Times New Roman" w:hAnsi="Times New Roman" w:eastAsia="仿宋_GB2312;仿宋" w:cs="Times New Roman"/>
          <w:sz w:val="24"/>
          <w:szCs w:val="24"/>
        </w:rPr>
        <w:t>不属于依法必须招标的暂估价项目</w:t>
      </w:r>
    </w:p>
    <w:p w14:paraId="68F486E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对于不属于依法必须招标的暂估价项目的确认和批准采取第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 xml:space="preserve"> </w:t>
      </w:r>
      <w:r>
        <w:rPr>
          <w:rFonts w:ascii="Times New Roman" w:hAnsi="Times New Roman" w:eastAsia="仿宋_GB2312;仿宋" w:cs="Times New Roman"/>
          <w:sz w:val="24"/>
          <w:szCs w:val="24"/>
        </w:rPr>
        <w:t>种方式确定。</w:t>
      </w:r>
    </w:p>
    <w:p w14:paraId="79F881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779E39E6">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承包人直接实施的暂估价项目的约定：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D94CBA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10.8 </w:t>
      </w:r>
      <w:r>
        <w:rPr>
          <w:rFonts w:ascii="Times New Roman" w:hAnsi="Times New Roman" w:eastAsia="黑体" w:cs="Times New Roman"/>
          <w:color w:val="000000"/>
          <w:sz w:val="24"/>
          <w:szCs w:val="24"/>
        </w:rPr>
        <w:t>暂列金额</w:t>
      </w:r>
    </w:p>
    <w:p w14:paraId="370E0A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合同当事人关于暂列金额使用的约定：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u w:val="single"/>
          <w:lang w:val="en-US" w:eastAsia="zh-CN"/>
        </w:rPr>
        <w:t>按相关规范执行</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kern w:val="0"/>
          <w:sz w:val="24"/>
          <w:szCs w:val="24"/>
        </w:rPr>
        <w:t>。</w:t>
      </w:r>
    </w:p>
    <w:p w14:paraId="3FC52B79">
      <w:pPr>
        <w:pStyle w:val="5"/>
        <w:spacing w:before="120" w:after="120" w:line="360" w:lineRule="auto"/>
        <w:rPr>
          <w:rFonts w:ascii="Times New Roman" w:hAnsi="Times New Roman" w:eastAsia="黑体" w:cs="Times New Roman"/>
          <w:b w:val="0"/>
          <w:color w:val="000000"/>
          <w:sz w:val="24"/>
          <w:szCs w:val="24"/>
        </w:rPr>
      </w:pPr>
      <w:bookmarkStart w:id="185" w:name="__RefHeading___Toc351203643"/>
      <w:bookmarkEnd w:id="18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6471EE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市场价格波动引起的调整</w:t>
      </w:r>
    </w:p>
    <w:p w14:paraId="36BA47A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市场价格波动是否调整合同价格的约定：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65554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因市场价格波动调整合同价格，采用以下</w:t>
      </w:r>
      <w:r>
        <w:rPr>
          <w:rFonts w:ascii="Times New Roman" w:hAnsi="Times New Roman" w:eastAsia="仿宋_GB2312;仿宋" w:cs="Times New Roman"/>
          <w:sz w:val="24"/>
          <w:szCs w:val="24"/>
        </w:rPr>
        <w:t>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种方式对合同价格进行调整：</w:t>
      </w:r>
    </w:p>
    <w:p w14:paraId="2D20EF7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678B11E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关于各可调因子、定值和变值权重，以及基本价格指数及其来源的约定：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24D5CEA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523FD48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）关于基准价格的约定：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FCF173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w:t>
      </w: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承包人在已标价工程量清单或预算书中载明的材料单价低于基准价格的：专用合同条款合同履行期间材料单价涨幅以基准价格为基础超过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时，或材料单价跌幅以已标价工程量清单或预算书中载明材料单价为基础超过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49DA7511">
      <w:pPr>
        <w:spacing w:line="360" w:lineRule="auto"/>
        <w:ind w:firstLine="480"/>
        <w:jc w:val="left"/>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承包人在已标价工程量清单或预算书中载明的材料单价高于基准价格的：专用合同条款合同履行期间材料单价跌幅以基准价格为基础超过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时，材料单价涨幅以已标价工程量清单或预算书中载明材料单价为基础超过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2ECA6589">
      <w:pPr>
        <w:spacing w:line="360" w:lineRule="auto"/>
        <w:ind w:firstLine="645"/>
        <w:jc w:val="left"/>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承包人在已标价工程量清单或预算书中载明的材料单价等于基准单价的：专用合同条款合同履行期间材料单价涨跌幅以基准单价为基础超过</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0C224007">
      <w:pPr>
        <w:spacing w:line="360" w:lineRule="auto"/>
        <w:ind w:firstLine="645"/>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种方式：其他价格调整方式：</w:t>
      </w:r>
      <w:r>
        <w:rPr>
          <w:rFonts w:ascii="Times New Roman" w:hAnsi="Times New Roman" w:eastAsia="Times New Roman" w:cs="Times New Roman"/>
          <w:color w:val="000000"/>
          <w:sz w:val="24"/>
          <w:szCs w:val="24"/>
          <w:u w:val="single"/>
        </w:rPr>
        <w:t xml:space="preserve">                        </w:t>
      </w:r>
      <w:bookmarkStart w:id="186" w:name="__RefHeading___Toc351203644"/>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87C819">
      <w:pPr>
        <w:spacing w:line="360" w:lineRule="auto"/>
        <w:ind w:firstLine="645"/>
        <w:jc w:val="left"/>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12. </w:t>
      </w:r>
      <w:r>
        <w:rPr>
          <w:rFonts w:ascii="Times New Roman" w:hAnsi="Times New Roman" w:eastAsia="黑体" w:cs="Times New Roman"/>
          <w:b w:val="0"/>
          <w:color w:val="000000"/>
          <w:sz w:val="24"/>
          <w:szCs w:val="24"/>
        </w:rPr>
        <w:t>合同价格、计量与支付</w:t>
      </w:r>
      <w:bookmarkEnd w:id="186"/>
    </w:p>
    <w:p w14:paraId="3E9B09E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12.1 </w:t>
      </w:r>
      <w:r>
        <w:rPr>
          <w:rFonts w:ascii="Times New Roman" w:hAnsi="Times New Roman" w:eastAsia="黑体" w:cs="Times New Roman"/>
          <w:color w:val="000000"/>
          <w:sz w:val="24"/>
          <w:szCs w:val="24"/>
        </w:rPr>
        <w:t>合同价格形式</w:t>
      </w:r>
    </w:p>
    <w:p w14:paraId="2690E6A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w:t>
      </w:r>
    </w:p>
    <w:p w14:paraId="7A3AF51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综合单价包含的风险范围：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932F2BF">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63ECAA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15771C6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w:t>
      </w:r>
    </w:p>
    <w:p w14:paraId="7F98DBC2">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总价包含的风险范围：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1B8B5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DC204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EC27A7">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DBA72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12.2 </w:t>
      </w:r>
      <w:r>
        <w:rPr>
          <w:rFonts w:ascii="Times New Roman" w:hAnsi="Times New Roman" w:eastAsia="黑体" w:cs="Times New Roman"/>
          <w:color w:val="000000"/>
          <w:sz w:val="24"/>
          <w:szCs w:val="24"/>
        </w:rPr>
        <w:t>预付款</w:t>
      </w:r>
    </w:p>
    <w:p w14:paraId="7440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12.2.1 </w:t>
      </w:r>
      <w:r>
        <w:rPr>
          <w:rFonts w:ascii="Times New Roman" w:hAnsi="Times New Roman" w:eastAsia="仿宋_GB2312;仿宋" w:cs="Times New Roman"/>
          <w:color w:val="000000"/>
          <w:sz w:val="24"/>
          <w:szCs w:val="24"/>
        </w:rPr>
        <w:t>预付款的支付</w:t>
      </w:r>
    </w:p>
    <w:p w14:paraId="043D60E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预付款支付比例或金额：</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C1C6E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D49198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预付款扣回的方式：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75FDDD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17068E8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承包人提交预付款担保的期限：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1E7CA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预付款担保的形式为：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D72B6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12.3 </w:t>
      </w:r>
      <w:r>
        <w:rPr>
          <w:rFonts w:ascii="Times New Roman" w:hAnsi="Times New Roman" w:eastAsia="黑体" w:cs="Times New Roman"/>
          <w:color w:val="000000"/>
          <w:sz w:val="24"/>
          <w:szCs w:val="24"/>
        </w:rPr>
        <w:t>计量</w:t>
      </w:r>
    </w:p>
    <w:p w14:paraId="199C2A7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12.3.1 </w:t>
      </w:r>
      <w:r>
        <w:rPr>
          <w:rFonts w:ascii="Times New Roman" w:hAnsi="Times New Roman" w:eastAsia="仿宋_GB2312;仿宋" w:cs="Times New Roman"/>
          <w:color w:val="000000"/>
          <w:sz w:val="24"/>
          <w:szCs w:val="24"/>
        </w:rPr>
        <w:t>计量原则</w:t>
      </w:r>
    </w:p>
    <w:p w14:paraId="6264B55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工程量计算规则：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D64821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12.3.2 </w:t>
      </w:r>
      <w:r>
        <w:rPr>
          <w:rFonts w:ascii="Times New Roman" w:hAnsi="Times New Roman" w:eastAsia="仿宋_GB2312;仿宋" w:cs="Times New Roman"/>
          <w:color w:val="000000"/>
          <w:sz w:val="24"/>
          <w:szCs w:val="24"/>
        </w:rPr>
        <w:t>计量周期</w:t>
      </w:r>
    </w:p>
    <w:p w14:paraId="4E8DFF4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关于计量周期的约定：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A131D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12.3.3 </w:t>
      </w:r>
      <w:r>
        <w:rPr>
          <w:rFonts w:ascii="Times New Roman" w:hAnsi="Times New Roman" w:eastAsia="仿宋_GB2312;仿宋" w:cs="Times New Roman"/>
          <w:color w:val="000000"/>
          <w:sz w:val="24"/>
          <w:szCs w:val="24"/>
        </w:rPr>
        <w:t>单价合同的计量</w:t>
      </w:r>
    </w:p>
    <w:p w14:paraId="17A5A6E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关于单价合同计量的约定：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FE0D7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12.3.4 </w:t>
      </w:r>
      <w:r>
        <w:rPr>
          <w:rFonts w:ascii="Times New Roman" w:hAnsi="Times New Roman" w:eastAsia="仿宋_GB2312;仿宋" w:cs="Times New Roman"/>
          <w:color w:val="000000"/>
          <w:sz w:val="24"/>
          <w:szCs w:val="24"/>
        </w:rPr>
        <w:t>总价合同的计量</w:t>
      </w:r>
    </w:p>
    <w:p w14:paraId="0924A7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关于总价合同计量的约定：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E4C4F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12.3.5</w:t>
      </w:r>
      <w:r>
        <w:rPr>
          <w:rFonts w:ascii="Times New Roman" w:hAnsi="Times New Roman" w:eastAsia="仿宋_GB2312;仿宋" w:cs="Times New Roman"/>
          <w:color w:val="000000"/>
          <w:sz w:val="24"/>
          <w:szCs w:val="24"/>
        </w:rPr>
        <w:t>总价合同采用支付分解表计量支付的，是否适用第</w:t>
      </w: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sz w:val="24"/>
          <w:szCs w:val="24"/>
        </w:rPr>
        <w:t>项</w:t>
      </w:r>
      <w:r>
        <w:rPr>
          <w:rFonts w:ascii="Times New Roman" w:hAnsi="Times New Roman" w:eastAsia="仿宋_GB2312;仿宋" w:cs="Times New Roman"/>
          <w:color w:val="000000"/>
          <w:kern w:val="0"/>
          <w:sz w:val="24"/>
          <w:szCs w:val="24"/>
        </w:rPr>
        <w:t>〔总价合同的计量〕</w:t>
      </w:r>
      <w:r>
        <w:rPr>
          <w:rFonts w:ascii="Times New Roman" w:hAnsi="Times New Roman" w:eastAsia="仿宋_GB2312;仿宋" w:cs="Times New Roman"/>
          <w:color w:val="000000"/>
          <w:sz w:val="24"/>
          <w:szCs w:val="24"/>
        </w:rPr>
        <w:t>约定进行计量：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3824E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12.3.6 </w:t>
      </w:r>
      <w:r>
        <w:rPr>
          <w:rFonts w:ascii="Times New Roman" w:hAnsi="Times New Roman" w:eastAsia="仿宋_GB2312;仿宋" w:cs="Times New Roman"/>
          <w:color w:val="000000"/>
          <w:sz w:val="24"/>
          <w:szCs w:val="24"/>
        </w:rPr>
        <w:t>其他价格形式合同的计量</w:t>
      </w:r>
    </w:p>
    <w:p w14:paraId="1B4FD39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其他价格形式的计量方式和程序：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9D105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12.4 </w:t>
      </w:r>
      <w:r>
        <w:rPr>
          <w:rFonts w:ascii="Times New Roman" w:hAnsi="Times New Roman" w:eastAsia="黑体" w:cs="Times New Roman"/>
          <w:color w:val="000000"/>
          <w:sz w:val="24"/>
          <w:szCs w:val="24"/>
        </w:rPr>
        <w:t>工程进度款支付</w:t>
      </w:r>
    </w:p>
    <w:p w14:paraId="72ADC5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12.4.1 </w:t>
      </w:r>
      <w:r>
        <w:rPr>
          <w:rFonts w:ascii="Times New Roman" w:hAnsi="Times New Roman" w:eastAsia="仿宋_GB2312;仿宋" w:cs="Times New Roman"/>
          <w:color w:val="000000"/>
          <w:sz w:val="24"/>
          <w:szCs w:val="24"/>
        </w:rPr>
        <w:t>付款周期</w:t>
      </w:r>
    </w:p>
    <w:p w14:paraId="6457854D">
      <w:pPr>
        <w:spacing w:line="360" w:lineRule="auto"/>
        <w:ind w:firstLine="480"/>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关于付款周期的约定：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仿宋_GB2312;仿宋" w:cs="Times New Roman"/>
          <w:color w:val="000000"/>
          <w:sz w:val="24"/>
          <w:szCs w:val="24"/>
        </w:rPr>
        <w:t>。</w:t>
      </w:r>
    </w:p>
    <w:p w14:paraId="5267788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12.4.2 </w:t>
      </w:r>
      <w:r>
        <w:rPr>
          <w:rFonts w:ascii="Times New Roman" w:hAnsi="Times New Roman" w:eastAsia="仿宋_GB2312;仿宋" w:cs="Times New Roman"/>
          <w:color w:val="000000"/>
          <w:sz w:val="24"/>
          <w:szCs w:val="24"/>
        </w:rPr>
        <w:t>进度付款申请单的编制</w:t>
      </w:r>
    </w:p>
    <w:p w14:paraId="2A8BDA57">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关于进度付款申请单编制的约定：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F698D1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12.4.3 </w:t>
      </w:r>
      <w:r>
        <w:rPr>
          <w:rFonts w:ascii="Times New Roman" w:hAnsi="Times New Roman" w:eastAsia="仿宋_GB2312;仿宋" w:cs="Times New Roman"/>
          <w:color w:val="000000"/>
          <w:sz w:val="24"/>
          <w:szCs w:val="24"/>
        </w:rPr>
        <w:t>进度付款申请单的提交</w:t>
      </w:r>
    </w:p>
    <w:p w14:paraId="5ACE322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40DDD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B0111F3">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）其他价格形式合同进度付款申请单提交的约定：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BF53E5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12.4.4 </w:t>
      </w:r>
      <w:r>
        <w:rPr>
          <w:rFonts w:ascii="Times New Roman" w:hAnsi="Times New Roman" w:eastAsia="仿宋_GB2312;仿宋" w:cs="Times New Roman"/>
          <w:color w:val="000000"/>
          <w:sz w:val="24"/>
          <w:szCs w:val="24"/>
        </w:rPr>
        <w:t>进度款审核和支付</w:t>
      </w:r>
    </w:p>
    <w:p w14:paraId="23DACA7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）监理人审查并报送发包人的期限：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CC1687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发包人完成审批并签发进度款支付证书的期限：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E45B5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）发包人支付进度款的期限：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EED39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发包人逾期支付进度款的违约金的计算方式：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7780181">
      <w:pPr>
        <w:spacing w:line="360" w:lineRule="auto"/>
        <w:ind w:firstLine="60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12.4.6 </w:t>
      </w:r>
      <w:r>
        <w:rPr>
          <w:rFonts w:ascii="Times New Roman" w:hAnsi="Times New Roman" w:eastAsia="仿宋_GB2312;仿宋" w:cs="Times New Roman"/>
          <w:color w:val="000000"/>
          <w:sz w:val="24"/>
          <w:szCs w:val="24"/>
        </w:rPr>
        <w:t>支付分解表的编制</w:t>
      </w:r>
    </w:p>
    <w:p w14:paraId="43636575">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A5B59">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、单价合同的总价项目支付分解表的编制与审批：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4754E000">
      <w:pPr>
        <w:pStyle w:val="5"/>
        <w:spacing w:before="120" w:after="120" w:line="360" w:lineRule="auto"/>
        <w:rPr>
          <w:rFonts w:ascii="Times New Roman" w:hAnsi="Times New Roman" w:eastAsia="黑体" w:cs="Times New Roman"/>
          <w:b w:val="0"/>
          <w:color w:val="000000"/>
          <w:sz w:val="24"/>
          <w:szCs w:val="24"/>
        </w:rPr>
      </w:pPr>
      <w:bookmarkStart w:id="187" w:name="__RefHeading___Toc351203645"/>
      <w:bookmarkEnd w:id="187"/>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1EDEA62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13.1 </w:t>
      </w:r>
      <w:r>
        <w:rPr>
          <w:rFonts w:ascii="Times New Roman" w:hAnsi="Times New Roman" w:eastAsia="黑体" w:cs="Times New Roman"/>
          <w:color w:val="000000"/>
          <w:sz w:val="24"/>
          <w:szCs w:val="24"/>
        </w:rPr>
        <w:t>分部分项工程验收</w:t>
      </w:r>
    </w:p>
    <w:p w14:paraId="319ED52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13.1.2</w:t>
      </w:r>
      <w:r>
        <w:rPr>
          <w:rFonts w:ascii="Times New Roman" w:hAnsi="Times New Roman" w:eastAsia="仿宋_GB2312;仿宋" w:cs="Times New Roman"/>
          <w:sz w:val="24"/>
          <w:szCs w:val="24"/>
        </w:rPr>
        <w:t>监理人不能按时进行验收时，应提前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41E1B8D4">
      <w:pPr>
        <w:spacing w:line="360" w:lineRule="auto"/>
        <w:ind w:firstLine="480"/>
        <w:jc w:val="left"/>
        <w:rPr>
          <w:rFonts w:ascii="Times New Roman" w:hAnsi="Times New Roman" w:eastAsia="仿宋_GB2312;仿宋" w:cs="Times New Roman"/>
          <w:b/>
          <w:color w:val="000000"/>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2D13BC6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13.2 </w:t>
      </w:r>
      <w:r>
        <w:rPr>
          <w:rFonts w:ascii="Times New Roman" w:hAnsi="Times New Roman" w:eastAsia="黑体" w:cs="Times New Roman"/>
          <w:color w:val="000000"/>
          <w:sz w:val="24"/>
          <w:szCs w:val="24"/>
        </w:rPr>
        <w:t>竣工验收</w:t>
      </w:r>
    </w:p>
    <w:p w14:paraId="6640EEA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13.2.2</w:t>
      </w:r>
      <w:r>
        <w:rPr>
          <w:rFonts w:ascii="Times New Roman" w:hAnsi="Times New Roman" w:eastAsia="仿宋_GB2312;仿宋" w:cs="Times New Roman"/>
          <w:color w:val="000000"/>
          <w:sz w:val="24"/>
          <w:szCs w:val="24"/>
        </w:rPr>
        <w:t>竣工验收程序</w:t>
      </w:r>
    </w:p>
    <w:p w14:paraId="66A6E775">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关于竣工验收程序的约定：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6E926A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发包人不按照本项约定组织竣工验收、颁发工程接收证书的违约金的计算方法：</w:t>
      </w:r>
      <w:r>
        <w:rPr>
          <w:rFonts w:ascii="Times New Roman" w:hAnsi="Times New Roman" w:eastAsia="Times New Roman" w:cs="Times New Roman"/>
          <w:color w:val="000000"/>
          <w:sz w:val="24"/>
          <w:szCs w:val="24"/>
          <w:u w:val="single"/>
        </w:rPr>
        <w:t xml:space="preserve">                                         </w:t>
      </w:r>
    </w:p>
    <w:p w14:paraId="587E8971">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474FD8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13.2.5</w:t>
      </w:r>
      <w:r>
        <w:rPr>
          <w:rFonts w:ascii="Times New Roman" w:hAnsi="Times New Roman" w:eastAsia="仿宋_GB2312;仿宋" w:cs="Times New Roman"/>
          <w:color w:val="000000"/>
          <w:sz w:val="24"/>
          <w:szCs w:val="24"/>
        </w:rPr>
        <w:t>移交、接收全部与部分工程</w:t>
      </w:r>
    </w:p>
    <w:p w14:paraId="0BFCAEC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承包人向发包人移交工程的期限：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39EE31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发包人未按本合同约定接收全部或部分工程的，违约金的计算方法为：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E1CE72F">
      <w:pPr>
        <w:spacing w:line="360" w:lineRule="auto"/>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承包人未按时移交工程的，违约金的计算方法为：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8DF4C8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13.3 </w:t>
      </w:r>
      <w:r>
        <w:rPr>
          <w:rFonts w:ascii="Times New Roman" w:hAnsi="Times New Roman" w:eastAsia="黑体" w:cs="Times New Roman"/>
          <w:color w:val="000000"/>
          <w:sz w:val="24"/>
          <w:szCs w:val="24"/>
        </w:rPr>
        <w:t>工程试车</w:t>
      </w:r>
    </w:p>
    <w:p w14:paraId="707FBAE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13.3.1 </w:t>
      </w:r>
      <w:r>
        <w:rPr>
          <w:rFonts w:ascii="Times New Roman" w:hAnsi="Times New Roman" w:eastAsia="仿宋_GB2312;仿宋" w:cs="Times New Roman"/>
          <w:color w:val="000000"/>
          <w:kern w:val="0"/>
          <w:sz w:val="24"/>
          <w:szCs w:val="24"/>
        </w:rPr>
        <w:t>试车程序</w:t>
      </w:r>
    </w:p>
    <w:p w14:paraId="3B6C6FE6">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工程试车内容：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D5B6A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）单机无负荷试车费用由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5629344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）无负荷联动试车费用由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00E9985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2701CD7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关于投料试车相关事项的约定：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70624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13.6 </w:t>
      </w:r>
      <w:r>
        <w:rPr>
          <w:rFonts w:ascii="Times New Roman" w:hAnsi="Times New Roman" w:eastAsia="黑体" w:cs="Times New Roman"/>
          <w:color w:val="000000"/>
          <w:sz w:val="24"/>
          <w:szCs w:val="24"/>
        </w:rPr>
        <w:t>竣工退场</w:t>
      </w:r>
    </w:p>
    <w:p w14:paraId="3A851E3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2A257D9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承包人完成竣工退场的期限：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30C9239">
      <w:pPr>
        <w:pStyle w:val="5"/>
        <w:spacing w:before="120" w:after="120" w:line="360" w:lineRule="auto"/>
        <w:rPr>
          <w:rFonts w:ascii="Times New Roman" w:hAnsi="Times New Roman" w:eastAsia="黑体" w:cs="Times New Roman"/>
          <w:b w:val="0"/>
          <w:color w:val="000000"/>
          <w:sz w:val="24"/>
          <w:szCs w:val="24"/>
        </w:rPr>
      </w:pPr>
      <w:bookmarkStart w:id="188" w:name="__RefHeading___Toc351203646"/>
      <w:bookmarkEnd w:id="188"/>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737CBC1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14.1 </w:t>
      </w:r>
      <w:r>
        <w:rPr>
          <w:rFonts w:ascii="Times New Roman" w:hAnsi="Times New Roman" w:eastAsia="黑体" w:cs="Times New Roman"/>
          <w:color w:val="000000"/>
          <w:sz w:val="24"/>
          <w:szCs w:val="24"/>
        </w:rPr>
        <w:t>竣工结算申请</w:t>
      </w:r>
    </w:p>
    <w:p w14:paraId="533F9F5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承包人提交竣工结算申请单的期限：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D8B30B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竣工结算申请单应包括的内容：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3840EA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14.2 </w:t>
      </w:r>
      <w:r>
        <w:rPr>
          <w:rFonts w:ascii="Times New Roman" w:hAnsi="Times New Roman" w:eastAsia="黑体" w:cs="Times New Roman"/>
          <w:color w:val="000000"/>
          <w:sz w:val="24"/>
          <w:szCs w:val="24"/>
        </w:rPr>
        <w:t>竣工结算审核</w:t>
      </w:r>
    </w:p>
    <w:p w14:paraId="7BD9902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发包人审批竣工付款申请单的期限：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C030E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发包人完成竣工付款的期限：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0D8BF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关于竣工付款证书异议部分复核的方式和程序：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2369C7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14.4 </w:t>
      </w:r>
      <w:r>
        <w:rPr>
          <w:rFonts w:ascii="Times New Roman" w:hAnsi="Times New Roman" w:eastAsia="黑体" w:cs="Times New Roman"/>
          <w:color w:val="000000"/>
          <w:sz w:val="24"/>
          <w:szCs w:val="24"/>
        </w:rPr>
        <w:t>最终结清</w:t>
      </w:r>
    </w:p>
    <w:p w14:paraId="758669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65F605F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承包人提交最终结清申请单的份数：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65F2E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color w:val="000000"/>
          <w:kern w:val="0"/>
          <w:sz w:val="24"/>
          <w:szCs w:val="24"/>
        </w:rPr>
        <w:t>承包人提交最终结算申请单的期限：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sz w:val="24"/>
          <w:szCs w:val="24"/>
        </w:rPr>
        <w:t xml:space="preserve"> </w:t>
      </w:r>
    </w:p>
    <w:p w14:paraId="279AF03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14.4.2 </w:t>
      </w:r>
      <w:r>
        <w:rPr>
          <w:rFonts w:ascii="Times New Roman" w:hAnsi="Times New Roman" w:eastAsia="仿宋_GB2312;仿宋" w:cs="Times New Roman"/>
          <w:sz w:val="24"/>
          <w:szCs w:val="24"/>
        </w:rPr>
        <w:t>最终结清证书和支付</w:t>
      </w:r>
    </w:p>
    <w:p w14:paraId="417354F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）发包人完成最终结清申请单的审批并颁发最终结清证书的期限：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B13A8F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）发包人完成支付的期限：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13EB07B">
      <w:pPr>
        <w:pStyle w:val="5"/>
        <w:spacing w:before="120" w:after="120" w:line="360" w:lineRule="auto"/>
        <w:rPr>
          <w:rFonts w:ascii="Times New Roman" w:hAnsi="Times New Roman" w:eastAsia="黑体" w:cs="Times New Roman"/>
          <w:b w:val="0"/>
          <w:color w:val="000000"/>
          <w:sz w:val="24"/>
          <w:szCs w:val="24"/>
        </w:rPr>
      </w:pPr>
      <w:bookmarkStart w:id="189" w:name="__RefHeading___Toc351203647"/>
      <w:bookmarkEnd w:id="189"/>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缺陷责任期与保修</w:t>
      </w:r>
    </w:p>
    <w:p w14:paraId="61A33C3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15.2</w:t>
      </w:r>
      <w:r>
        <w:rPr>
          <w:rFonts w:ascii="Times New Roman" w:hAnsi="Times New Roman" w:eastAsia="黑体" w:cs="Times New Roman"/>
          <w:color w:val="000000"/>
          <w:sz w:val="24"/>
          <w:szCs w:val="24"/>
        </w:rPr>
        <w:t>缺陷责任期</w:t>
      </w:r>
    </w:p>
    <w:p w14:paraId="32CF053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缺陷责任期的具体期限：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A3F7E8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15.3 </w:t>
      </w:r>
      <w:r>
        <w:rPr>
          <w:rFonts w:ascii="Times New Roman" w:hAnsi="Times New Roman" w:eastAsia="黑体" w:cs="Times New Roman"/>
          <w:color w:val="000000"/>
          <w:sz w:val="24"/>
          <w:szCs w:val="24"/>
        </w:rPr>
        <w:t>质量保证金</w:t>
      </w:r>
    </w:p>
    <w:p w14:paraId="01BF0C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关于是否扣留质量保证金的约定：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olor w:val="000000"/>
          <w:sz w:val="24"/>
          <w:szCs w:val="24"/>
        </w:rPr>
        <w:t>在工程项目竣工前，承包人按专用合同条款第3.7条提供履约担保的，发包人不得同时预留工程质量保证金。</w:t>
      </w:r>
    </w:p>
    <w:p w14:paraId="4A0B71C8">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15.3.1 </w:t>
      </w:r>
      <w:r>
        <w:rPr>
          <w:rFonts w:ascii="Times New Roman" w:hAnsi="Times New Roman" w:eastAsia="仿宋_GB2312;仿宋" w:cs="Times New Roman"/>
          <w:color w:val="000000"/>
          <w:sz w:val="24"/>
          <w:szCs w:val="24"/>
        </w:rPr>
        <w:t>承包人提供质量保证金的方式</w:t>
      </w:r>
    </w:p>
    <w:p w14:paraId="5828F7C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质量保证金采用以下第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3AA5C0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）质量保证金保函，保证金额为：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rPr>
        <w:t xml:space="preserve"> </w:t>
      </w:r>
    </w:p>
    <w:p w14:paraId="4AE6A20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u w:val="single"/>
        </w:rPr>
        <w:t xml:space="preserve">      </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的工程款；</w:t>
      </w:r>
    </w:p>
    <w:p w14:paraId="221FD2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AF8C34A">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15.3.2 </w:t>
      </w:r>
      <w:r>
        <w:rPr>
          <w:rFonts w:ascii="Times New Roman" w:hAnsi="Times New Roman" w:eastAsia="仿宋_GB2312;仿宋" w:cs="Times New Roman"/>
          <w:color w:val="000000"/>
          <w:sz w:val="24"/>
          <w:szCs w:val="24"/>
        </w:rPr>
        <w:t>质量保证金的扣留</w:t>
      </w:r>
      <w:r>
        <w:rPr>
          <w:rFonts w:ascii="Times New Roman" w:hAnsi="Times New Roman" w:eastAsia="Times New Roman" w:cs="Times New Roman"/>
          <w:color w:val="000000"/>
          <w:sz w:val="24"/>
          <w:szCs w:val="24"/>
        </w:rPr>
        <w:t xml:space="preserve"> </w:t>
      </w:r>
    </w:p>
    <w:p w14:paraId="26D848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质量保证金的扣留采取以下第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00D6FBB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730D6C94">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）工程竣工结算时一次性扣留质量保证金；</w:t>
      </w:r>
    </w:p>
    <w:p w14:paraId="13CA988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）其他扣留方式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D631B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关于质量保证金的补充约定：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80DAEE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15.4</w:t>
      </w:r>
      <w:r>
        <w:rPr>
          <w:rFonts w:ascii="Times New Roman" w:hAnsi="Times New Roman" w:eastAsia="黑体" w:cs="Times New Roman"/>
          <w:color w:val="000000"/>
          <w:sz w:val="24"/>
          <w:szCs w:val="24"/>
        </w:rPr>
        <w:t>保修</w:t>
      </w:r>
    </w:p>
    <w:p w14:paraId="410A7BD0">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15.4.1 </w:t>
      </w:r>
      <w:r>
        <w:rPr>
          <w:rFonts w:ascii="Times New Roman" w:hAnsi="Times New Roman" w:eastAsia="仿宋_GB2312;仿宋" w:cs="Times New Roman"/>
          <w:color w:val="000000"/>
          <w:sz w:val="24"/>
          <w:szCs w:val="24"/>
        </w:rPr>
        <w:t>保修责任</w:t>
      </w:r>
    </w:p>
    <w:p w14:paraId="5A819060">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工程保修期为：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05FF724">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15.4.3 </w:t>
      </w:r>
      <w:r>
        <w:rPr>
          <w:rFonts w:ascii="Times New Roman" w:hAnsi="Times New Roman" w:eastAsia="仿宋_GB2312;仿宋" w:cs="Times New Roman"/>
          <w:color w:val="000000"/>
          <w:sz w:val="24"/>
          <w:szCs w:val="24"/>
        </w:rPr>
        <w:t>修复通知</w:t>
      </w:r>
    </w:p>
    <w:p w14:paraId="617AC9CD">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承包人收到保修通知并到达工程现场的合理时间：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5A11114">
      <w:pPr>
        <w:pStyle w:val="5"/>
        <w:spacing w:before="120" w:after="120" w:line="360" w:lineRule="auto"/>
        <w:rPr>
          <w:rFonts w:ascii="Times New Roman" w:hAnsi="Times New Roman" w:eastAsia="黑体" w:cs="Times New Roman"/>
          <w:b w:val="0"/>
          <w:color w:val="000000"/>
          <w:sz w:val="24"/>
          <w:szCs w:val="24"/>
        </w:rPr>
      </w:pPr>
      <w:bookmarkStart w:id="190" w:name="__RefHeading___Toc351203648"/>
      <w:bookmarkEnd w:id="190"/>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1FCFBA8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16.1 </w:t>
      </w:r>
      <w:r>
        <w:rPr>
          <w:rFonts w:ascii="Times New Roman" w:hAnsi="Times New Roman" w:eastAsia="黑体" w:cs="Times New Roman"/>
          <w:color w:val="000000"/>
          <w:sz w:val="24"/>
          <w:szCs w:val="24"/>
        </w:rPr>
        <w:t>发包人违约</w:t>
      </w:r>
    </w:p>
    <w:p w14:paraId="37C81F7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16.1.1</w:t>
      </w:r>
      <w:r>
        <w:rPr>
          <w:rFonts w:ascii="Times New Roman" w:hAnsi="Times New Roman" w:eastAsia="仿宋_GB2312;仿宋" w:cs="Times New Roman"/>
          <w:color w:val="000000"/>
          <w:sz w:val="24"/>
          <w:szCs w:val="24"/>
        </w:rPr>
        <w:t>发包人违约的情形</w:t>
      </w:r>
    </w:p>
    <w:p w14:paraId="2D4855A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FFF83D8">
      <w:pPr>
        <w:spacing w:line="360" w:lineRule="auto"/>
        <w:ind w:left="1500" w:hanging="120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365B7EA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发包人违约责任的承担方式和计算方法：</w:t>
      </w:r>
    </w:p>
    <w:p w14:paraId="768747DC">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天内下达开工通知的违约</w:t>
      </w:r>
      <w:r>
        <w:rPr>
          <w:rFonts w:ascii="Times New Roman" w:hAnsi="Times New Roman" w:eastAsia="仿宋_GB2312;仿宋" w:cs="Times New Roman"/>
          <w:color w:val="000000"/>
          <w:kern w:val="0"/>
          <w:sz w:val="24"/>
          <w:szCs w:val="24"/>
          <w:lang w:val="en-US" w:eastAsia="zh-CN"/>
        </w:rPr>
        <w:t>责</w:t>
      </w:r>
      <w:r>
        <w:rPr>
          <w:rFonts w:ascii="Times New Roman" w:hAnsi="Times New Roman" w:eastAsia="仿宋_GB2312;仿宋" w:cs="Times New Roman"/>
          <w:color w:val="000000"/>
          <w:kern w:val="0"/>
          <w:sz w:val="24"/>
          <w:szCs w:val="24"/>
        </w:rPr>
        <w:t>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38BBD3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6604D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44B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DC0384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3051E0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F89511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）其他：</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48965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16.1.3 </w:t>
      </w:r>
      <w:r>
        <w:rPr>
          <w:rFonts w:ascii="Times New Roman" w:hAnsi="Times New Roman" w:eastAsia="仿宋_GB2312;仿宋" w:cs="Times New Roman"/>
          <w:color w:val="000000"/>
          <w:sz w:val="24"/>
          <w:szCs w:val="24"/>
        </w:rPr>
        <w:t>因发包人违约解除合同</w:t>
      </w:r>
    </w:p>
    <w:p w14:paraId="64842C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天后发包人仍不纠正其违约行为并致使合同目的不能实现的，承包人有权解除合同。</w:t>
      </w:r>
    </w:p>
    <w:p w14:paraId="5F08757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16.2 </w:t>
      </w:r>
      <w:r>
        <w:rPr>
          <w:rFonts w:ascii="Times New Roman" w:hAnsi="Times New Roman" w:eastAsia="黑体" w:cs="Times New Roman"/>
          <w:color w:val="000000"/>
          <w:sz w:val="24"/>
          <w:szCs w:val="24"/>
        </w:rPr>
        <w:t>承包人违约</w:t>
      </w:r>
    </w:p>
    <w:p w14:paraId="2FF56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99454C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A1FBE7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16.2.2</w:t>
      </w:r>
      <w:r>
        <w:rPr>
          <w:rFonts w:ascii="Times New Roman" w:hAnsi="Times New Roman" w:eastAsia="仿宋_GB2312;仿宋" w:cs="Times New Roman"/>
          <w:color w:val="000000"/>
          <w:kern w:val="0"/>
          <w:sz w:val="24"/>
          <w:szCs w:val="24"/>
        </w:rPr>
        <w:t>承包人违约的责任</w:t>
      </w:r>
    </w:p>
    <w:p w14:paraId="01E8946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承包人违约责任的承担方式和计算方法：</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rPr>
        <w:t xml:space="preserve">   </w:t>
      </w:r>
    </w:p>
    <w:p w14:paraId="3CEDDB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16.2.3 </w:t>
      </w:r>
      <w:r>
        <w:rPr>
          <w:rFonts w:ascii="Times New Roman" w:hAnsi="Times New Roman" w:eastAsia="仿宋_GB2312;仿宋" w:cs="Times New Roman"/>
          <w:color w:val="000000"/>
          <w:sz w:val="24"/>
          <w:szCs w:val="24"/>
        </w:rPr>
        <w:t>因承包人违约解除合同</w:t>
      </w:r>
    </w:p>
    <w:p w14:paraId="1D0FA452">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关于承包人违约解除合同的特别约定：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3028593">
      <w:pPr>
        <w:spacing w:before="120" w:after="120"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发包人继续使用承包人在施工现场的材料、设备、临时工程、承包人文件和由承包人或以其名义编制的其他文件的费用承担方式：</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453D298">
      <w:pPr>
        <w:pStyle w:val="5"/>
        <w:spacing w:before="120" w:after="120" w:line="360" w:lineRule="auto"/>
        <w:rPr>
          <w:rFonts w:ascii="Times New Roman" w:hAnsi="Times New Roman" w:eastAsia="黑体" w:cs="Times New Roman"/>
          <w:b w:val="0"/>
          <w:color w:val="000000"/>
          <w:sz w:val="24"/>
          <w:szCs w:val="24"/>
        </w:rPr>
      </w:pPr>
      <w:bookmarkStart w:id="191" w:name="__RefHeading___Toc351203649"/>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91"/>
      <w:r>
        <w:rPr>
          <w:rFonts w:ascii="Times New Roman" w:hAnsi="Times New Roman" w:eastAsia="Times New Roman" w:cs="Times New Roman"/>
          <w:b w:val="0"/>
          <w:color w:val="000000"/>
          <w:sz w:val="24"/>
          <w:szCs w:val="24"/>
        </w:rPr>
        <w:t xml:space="preserve"> </w:t>
      </w:r>
    </w:p>
    <w:p w14:paraId="5D52F21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17.1 </w:t>
      </w:r>
      <w:r>
        <w:rPr>
          <w:rFonts w:ascii="Times New Roman" w:hAnsi="Times New Roman" w:eastAsia="黑体" w:cs="Times New Roman"/>
          <w:color w:val="000000"/>
          <w:sz w:val="24"/>
          <w:szCs w:val="24"/>
        </w:rPr>
        <w:t>不可抗力的确认</w:t>
      </w:r>
    </w:p>
    <w:p w14:paraId="7A433488">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sz w:val="24"/>
          <w:szCs w:val="24"/>
        </w:rPr>
        <w:t>除通用合同条款约定的不可抗力事件之外，视为不可抗力的其他情形：</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3141038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17.4 </w:t>
      </w:r>
      <w:r>
        <w:rPr>
          <w:rFonts w:ascii="Times New Roman" w:hAnsi="Times New Roman" w:eastAsia="黑体" w:cs="Times New Roman"/>
          <w:color w:val="000000"/>
          <w:sz w:val="24"/>
          <w:szCs w:val="24"/>
        </w:rPr>
        <w:t>因不可抗力解除合同</w:t>
      </w:r>
    </w:p>
    <w:p w14:paraId="44F278C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合同解除后，发包人应在商定或确定发包人应支付款项后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天内完成款项的支付。</w:t>
      </w:r>
    </w:p>
    <w:p w14:paraId="3B40D350">
      <w:pPr>
        <w:pStyle w:val="5"/>
        <w:spacing w:before="120" w:after="120" w:line="360" w:lineRule="auto"/>
        <w:rPr>
          <w:rFonts w:ascii="Times New Roman" w:hAnsi="Times New Roman" w:eastAsia="黑体" w:cs="Times New Roman"/>
          <w:b w:val="0"/>
          <w:color w:val="000000"/>
          <w:sz w:val="24"/>
          <w:szCs w:val="24"/>
        </w:rPr>
      </w:pPr>
      <w:bookmarkStart w:id="192" w:name="__RefHeading___Toc351203650"/>
      <w:bookmarkEnd w:id="192"/>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1F9992E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18.1 </w:t>
      </w:r>
      <w:r>
        <w:rPr>
          <w:rFonts w:ascii="Times New Roman" w:hAnsi="Times New Roman" w:eastAsia="黑体" w:cs="Times New Roman"/>
          <w:color w:val="000000"/>
          <w:sz w:val="24"/>
          <w:szCs w:val="24"/>
        </w:rPr>
        <w:t>工程保险</w:t>
      </w:r>
    </w:p>
    <w:p w14:paraId="16F9211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关于工程保险的特别约定：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623EA3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18.3 </w:t>
      </w:r>
      <w:r>
        <w:rPr>
          <w:rFonts w:ascii="Times New Roman" w:hAnsi="Times New Roman" w:eastAsia="黑体" w:cs="Times New Roman"/>
          <w:color w:val="000000"/>
          <w:sz w:val="24"/>
          <w:szCs w:val="24"/>
        </w:rPr>
        <w:t>其他保险</w:t>
      </w:r>
    </w:p>
    <w:p w14:paraId="0405BFC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关于其他保险的约定：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3BB15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承包人是否应为其施工设备等办理财产保险：</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F641CE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18.7 </w:t>
      </w:r>
      <w:r>
        <w:rPr>
          <w:rFonts w:ascii="Times New Roman" w:hAnsi="Times New Roman" w:eastAsia="黑体" w:cs="Times New Roman"/>
          <w:color w:val="000000"/>
          <w:sz w:val="24"/>
          <w:szCs w:val="24"/>
        </w:rPr>
        <w:t>通知义务</w:t>
      </w:r>
    </w:p>
    <w:p w14:paraId="31F0007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关于变更保险合同时的通知义务的约定：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2A2E2A7">
      <w:pPr>
        <w:pStyle w:val="5"/>
        <w:spacing w:before="120" w:after="120" w:line="360" w:lineRule="auto"/>
        <w:rPr>
          <w:rFonts w:ascii="Times New Roman" w:hAnsi="Times New Roman" w:eastAsia="黑体" w:cs="Times New Roman"/>
          <w:b w:val="0"/>
          <w:color w:val="000000"/>
          <w:sz w:val="24"/>
          <w:szCs w:val="24"/>
        </w:rPr>
      </w:pPr>
      <w:bookmarkStart w:id="193" w:name="__RefHeading___Toc351203651"/>
      <w:bookmarkEnd w:id="193"/>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244FA6E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20.3 </w:t>
      </w:r>
      <w:r>
        <w:rPr>
          <w:rFonts w:ascii="Times New Roman" w:hAnsi="Times New Roman" w:eastAsia="黑体" w:cs="Times New Roman"/>
          <w:color w:val="000000"/>
          <w:sz w:val="24"/>
          <w:szCs w:val="24"/>
        </w:rPr>
        <w:t>争议评审</w:t>
      </w:r>
    </w:p>
    <w:p w14:paraId="43EA4515">
      <w:pPr>
        <w:spacing w:line="360" w:lineRule="auto"/>
        <w:ind w:left="149" w:firstLine="36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合同当事人是否同意将工程争议提交争议评审小组决定：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248EF2">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20.3.1 </w:t>
      </w:r>
      <w:r>
        <w:rPr>
          <w:rFonts w:ascii="Times New Roman" w:hAnsi="Times New Roman" w:eastAsia="仿宋_GB2312;仿宋" w:cs="Times New Roman"/>
          <w:color w:val="000000"/>
          <w:sz w:val="24"/>
          <w:szCs w:val="24"/>
        </w:rPr>
        <w:t>争议评审小组的确定</w:t>
      </w:r>
    </w:p>
    <w:p w14:paraId="3360360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争议评审小组成员的确定：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5B79EF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选定争议评审员的期限：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58C861">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争议评审小组成员的报酬承担方式：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A8D442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其他事项的约定：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E545EBE">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34952553">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合同当事人关于本项的约定：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13AAE4">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20.4</w:t>
      </w:r>
      <w:r>
        <w:rPr>
          <w:rFonts w:ascii="Times New Roman" w:hAnsi="Times New Roman" w:eastAsia="黑体" w:cs="Times New Roman"/>
          <w:color w:val="000000"/>
          <w:sz w:val="24"/>
          <w:szCs w:val="24"/>
        </w:rPr>
        <w:t>仲裁或诉讼</w:t>
      </w:r>
    </w:p>
    <w:p w14:paraId="4FD6E57E">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因合同及合同有关事项发生的争议，按下列第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546A50B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0E7619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r>
        <w:br w:type="page"/>
      </w:r>
    </w:p>
    <w:p w14:paraId="32476602">
      <w:pPr>
        <w:spacing w:line="360" w:lineRule="auto"/>
        <w:jc w:val="left"/>
        <w:rPr>
          <w:rFonts w:ascii="Times New Roman" w:hAnsi="Times New Roman" w:eastAsia="黑体" w:cs="Times New Roman"/>
          <w:b/>
          <w:color w:val="000000"/>
          <w:sz w:val="24"/>
          <w:szCs w:val="24"/>
        </w:rPr>
      </w:pPr>
      <w:bookmarkStart w:id="194" w:name="__RefHeading___Toc351203652"/>
      <w:bookmarkEnd w:id="194"/>
      <w:r>
        <w:rPr>
          <w:rFonts w:ascii="Times New Roman" w:hAnsi="Times New Roman" w:eastAsia="黑体" w:cs="Times New Roman"/>
          <w:b/>
          <w:color w:val="000000"/>
          <w:sz w:val="24"/>
          <w:szCs w:val="24"/>
        </w:rPr>
        <w:t>附件</w:t>
      </w:r>
    </w:p>
    <w:p w14:paraId="07607A8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协议书附件：</w:t>
      </w:r>
    </w:p>
    <w:p w14:paraId="34E9EB6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：承包人承揽工程项目一览表</w:t>
      </w:r>
    </w:p>
    <w:p w14:paraId="27692F78">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专用合同条款附件：</w:t>
      </w:r>
    </w:p>
    <w:p w14:paraId="62506AB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：发包人供应材料设备一览表</w:t>
      </w:r>
    </w:p>
    <w:p w14:paraId="30CB9D5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：工程质量保修书</w:t>
      </w:r>
    </w:p>
    <w:p w14:paraId="4BE455F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：主要建设工程文件目录</w:t>
      </w:r>
    </w:p>
    <w:p w14:paraId="702AF8C4">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：承包人用于本工程施工的机械设备表</w:t>
      </w:r>
    </w:p>
    <w:p w14:paraId="13D810A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：承包人主要施工管理人员表</w:t>
      </w:r>
    </w:p>
    <w:p w14:paraId="5F912A4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：分包人主要施工管理人员表</w:t>
      </w:r>
    </w:p>
    <w:p w14:paraId="22CCFE7A">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：履约担保格式</w:t>
      </w:r>
    </w:p>
    <w:p w14:paraId="7D8A67C3">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9</w:t>
      </w:r>
      <w:r>
        <w:rPr>
          <w:rFonts w:ascii="Times New Roman" w:hAnsi="Times New Roman" w:eastAsia="仿宋_GB2312;仿宋" w:cs="Times New Roman"/>
          <w:color w:val="000000"/>
          <w:sz w:val="24"/>
          <w:szCs w:val="24"/>
        </w:rPr>
        <w:t>：预付款担保格式</w:t>
      </w:r>
    </w:p>
    <w:p w14:paraId="686EC6E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：支付担保格式</w:t>
      </w:r>
    </w:p>
    <w:p w14:paraId="79413EA4">
      <w:pPr>
        <w:spacing w:line="360" w:lineRule="auto"/>
        <w:jc w:val="left"/>
        <w:rPr>
          <w:rFonts w:ascii="Times New Roman" w:hAnsi="Times New Roman" w:eastAsia="黑体" w:cs="Times New Roman"/>
          <w:color w:val="000000"/>
          <w:sz w:val="24"/>
          <w:szCs w:val="24"/>
        </w:rPr>
        <w:sectPr>
          <w:headerReference r:id="rId16" w:type="first"/>
          <w:footerReference r:id="rId18" w:type="first"/>
          <w:headerReference r:id="rId15" w:type="default"/>
          <w:footerReference r:id="rId17" w:type="default"/>
          <w:pgSz w:w="11906" w:h="16838"/>
          <w:pgMar w:top="1418" w:right="1555" w:bottom="1418" w:left="1531" w:header="851" w:footer="992" w:gutter="0"/>
          <w:pgNumType w:fmt="decimal"/>
          <w:cols w:space="720" w:num="1"/>
          <w:formProt w:val="0"/>
          <w:titlePg/>
          <w:docGrid w:type="lines" w:linePitch="312" w:charSpace="0"/>
        </w:sect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：暂估价一览表</w:t>
      </w:r>
    </w:p>
    <w:p w14:paraId="7635C79D">
      <w:pPr>
        <w:spacing w:before="156" w:after="156" w:line="440" w:lineRule="exact"/>
        <w:jc w:val="left"/>
        <w:rPr>
          <w:rFonts w:ascii="仿宋_GB2312;仿宋" w:hAnsi="仿宋_GB2312;仿宋" w:eastAsia="仿宋_GB2312;仿宋" w:cs="Times New Roman"/>
          <w:color w:val="000000"/>
          <w:sz w:val="24"/>
          <w:szCs w:val="24"/>
        </w:rPr>
      </w:pPr>
      <w:r>
        <w:rPr>
          <w:rFonts w:ascii="仿宋_GB2312;仿宋" w:hAnsi="仿宋_GB2312;仿宋" w:eastAsia="仿宋_GB2312;仿宋" w:cs="Times New Roman"/>
          <w:color w:val="000000"/>
          <w:sz w:val="24"/>
          <w:szCs w:val="24"/>
        </w:rPr>
        <w:t>附件1：</w:t>
      </w:r>
    </w:p>
    <w:p w14:paraId="3CD6EBB5">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承包人承揽工程项目一览表</w:t>
      </w:r>
    </w:p>
    <w:tbl>
      <w:tblPr>
        <w:tblStyle w:val="19"/>
        <w:tblW w:w="14055" w:type="dxa"/>
        <w:tblInd w:w="473" w:type="dxa"/>
        <w:tblLayout w:type="fixed"/>
        <w:tblCellMar>
          <w:top w:w="0" w:type="dxa"/>
          <w:left w:w="28" w:type="dxa"/>
          <w:bottom w:w="0" w:type="dxa"/>
          <w:right w:w="28" w:type="dxa"/>
        </w:tblCellMar>
      </w:tblPr>
      <w:tblGrid>
        <w:gridCol w:w="1229"/>
        <w:gridCol w:w="1774"/>
        <w:gridCol w:w="1364"/>
        <w:gridCol w:w="2320"/>
        <w:gridCol w:w="818"/>
        <w:gridCol w:w="1502"/>
        <w:gridCol w:w="2047"/>
        <w:gridCol w:w="1364"/>
        <w:gridCol w:w="819"/>
        <w:gridCol w:w="818"/>
      </w:tblGrid>
      <w:tr w14:paraId="427DE1D5">
        <w:tblPrEx>
          <w:tblCellMar>
            <w:top w:w="0" w:type="dxa"/>
            <w:left w:w="28" w:type="dxa"/>
            <w:bottom w:w="0" w:type="dxa"/>
            <w:right w:w="28" w:type="dxa"/>
          </w:tblCellMar>
        </w:tblPrEx>
        <w:trPr>
          <w:trHeight w:val="868" w:hRule="atLeast"/>
        </w:trPr>
        <w:tc>
          <w:tcPr>
            <w:tcW w:w="1229" w:type="dxa"/>
            <w:tcBorders>
              <w:top w:val="single" w:color="000000" w:sz="12" w:space="0"/>
              <w:left w:val="single" w:color="000000" w:sz="12" w:space="0"/>
              <w:bottom w:val="double" w:color="000000" w:sz="6" w:space="0"/>
              <w:right w:val="single" w:color="000000" w:sz="6" w:space="0"/>
            </w:tcBorders>
            <w:vAlign w:val="center"/>
          </w:tcPr>
          <w:p w14:paraId="1B7AEA2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单位工程名称</w:t>
            </w:r>
          </w:p>
        </w:tc>
        <w:tc>
          <w:tcPr>
            <w:tcW w:w="1774" w:type="dxa"/>
            <w:tcBorders>
              <w:top w:val="single" w:color="000000" w:sz="12" w:space="0"/>
              <w:left w:val="single" w:color="000000" w:sz="6" w:space="0"/>
              <w:bottom w:val="double" w:color="000000" w:sz="6" w:space="0"/>
              <w:right w:val="single" w:color="000000" w:sz="6" w:space="0"/>
            </w:tcBorders>
            <w:vAlign w:val="center"/>
          </w:tcPr>
          <w:p w14:paraId="10FB360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建设规模</w:t>
            </w:r>
          </w:p>
        </w:tc>
        <w:tc>
          <w:tcPr>
            <w:tcW w:w="1364" w:type="dxa"/>
            <w:tcBorders>
              <w:top w:val="single" w:color="000000" w:sz="12" w:space="0"/>
              <w:left w:val="single" w:color="000000" w:sz="6" w:space="0"/>
              <w:bottom w:val="double" w:color="000000" w:sz="6" w:space="0"/>
              <w:right w:val="single" w:color="000000" w:sz="6" w:space="0"/>
            </w:tcBorders>
            <w:vAlign w:val="center"/>
          </w:tcPr>
          <w:p w14:paraId="0F36FA5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建筑面积(平方米)</w:t>
            </w:r>
          </w:p>
        </w:tc>
        <w:tc>
          <w:tcPr>
            <w:tcW w:w="2320" w:type="dxa"/>
            <w:tcBorders>
              <w:top w:val="single" w:color="000000" w:sz="12" w:space="0"/>
              <w:left w:val="single" w:color="000000" w:sz="6" w:space="0"/>
              <w:bottom w:val="double" w:color="000000" w:sz="6" w:space="0"/>
              <w:right w:val="single" w:color="000000" w:sz="6" w:space="0"/>
            </w:tcBorders>
            <w:vAlign w:val="center"/>
          </w:tcPr>
          <w:p w14:paraId="34A43D4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结构形式</w:t>
            </w:r>
          </w:p>
        </w:tc>
        <w:tc>
          <w:tcPr>
            <w:tcW w:w="818" w:type="dxa"/>
            <w:tcBorders>
              <w:top w:val="single" w:color="000000" w:sz="12" w:space="0"/>
              <w:left w:val="single" w:color="000000" w:sz="6" w:space="0"/>
              <w:bottom w:val="double" w:color="000000" w:sz="6" w:space="0"/>
              <w:right w:val="single" w:color="000000" w:sz="6" w:space="0"/>
            </w:tcBorders>
            <w:vAlign w:val="center"/>
          </w:tcPr>
          <w:p w14:paraId="441A762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层数</w:t>
            </w:r>
          </w:p>
        </w:tc>
        <w:tc>
          <w:tcPr>
            <w:tcW w:w="1502" w:type="dxa"/>
            <w:tcBorders>
              <w:top w:val="single" w:color="000000" w:sz="12" w:space="0"/>
              <w:left w:val="single" w:color="000000" w:sz="6" w:space="0"/>
              <w:bottom w:val="double" w:color="000000" w:sz="6" w:space="0"/>
              <w:right w:val="single" w:color="000000" w:sz="6" w:space="0"/>
            </w:tcBorders>
            <w:vAlign w:val="center"/>
          </w:tcPr>
          <w:p w14:paraId="751AB0A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2047" w:type="dxa"/>
            <w:tcBorders>
              <w:top w:val="single" w:color="000000" w:sz="12" w:space="0"/>
              <w:left w:val="single" w:color="000000" w:sz="6" w:space="0"/>
              <w:bottom w:val="double" w:color="000000" w:sz="6" w:space="0"/>
              <w:right w:val="single" w:color="000000" w:sz="6" w:space="0"/>
            </w:tcBorders>
            <w:vAlign w:val="center"/>
          </w:tcPr>
          <w:p w14:paraId="766FF9A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设备安装内容</w:t>
            </w:r>
          </w:p>
        </w:tc>
        <w:tc>
          <w:tcPr>
            <w:tcW w:w="1364" w:type="dxa"/>
            <w:tcBorders>
              <w:top w:val="single" w:color="000000" w:sz="12" w:space="0"/>
              <w:left w:val="single" w:color="000000" w:sz="6" w:space="0"/>
              <w:bottom w:val="double" w:color="000000" w:sz="6" w:space="0"/>
              <w:right w:val="single" w:color="000000" w:sz="6" w:space="0"/>
            </w:tcBorders>
            <w:vAlign w:val="center"/>
          </w:tcPr>
          <w:p w14:paraId="4E957C8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合同价格（元）</w:t>
            </w:r>
          </w:p>
        </w:tc>
        <w:tc>
          <w:tcPr>
            <w:tcW w:w="819" w:type="dxa"/>
            <w:tcBorders>
              <w:top w:val="single" w:color="000000" w:sz="12" w:space="0"/>
              <w:left w:val="single" w:color="000000" w:sz="6" w:space="0"/>
              <w:bottom w:val="double" w:color="000000" w:sz="6" w:space="0"/>
              <w:right w:val="single" w:color="000000" w:sz="6" w:space="0"/>
            </w:tcBorders>
            <w:vAlign w:val="center"/>
          </w:tcPr>
          <w:p w14:paraId="58EC865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开工日期</w:t>
            </w:r>
          </w:p>
        </w:tc>
        <w:tc>
          <w:tcPr>
            <w:tcW w:w="818" w:type="dxa"/>
            <w:tcBorders>
              <w:top w:val="single" w:color="000000" w:sz="12" w:space="0"/>
              <w:left w:val="single" w:color="000000" w:sz="6" w:space="0"/>
              <w:bottom w:val="double" w:color="000000" w:sz="6" w:space="0"/>
              <w:right w:val="single" w:color="000000" w:sz="12" w:space="0"/>
            </w:tcBorders>
            <w:vAlign w:val="center"/>
          </w:tcPr>
          <w:p w14:paraId="0361326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竣工日期</w:t>
            </w:r>
          </w:p>
        </w:tc>
      </w:tr>
      <w:tr w14:paraId="53EF1F7C">
        <w:tblPrEx>
          <w:tblCellMar>
            <w:top w:w="0" w:type="dxa"/>
            <w:left w:w="28" w:type="dxa"/>
            <w:bottom w:w="0" w:type="dxa"/>
            <w:right w:w="28" w:type="dxa"/>
          </w:tblCellMar>
        </w:tblPrEx>
        <w:trPr>
          <w:trHeight w:val="584" w:hRule="atLeast"/>
        </w:trPr>
        <w:tc>
          <w:tcPr>
            <w:tcW w:w="1229" w:type="dxa"/>
            <w:tcBorders>
              <w:top w:val="double" w:color="000000" w:sz="6" w:space="0"/>
              <w:left w:val="single" w:color="000000" w:sz="12" w:space="0"/>
              <w:bottom w:val="single" w:color="000000" w:sz="6" w:space="0"/>
              <w:right w:val="single" w:color="000000" w:sz="6" w:space="0"/>
            </w:tcBorders>
            <w:vAlign w:val="center"/>
          </w:tcPr>
          <w:p w14:paraId="55FE14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double" w:color="000000" w:sz="6" w:space="0"/>
              <w:left w:val="single" w:color="000000" w:sz="6" w:space="0"/>
              <w:bottom w:val="single" w:color="000000" w:sz="6" w:space="0"/>
              <w:right w:val="single" w:color="000000" w:sz="6" w:space="0"/>
            </w:tcBorders>
            <w:vAlign w:val="center"/>
          </w:tcPr>
          <w:p w14:paraId="5E6DB7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32DB7A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double" w:color="000000" w:sz="6" w:space="0"/>
              <w:left w:val="single" w:color="000000" w:sz="6" w:space="0"/>
              <w:bottom w:val="single" w:color="000000" w:sz="6" w:space="0"/>
              <w:right w:val="single" w:color="000000" w:sz="6" w:space="0"/>
            </w:tcBorders>
            <w:vAlign w:val="center"/>
          </w:tcPr>
          <w:p w14:paraId="49073BF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6" w:space="0"/>
            </w:tcBorders>
            <w:vAlign w:val="center"/>
          </w:tcPr>
          <w:p w14:paraId="2758814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double" w:color="000000" w:sz="6" w:space="0"/>
              <w:left w:val="single" w:color="000000" w:sz="6" w:space="0"/>
              <w:bottom w:val="single" w:color="000000" w:sz="6" w:space="0"/>
              <w:right w:val="single" w:color="000000" w:sz="6" w:space="0"/>
            </w:tcBorders>
            <w:vAlign w:val="center"/>
          </w:tcPr>
          <w:p w14:paraId="3CC3771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double" w:color="000000" w:sz="6" w:space="0"/>
              <w:left w:val="single" w:color="000000" w:sz="6" w:space="0"/>
              <w:bottom w:val="single" w:color="000000" w:sz="6" w:space="0"/>
              <w:right w:val="single" w:color="000000" w:sz="6" w:space="0"/>
            </w:tcBorders>
            <w:vAlign w:val="center"/>
          </w:tcPr>
          <w:p w14:paraId="7BD0595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015EF8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double" w:color="000000" w:sz="6" w:space="0"/>
              <w:left w:val="single" w:color="000000" w:sz="6" w:space="0"/>
              <w:bottom w:val="single" w:color="000000" w:sz="6" w:space="0"/>
              <w:right w:val="single" w:color="000000" w:sz="6" w:space="0"/>
            </w:tcBorders>
            <w:vAlign w:val="center"/>
          </w:tcPr>
          <w:p w14:paraId="6004DD4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12" w:space="0"/>
            </w:tcBorders>
            <w:vAlign w:val="center"/>
          </w:tcPr>
          <w:p w14:paraId="47724B7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4E111F0">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3BD45C9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82205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2786E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C399A8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39B148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3BD275C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34E56D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7D210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5F4DBF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32E5DB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3CA01F1">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832FA4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E2A7E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4E994A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3B8750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11FB37F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49E98D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780E15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6B663D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44032FB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5CDCF62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3AAAE06">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6D991A2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05129B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54B5B13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49589D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24F6224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2F5119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09AD75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267038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3292C9B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5F3A317E">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3E90C67">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02B786F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57B9F6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D2155C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3295E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0CC222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A9FB98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4933E9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59011D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41C6A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1A1FEE3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66DF372">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3A898AD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62606F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4E8171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517AD7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07A8719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0586A1A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115DD7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73920F6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030D125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6CB0A0C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C875AEA">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9FC7A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2FC517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4921158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437C8CE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43F76E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6C593A1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0E9B7F9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E6488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3790EE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6E2B15F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449D156">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446D277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7517B3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EDBC8D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E370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6BDD0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5430C1D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80F077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1127DEA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BB8B2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0E49434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EE3BD59">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1162F85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492ED89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77793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7DAC07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81442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726102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B368C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395B0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71D836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D37620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0D85E73">
        <w:tblPrEx>
          <w:tblCellMar>
            <w:top w:w="0" w:type="dxa"/>
            <w:left w:w="28" w:type="dxa"/>
            <w:bottom w:w="0" w:type="dxa"/>
            <w:right w:w="28" w:type="dxa"/>
          </w:tblCellMar>
        </w:tblPrEx>
        <w:trPr>
          <w:trHeight w:val="584" w:hRule="atLeast"/>
        </w:trPr>
        <w:tc>
          <w:tcPr>
            <w:tcW w:w="1229" w:type="dxa"/>
            <w:tcBorders>
              <w:top w:val="single" w:color="000000" w:sz="6" w:space="0"/>
              <w:left w:val="single" w:color="000000" w:sz="12" w:space="0"/>
              <w:bottom w:val="single" w:color="000000" w:sz="12" w:space="0"/>
              <w:right w:val="single" w:color="000000" w:sz="6" w:space="0"/>
            </w:tcBorders>
            <w:vAlign w:val="center"/>
          </w:tcPr>
          <w:p w14:paraId="1A382F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12" w:space="0"/>
              <w:right w:val="single" w:color="000000" w:sz="6" w:space="0"/>
            </w:tcBorders>
            <w:vAlign w:val="center"/>
          </w:tcPr>
          <w:p w14:paraId="517938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7D3D177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12" w:space="0"/>
              <w:right w:val="single" w:color="000000" w:sz="6" w:space="0"/>
            </w:tcBorders>
            <w:vAlign w:val="center"/>
          </w:tcPr>
          <w:p w14:paraId="225BEFA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6" w:space="0"/>
            </w:tcBorders>
            <w:vAlign w:val="center"/>
          </w:tcPr>
          <w:p w14:paraId="2F8F85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12" w:space="0"/>
              <w:right w:val="single" w:color="000000" w:sz="6" w:space="0"/>
            </w:tcBorders>
            <w:vAlign w:val="center"/>
          </w:tcPr>
          <w:p w14:paraId="321918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12" w:space="0"/>
              <w:right w:val="single" w:color="000000" w:sz="6" w:space="0"/>
            </w:tcBorders>
            <w:vAlign w:val="center"/>
          </w:tcPr>
          <w:p w14:paraId="6A86E77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1E2D3B4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12" w:space="0"/>
              <w:right w:val="single" w:color="000000" w:sz="6" w:space="0"/>
            </w:tcBorders>
            <w:vAlign w:val="center"/>
          </w:tcPr>
          <w:p w14:paraId="53566E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12" w:space="0"/>
            </w:tcBorders>
            <w:vAlign w:val="center"/>
          </w:tcPr>
          <w:p w14:paraId="0618BA9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018E76DE">
      <w:pPr>
        <w:sectPr>
          <w:headerReference r:id="rId20" w:type="first"/>
          <w:footerReference r:id="rId22" w:type="first"/>
          <w:headerReference r:id="rId19" w:type="default"/>
          <w:footerReference r:id="rId21" w:type="default"/>
          <w:pgSz w:w="16838" w:h="11906" w:orient="landscape"/>
          <w:pgMar w:top="1554" w:right="1418" w:bottom="1531" w:left="1418" w:header="851" w:footer="992" w:gutter="0"/>
          <w:pgNumType w:fmt="decimal"/>
          <w:cols w:space="720" w:num="1"/>
          <w:formProt w:val="0"/>
          <w:titlePg/>
          <w:docGrid w:type="linesAndChars" w:linePitch="312" w:charSpace="0"/>
        </w:sectPr>
      </w:pPr>
    </w:p>
    <w:p w14:paraId="74E5E47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w:t>
      </w:r>
    </w:p>
    <w:p w14:paraId="5F8524B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发包人供应材料设备一览表</w:t>
      </w:r>
    </w:p>
    <w:tbl>
      <w:tblPr>
        <w:tblStyle w:val="19"/>
        <w:tblW w:w="10702" w:type="dxa"/>
        <w:jc w:val="center"/>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4C10221F">
        <w:tblPrEx>
          <w:tblCellMar>
            <w:top w:w="0" w:type="dxa"/>
            <w:left w:w="28" w:type="dxa"/>
            <w:bottom w:w="0" w:type="dxa"/>
            <w:right w:w="28" w:type="dxa"/>
          </w:tblCellMar>
        </w:tblPrEx>
        <w:trPr>
          <w:jc w:val="center"/>
        </w:trPr>
        <w:tc>
          <w:tcPr>
            <w:tcW w:w="851" w:type="dxa"/>
            <w:tcBorders>
              <w:top w:val="single" w:color="000000" w:sz="12" w:space="0"/>
              <w:left w:val="single" w:color="000000" w:sz="12" w:space="0"/>
              <w:bottom w:val="double" w:color="000000" w:sz="6" w:space="0"/>
              <w:right w:val="single" w:color="000000" w:sz="6" w:space="0"/>
            </w:tcBorders>
            <w:vAlign w:val="center"/>
          </w:tcPr>
          <w:p w14:paraId="7468FFF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276" w:type="dxa"/>
            <w:tcBorders>
              <w:top w:val="single" w:color="000000" w:sz="12" w:space="0"/>
              <w:left w:val="single" w:color="000000" w:sz="6" w:space="0"/>
              <w:bottom w:val="double" w:color="000000" w:sz="6" w:space="0"/>
              <w:right w:val="single" w:color="000000" w:sz="6" w:space="0"/>
            </w:tcBorders>
            <w:vAlign w:val="center"/>
          </w:tcPr>
          <w:p w14:paraId="6D1FDC1C">
            <w:pPr>
              <w:pStyle w:val="8"/>
              <w:keepNext/>
              <w:spacing w:before="0" w:after="0" w:line="440" w:lineRule="exact"/>
              <w:ind w:left="63" w:right="63" w:firstLine="0"/>
              <w:rPr>
                <w:rFonts w:eastAsia="仿宋_GB2312;仿宋"/>
                <w:color w:val="000000"/>
                <w:kern w:val="2"/>
                <w:sz w:val="22"/>
                <w:szCs w:val="24"/>
                <w:lang w:val="en-US" w:eastAsia="zh-CN"/>
              </w:rPr>
            </w:pP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材料、</w:t>
            </w:r>
          </w:p>
          <w:p w14:paraId="5BCD9215">
            <w:pPr>
              <w:pStyle w:val="8"/>
              <w:keepNext/>
              <w:spacing w:before="0" w:after="0" w:line="440" w:lineRule="exact"/>
              <w:ind w:left="0" w:right="63" w:firstLine="0"/>
              <w:jc w:val="both"/>
              <w:rPr>
                <w:rFonts w:eastAsia="仿宋_GB2312;仿宋"/>
                <w:color w:val="000000"/>
                <w:kern w:val="2"/>
                <w:sz w:val="22"/>
                <w:szCs w:val="24"/>
                <w:lang w:val="en-US" w:eastAsia="zh-CN"/>
              </w:rPr>
            </w:pPr>
            <w:r>
              <w:rPr>
                <w:rFonts w:eastAsia="仿宋_GB2312;仿宋"/>
                <w:color w:val="000000"/>
                <w:kern w:val="2"/>
                <w:sz w:val="22"/>
                <w:szCs w:val="24"/>
                <w:lang w:val="en-US" w:eastAsia="zh-CN"/>
              </w:rPr>
              <w:t>设备品种</w:t>
            </w:r>
          </w:p>
        </w:tc>
        <w:tc>
          <w:tcPr>
            <w:tcW w:w="1418" w:type="dxa"/>
            <w:tcBorders>
              <w:top w:val="single" w:color="000000" w:sz="12" w:space="0"/>
              <w:left w:val="single" w:color="000000" w:sz="6" w:space="0"/>
              <w:bottom w:val="double" w:color="000000" w:sz="6" w:space="0"/>
              <w:right w:val="single" w:color="000000" w:sz="6" w:space="0"/>
            </w:tcBorders>
            <w:vAlign w:val="center"/>
          </w:tcPr>
          <w:p w14:paraId="0E4153A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940" w:type="dxa"/>
            <w:tcBorders>
              <w:top w:val="single" w:color="000000" w:sz="12" w:space="0"/>
              <w:left w:val="single" w:color="000000" w:sz="6" w:space="0"/>
              <w:bottom w:val="double" w:color="000000" w:sz="6" w:space="0"/>
              <w:right w:val="single" w:color="000000" w:sz="6" w:space="0"/>
            </w:tcBorders>
            <w:vAlign w:val="center"/>
          </w:tcPr>
          <w:p w14:paraId="5B9316D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851" w:type="dxa"/>
            <w:tcBorders>
              <w:top w:val="single" w:color="000000" w:sz="12" w:space="0"/>
              <w:left w:val="single" w:color="000000" w:sz="6" w:space="0"/>
              <w:bottom w:val="double" w:color="000000" w:sz="6" w:space="0"/>
              <w:right w:val="single" w:color="000000" w:sz="6" w:space="0"/>
            </w:tcBorders>
            <w:vAlign w:val="center"/>
          </w:tcPr>
          <w:p w14:paraId="695C109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044" w:type="dxa"/>
            <w:tcBorders>
              <w:top w:val="single" w:color="000000" w:sz="12" w:space="0"/>
              <w:left w:val="single" w:color="000000" w:sz="6" w:space="0"/>
              <w:bottom w:val="double" w:color="000000" w:sz="6" w:space="0"/>
              <w:right w:val="single" w:color="000000" w:sz="6" w:space="0"/>
            </w:tcBorders>
            <w:vAlign w:val="center"/>
          </w:tcPr>
          <w:p w14:paraId="4E52B96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992" w:type="dxa"/>
            <w:tcBorders>
              <w:top w:val="single" w:color="000000" w:sz="12" w:space="0"/>
              <w:left w:val="single" w:color="000000" w:sz="6" w:space="0"/>
              <w:bottom w:val="double" w:color="000000" w:sz="6" w:space="0"/>
              <w:right w:val="single" w:color="000000" w:sz="6" w:space="0"/>
            </w:tcBorders>
            <w:vAlign w:val="center"/>
          </w:tcPr>
          <w:p w14:paraId="056B0C6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质量等级</w:t>
            </w:r>
          </w:p>
        </w:tc>
        <w:tc>
          <w:tcPr>
            <w:tcW w:w="851" w:type="dxa"/>
            <w:tcBorders>
              <w:top w:val="single" w:color="000000" w:sz="12" w:space="0"/>
              <w:left w:val="single" w:color="000000" w:sz="6" w:space="0"/>
              <w:bottom w:val="double" w:color="000000" w:sz="6" w:space="0"/>
              <w:right w:val="single" w:color="000000" w:sz="6" w:space="0"/>
            </w:tcBorders>
            <w:vAlign w:val="center"/>
          </w:tcPr>
          <w:p w14:paraId="3C23F73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供应时间</w:t>
            </w:r>
          </w:p>
        </w:tc>
        <w:tc>
          <w:tcPr>
            <w:tcW w:w="1487" w:type="dxa"/>
            <w:tcBorders>
              <w:top w:val="single" w:color="000000" w:sz="12" w:space="0"/>
              <w:left w:val="single" w:color="000000" w:sz="6" w:space="0"/>
              <w:bottom w:val="double" w:color="000000" w:sz="6" w:space="0"/>
              <w:right w:val="single" w:color="000000" w:sz="6" w:space="0"/>
            </w:tcBorders>
            <w:vAlign w:val="center"/>
          </w:tcPr>
          <w:p w14:paraId="2C407C5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送达地点</w:t>
            </w:r>
          </w:p>
        </w:tc>
        <w:tc>
          <w:tcPr>
            <w:tcW w:w="992" w:type="dxa"/>
            <w:tcBorders>
              <w:top w:val="single" w:color="000000" w:sz="12" w:space="0"/>
              <w:left w:val="single" w:color="000000" w:sz="6" w:space="0"/>
              <w:bottom w:val="double" w:color="000000" w:sz="6" w:space="0"/>
              <w:right w:val="single" w:color="000000" w:sz="12" w:space="0"/>
            </w:tcBorders>
            <w:vAlign w:val="center"/>
          </w:tcPr>
          <w:p w14:paraId="442B647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426FACF8">
        <w:tblPrEx>
          <w:tblCellMar>
            <w:top w:w="0" w:type="dxa"/>
            <w:left w:w="28" w:type="dxa"/>
            <w:bottom w:w="0" w:type="dxa"/>
            <w:right w:w="28" w:type="dxa"/>
          </w:tblCellMar>
        </w:tblPrEx>
        <w:trPr>
          <w:trHeight w:val="567" w:hRule="atLeast"/>
          <w:jc w:val="center"/>
        </w:trPr>
        <w:tc>
          <w:tcPr>
            <w:tcW w:w="851" w:type="dxa"/>
            <w:tcBorders>
              <w:top w:val="double" w:color="000000" w:sz="6" w:space="0"/>
              <w:left w:val="single" w:color="000000" w:sz="12" w:space="0"/>
              <w:bottom w:val="single" w:color="000000" w:sz="6" w:space="0"/>
              <w:right w:val="single" w:color="000000" w:sz="6" w:space="0"/>
            </w:tcBorders>
            <w:vAlign w:val="center"/>
          </w:tcPr>
          <w:p w14:paraId="502369A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1B3CAD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2E57824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double" w:color="000000" w:sz="6" w:space="0"/>
              <w:left w:val="single" w:color="000000" w:sz="6" w:space="0"/>
              <w:bottom w:val="single" w:color="000000" w:sz="6" w:space="0"/>
              <w:right w:val="single" w:color="000000" w:sz="6" w:space="0"/>
            </w:tcBorders>
            <w:vAlign w:val="center"/>
          </w:tcPr>
          <w:p w14:paraId="2301D04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2C3EB2B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double" w:color="000000" w:sz="6" w:space="0"/>
              <w:left w:val="single" w:color="000000" w:sz="6" w:space="0"/>
              <w:bottom w:val="single" w:color="000000" w:sz="6" w:space="0"/>
              <w:right w:val="single" w:color="000000" w:sz="6" w:space="0"/>
            </w:tcBorders>
            <w:vAlign w:val="center"/>
          </w:tcPr>
          <w:p w14:paraId="119F784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6" w:space="0"/>
            </w:tcBorders>
            <w:vAlign w:val="center"/>
          </w:tcPr>
          <w:p w14:paraId="4019C83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602710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double" w:color="000000" w:sz="6" w:space="0"/>
              <w:left w:val="single" w:color="000000" w:sz="6" w:space="0"/>
              <w:bottom w:val="single" w:color="000000" w:sz="6" w:space="0"/>
              <w:right w:val="single" w:color="000000" w:sz="6" w:space="0"/>
            </w:tcBorders>
            <w:vAlign w:val="center"/>
          </w:tcPr>
          <w:p w14:paraId="59B6B6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12" w:space="0"/>
            </w:tcBorders>
            <w:vAlign w:val="center"/>
          </w:tcPr>
          <w:p w14:paraId="7BD29C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E6B925">
        <w:tblPrEx>
          <w:tblCellMar>
            <w:top w:w="0" w:type="dxa"/>
            <w:left w:w="28" w:type="dxa"/>
            <w:bottom w:w="0" w:type="dxa"/>
            <w:right w:w="28" w:type="dxa"/>
          </w:tblCellMar>
        </w:tblPrEx>
        <w:trPr>
          <w:trHeight w:val="567" w:hRule="atLeast"/>
          <w:jc w:val="center"/>
        </w:trPr>
        <w:tc>
          <w:tcPr>
            <w:tcW w:w="851" w:type="dxa"/>
            <w:tcBorders>
              <w:left w:val="single" w:color="000000" w:sz="12" w:space="0"/>
              <w:bottom w:val="single" w:color="000000" w:sz="6" w:space="0"/>
              <w:right w:val="single" w:color="000000" w:sz="6" w:space="0"/>
            </w:tcBorders>
            <w:vAlign w:val="center"/>
          </w:tcPr>
          <w:p w14:paraId="5E79EC4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47EC6B6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1007E45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left w:val="single" w:color="000000" w:sz="6" w:space="0"/>
              <w:bottom w:val="single" w:color="000000" w:sz="6" w:space="0"/>
              <w:right w:val="single" w:color="000000" w:sz="6" w:space="0"/>
            </w:tcBorders>
            <w:vAlign w:val="center"/>
          </w:tcPr>
          <w:p w14:paraId="66387BB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4BCF355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left w:val="single" w:color="000000" w:sz="6" w:space="0"/>
              <w:bottom w:val="single" w:color="000000" w:sz="6" w:space="0"/>
              <w:right w:val="single" w:color="000000" w:sz="6" w:space="0"/>
            </w:tcBorders>
            <w:vAlign w:val="center"/>
          </w:tcPr>
          <w:p w14:paraId="30EF722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6" w:space="0"/>
            </w:tcBorders>
            <w:vAlign w:val="center"/>
          </w:tcPr>
          <w:p w14:paraId="078D3CA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272F749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left w:val="single" w:color="000000" w:sz="6" w:space="0"/>
              <w:bottom w:val="single" w:color="000000" w:sz="6" w:space="0"/>
              <w:right w:val="single" w:color="000000" w:sz="6" w:space="0"/>
            </w:tcBorders>
            <w:vAlign w:val="center"/>
          </w:tcPr>
          <w:p w14:paraId="27B2A4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12" w:space="0"/>
            </w:tcBorders>
            <w:vAlign w:val="center"/>
          </w:tcPr>
          <w:p w14:paraId="710FFC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BC603B9">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D92B12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826D62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A68842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50E56A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8F7B9A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4A4B1A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4799A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73035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BBC8A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2F69C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54CC6E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C9B023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8911B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78AB8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0B9B3D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3D161D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3FF6C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2CC738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E9D9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F6D490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0CABFD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B9128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1482706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EB68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CBA522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20A79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14F96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984D5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198BB5E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69421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A26B39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101D64C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4E299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31CDA4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5EF6E7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11E275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04FE668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1B50E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C57D0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077E97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71E72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B84DCB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E34A53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F86594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F7955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C29D3C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C83923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2F7A1C7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E1F7FB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6B0274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5BA110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3CF153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144FE3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DF3927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187E32">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674EC4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275FD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C60825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48463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8E35DD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368A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0B7C06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9370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10F14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6ECBE8D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89E67A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B8C3E3F">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537226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7BF59BC">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DD0EAE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80B71B9">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A933B9A">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64DA88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3770C59">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02ED811">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7CE94F">
            <w:pPr>
              <w:snapToGrid w:val="0"/>
              <w:jc w:val="center"/>
              <w:rPr>
                <w:rFonts w:eastAsia="仿宋_GB2312;仿宋"/>
                <w:color w:val="000000"/>
                <w:sz w:val="24"/>
                <w:szCs w:val="24"/>
              </w:rPr>
            </w:pPr>
          </w:p>
        </w:tc>
      </w:tr>
      <w:tr w14:paraId="639BA7E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1D44F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8C5A70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18FD3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90918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978AC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3E9BB3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C13F80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D1261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04D4D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BAB60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7637B3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3FEDBE1">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18FE689">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685E023">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6959A1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41537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E369E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2BA4011C">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C92FE8">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6EB077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6D0DB8">
            <w:pPr>
              <w:snapToGrid w:val="0"/>
              <w:jc w:val="center"/>
              <w:rPr>
                <w:rFonts w:eastAsia="仿宋_GB2312;仿宋"/>
                <w:color w:val="000000"/>
                <w:sz w:val="24"/>
                <w:szCs w:val="24"/>
              </w:rPr>
            </w:pPr>
          </w:p>
        </w:tc>
      </w:tr>
      <w:tr w14:paraId="55ACD68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F72C86D">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9EEF86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07FDC17">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EF39F5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5F553D">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2CC8F27">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D8AA9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4D9D75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C19E855">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2AC653E">
            <w:pPr>
              <w:snapToGrid w:val="0"/>
              <w:jc w:val="center"/>
              <w:rPr>
                <w:rFonts w:eastAsia="仿宋_GB2312;仿宋"/>
                <w:color w:val="000000"/>
                <w:sz w:val="24"/>
                <w:szCs w:val="24"/>
              </w:rPr>
            </w:pPr>
          </w:p>
        </w:tc>
      </w:tr>
      <w:tr w14:paraId="19E77E2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3D87AE8">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005315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6BB4A85">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105446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0BA4DB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04CD5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D64A67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B81FD4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7C3F84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45802B3">
            <w:pPr>
              <w:snapToGrid w:val="0"/>
              <w:jc w:val="center"/>
              <w:rPr>
                <w:rFonts w:eastAsia="仿宋_GB2312;仿宋"/>
                <w:color w:val="000000"/>
                <w:sz w:val="24"/>
                <w:szCs w:val="24"/>
              </w:rPr>
            </w:pPr>
          </w:p>
        </w:tc>
      </w:tr>
      <w:tr w14:paraId="5C4F28F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2471716F">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39F3FD8">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908F82E">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FD8C69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6C181C1">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816F38C">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0DDE5C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EC9FAB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B8598D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6AD6451">
            <w:pPr>
              <w:snapToGrid w:val="0"/>
              <w:jc w:val="center"/>
              <w:rPr>
                <w:rFonts w:eastAsia="仿宋_GB2312;仿宋"/>
                <w:color w:val="000000"/>
                <w:sz w:val="24"/>
                <w:szCs w:val="24"/>
              </w:rPr>
            </w:pPr>
          </w:p>
        </w:tc>
      </w:tr>
      <w:tr w14:paraId="50DF2A2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0D24F4EA">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0F9CD4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B693ABB">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5C4810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F2E8E7F">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CE577D0">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2DE6AC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24F5AA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ABB2F5B">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D4B7952">
            <w:pPr>
              <w:snapToGrid w:val="0"/>
              <w:jc w:val="center"/>
              <w:rPr>
                <w:rFonts w:eastAsia="仿宋_GB2312;仿宋"/>
                <w:color w:val="000000"/>
                <w:sz w:val="24"/>
                <w:szCs w:val="24"/>
              </w:rPr>
            </w:pPr>
          </w:p>
        </w:tc>
      </w:tr>
      <w:tr w14:paraId="552D5D8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12C887C">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A2D0215">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5BD13B9">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420BA1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6E1272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35152F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6AA7E1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8905AB0">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72C311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1AB5722">
            <w:pPr>
              <w:snapToGrid w:val="0"/>
              <w:jc w:val="center"/>
              <w:rPr>
                <w:rFonts w:eastAsia="仿宋_GB2312;仿宋"/>
                <w:color w:val="000000"/>
                <w:sz w:val="24"/>
                <w:szCs w:val="24"/>
              </w:rPr>
            </w:pPr>
          </w:p>
        </w:tc>
      </w:tr>
      <w:tr w14:paraId="3353827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3B9B6D1">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89D626D">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FA52776">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560C42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3842BF4">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FAE9C2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C82715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10E7596">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025B60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81E1C72">
            <w:pPr>
              <w:snapToGrid w:val="0"/>
              <w:jc w:val="center"/>
              <w:rPr>
                <w:rFonts w:eastAsia="仿宋_GB2312;仿宋"/>
                <w:color w:val="000000"/>
                <w:sz w:val="24"/>
                <w:szCs w:val="24"/>
              </w:rPr>
            </w:pPr>
          </w:p>
        </w:tc>
      </w:tr>
      <w:tr w14:paraId="136AF4F7">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12" w:space="0"/>
              <w:right w:val="single" w:color="000000" w:sz="6" w:space="0"/>
            </w:tcBorders>
            <w:vAlign w:val="center"/>
          </w:tcPr>
          <w:p w14:paraId="1F72771E">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vAlign w:val="center"/>
          </w:tcPr>
          <w:p w14:paraId="2D614804">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2664FF68">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12" w:space="0"/>
              <w:right w:val="single" w:color="000000" w:sz="6" w:space="0"/>
            </w:tcBorders>
            <w:vAlign w:val="center"/>
          </w:tcPr>
          <w:p w14:paraId="55CD40C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59B45587">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12" w:space="0"/>
              <w:right w:val="single" w:color="000000" w:sz="6" w:space="0"/>
            </w:tcBorders>
            <w:vAlign w:val="center"/>
          </w:tcPr>
          <w:p w14:paraId="4DD92018">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6" w:space="0"/>
            </w:tcBorders>
            <w:vAlign w:val="center"/>
          </w:tcPr>
          <w:p w14:paraId="6F7803D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3D2949B1">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12" w:space="0"/>
              <w:right w:val="single" w:color="000000" w:sz="6" w:space="0"/>
            </w:tcBorders>
            <w:vAlign w:val="center"/>
          </w:tcPr>
          <w:p w14:paraId="15285BDF">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12" w:space="0"/>
            </w:tcBorders>
            <w:vAlign w:val="center"/>
          </w:tcPr>
          <w:p w14:paraId="1191D1C9">
            <w:pPr>
              <w:snapToGrid w:val="0"/>
              <w:jc w:val="center"/>
              <w:rPr>
                <w:rFonts w:eastAsia="仿宋_GB2312;仿宋"/>
                <w:color w:val="000000"/>
                <w:sz w:val="24"/>
                <w:szCs w:val="24"/>
              </w:rPr>
            </w:pPr>
          </w:p>
        </w:tc>
      </w:tr>
    </w:tbl>
    <w:p w14:paraId="2A8C5540">
      <w:pPr>
        <w:spacing w:line="440" w:lineRule="exact"/>
        <w:rPr>
          <w:rFonts w:ascii="Times New Roman" w:hAnsi="Times New Roman" w:eastAsia="仿宋_GB2312;仿宋" w:cs="Times New Roman"/>
          <w:color w:val="000000"/>
          <w:sz w:val="24"/>
          <w:szCs w:val="24"/>
        </w:rPr>
      </w:pPr>
    </w:p>
    <w:p w14:paraId="6EC0C306">
      <w:pPr>
        <w:spacing w:line="440" w:lineRule="exact"/>
        <w:rPr>
          <w:rFonts w:ascii="Times New Roman" w:hAnsi="Times New Roman" w:eastAsia="仿宋_GB2312;仿宋" w:cs="Times New Roman"/>
          <w:color w:val="000000"/>
          <w:sz w:val="24"/>
          <w:szCs w:val="24"/>
        </w:rPr>
      </w:pPr>
    </w:p>
    <w:p w14:paraId="5C2927A4">
      <w:pPr>
        <w:spacing w:line="440" w:lineRule="exact"/>
        <w:rPr>
          <w:rFonts w:ascii="Times New Roman" w:hAnsi="Times New Roman" w:eastAsia="仿宋_GB2312;仿宋" w:cs="Times New Roman"/>
          <w:color w:val="000000"/>
          <w:sz w:val="24"/>
          <w:szCs w:val="24"/>
        </w:rPr>
      </w:pPr>
    </w:p>
    <w:p w14:paraId="1C50AB09">
      <w:pPr>
        <w:spacing w:line="440" w:lineRule="exact"/>
        <w:rPr>
          <w:rFonts w:ascii="Times New Roman" w:hAnsi="Times New Roman" w:eastAsia="仿宋_GB2312;仿宋" w:cs="Times New Roman"/>
          <w:color w:val="000000"/>
          <w:sz w:val="24"/>
          <w:szCs w:val="24"/>
        </w:rPr>
      </w:pPr>
    </w:p>
    <w:p w14:paraId="3F998B64">
      <w:pPr>
        <w:spacing w:line="440" w:lineRule="exact"/>
        <w:rPr>
          <w:rFonts w:ascii="Times New Roman" w:hAnsi="Times New Roman" w:eastAsia="仿宋_GB2312;仿宋" w:cs="Times New Roman"/>
          <w:color w:val="000000"/>
          <w:sz w:val="24"/>
          <w:szCs w:val="24"/>
        </w:rPr>
      </w:pPr>
    </w:p>
    <w:p w14:paraId="6FAAEE9E">
      <w:pPr>
        <w:spacing w:line="440" w:lineRule="exact"/>
        <w:rPr>
          <w:rFonts w:ascii="Times New Roman" w:hAnsi="Times New Roman" w:eastAsia="仿宋_GB2312;仿宋" w:cs="Times New Roman"/>
          <w:color w:val="000000"/>
          <w:sz w:val="24"/>
          <w:szCs w:val="24"/>
        </w:rPr>
      </w:pPr>
    </w:p>
    <w:p w14:paraId="028D988F">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9296F5D">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工程质量保修书</w:t>
      </w:r>
    </w:p>
    <w:p w14:paraId="382A6B78">
      <w:pPr>
        <w:spacing w:line="440" w:lineRule="exact"/>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6775798">
      <w:pPr>
        <w:spacing w:line="440" w:lineRule="exac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132B8083">
      <w:pPr>
        <w:spacing w:line="440" w:lineRule="exact"/>
        <w:rPr>
          <w:rFonts w:ascii="Times New Roman" w:hAnsi="Times New Roman" w:eastAsia="仿宋_GB2312;仿宋" w:cs="Times New Roman"/>
          <w:color w:val="000000"/>
          <w:sz w:val="24"/>
          <w:szCs w:val="24"/>
        </w:rPr>
      </w:pPr>
    </w:p>
    <w:p w14:paraId="653E770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发包人和承包人根据《中华人民共和国建筑法》和《建设工程质量管理条例》，经协商一致就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（工程全称）签订工程质量保修书。</w:t>
      </w:r>
    </w:p>
    <w:p w14:paraId="483D2079">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一、工程质量保修范围和内容</w:t>
      </w:r>
    </w:p>
    <w:p w14:paraId="6EA2B3A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承包人在质量保修期内，按照有关法律规定和合同约定，承担工程质量保修责任。</w:t>
      </w:r>
    </w:p>
    <w:p w14:paraId="27D611B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04791F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DAE4E">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仿宋_GB2312;仿宋" w:cs="Times New Roman"/>
          <w:b/>
          <w:color w:val="000000"/>
          <w:sz w:val="24"/>
          <w:szCs w:val="24"/>
        </w:rPr>
        <w:t>　　</w:t>
      </w:r>
      <w:r>
        <w:rPr>
          <w:rFonts w:ascii="Times New Roman" w:hAnsi="Times New Roman" w:eastAsia="黑体" w:cs="Times New Roman"/>
          <w:color w:val="000000"/>
          <w:sz w:val="24"/>
          <w:szCs w:val="24"/>
        </w:rPr>
        <w:t>二、质量保修期</w:t>
      </w:r>
    </w:p>
    <w:p w14:paraId="2668E0E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根据《建设工程质量管理条例》及有关规定，工程的质量保修期如下：</w:t>
      </w:r>
    </w:p>
    <w:p w14:paraId="2F71BF4F">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Times New Roman" w:hAnsi="Times New Roman" w:eastAsia="仿宋_GB2312;仿宋" w:cs="Times New Roman"/>
          <w:color w:val="000000"/>
          <w:sz w:val="24"/>
          <w:szCs w:val="24"/>
        </w:rPr>
        <w:t>．</w:t>
      </w:r>
      <w:r>
        <w:rPr>
          <w:rFonts w:ascii="仿宋_GB2312;仿宋" w:hAnsi="仿宋_GB2312;仿宋" w:eastAsia="仿宋_GB2312;仿宋"/>
          <w:sz w:val="24"/>
          <w:szCs w:val="24"/>
        </w:rPr>
        <w:t>地基基础工程和主体结构工程为设计文件规定的工程合理使用年限；</w:t>
      </w:r>
    </w:p>
    <w:p w14:paraId="2568E23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屋面防水工程、有防水要求的卫生间、房间和外墙面的防渗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1834E336">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装修工程为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0DEC4C8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电气管线、给排水管道、设备安装工程为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65AEC0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5</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供热与供冷系统为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个采暖期、供冷期；</w:t>
      </w:r>
    </w:p>
    <w:p w14:paraId="598D607B">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6</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住宅小区内的给排水设施、道路等配套工程为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1B7649A">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7</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其他项目保修期限约定如下：</w:t>
      </w:r>
    </w:p>
    <w:p w14:paraId="39DFB1F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3D528D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质量保修期自工程竣工验收合格之日起计算。</w:t>
      </w:r>
    </w:p>
    <w:p w14:paraId="62D5D47A">
      <w:pPr>
        <w:numPr>
          <w:ilvl w:val="0"/>
          <w:numId w:val="0"/>
        </w:numPr>
        <w:spacing w:line="360" w:lineRule="auto"/>
        <w:ind w:firstLine="480"/>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三、缺陷责任期</w:t>
      </w:r>
    </w:p>
    <w:p w14:paraId="3A0D0D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工程缺陷责任期为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个月，缺陷责任期自工程通过竣工验收之日起计算。单位工程先于全部工程进行验收，单位工程缺陷责任期自单位工程验收合格之日起算。</w:t>
      </w:r>
    </w:p>
    <w:p w14:paraId="2C69D54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缺陷责任期终止后，发包人应退还剩余的质量保证金。</w:t>
      </w:r>
    </w:p>
    <w:p w14:paraId="51EDA1C0">
      <w:pPr>
        <w:numPr>
          <w:ilvl w:val="0"/>
          <w:numId w:val="0"/>
        </w:numPr>
        <w:spacing w:line="360" w:lineRule="auto"/>
        <w:outlineLvl w:val="0"/>
        <w:rPr>
          <w:rFonts w:ascii="Times New Roman" w:hAnsi="Times New Roman" w:eastAsia="黑体" w:cs="Times New Roman"/>
          <w:color w:val="000000"/>
          <w:sz w:val="24"/>
          <w:szCs w:val="24"/>
        </w:rPr>
      </w:pPr>
      <w:r>
        <w:rPr>
          <w:rFonts w:eastAsia="Times New Roman" w:cs="Times New Roman"/>
          <w:color w:val="000000"/>
          <w:sz w:val="24"/>
          <w:szCs w:val="24"/>
        </w:rPr>
        <w:t xml:space="preserve">    </w:t>
      </w:r>
      <w:r>
        <w:rPr>
          <w:rFonts w:ascii="Times New Roman" w:hAnsi="Times New Roman" w:eastAsia="黑体" w:cs="Times New Roman"/>
          <w:color w:val="000000"/>
          <w:sz w:val="24"/>
          <w:szCs w:val="24"/>
        </w:rPr>
        <w:t>四、质量保修责任</w:t>
      </w:r>
    </w:p>
    <w:p w14:paraId="1781D530">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属于保修范围、内容的项目，承包人应当在接到保修通知之日起</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天内派人保修。承包人不在约定期限内派人保修的，发包人可以委托他人修理。</w:t>
      </w:r>
    </w:p>
    <w:p w14:paraId="5C38F836">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发生紧急事故需抢修的，承包人在接到事故通知后，应当立即到达事故现场抢修。</w:t>
      </w:r>
    </w:p>
    <w:p w14:paraId="7B3F261C">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BB80807">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质量保修完成后，由发包人组织验收。</w:t>
      </w:r>
    </w:p>
    <w:p w14:paraId="0A380284">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五、保修费用</w:t>
      </w:r>
    </w:p>
    <w:p w14:paraId="4737E12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保修费用由造成质量缺陷的责任方承担。</w:t>
      </w:r>
    </w:p>
    <w:p w14:paraId="49304BDD">
      <w:pPr>
        <w:numPr>
          <w:ilvl w:val="0"/>
          <w:numId w:val="0"/>
        </w:numPr>
        <w:spacing w:line="360" w:lineRule="auto"/>
        <w:ind w:firstLine="600"/>
        <w:jc w:val="left"/>
        <w:outlineLvl w:val="0"/>
        <w:rPr>
          <w:rFonts w:ascii="Times New Roman" w:hAnsi="Times New Roman" w:eastAsia="仿宋_GB2312;仿宋" w:cs="Times New Roman"/>
          <w:color w:val="000000"/>
          <w:sz w:val="24"/>
          <w:szCs w:val="24"/>
          <w:u w:val="single"/>
        </w:rPr>
      </w:pPr>
      <w:r>
        <w:rPr>
          <w:rFonts w:ascii="Times New Roman" w:hAnsi="Times New Roman" w:eastAsia="黑体" w:cs="Times New Roman"/>
          <w:b/>
          <w:color w:val="000000"/>
          <w:sz w:val="24"/>
          <w:szCs w:val="24"/>
        </w:rPr>
        <w:t>六</w:t>
      </w:r>
      <w:r>
        <w:rPr>
          <w:rFonts w:ascii="Times New Roman" w:hAnsi="Times New Roman" w:eastAsia="黑体" w:cs="Times New Roman"/>
          <w:color w:val="000000"/>
          <w:sz w:val="24"/>
          <w:szCs w:val="24"/>
        </w:rPr>
        <w:t>、双方约定的其他工程质量保修事项</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p>
    <w:p w14:paraId="448B6E3A">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410301">
      <w:pPr>
        <w:spacing w:line="360" w:lineRule="auto"/>
        <w:ind w:firstLine="456"/>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工程质量保修书由发包人、承包人在工程竣工验收前共同签署，作为施工合同附件，其有效期限至保修期满。</w:t>
      </w:r>
    </w:p>
    <w:p w14:paraId="7702B204">
      <w:pPr>
        <w:spacing w:line="360" w:lineRule="auto"/>
        <w:ind w:firstLine="456"/>
        <w:rPr>
          <w:rFonts w:ascii="Times New Roman" w:hAnsi="Times New Roman" w:eastAsia="仿宋_GB2312;仿宋" w:cs="Times New Roman"/>
          <w:color w:val="000000"/>
          <w:sz w:val="24"/>
          <w:szCs w:val="24"/>
        </w:rPr>
      </w:pPr>
    </w:p>
    <w:p w14:paraId="37C8BDB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E3C7EB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8A2DC72">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76D3CC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0C1F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7B66C4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B7FB99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1AE0FD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639C88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1EA31FD2">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w:t>
      </w:r>
    </w:p>
    <w:p w14:paraId="5C10AD4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主要建设工程文件目录</w:t>
      </w:r>
    </w:p>
    <w:tbl>
      <w:tblPr>
        <w:tblStyle w:val="19"/>
        <w:tblW w:w="9039" w:type="dxa"/>
        <w:jc w:val="center"/>
        <w:tblLayout w:type="fixed"/>
        <w:tblCellMar>
          <w:top w:w="0" w:type="dxa"/>
          <w:left w:w="28" w:type="dxa"/>
          <w:bottom w:w="0" w:type="dxa"/>
          <w:right w:w="28" w:type="dxa"/>
        </w:tblCellMar>
      </w:tblPr>
      <w:tblGrid>
        <w:gridCol w:w="1953"/>
        <w:gridCol w:w="1276"/>
        <w:gridCol w:w="1450"/>
        <w:gridCol w:w="1243"/>
        <w:gridCol w:w="1450"/>
        <w:gridCol w:w="1667"/>
      </w:tblGrid>
      <w:tr w14:paraId="3C206B96">
        <w:tblPrEx>
          <w:tblCellMar>
            <w:top w:w="0" w:type="dxa"/>
            <w:left w:w="28" w:type="dxa"/>
            <w:bottom w:w="0" w:type="dxa"/>
            <w:right w:w="28" w:type="dxa"/>
          </w:tblCellMar>
        </w:tblPrEx>
        <w:trPr>
          <w:jc w:val="center"/>
        </w:trPr>
        <w:tc>
          <w:tcPr>
            <w:tcW w:w="1953" w:type="dxa"/>
            <w:tcBorders>
              <w:top w:val="single" w:color="000000" w:sz="12" w:space="0"/>
              <w:left w:val="single" w:color="000000" w:sz="12" w:space="0"/>
              <w:bottom w:val="double" w:color="000000" w:sz="6" w:space="0"/>
              <w:right w:val="single" w:color="000000" w:sz="6" w:space="0"/>
            </w:tcBorders>
            <w:vAlign w:val="center"/>
          </w:tcPr>
          <w:p w14:paraId="5C96DD1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文件名称</w:t>
            </w:r>
          </w:p>
        </w:tc>
        <w:tc>
          <w:tcPr>
            <w:tcW w:w="1276" w:type="dxa"/>
            <w:tcBorders>
              <w:top w:val="single" w:color="000000" w:sz="12" w:space="0"/>
              <w:left w:val="single" w:color="000000" w:sz="6" w:space="0"/>
              <w:bottom w:val="double" w:color="000000" w:sz="6" w:space="0"/>
              <w:right w:val="single" w:color="000000" w:sz="6" w:space="0"/>
            </w:tcBorders>
            <w:vAlign w:val="center"/>
          </w:tcPr>
          <w:p w14:paraId="7117628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套数</w:t>
            </w:r>
          </w:p>
        </w:tc>
        <w:tc>
          <w:tcPr>
            <w:tcW w:w="1450" w:type="dxa"/>
            <w:tcBorders>
              <w:top w:val="single" w:color="000000" w:sz="12" w:space="0"/>
              <w:left w:val="single" w:color="000000" w:sz="6" w:space="0"/>
              <w:bottom w:val="double" w:color="000000" w:sz="6" w:space="0"/>
              <w:right w:val="single" w:color="000000" w:sz="6" w:space="0"/>
            </w:tcBorders>
            <w:vAlign w:val="center"/>
          </w:tcPr>
          <w:p w14:paraId="0CCAA94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费用（元）</w:t>
            </w:r>
          </w:p>
        </w:tc>
        <w:tc>
          <w:tcPr>
            <w:tcW w:w="1243" w:type="dxa"/>
            <w:tcBorders>
              <w:top w:val="single" w:color="000000" w:sz="12" w:space="0"/>
              <w:left w:val="single" w:color="000000" w:sz="6" w:space="0"/>
              <w:bottom w:val="double" w:color="000000" w:sz="6" w:space="0"/>
              <w:right w:val="single" w:color="000000" w:sz="6" w:space="0"/>
            </w:tcBorders>
            <w:vAlign w:val="center"/>
          </w:tcPr>
          <w:p w14:paraId="51610F5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w:t>
            </w:r>
          </w:p>
        </w:tc>
        <w:tc>
          <w:tcPr>
            <w:tcW w:w="1450" w:type="dxa"/>
            <w:tcBorders>
              <w:top w:val="single" w:color="000000" w:sz="12" w:space="0"/>
              <w:left w:val="single" w:color="000000" w:sz="6" w:space="0"/>
              <w:bottom w:val="double" w:color="000000" w:sz="6" w:space="0"/>
              <w:right w:val="single" w:color="000000" w:sz="6" w:space="0"/>
            </w:tcBorders>
          </w:tcPr>
          <w:p w14:paraId="0D7D5E3D">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移交时间</w:t>
            </w:r>
          </w:p>
        </w:tc>
        <w:tc>
          <w:tcPr>
            <w:tcW w:w="1667" w:type="dxa"/>
            <w:tcBorders>
              <w:top w:val="single" w:color="000000" w:sz="12" w:space="0"/>
              <w:left w:val="single" w:color="000000" w:sz="6" w:space="0"/>
              <w:bottom w:val="double" w:color="000000" w:sz="6" w:space="0"/>
              <w:right w:val="single" w:color="000000" w:sz="12" w:space="0"/>
            </w:tcBorders>
          </w:tcPr>
          <w:p w14:paraId="6CC87B0C">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责任人</w:t>
            </w:r>
          </w:p>
        </w:tc>
      </w:tr>
      <w:tr w14:paraId="781B310C">
        <w:tblPrEx>
          <w:tblCellMar>
            <w:top w:w="0" w:type="dxa"/>
            <w:left w:w="28" w:type="dxa"/>
            <w:bottom w:w="0" w:type="dxa"/>
            <w:right w:w="28" w:type="dxa"/>
          </w:tblCellMar>
        </w:tblPrEx>
        <w:trPr>
          <w:trHeight w:val="567" w:hRule="atLeast"/>
          <w:jc w:val="center"/>
        </w:trPr>
        <w:tc>
          <w:tcPr>
            <w:tcW w:w="1953" w:type="dxa"/>
            <w:tcBorders>
              <w:top w:val="double" w:color="000000" w:sz="6" w:space="0"/>
              <w:left w:val="single" w:color="000000" w:sz="12" w:space="0"/>
              <w:bottom w:val="single" w:color="000000" w:sz="6" w:space="0"/>
              <w:right w:val="single" w:color="000000" w:sz="6" w:space="0"/>
            </w:tcBorders>
            <w:vAlign w:val="center"/>
          </w:tcPr>
          <w:p w14:paraId="1B8C9463">
            <w:pPr>
              <w:pStyle w:val="8"/>
              <w:keepNext/>
              <w:snapToGrid w:val="0"/>
              <w:spacing w:before="0" w:after="0" w:line="440" w:lineRule="exact"/>
              <w:ind w:left="63" w:right="63" w:firstLine="0"/>
              <w:rPr>
                <w:rFonts w:ascii="Times New Roman" w:hAnsi="Times New Roman" w:eastAsia="仿宋_GB2312;仿宋" w:cs="Times New Roman"/>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74C5B9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494339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double" w:color="000000" w:sz="6" w:space="0"/>
              <w:left w:val="single" w:color="000000" w:sz="6" w:space="0"/>
              <w:bottom w:val="single" w:color="000000" w:sz="6" w:space="0"/>
              <w:right w:val="single" w:color="000000" w:sz="6" w:space="0"/>
            </w:tcBorders>
            <w:vAlign w:val="center"/>
          </w:tcPr>
          <w:p w14:paraId="2A0F5A6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36663A3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double" w:color="000000" w:sz="6" w:space="0"/>
              <w:left w:val="single" w:color="000000" w:sz="6" w:space="0"/>
              <w:bottom w:val="single" w:color="000000" w:sz="6" w:space="0"/>
              <w:right w:val="single" w:color="000000" w:sz="12" w:space="0"/>
            </w:tcBorders>
            <w:vAlign w:val="center"/>
          </w:tcPr>
          <w:p w14:paraId="1B3E632A">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CDD476F">
        <w:tblPrEx>
          <w:tblCellMar>
            <w:top w:w="0" w:type="dxa"/>
            <w:left w:w="28" w:type="dxa"/>
            <w:bottom w:w="0" w:type="dxa"/>
            <w:right w:w="28" w:type="dxa"/>
          </w:tblCellMar>
        </w:tblPrEx>
        <w:trPr>
          <w:trHeight w:val="567" w:hRule="atLeast"/>
          <w:jc w:val="center"/>
        </w:trPr>
        <w:tc>
          <w:tcPr>
            <w:tcW w:w="1953" w:type="dxa"/>
            <w:tcBorders>
              <w:left w:val="single" w:color="000000" w:sz="12" w:space="0"/>
              <w:bottom w:val="single" w:color="000000" w:sz="6" w:space="0"/>
              <w:right w:val="single" w:color="000000" w:sz="6" w:space="0"/>
            </w:tcBorders>
            <w:vAlign w:val="center"/>
          </w:tcPr>
          <w:p w14:paraId="0327BB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3E29429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106404A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left w:val="single" w:color="000000" w:sz="6" w:space="0"/>
              <w:bottom w:val="single" w:color="000000" w:sz="6" w:space="0"/>
              <w:right w:val="single" w:color="000000" w:sz="6" w:space="0"/>
            </w:tcBorders>
            <w:vAlign w:val="center"/>
          </w:tcPr>
          <w:p w14:paraId="4EF31C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261CE1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left w:val="single" w:color="000000" w:sz="6" w:space="0"/>
              <w:bottom w:val="single" w:color="000000" w:sz="6" w:space="0"/>
              <w:right w:val="single" w:color="000000" w:sz="12" w:space="0"/>
            </w:tcBorders>
            <w:vAlign w:val="center"/>
          </w:tcPr>
          <w:p w14:paraId="0E8647B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E9C70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F52D2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7DAAE1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DFF2A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9C080C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2B26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874E15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00952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882EC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C1C89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EF7456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6E684F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AB17E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5168218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0C3EB68">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3B1F613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4092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0E488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151061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184922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DEC09A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EFFED89">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C7BF0B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D938F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3D9C1AC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ADFFB8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4B70B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2A7A72C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0892E3E">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2D61070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2EF84D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18F5CA0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3E8EC76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B1C89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3890D0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4A01DBC">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4DEB61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7D252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9702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67ECC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AA7F0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AD2F38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C84DD6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48AD0922">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57ACD5B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6124949">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33388D7">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C9A6761">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58086D5F">
            <w:pPr>
              <w:snapToGrid w:val="0"/>
              <w:rPr>
                <w:rFonts w:eastAsia="仿宋_GB2312;仿宋"/>
                <w:color w:val="000000"/>
                <w:sz w:val="24"/>
                <w:szCs w:val="24"/>
              </w:rPr>
            </w:pPr>
          </w:p>
        </w:tc>
      </w:tr>
      <w:tr w14:paraId="4501791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7D822D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EB2A3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738D4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7A37B5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B8E44D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0454471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9EB03D3">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C367F1C">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0A6E7D9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17CD6A2">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CCDA0F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175E1A7C">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860183E">
            <w:pPr>
              <w:snapToGrid w:val="0"/>
              <w:rPr>
                <w:rFonts w:eastAsia="仿宋_GB2312;仿宋"/>
                <w:color w:val="000000"/>
                <w:sz w:val="24"/>
                <w:szCs w:val="24"/>
              </w:rPr>
            </w:pPr>
          </w:p>
        </w:tc>
      </w:tr>
      <w:tr w14:paraId="395D322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2D2E7180">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2B09001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48660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DACF48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F88588F">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65E09B66">
            <w:pPr>
              <w:snapToGrid w:val="0"/>
              <w:rPr>
                <w:rFonts w:eastAsia="仿宋_GB2312;仿宋"/>
                <w:color w:val="000000"/>
                <w:sz w:val="24"/>
                <w:szCs w:val="24"/>
              </w:rPr>
            </w:pPr>
          </w:p>
        </w:tc>
      </w:tr>
      <w:tr w14:paraId="118AB250">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2878F1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A41425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97B12B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61D5BF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72AB538">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3DC26CD">
            <w:pPr>
              <w:snapToGrid w:val="0"/>
              <w:rPr>
                <w:rFonts w:eastAsia="仿宋_GB2312;仿宋"/>
                <w:color w:val="000000"/>
                <w:sz w:val="24"/>
                <w:szCs w:val="24"/>
              </w:rPr>
            </w:pPr>
          </w:p>
        </w:tc>
      </w:tr>
      <w:tr w14:paraId="24E4DF4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3494458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545C9B7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72E31F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3576247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78F9C02">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4B2B7CE2">
            <w:pPr>
              <w:snapToGrid w:val="0"/>
              <w:rPr>
                <w:rFonts w:eastAsia="仿宋_GB2312;仿宋"/>
                <w:color w:val="000000"/>
                <w:sz w:val="24"/>
                <w:szCs w:val="24"/>
              </w:rPr>
            </w:pPr>
          </w:p>
        </w:tc>
      </w:tr>
      <w:tr w14:paraId="6B1645D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4DBCB04">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5E0683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9E61B6B">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031601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70FE887">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7BE44F65">
            <w:pPr>
              <w:snapToGrid w:val="0"/>
              <w:rPr>
                <w:rFonts w:eastAsia="仿宋_GB2312;仿宋"/>
                <w:color w:val="000000"/>
                <w:sz w:val="24"/>
                <w:szCs w:val="24"/>
              </w:rPr>
            </w:pPr>
          </w:p>
        </w:tc>
      </w:tr>
      <w:tr w14:paraId="2B74518F">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0CF07595">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CBD763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4EFA73E">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90772F3">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6E19B5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12563DB">
            <w:pPr>
              <w:snapToGrid w:val="0"/>
              <w:rPr>
                <w:rFonts w:eastAsia="仿宋_GB2312;仿宋"/>
                <w:color w:val="000000"/>
                <w:sz w:val="24"/>
                <w:szCs w:val="24"/>
              </w:rPr>
            </w:pPr>
          </w:p>
        </w:tc>
      </w:tr>
      <w:tr w14:paraId="416528A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7526758F">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75B6AD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9441C2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4BA7C1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C440A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45BEE2">
            <w:pPr>
              <w:snapToGrid w:val="0"/>
              <w:rPr>
                <w:rFonts w:eastAsia="仿宋_GB2312;仿宋"/>
                <w:color w:val="000000"/>
                <w:sz w:val="24"/>
                <w:szCs w:val="24"/>
              </w:rPr>
            </w:pPr>
          </w:p>
        </w:tc>
      </w:tr>
      <w:tr w14:paraId="3DC75D3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9F1925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1BC6E10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B542FB6">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237F912">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84E3509">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5F2CFB">
            <w:pPr>
              <w:snapToGrid w:val="0"/>
              <w:rPr>
                <w:rFonts w:eastAsia="仿宋_GB2312;仿宋"/>
                <w:color w:val="000000"/>
                <w:sz w:val="24"/>
                <w:szCs w:val="24"/>
              </w:rPr>
            </w:pPr>
          </w:p>
        </w:tc>
      </w:tr>
      <w:tr w14:paraId="6CA80117">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12" w:space="0"/>
              <w:right w:val="single" w:color="000000" w:sz="6" w:space="0"/>
            </w:tcBorders>
          </w:tcPr>
          <w:p w14:paraId="0339F40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tcPr>
          <w:p w14:paraId="2926EDA4">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17DBE88">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12" w:space="0"/>
              <w:right w:val="single" w:color="000000" w:sz="6" w:space="0"/>
            </w:tcBorders>
          </w:tcPr>
          <w:p w14:paraId="66FF6D06">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A2D2ECA">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12" w:space="0"/>
              <w:right w:val="single" w:color="000000" w:sz="12" w:space="0"/>
            </w:tcBorders>
          </w:tcPr>
          <w:p w14:paraId="26F978A3">
            <w:pPr>
              <w:snapToGrid w:val="0"/>
              <w:rPr>
                <w:rFonts w:eastAsia="仿宋_GB2312;仿宋"/>
                <w:color w:val="000000"/>
                <w:sz w:val="24"/>
                <w:szCs w:val="24"/>
              </w:rPr>
            </w:pPr>
          </w:p>
        </w:tc>
      </w:tr>
    </w:tbl>
    <w:p w14:paraId="50DCE6D1">
      <w:pPr>
        <w:spacing w:line="440" w:lineRule="exact"/>
        <w:rPr>
          <w:rFonts w:ascii="Times New Roman" w:hAnsi="Times New Roman" w:eastAsia="仿宋_GB2312;仿宋" w:cs="Times New Roman"/>
          <w:color w:val="000000"/>
          <w:sz w:val="24"/>
          <w:szCs w:val="24"/>
        </w:rPr>
      </w:pPr>
      <w:r>
        <w:br w:type="page"/>
      </w:r>
    </w:p>
    <w:p w14:paraId="28674168">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w:t>
      </w:r>
    </w:p>
    <w:p w14:paraId="31A79A9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承包人用于本工程施工的机械设备表</w:t>
      </w:r>
    </w:p>
    <w:tbl>
      <w:tblPr>
        <w:tblStyle w:val="19"/>
        <w:tblW w:w="9809" w:type="dxa"/>
        <w:jc w:val="center"/>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33DCBF15">
        <w:tblPrEx>
          <w:tblCellMar>
            <w:top w:w="0" w:type="dxa"/>
            <w:left w:w="28" w:type="dxa"/>
            <w:bottom w:w="0" w:type="dxa"/>
            <w:right w:w="28" w:type="dxa"/>
          </w:tblCellMar>
        </w:tblPrEx>
        <w:trPr>
          <w:jc w:val="center"/>
        </w:trPr>
        <w:tc>
          <w:tcPr>
            <w:tcW w:w="1162" w:type="dxa"/>
            <w:tcBorders>
              <w:top w:val="single" w:color="000000" w:sz="12" w:space="0"/>
              <w:left w:val="single" w:color="000000" w:sz="12" w:space="0"/>
              <w:bottom w:val="double" w:color="000000" w:sz="6" w:space="0"/>
              <w:right w:val="single" w:color="000000" w:sz="6" w:space="0"/>
            </w:tcBorders>
            <w:vAlign w:val="center"/>
          </w:tcPr>
          <w:p w14:paraId="2AE2233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418" w:type="dxa"/>
            <w:tcBorders>
              <w:top w:val="single" w:color="000000" w:sz="12" w:space="0"/>
              <w:left w:val="single" w:color="000000" w:sz="6" w:space="0"/>
              <w:bottom w:val="double" w:color="000000" w:sz="6" w:space="0"/>
              <w:right w:val="single" w:color="000000" w:sz="6" w:space="0"/>
            </w:tcBorders>
            <w:vAlign w:val="center"/>
          </w:tcPr>
          <w:p w14:paraId="356DBD0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机械或设备名称</w:t>
            </w:r>
          </w:p>
        </w:tc>
        <w:tc>
          <w:tcPr>
            <w:tcW w:w="850" w:type="dxa"/>
            <w:tcBorders>
              <w:top w:val="single" w:color="000000" w:sz="12" w:space="0"/>
              <w:left w:val="single" w:color="000000" w:sz="6" w:space="0"/>
              <w:bottom w:val="double" w:color="000000" w:sz="6" w:space="0"/>
              <w:right w:val="single" w:color="000000" w:sz="6" w:space="0"/>
            </w:tcBorders>
            <w:vAlign w:val="center"/>
          </w:tcPr>
          <w:p w14:paraId="698C801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1058" w:type="dxa"/>
            <w:tcBorders>
              <w:top w:val="single" w:color="000000" w:sz="12" w:space="0"/>
              <w:left w:val="single" w:color="000000" w:sz="6" w:space="0"/>
              <w:bottom w:val="double" w:color="000000" w:sz="6" w:space="0"/>
              <w:right w:val="single" w:color="000000" w:sz="6" w:space="0"/>
            </w:tcBorders>
            <w:vAlign w:val="center"/>
          </w:tcPr>
          <w:p w14:paraId="0FAE59B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880" w:type="dxa"/>
            <w:tcBorders>
              <w:top w:val="single" w:color="000000" w:sz="12" w:space="0"/>
              <w:left w:val="single" w:color="000000" w:sz="6" w:space="0"/>
              <w:bottom w:val="double" w:color="000000" w:sz="6" w:space="0"/>
              <w:right w:val="single" w:color="000000" w:sz="6" w:space="0"/>
            </w:tcBorders>
            <w:vAlign w:val="center"/>
          </w:tcPr>
          <w:p w14:paraId="44CF08B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产地</w:t>
            </w:r>
          </w:p>
        </w:tc>
        <w:tc>
          <w:tcPr>
            <w:tcW w:w="1020" w:type="dxa"/>
            <w:tcBorders>
              <w:top w:val="single" w:color="000000" w:sz="12" w:space="0"/>
              <w:left w:val="single" w:color="000000" w:sz="6" w:space="0"/>
              <w:bottom w:val="double" w:color="000000" w:sz="6" w:space="0"/>
              <w:right w:val="single" w:color="000000" w:sz="6" w:space="0"/>
            </w:tcBorders>
            <w:vAlign w:val="center"/>
          </w:tcPr>
          <w:p w14:paraId="5A61EF2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制造年份</w:t>
            </w:r>
          </w:p>
        </w:tc>
        <w:tc>
          <w:tcPr>
            <w:tcW w:w="1480" w:type="dxa"/>
            <w:tcBorders>
              <w:top w:val="single" w:color="000000" w:sz="12" w:space="0"/>
              <w:left w:val="single" w:color="000000" w:sz="6" w:space="0"/>
              <w:bottom w:val="double" w:color="000000" w:sz="6" w:space="0"/>
              <w:right w:val="single" w:color="000000" w:sz="6" w:space="0"/>
            </w:tcBorders>
            <w:vAlign w:val="center"/>
          </w:tcPr>
          <w:p w14:paraId="52D092D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额定功率(kW)</w:t>
            </w:r>
          </w:p>
        </w:tc>
        <w:tc>
          <w:tcPr>
            <w:tcW w:w="1020" w:type="dxa"/>
            <w:tcBorders>
              <w:top w:val="single" w:color="000000" w:sz="12" w:space="0"/>
              <w:left w:val="single" w:color="000000" w:sz="6" w:space="0"/>
              <w:bottom w:val="double" w:color="000000" w:sz="6" w:space="0"/>
              <w:right w:val="single" w:color="000000" w:sz="6" w:space="0"/>
            </w:tcBorders>
            <w:vAlign w:val="center"/>
          </w:tcPr>
          <w:p w14:paraId="1295D45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921" w:type="dxa"/>
            <w:tcBorders>
              <w:top w:val="single" w:color="000000" w:sz="12" w:space="0"/>
              <w:left w:val="single" w:color="000000" w:sz="6" w:space="0"/>
              <w:bottom w:val="double" w:color="000000" w:sz="6" w:space="0"/>
              <w:right w:val="single" w:color="000000" w:sz="12" w:space="0"/>
            </w:tcBorders>
            <w:vAlign w:val="center"/>
          </w:tcPr>
          <w:p w14:paraId="7A1E407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3B91C8FD">
        <w:tblPrEx>
          <w:tblCellMar>
            <w:top w:w="0" w:type="dxa"/>
            <w:left w:w="28" w:type="dxa"/>
            <w:bottom w:w="0" w:type="dxa"/>
            <w:right w:w="28" w:type="dxa"/>
          </w:tblCellMar>
        </w:tblPrEx>
        <w:trPr>
          <w:trHeight w:val="567" w:hRule="atLeast"/>
          <w:jc w:val="center"/>
        </w:trPr>
        <w:tc>
          <w:tcPr>
            <w:tcW w:w="1162" w:type="dxa"/>
            <w:tcBorders>
              <w:top w:val="double" w:color="000000" w:sz="6" w:space="0"/>
              <w:left w:val="single" w:color="000000" w:sz="12" w:space="0"/>
              <w:bottom w:val="single" w:color="000000" w:sz="6" w:space="0"/>
              <w:right w:val="single" w:color="000000" w:sz="6" w:space="0"/>
            </w:tcBorders>
            <w:vAlign w:val="center"/>
          </w:tcPr>
          <w:p w14:paraId="43E66B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197FF8C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double" w:color="000000" w:sz="6" w:space="0"/>
              <w:left w:val="single" w:color="000000" w:sz="6" w:space="0"/>
              <w:bottom w:val="single" w:color="000000" w:sz="6" w:space="0"/>
              <w:right w:val="single" w:color="000000" w:sz="6" w:space="0"/>
            </w:tcBorders>
            <w:vAlign w:val="center"/>
          </w:tcPr>
          <w:p w14:paraId="7A2BC4F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double" w:color="000000" w:sz="6" w:space="0"/>
              <w:left w:val="single" w:color="000000" w:sz="6" w:space="0"/>
              <w:bottom w:val="single" w:color="000000" w:sz="6" w:space="0"/>
              <w:right w:val="single" w:color="000000" w:sz="6" w:space="0"/>
            </w:tcBorders>
            <w:vAlign w:val="center"/>
          </w:tcPr>
          <w:p w14:paraId="082F50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double" w:color="000000" w:sz="6" w:space="0"/>
              <w:left w:val="single" w:color="000000" w:sz="6" w:space="0"/>
              <w:bottom w:val="single" w:color="000000" w:sz="6" w:space="0"/>
              <w:right w:val="single" w:color="000000" w:sz="6" w:space="0"/>
            </w:tcBorders>
            <w:vAlign w:val="center"/>
          </w:tcPr>
          <w:p w14:paraId="554DD8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C9107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double" w:color="000000" w:sz="6" w:space="0"/>
              <w:left w:val="single" w:color="000000" w:sz="6" w:space="0"/>
              <w:bottom w:val="single" w:color="000000" w:sz="6" w:space="0"/>
              <w:right w:val="single" w:color="000000" w:sz="6" w:space="0"/>
            </w:tcBorders>
            <w:vAlign w:val="center"/>
          </w:tcPr>
          <w:p w14:paraId="0898D8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F843C3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double" w:color="000000" w:sz="6" w:space="0"/>
              <w:left w:val="single" w:color="000000" w:sz="6" w:space="0"/>
              <w:bottom w:val="single" w:color="000000" w:sz="6" w:space="0"/>
              <w:right w:val="single" w:color="000000" w:sz="12" w:space="0"/>
            </w:tcBorders>
            <w:vAlign w:val="center"/>
          </w:tcPr>
          <w:p w14:paraId="6B3C047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A53CF30">
        <w:tblPrEx>
          <w:tblCellMar>
            <w:top w:w="0" w:type="dxa"/>
            <w:left w:w="28" w:type="dxa"/>
            <w:bottom w:w="0" w:type="dxa"/>
            <w:right w:w="28" w:type="dxa"/>
          </w:tblCellMar>
        </w:tblPrEx>
        <w:trPr>
          <w:trHeight w:val="567" w:hRule="atLeast"/>
          <w:jc w:val="center"/>
        </w:trPr>
        <w:tc>
          <w:tcPr>
            <w:tcW w:w="1162" w:type="dxa"/>
            <w:tcBorders>
              <w:left w:val="single" w:color="000000" w:sz="12" w:space="0"/>
              <w:bottom w:val="single" w:color="000000" w:sz="6" w:space="0"/>
              <w:right w:val="single" w:color="000000" w:sz="6" w:space="0"/>
            </w:tcBorders>
            <w:vAlign w:val="center"/>
          </w:tcPr>
          <w:p w14:paraId="59FE9A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214B0D0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left w:val="single" w:color="000000" w:sz="6" w:space="0"/>
              <w:bottom w:val="single" w:color="000000" w:sz="6" w:space="0"/>
              <w:right w:val="single" w:color="000000" w:sz="6" w:space="0"/>
            </w:tcBorders>
            <w:vAlign w:val="center"/>
          </w:tcPr>
          <w:p w14:paraId="5C40D7D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left w:val="single" w:color="000000" w:sz="6" w:space="0"/>
              <w:bottom w:val="single" w:color="000000" w:sz="6" w:space="0"/>
              <w:right w:val="single" w:color="000000" w:sz="6" w:space="0"/>
            </w:tcBorders>
            <w:vAlign w:val="center"/>
          </w:tcPr>
          <w:p w14:paraId="0514279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left w:val="single" w:color="000000" w:sz="6" w:space="0"/>
              <w:bottom w:val="single" w:color="000000" w:sz="6" w:space="0"/>
              <w:right w:val="single" w:color="000000" w:sz="6" w:space="0"/>
            </w:tcBorders>
            <w:vAlign w:val="center"/>
          </w:tcPr>
          <w:p w14:paraId="62840B0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528C900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left w:val="single" w:color="000000" w:sz="6" w:space="0"/>
              <w:bottom w:val="single" w:color="000000" w:sz="6" w:space="0"/>
              <w:right w:val="single" w:color="000000" w:sz="6" w:space="0"/>
            </w:tcBorders>
            <w:vAlign w:val="center"/>
          </w:tcPr>
          <w:p w14:paraId="4DFF5E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2A1A642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left w:val="single" w:color="000000" w:sz="6" w:space="0"/>
              <w:bottom w:val="single" w:color="000000" w:sz="6" w:space="0"/>
              <w:right w:val="single" w:color="000000" w:sz="12" w:space="0"/>
            </w:tcBorders>
            <w:vAlign w:val="center"/>
          </w:tcPr>
          <w:p w14:paraId="4F1D8C0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5ABBA4C">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A08EC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D2DC9A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F7E26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820DD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7BB6AC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325A83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A6EF6E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725BF5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374EA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2D7B926">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58924E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AFD2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6010AF5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3F15701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C0FCD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6C34F0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EBDE62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16EB4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BBCF67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0990BF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1371E2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FD206C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3D3F604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146E23E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329418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61122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53ABDF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811FCB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10E721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29C90A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4731545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83B3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73E3DB9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64360F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E6FC7B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8BDF9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2CA2AE0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7476F16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004ADEF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26FB61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1937DF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F3090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44DF64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733D61B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313CF01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0E6848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0BF740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F11B50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93F19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F316770">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8B01F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415B26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0492756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2DF833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09DD815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E9868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25FC9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B10DD8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6A47AC6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C1D4E1">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81835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7DE5B3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28DEE4F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89C1DD1">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0483498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6F8B850">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5D7AC72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C87F294">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418F410B">
            <w:pPr>
              <w:snapToGrid w:val="0"/>
              <w:rPr>
                <w:rFonts w:eastAsia="仿宋_GB2312;仿宋"/>
                <w:color w:val="000000"/>
                <w:sz w:val="24"/>
                <w:szCs w:val="24"/>
              </w:rPr>
            </w:pPr>
          </w:p>
        </w:tc>
      </w:tr>
      <w:tr w14:paraId="41181BD3">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745974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850725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E881EB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3D8C58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2E1956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A8241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54EEB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36DA4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D2B5EB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B5E974">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AB841F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F0CF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7F6FC75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068E3D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83C671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B5F7445">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342B343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AB253AD">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0EE65B7">
            <w:pPr>
              <w:snapToGrid w:val="0"/>
              <w:rPr>
                <w:rFonts w:eastAsia="仿宋_GB2312;仿宋"/>
                <w:color w:val="000000"/>
                <w:sz w:val="24"/>
                <w:szCs w:val="24"/>
              </w:rPr>
            </w:pPr>
          </w:p>
        </w:tc>
      </w:tr>
      <w:tr w14:paraId="3056EF5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6BFE977">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48866AF">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5247D27">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5F1A66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3C80847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EF92CB3">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C0F0C9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6FEB9BA">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196644B">
            <w:pPr>
              <w:snapToGrid w:val="0"/>
              <w:rPr>
                <w:rFonts w:eastAsia="仿宋_GB2312;仿宋"/>
                <w:color w:val="000000"/>
                <w:sz w:val="24"/>
                <w:szCs w:val="24"/>
              </w:rPr>
            </w:pPr>
          </w:p>
        </w:tc>
      </w:tr>
      <w:tr w14:paraId="05799D97">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5A13D890">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395C18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2196D2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DC4F62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F32598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07130A2">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7EF101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AAB9D9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3F72D54">
            <w:pPr>
              <w:snapToGrid w:val="0"/>
              <w:rPr>
                <w:rFonts w:eastAsia="仿宋_GB2312;仿宋"/>
                <w:color w:val="000000"/>
                <w:sz w:val="24"/>
                <w:szCs w:val="24"/>
              </w:rPr>
            </w:pPr>
          </w:p>
        </w:tc>
      </w:tr>
      <w:tr w14:paraId="67B18FA2">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A15DDF">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38D967C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D3791F2">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656AEC49">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0C07F3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D69671A">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9509F9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557D11E">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6109B5F">
            <w:pPr>
              <w:snapToGrid w:val="0"/>
              <w:rPr>
                <w:rFonts w:eastAsia="仿宋_GB2312;仿宋"/>
                <w:color w:val="000000"/>
                <w:sz w:val="24"/>
                <w:szCs w:val="24"/>
              </w:rPr>
            </w:pPr>
          </w:p>
        </w:tc>
      </w:tr>
      <w:tr w14:paraId="0861574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331D2A26">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ADB60E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B39B86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E6FD23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6ACAB3A">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4E2D08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4B5EDF7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8CF8B1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842E48F">
            <w:pPr>
              <w:snapToGrid w:val="0"/>
              <w:rPr>
                <w:rFonts w:eastAsia="仿宋_GB2312;仿宋"/>
                <w:color w:val="000000"/>
                <w:sz w:val="24"/>
                <w:szCs w:val="24"/>
              </w:rPr>
            </w:pPr>
          </w:p>
        </w:tc>
      </w:tr>
      <w:tr w14:paraId="7CE5119F">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6427493">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169C85E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0532FE1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35463778">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265F91D">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BE8516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DB227D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3C40E3C">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6AB8F944">
            <w:pPr>
              <w:snapToGrid w:val="0"/>
              <w:rPr>
                <w:rFonts w:eastAsia="仿宋_GB2312;仿宋"/>
                <w:color w:val="000000"/>
                <w:sz w:val="24"/>
                <w:szCs w:val="24"/>
              </w:rPr>
            </w:pPr>
          </w:p>
        </w:tc>
      </w:tr>
      <w:tr w14:paraId="6DDF7259">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B0F5D59">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7B443C22">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BE1104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AB0298B">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533B7D15">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6284E0D">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A3DF28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5DA73846">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CBD6C28">
            <w:pPr>
              <w:snapToGrid w:val="0"/>
              <w:rPr>
                <w:rFonts w:eastAsia="仿宋_GB2312;仿宋"/>
                <w:color w:val="000000"/>
                <w:sz w:val="24"/>
                <w:szCs w:val="24"/>
              </w:rPr>
            </w:pPr>
          </w:p>
        </w:tc>
      </w:tr>
      <w:tr w14:paraId="74EA66F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7ED2E74">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CB94397">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346CC4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2FFE1FA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2FB54EF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C4F8F91">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26C7C76">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B91EC2B">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5448485">
            <w:pPr>
              <w:snapToGrid w:val="0"/>
              <w:rPr>
                <w:rFonts w:eastAsia="仿宋_GB2312;仿宋"/>
                <w:color w:val="000000"/>
                <w:sz w:val="24"/>
                <w:szCs w:val="24"/>
              </w:rPr>
            </w:pPr>
          </w:p>
        </w:tc>
      </w:tr>
      <w:tr w14:paraId="58F0DD0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12" w:space="0"/>
              <w:right w:val="single" w:color="000000" w:sz="6" w:space="0"/>
            </w:tcBorders>
          </w:tcPr>
          <w:p w14:paraId="488079E5">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tcPr>
          <w:p w14:paraId="59613A6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12" w:space="0"/>
              <w:right w:val="single" w:color="000000" w:sz="6" w:space="0"/>
            </w:tcBorders>
          </w:tcPr>
          <w:p w14:paraId="05D31CCF">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12" w:space="0"/>
              <w:right w:val="single" w:color="000000" w:sz="6" w:space="0"/>
            </w:tcBorders>
          </w:tcPr>
          <w:p w14:paraId="00978DA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12" w:space="0"/>
              <w:right w:val="single" w:color="000000" w:sz="6" w:space="0"/>
            </w:tcBorders>
          </w:tcPr>
          <w:p w14:paraId="383DD9B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3BB634EE">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12" w:space="0"/>
              <w:right w:val="single" w:color="000000" w:sz="6" w:space="0"/>
            </w:tcBorders>
          </w:tcPr>
          <w:p w14:paraId="1DB480EC">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6BC8D7D1">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12" w:space="0"/>
              <w:right w:val="single" w:color="000000" w:sz="12" w:space="0"/>
            </w:tcBorders>
          </w:tcPr>
          <w:p w14:paraId="12552E55">
            <w:pPr>
              <w:snapToGrid w:val="0"/>
              <w:rPr>
                <w:rFonts w:eastAsia="仿宋_GB2312;仿宋"/>
                <w:color w:val="000000"/>
                <w:sz w:val="24"/>
                <w:szCs w:val="24"/>
              </w:rPr>
            </w:pPr>
          </w:p>
        </w:tc>
      </w:tr>
    </w:tbl>
    <w:p w14:paraId="0F4D7328">
      <w:pPr>
        <w:spacing w:line="440" w:lineRule="exact"/>
        <w:rPr>
          <w:rFonts w:ascii="Times New Roman" w:hAnsi="Times New Roman" w:eastAsia="仿宋_GB2312;仿宋" w:cs="Times New Roman"/>
          <w:color w:val="000000"/>
          <w:sz w:val="24"/>
          <w:szCs w:val="24"/>
        </w:rPr>
      </w:pPr>
    </w:p>
    <w:p w14:paraId="161F3EF9">
      <w:pPr>
        <w:spacing w:line="440" w:lineRule="exact"/>
        <w:rPr>
          <w:rFonts w:ascii="Times New Roman" w:hAnsi="Times New Roman" w:eastAsia="仿宋_GB2312;仿宋" w:cs="Times New Roman"/>
          <w:color w:val="000000"/>
          <w:sz w:val="24"/>
          <w:szCs w:val="24"/>
        </w:rPr>
      </w:pPr>
    </w:p>
    <w:p w14:paraId="07A24616">
      <w:pPr>
        <w:spacing w:line="440" w:lineRule="exact"/>
        <w:rPr>
          <w:rFonts w:ascii="Times New Roman" w:hAnsi="Times New Roman" w:eastAsia="仿宋_GB2312;仿宋" w:cs="Times New Roman"/>
          <w:color w:val="000000"/>
          <w:sz w:val="24"/>
          <w:szCs w:val="24"/>
        </w:rPr>
      </w:pPr>
    </w:p>
    <w:p w14:paraId="12DECEE4">
      <w:pPr>
        <w:spacing w:line="440" w:lineRule="exact"/>
        <w:rPr>
          <w:rFonts w:ascii="Times New Roman" w:hAnsi="Times New Roman" w:eastAsia="仿宋_GB2312;仿宋" w:cs="Times New Roman"/>
          <w:color w:val="000000"/>
          <w:sz w:val="24"/>
          <w:szCs w:val="24"/>
        </w:rPr>
      </w:pPr>
    </w:p>
    <w:p w14:paraId="4886CF36">
      <w:pPr>
        <w:spacing w:line="440" w:lineRule="exact"/>
        <w:rPr>
          <w:rFonts w:ascii="Times New Roman" w:hAnsi="Times New Roman" w:eastAsia="仿宋_GB2312;仿宋" w:cs="Times New Roman"/>
          <w:color w:val="000000"/>
          <w:sz w:val="24"/>
          <w:szCs w:val="24"/>
        </w:rPr>
      </w:pPr>
    </w:p>
    <w:p w14:paraId="401BEA74">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w:t>
      </w:r>
    </w:p>
    <w:p w14:paraId="1F6123B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承包人主要施工管理人员表</w:t>
      </w:r>
    </w:p>
    <w:tbl>
      <w:tblPr>
        <w:tblStyle w:val="19"/>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505B821C">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BB5660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258EE9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1DE42C91">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496EB5F7">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615CE61D">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2D3CDA9E">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24BF580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13F6E5D5">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662B7B2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E9437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394850A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B6F1BC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4FFB896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B74BB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56DA288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EECBC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FF015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EE8D6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59CE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0AD832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32F969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2378306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262737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F17D0A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E390E0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1B1CFA7">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34B586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27B9C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57757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527834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469F48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451825F">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0952BC3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03B0BB8C">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2445E3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FEFAB1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39DC7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F59A9E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3BB4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746322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3561BE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7CE5AA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A21E3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CFF85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CB2B4E">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02C287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258DA3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058358C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4BD65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657CE3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818D47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40CF24">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FC4B8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C525DC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05BD0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97F47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C49A94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3D16422">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120973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874DC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5C537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D7CCB1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BD5523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930B5A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BB2839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80E38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EBD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4C3FAC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3AED6B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29FABB0">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80E62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3BF344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B96D2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40CAD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2D10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D744E0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C5BCE9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7792AF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DBEA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1212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F892DA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A36C576">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5ECC8E8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E74443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1401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E5227C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9E00E1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469B81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B80D2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4BD1029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028DB5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F8D5A8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55F87F4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16C1B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F4CFE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3A263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4768A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65F5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EE978A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46F1E9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B0739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F196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42177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82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CF1F61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DD5D32E">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6A6F2DA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A24748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77A8C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08A467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37ADDD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4AE85E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107D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5007EE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9C20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6C0B096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3010504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3A415C28">
      <w:pPr>
        <w:spacing w:line="440" w:lineRule="exact"/>
        <w:rPr>
          <w:rFonts w:ascii="Times New Roman" w:hAnsi="Times New Roman" w:eastAsia="黑体" w:cs="Times New Roman"/>
          <w:color w:val="000000"/>
          <w:sz w:val="24"/>
          <w:szCs w:val="24"/>
        </w:rPr>
      </w:pPr>
      <w:r>
        <w:br w:type="page"/>
      </w: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w:t>
      </w:r>
    </w:p>
    <w:p w14:paraId="08F9FA72">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分包人主要施工管理人员表</w:t>
      </w:r>
    </w:p>
    <w:tbl>
      <w:tblPr>
        <w:tblStyle w:val="19"/>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2DB1CB52">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6978E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3473950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407BCD6C">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3C408A74">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4EF8FCE6">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129CBA09">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33ECCA8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35045A9E">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27B50A2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CEB12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1F186D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5791E5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626DEB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6DF6C0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7D782C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4650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7EA226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22E1F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A11ACC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662E179">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662818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9BC850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EAD5D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D2481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13D3EE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C4673C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7937CD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4A33D9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493A82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D9E2E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2CD3E9F">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C78D0D">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2FCAF61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5818B86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4D862D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4C969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7E36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1B968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730EDD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D8CAD31">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645663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92ECA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1AAC5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0D5A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2227151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951E69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A5C8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52E2DF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67CE2F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6CFA8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1E8B131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764D1EF">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02AD853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BE429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E701F1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EF123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2539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EB99B57">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823B89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BC490F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80ADC5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8FEA6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4AC44E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700516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406A12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60DAB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467D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2694F5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5A1334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2DD73A">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39A9D60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656AFD4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85FC2D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72FA89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E06460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CC3E88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D125D7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35B189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3CB3D2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3DAEE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31D2B6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B6D0AB4">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7DBB8AC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56D94C3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EEB819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BE04CE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A9393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80FF74A">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C943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53163AE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D6458A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75B0E43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401D6C2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033E4E5">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C992C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F0A4C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35CCC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C9A78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EE3EFC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8FA451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008626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0251C1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A0858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AE52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61ADCE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674CD00">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1E5DB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BBAA8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3F7992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CE6F9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4C441B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2546DAF">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B4F49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7DC0BD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45AA31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A342E2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1C5810C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1CE39CC8">
      <w:pPr>
        <w:spacing w:line="440" w:lineRule="exact"/>
        <w:rPr>
          <w:rFonts w:ascii="Times New Roman" w:hAnsi="Times New Roman" w:eastAsia="仿宋_GB2312;仿宋" w:cs="Times New Roman"/>
          <w:color w:val="000000"/>
          <w:sz w:val="24"/>
          <w:szCs w:val="24"/>
        </w:rPr>
      </w:pPr>
      <w:r>
        <w:br w:type="page"/>
      </w:r>
    </w:p>
    <w:p w14:paraId="74FC5573">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w:t>
      </w:r>
    </w:p>
    <w:p w14:paraId="541AD7D3">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履约担保</w:t>
      </w:r>
    </w:p>
    <w:p w14:paraId="73122D9B">
      <w:pPr>
        <w:spacing w:line="440" w:lineRule="exac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ascii="Times New Roman" w:hAnsi="Times New Roman" w:eastAsia="仿宋_GB2312;仿宋" w:cs="Times New Roman"/>
          <w:color w:val="000000"/>
          <w:sz w:val="24"/>
          <w:szCs w:val="24"/>
        </w:rPr>
        <w:t>（发包人名称）：</w:t>
      </w:r>
    </w:p>
    <w:p w14:paraId="1AC25182">
      <w:pPr>
        <w:spacing w:line="440" w:lineRule="exact"/>
        <w:rPr>
          <w:rFonts w:ascii="Times New Roman" w:hAnsi="Times New Roman" w:eastAsia="仿宋_GB2312;仿宋" w:cs="Times New Roman"/>
          <w:color w:val="000000"/>
          <w:sz w:val="24"/>
          <w:szCs w:val="24"/>
        </w:rPr>
      </w:pPr>
    </w:p>
    <w:p w14:paraId="374FFDB7">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（发包人名称，以下简称“发包人”）与</w:t>
      </w:r>
    </w:p>
    <w:p w14:paraId="2B6E66D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（工程名称）施工及有关事项协商一致共同签订《建设工程施工合同》。我方愿意无条件地、不可撤销地就承包人履行与你方签订的合同，向你方提供连带责任担保。</w:t>
      </w:r>
      <w:r>
        <w:rPr>
          <w:rFonts w:ascii="Times New Roman" w:hAnsi="Times New Roman" w:eastAsia="Times New Roman" w:cs="Times New Roman"/>
          <w:color w:val="000000"/>
          <w:sz w:val="24"/>
          <w:szCs w:val="24"/>
        </w:rPr>
        <w:t xml:space="preserve"> </w:t>
      </w:r>
    </w:p>
    <w:p w14:paraId="13B4D980">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CB084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担保有效期自你方与承包人签订的合同生效之日起至你方签发或应签发工程接收证书之日止。</w:t>
      </w:r>
    </w:p>
    <w:p w14:paraId="62FA1DF6">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在本担保有效期内，因承包人违反合同约定的义务给你方造成经济损失时，我方在收到你方以书面形式提出的在担保金额内的赔偿要求后，在</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天内无条件支付。</w:t>
      </w:r>
    </w:p>
    <w:p w14:paraId="40A7DCF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你方和承包人按合同约定变更合同时，我方承担本担保规定的义务不变。</w:t>
      </w:r>
    </w:p>
    <w:p w14:paraId="223F232E">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4DEBCF91">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7EB0041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保</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069CB78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68CD1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65F016ED">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3C156FC">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Times New Roman" w:cs="Times New Roman"/>
          <w:color w:val="000000"/>
          <w:sz w:val="24"/>
          <w:szCs w:val="24"/>
          <w:u w:val="single"/>
        </w:rPr>
        <w:t xml:space="preserve">                                      </w:t>
      </w:r>
    </w:p>
    <w:p w14:paraId="7073FA5F">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2B64FDC1">
      <w:pPr>
        <w:keepNext w:val="0"/>
        <w:keepLines w:val="0"/>
        <w:pageBreakBefore w:val="0"/>
        <w:widowControl w:val="0"/>
        <w:kinsoku/>
        <w:overflowPunct/>
        <w:autoSpaceDE/>
        <w:bidi w:val="0"/>
        <w:snapToGrid/>
        <w:spacing w:line="440" w:lineRule="exact"/>
        <w:jc w:val="left"/>
        <w:textAlignment w:val="auto"/>
        <w:rPr>
          <w:rFonts w:ascii="Times New Roman" w:hAnsi="Times New Roman" w:eastAsia="仿宋_GB2312;仿宋" w:cs="Times New Roman"/>
          <w:color w:val="000000"/>
          <w:sz w:val="24"/>
          <w:szCs w:val="24"/>
          <w:u w:val="single"/>
        </w:rPr>
      </w:pPr>
    </w:p>
    <w:p w14:paraId="16A5E4AB">
      <w:pPr>
        <w:keepNext w:val="0"/>
        <w:keepLines w:val="0"/>
        <w:pageBreakBefore w:val="0"/>
        <w:widowControl w:val="0"/>
        <w:kinsoku/>
        <w:overflowPunct/>
        <w:autoSpaceDE/>
        <w:bidi w:val="0"/>
        <w:snapToGrid/>
        <w:spacing w:line="440" w:lineRule="exact"/>
        <w:ind w:left="1899" w:hanging="1519"/>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p>
    <w:p w14:paraId="12C0A870">
      <w:pPr>
        <w:spacing w:line="360" w:lineRule="auto"/>
        <w:ind w:left="1899" w:hanging="1519"/>
        <w:rPr>
          <w:rFonts w:ascii="Times New Roman" w:hAnsi="Times New Roman" w:eastAsia="仿宋_GB2312;仿宋" w:cs="Times New Roman"/>
          <w:color w:val="000000"/>
          <w:sz w:val="24"/>
          <w:szCs w:val="24"/>
        </w:rPr>
      </w:pPr>
    </w:p>
    <w:p w14:paraId="49F21A0E">
      <w:pPr>
        <w:spacing w:line="360" w:lineRule="auto"/>
        <w:ind w:left="1899" w:hanging="1519"/>
        <w:rPr>
          <w:rFonts w:ascii="Times New Roman" w:hAnsi="Times New Roman" w:eastAsia="仿宋_GB2312;仿宋" w:cs="Times New Roman"/>
          <w:color w:val="000000"/>
          <w:sz w:val="24"/>
          <w:szCs w:val="24"/>
        </w:rPr>
      </w:pPr>
    </w:p>
    <w:p w14:paraId="30B7EB71">
      <w:pPr>
        <w:pStyle w:val="67"/>
        <w:rPr>
          <w:rFonts w:ascii="Times New Roman" w:hAnsi="Times New Roman" w:eastAsia="仿宋_GB2312;仿宋" w:cs="Times New Roman"/>
          <w:color w:val="000000"/>
          <w:sz w:val="24"/>
          <w:szCs w:val="24"/>
        </w:rPr>
      </w:pPr>
    </w:p>
    <w:p w14:paraId="276FB805">
      <w:pPr>
        <w:pStyle w:val="67"/>
        <w:rPr>
          <w:rFonts w:ascii="Times New Roman" w:hAnsi="Times New Roman" w:eastAsia="仿宋_GB2312;仿宋" w:cs="Times New Roman"/>
          <w:color w:val="000000"/>
          <w:sz w:val="24"/>
          <w:szCs w:val="24"/>
        </w:rPr>
      </w:pPr>
    </w:p>
    <w:p w14:paraId="33EDE8AB">
      <w:pPr>
        <w:pStyle w:val="67"/>
        <w:rPr>
          <w:rFonts w:ascii="Times New Roman" w:hAnsi="Times New Roman" w:eastAsia="仿宋_GB2312;仿宋" w:cs="Times New Roman"/>
          <w:color w:val="000000"/>
          <w:sz w:val="24"/>
          <w:szCs w:val="24"/>
        </w:rPr>
      </w:pPr>
    </w:p>
    <w:p w14:paraId="0F367253">
      <w:pPr>
        <w:pStyle w:val="67"/>
        <w:rPr>
          <w:rFonts w:ascii="Times New Roman" w:hAnsi="Times New Roman" w:eastAsia="仿宋_GB2312;仿宋" w:cs="Times New Roman"/>
          <w:color w:val="000000"/>
          <w:sz w:val="24"/>
          <w:szCs w:val="24"/>
        </w:rPr>
      </w:pPr>
    </w:p>
    <w:p w14:paraId="714C9498">
      <w:pPr>
        <w:pStyle w:val="67"/>
        <w:rPr>
          <w:rFonts w:ascii="Times New Roman" w:hAnsi="Times New Roman" w:eastAsia="仿宋_GB2312;仿宋" w:cs="Times New Roman"/>
          <w:color w:val="000000"/>
          <w:sz w:val="24"/>
          <w:szCs w:val="24"/>
        </w:rPr>
      </w:pPr>
    </w:p>
    <w:p w14:paraId="2BD7D320">
      <w:pPr>
        <w:pStyle w:val="67"/>
        <w:rPr>
          <w:rFonts w:ascii="Times New Roman" w:hAnsi="Times New Roman" w:eastAsia="仿宋_GB2312;仿宋" w:cs="Times New Roman"/>
          <w:color w:val="000000"/>
          <w:sz w:val="24"/>
          <w:szCs w:val="24"/>
        </w:rPr>
      </w:pPr>
    </w:p>
    <w:p w14:paraId="1E985264">
      <w:pPr>
        <w:pStyle w:val="67"/>
        <w:rPr>
          <w:rFonts w:ascii="Times New Roman" w:hAnsi="Times New Roman" w:eastAsia="仿宋_GB2312;仿宋" w:cs="Times New Roman"/>
          <w:color w:val="000000"/>
          <w:sz w:val="24"/>
          <w:szCs w:val="24"/>
        </w:rPr>
      </w:pPr>
    </w:p>
    <w:p w14:paraId="5D382E7B">
      <w:pPr>
        <w:pStyle w:val="67"/>
        <w:rPr>
          <w:rFonts w:ascii="Times New Roman" w:hAnsi="Times New Roman" w:eastAsia="仿宋_GB2312;仿宋" w:cs="Times New Roman"/>
          <w:color w:val="000000"/>
          <w:sz w:val="24"/>
          <w:szCs w:val="24"/>
        </w:rPr>
      </w:pPr>
    </w:p>
    <w:p w14:paraId="73193EA5">
      <w:pPr>
        <w:pStyle w:val="67"/>
        <w:rPr>
          <w:rFonts w:ascii="Times New Roman" w:hAnsi="Times New Roman" w:eastAsia="仿宋_GB2312;仿宋" w:cs="Times New Roman"/>
          <w:color w:val="000000"/>
          <w:sz w:val="24"/>
          <w:szCs w:val="24"/>
        </w:rPr>
      </w:pPr>
    </w:p>
    <w:p w14:paraId="362CE951">
      <w:pPr>
        <w:pStyle w:val="67"/>
        <w:rPr>
          <w:rFonts w:ascii="Times New Roman" w:hAnsi="Times New Roman" w:eastAsia="仿宋_GB2312;仿宋" w:cs="Times New Roman"/>
          <w:color w:val="000000"/>
          <w:sz w:val="24"/>
          <w:szCs w:val="24"/>
        </w:rPr>
      </w:pPr>
    </w:p>
    <w:p w14:paraId="640DE993">
      <w:pPr>
        <w:pStyle w:val="67"/>
        <w:rPr>
          <w:rFonts w:ascii="Times New Roman" w:hAnsi="Times New Roman" w:eastAsia="仿宋_GB2312;仿宋" w:cs="Times New Roman"/>
          <w:color w:val="000000"/>
          <w:sz w:val="24"/>
          <w:szCs w:val="24"/>
        </w:rPr>
      </w:pPr>
    </w:p>
    <w:p w14:paraId="3B8C993E">
      <w:pPr>
        <w:keepNext w:val="0"/>
        <w:keepLines w:val="0"/>
        <w:pageBreakBefore w:val="0"/>
        <w:widowControl w:val="0"/>
        <w:kinsoku/>
        <w:overflowPunct/>
        <w:autoSpaceDE/>
        <w:bidi w:val="0"/>
        <w:snapToGrid/>
        <w:spacing w:line="400" w:lineRule="exact"/>
        <w:textAlignment w:val="auto"/>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9 </w:t>
      </w:r>
      <w:r>
        <w:rPr>
          <w:rFonts w:ascii="Times New Roman" w:hAnsi="Times New Roman" w:eastAsia="仿宋_GB2312;仿宋" w:cs="Times New Roman"/>
          <w:color w:val="000000"/>
          <w:sz w:val="24"/>
          <w:szCs w:val="24"/>
        </w:rPr>
        <w:t>：</w:t>
      </w:r>
    </w:p>
    <w:p w14:paraId="16DB6153">
      <w:pPr>
        <w:keepNext w:val="0"/>
        <w:keepLines w:val="0"/>
        <w:pageBreakBefore w:val="0"/>
        <w:widowControl w:val="0"/>
        <w:kinsoku/>
        <w:overflowPunct/>
        <w:autoSpaceDE/>
        <w:bidi w:val="0"/>
        <w:snapToGrid/>
        <w:spacing w:before="156" w:after="156" w:line="400" w:lineRule="exact"/>
        <w:jc w:val="center"/>
        <w:textAlignment w:val="auto"/>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预付款担保</w:t>
      </w:r>
    </w:p>
    <w:p w14:paraId="4E22B76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（发包人名称）：</w:t>
      </w:r>
    </w:p>
    <w:p w14:paraId="0EC91954">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125A9D55">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（承包人名称）（以下称“承包人”）与</w:t>
      </w:r>
    </w:p>
    <w:p w14:paraId="7DD8C361">
      <w:pPr>
        <w:keepNext w:val="0"/>
        <w:keepLines w:val="0"/>
        <w:pageBreakBefore w:val="0"/>
        <w:widowControl w:val="0"/>
        <w:numPr>
          <w:ilvl w:val="0"/>
          <w:numId w:val="0"/>
        </w:numPr>
        <w:kinsoku/>
        <w:overflowPunct/>
        <w:autoSpaceDE/>
        <w:bidi w:val="0"/>
        <w:snapToGrid/>
        <w:spacing w:line="400" w:lineRule="exact"/>
        <w:textAlignment w:val="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w:t>
      </w:r>
    </w:p>
    <w:p w14:paraId="5B496650">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（工程名称）《建设工程施工合同》，承包人按约定的金额向你方提交一份预付款担保，即有权得到你方支付相等金额的预付款。我方愿意就你方提供给承包人的预付款为承包人提供连带责任担保。</w:t>
      </w:r>
    </w:p>
    <w:p w14:paraId="74C458E1">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9F57C3">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担保有效期自预付款支付给承包人起生效，至你方签发的进度款支付证书说明已完全扣清止。</w:t>
      </w:r>
    </w:p>
    <w:p w14:paraId="17A8C40F">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4F9A6E4B">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你方和承包人按合同约定变更合同时，我方承担本保函规定的义务不变。</w:t>
      </w:r>
    </w:p>
    <w:p w14:paraId="38971064">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34E77938">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55A4D93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27A8345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471CA3A7">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274A567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D83B25">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746D017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邮政编码：</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F34922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1B640416">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14E7AD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p>
    <w:p w14:paraId="11320E1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p>
    <w:p w14:paraId="15FF64BC">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26DDB9A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10: </w:t>
      </w:r>
      <w:r>
        <w:rPr>
          <w:rFonts w:eastAsia="黑体" w:cs="Times New Roman"/>
          <w:color w:val="000000"/>
          <w:sz w:val="24"/>
          <w:szCs w:val="24"/>
        </w:rPr>
        <w:t xml:space="preserve"> </w:t>
      </w:r>
    </w:p>
    <w:p w14:paraId="13153CF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支付担保</w:t>
      </w:r>
    </w:p>
    <w:p w14:paraId="63048C4F">
      <w:pPr>
        <w:spacing w:line="440" w:lineRule="exact"/>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w:t>
      </w:r>
    </w:p>
    <w:p w14:paraId="3DA891FE">
      <w:pPr>
        <w:spacing w:line="440" w:lineRule="exact"/>
        <w:jc w:val="left"/>
        <w:rPr>
          <w:rFonts w:ascii="Times New Roman" w:hAnsi="Times New Roman" w:eastAsia="仿宋_GB2312;仿宋" w:cs="Times New Roman"/>
          <w:color w:val="000000"/>
          <w:sz w:val="24"/>
          <w:szCs w:val="24"/>
        </w:rPr>
      </w:pPr>
    </w:p>
    <w:p w14:paraId="121A08F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鉴于你方作为承包人已经与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（发包人名称）（以下称“发包人”）于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日签订了</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（工程名称）《建设工程施工合同》（以下称“主合同”），应发包人的申请，我方愿就发包人履行主合同约定的工程款支付义务以保证的方式向你方提供如下担保：</w:t>
      </w:r>
    </w:p>
    <w:p w14:paraId="1DE6B4CC">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一、保证的范围及保证金额</w:t>
      </w:r>
    </w:p>
    <w:p w14:paraId="40C3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我方的保证范围是主合同约定的工程款。</w:t>
      </w:r>
    </w:p>
    <w:p w14:paraId="3A34AC0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本保函所称主合同约定的工程款是指主合同约定的除工程质量保证金以外的合同价款。</w:t>
      </w:r>
    </w:p>
    <w:p w14:paraId="6D20B9F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我方保证的金额是主合同约定的工程款的</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，数额最高不超过人民币元（大写：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A9E0E55">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二、保证的方式及保证期间</w:t>
      </w:r>
    </w:p>
    <w:p w14:paraId="3DBC34C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我方保证的方式为：连带责任保证。</w:t>
      </w:r>
    </w:p>
    <w:p w14:paraId="4CBC1DFB">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我方保证的期间为：自本合同生效之日起至主合同约定的工程款支付完毕之日后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日内。</w:t>
      </w:r>
    </w:p>
    <w:p w14:paraId="0E32531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你方与发包人协议变更工程款支付日期的，经我方书面同意后，保证期间按照变更后的支付日期做相应调整。</w:t>
      </w:r>
    </w:p>
    <w:p w14:paraId="52357EE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三、承担保证责任的形式</w:t>
      </w:r>
    </w:p>
    <w:p w14:paraId="10FB73E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我方承担保证责任的形式是代为支付。发包人未按主合同约定向你方支付工程款的，由我方在保证金额内代为支付。</w:t>
      </w:r>
    </w:p>
    <w:p w14:paraId="7776DE6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四、代偿的安排</w:t>
      </w:r>
    </w:p>
    <w:p w14:paraId="432E0737">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你方要求我方承担保证责任的，应向我方发出书面索赔通知及发包人未支付主合同约定工程款的证明材料。索赔通知应写明要求索赔的金额，支付款项应到达的账号。</w:t>
      </w:r>
    </w:p>
    <w:p w14:paraId="07EB852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在出现你方与发包人因工程质量发生争议，发包人拒绝向你方支付工程款的情形时，你方要求我方履行保证责任代为支付的，需提供符合相应条件要求的工程质量检测机构出具的质量说明材料。</w:t>
      </w:r>
    </w:p>
    <w:p w14:paraId="7FF6711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我方收到你方的书面索赔通知及相应的证明材料后７天内无条件支付。</w:t>
      </w:r>
    </w:p>
    <w:p w14:paraId="65F063F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五、保证责任的解除</w:t>
      </w:r>
    </w:p>
    <w:p w14:paraId="18F646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在本保函承诺的保证期间内，你方未书面向我方主张保证责任的，自保证期间届满次日起，我方保证责任解除。</w:t>
      </w:r>
    </w:p>
    <w:p w14:paraId="5689BEB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发包人按主合同约定履行了工程款的全部支付义务的，自本保函承诺的保证期间届满次日起，我方保证责任解除。</w:t>
      </w:r>
    </w:p>
    <w:p w14:paraId="15B6072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我方按照本保函向你方履行保证责任所支付金额达到本保函保证金额时，自我方向你方支付（支付款项从我方账户划出）之日起，保证责任即解除。</w:t>
      </w:r>
    </w:p>
    <w:p w14:paraId="6AF4ABE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按照法律法规的规定或出现应解除我方保证责任的其他情形的，我方在本保函项下的保证责任亦解除。</w:t>
      </w:r>
    </w:p>
    <w:p w14:paraId="3AF246B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我方解除保证责任后，你方应自我方保证责任解除之日起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个工作日内，将本保函原件返还我方。</w:t>
      </w:r>
    </w:p>
    <w:p w14:paraId="41BB67FE">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六、免责条款</w:t>
      </w:r>
    </w:p>
    <w:p w14:paraId="6FFB709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因你方违约致使发包人不能履行义务的，我方不承担保证责任。</w:t>
      </w:r>
    </w:p>
    <w:p w14:paraId="7766209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依照法律法规的规定或你方与发包人的另行约定，免除发包人部分或全部义务的，我方亦免除其相应的保证责任。</w:t>
      </w:r>
    </w:p>
    <w:p w14:paraId="529A80F2">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你方与发包人协议变更主合同的，如加重发包人责任致使我方保证责任加重的，需征得我方书面同意，否则我方不再承担因此而加重部分的保证责任，但主合同第</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条〔变更〕约定的变更不受本款限制。</w:t>
      </w:r>
    </w:p>
    <w:p w14:paraId="7885272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因不可抗力造成发包人不能履行义务的，我方不承担保证责任。</w:t>
      </w:r>
    </w:p>
    <w:p w14:paraId="3F6D434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七、争议解决</w:t>
      </w:r>
    </w:p>
    <w:p w14:paraId="18F146E9">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因本保函或本保函相关事项发生的纠纷，可由双方协商解决，协商不成的，按下列第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7E84D27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8940F9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p>
    <w:p w14:paraId="10378B42">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八、保函的生效</w:t>
      </w:r>
    </w:p>
    <w:p w14:paraId="3973A360">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本保函自我方法定代表人（或其授权代理人）签字并加盖公章之日起生效。</w:t>
      </w:r>
    </w:p>
    <w:p w14:paraId="3EAFB208">
      <w:pPr>
        <w:spacing w:line="360" w:lineRule="auto"/>
        <w:ind w:firstLine="480"/>
        <w:jc w:val="left"/>
        <w:rPr>
          <w:rFonts w:ascii="Times New Roman" w:hAnsi="Times New Roman" w:eastAsia="仿宋_GB2312;仿宋" w:cs="Times New Roman"/>
          <w:color w:val="000000"/>
          <w:sz w:val="24"/>
          <w:szCs w:val="24"/>
        </w:rPr>
      </w:pPr>
    </w:p>
    <w:p w14:paraId="1B11B361">
      <w:pPr>
        <w:spacing w:line="360" w:lineRule="auto"/>
        <w:ind w:right="600" w:firstLine="0"/>
        <w:jc w:val="left"/>
        <w:rPr>
          <w:rFonts w:ascii="Times New Roman" w:hAnsi="Times New Roman" w:eastAsia="仿宋_GB2312;仿宋" w:cs="Times New Roman"/>
          <w:color w:val="000000"/>
          <w:sz w:val="24"/>
          <w:szCs w:val="24"/>
        </w:rPr>
      </w:pPr>
    </w:p>
    <w:p w14:paraId="5288DC8C">
      <w:pPr>
        <w:spacing w:line="360" w:lineRule="auto"/>
        <w:ind w:right="600"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（盖章）</w:t>
      </w:r>
    </w:p>
    <w:p w14:paraId="0C927AF7">
      <w:pPr>
        <w:spacing w:line="360" w:lineRule="auto"/>
        <w:ind w:right="1200"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078702D0">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024A08D7">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CD9769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31C50A75">
      <w:pPr>
        <w:spacing w:line="360" w:lineRule="auto"/>
        <w:ind w:right="150" w:firstLine="480"/>
        <w:jc w:val="left"/>
        <w:rPr>
          <w:rFonts w:ascii="Times New Roman" w:hAnsi="Times New Roman" w:eastAsia="仿宋_GB2312;仿宋" w:cs="Times New Roman"/>
          <w:color w:val="000000"/>
          <w:sz w:val="24"/>
          <w:szCs w:val="24"/>
          <w:u w:val="single"/>
        </w:rPr>
      </w:pPr>
    </w:p>
    <w:p w14:paraId="428FFA91">
      <w:pPr>
        <w:spacing w:line="360" w:lineRule="auto"/>
        <w:ind w:right="150" w:firstLine="480"/>
        <w:jc w:val="left"/>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399156E9">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w:t>
      </w:r>
    </w:p>
    <w:p w14:paraId="0ECBE795">
      <w:pPr>
        <w:numPr>
          <w:ilvl w:val="0"/>
          <w:numId w:val="0"/>
        </w:numPr>
        <w:spacing w:before="156" w:after="156" w:line="440" w:lineRule="exact"/>
        <w:jc w:val="center"/>
        <w:outlineLvl w:val="0"/>
        <w:rPr>
          <w:rFonts w:ascii="Times New Roman" w:hAnsi="Times New Roman" w:eastAsia="黑体" w:cs="Times New Roman"/>
          <w:color w:val="000000"/>
          <w:sz w:val="24"/>
          <w:szCs w:val="24"/>
        </w:rPr>
      </w:pPr>
      <w:r>
        <w:rPr>
          <w:rFonts w:eastAsia="黑体" w:cs="Times New Roman"/>
          <w:color w:val="000000"/>
          <w:sz w:val="24"/>
          <w:szCs w:val="24"/>
        </w:rPr>
        <w:t>11-1</w:t>
      </w:r>
      <w:r>
        <w:rPr>
          <w:rFonts w:ascii="Times New Roman" w:hAnsi="Times New Roman" w:eastAsia="黑体" w:cs="Times New Roman"/>
          <w:color w:val="000000"/>
          <w:sz w:val="24"/>
          <w:szCs w:val="24"/>
        </w:rPr>
        <w:t>：材料暂估价表</w:t>
      </w:r>
    </w:p>
    <w:tbl>
      <w:tblPr>
        <w:tblStyle w:val="19"/>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6079840F">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0112EF9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247076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38D49B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7C7961F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02EB170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2976928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4ABEB41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6A399A5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5B7E5A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6C1E7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783925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3ECA1A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001207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DC7C9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215C41A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ADA0356">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551AD8F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266E23E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28BB5F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12F4841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2B4ACA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019BB4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22F9659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58C4E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FC2C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9DE649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0A17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6726A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1FF5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DB8BC7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7174BB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639907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71C67F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9FFF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522471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D7CB7D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84B2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5C5970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F62122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35F738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E7F22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23DAE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968DDC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C7F2D0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2100AF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4E02C5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6D76C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FA9C00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87D02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0C56F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574434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A824C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10DCA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AD9970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65166F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9C6932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3E44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814A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D9BAE7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A0747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312CA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A5E921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346E3C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573964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E646E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A164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3548E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90783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86D58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8CD39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23DDF8">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50AA31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0413C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A60D3D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F79ED5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41A513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4B49D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5A365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48AF9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7ECDC9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60CDE6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388468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F061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86B7DD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206C2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3C94F0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EA83DC">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A165A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DC9019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1EDB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DDC38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A75C2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EFD3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20A49C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0396C8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7FCF3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8DCDDD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03D91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24154D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26240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EF579D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BD870E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9D109C3">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514E9E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21166D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8866F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DCA42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D2EED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A25CC4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F57986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63ABD87">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6946E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9CD48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8E20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BE6C7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D31FA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F6AD3F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F6FC6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2F1F200">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07D22A65">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100598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15B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2BF7AD0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0F4B10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603E52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C183A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4FA057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01833B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F30BB2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328C7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4766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D5E9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E264DF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F27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5C63E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0DF50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F4ADB6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83078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F80514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321EA5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233FD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E32B1A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282B8A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AD4685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87DAF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D7EEE8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D326E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1A369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A48D26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AC3FE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A061B3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7CE90B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692E3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40F2BB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4FAC92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006E65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47B88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D24008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B9AD53">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D6F9AB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DDD76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D049B1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EA1810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BF983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BC3EA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F09240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8BA9B0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F8CA6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2267EF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68B13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74346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CBDCB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B7155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A508B7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8A74FD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208EBD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C390DB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5CDB4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FA33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3C6CF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C9A48C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9BBBF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FEC0701">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FD77F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8AA983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D326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95E0A5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835A66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D792CE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ED4BFB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17396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6FC390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36E4D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2B930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52AE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FDE8A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F16EDD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30819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2F477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DE0C36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3C6417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2E90107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501492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F67516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43373BD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5F99979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52DE132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bl>
    <w:p w14:paraId="7A778598">
      <w:pPr>
        <w:spacing w:before="156" w:after="156" w:line="440" w:lineRule="exact"/>
        <w:rPr>
          <w:rFonts w:ascii="Times New Roman" w:hAnsi="Times New Roman" w:eastAsia="黑体" w:cs="Times New Roman"/>
          <w:color w:val="000000"/>
          <w:sz w:val="24"/>
          <w:szCs w:val="24"/>
        </w:rPr>
      </w:pPr>
    </w:p>
    <w:p w14:paraId="29ED9E8B">
      <w:pPr>
        <w:spacing w:before="156" w:after="156" w:line="440" w:lineRule="exact"/>
        <w:jc w:val="center"/>
        <w:rPr>
          <w:rFonts w:ascii="Times New Roman" w:hAnsi="Times New Roman" w:eastAsia="黑体" w:cs="Times New Roman"/>
          <w:color w:val="000000"/>
          <w:sz w:val="24"/>
          <w:szCs w:val="24"/>
        </w:rPr>
      </w:pPr>
    </w:p>
    <w:p w14:paraId="5CD79007">
      <w:pPr>
        <w:spacing w:before="156" w:after="156" w:line="440" w:lineRule="exact"/>
        <w:jc w:val="center"/>
        <w:rPr>
          <w:rFonts w:ascii="Times New Roman" w:hAnsi="Times New Roman" w:eastAsia="黑体" w:cs="Times New Roman"/>
          <w:color w:val="000000"/>
          <w:sz w:val="24"/>
          <w:szCs w:val="24"/>
        </w:rPr>
      </w:pPr>
    </w:p>
    <w:p w14:paraId="54778E0D">
      <w:pPr>
        <w:spacing w:before="156" w:after="156" w:line="440" w:lineRule="exact"/>
        <w:jc w:val="center"/>
        <w:rPr>
          <w:rFonts w:ascii="Times New Roman" w:hAnsi="Times New Roman" w:eastAsia="黑体" w:cs="Times New Roman"/>
          <w:color w:val="000000"/>
          <w:sz w:val="24"/>
          <w:szCs w:val="24"/>
        </w:rPr>
      </w:pPr>
    </w:p>
    <w:p w14:paraId="4FED1C9D">
      <w:pPr>
        <w:spacing w:before="156" w:after="156" w:line="440" w:lineRule="exact"/>
        <w:jc w:val="center"/>
        <w:rPr>
          <w:rFonts w:ascii="Times New Roman" w:hAnsi="Times New Roman" w:eastAsia="黑体" w:cs="Times New Roman"/>
          <w:color w:val="000000"/>
          <w:sz w:val="24"/>
          <w:szCs w:val="24"/>
        </w:rPr>
      </w:pPr>
    </w:p>
    <w:p w14:paraId="1B9B028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11-2</w:t>
      </w:r>
      <w:r>
        <w:rPr>
          <w:rFonts w:ascii="Times New Roman" w:hAnsi="Times New Roman" w:eastAsia="黑体" w:cs="Times New Roman"/>
          <w:color w:val="000000"/>
          <w:sz w:val="24"/>
          <w:szCs w:val="24"/>
        </w:rPr>
        <w:t>：工程设备暂估价表</w:t>
      </w:r>
    </w:p>
    <w:tbl>
      <w:tblPr>
        <w:tblStyle w:val="19"/>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556A2203">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3A1E51A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5F721A5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54F5274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4270A34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1857B74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45C4A1D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7D94997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257E34D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15FDBB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6184592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07DDDA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4B8B93D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683B6D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365F2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78747A2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70D7D05">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69C603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1AE06EA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5B49039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38BDB52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1FCECB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2BA11CE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6C85E0E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0C5696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B2FB0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E29EE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307B6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BE24A1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79E84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9B8CFD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ACA4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18D0D7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98D5EF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83ECB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703A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0A2D95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E4CF44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45E387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FDC10AD">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4CB5A4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8CBF6E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EB006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EFB79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FA380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C3C651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BE4D68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5028F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9D5B7C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9F87F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F30798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19AF7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C3336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66E60F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C8400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BEAB53B">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8D366F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589399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C5C2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214D4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3442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3AA47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4D7A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A7D046D">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B2582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4FCE04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4593F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6929FE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DAB51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879B7E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D342B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91D750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DD804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2992B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D6369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C197B4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7E1A7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2641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5F33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328901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037BEF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C3E87E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425C9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F4AC43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18B5F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5ED53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BF434E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78EC88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F288A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31003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A859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EFBFD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22DA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C96010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91EDC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B67C07">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19EF67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2C5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DCF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966AA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668B02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99FEF3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19B46E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1653AA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3F7624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49397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843EF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C36BA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CA4D6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CAFA6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E234E0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8B2439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B91ABC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F5989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31D60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F07C29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BE0FCA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97B92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C72F8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5E69C0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3A53E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B63E08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DE33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DE73CB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9468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DFF72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BB929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3BC718">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8BDAA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E165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E0D2C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AB311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7F8D9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57F71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5122E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CA9C9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70A534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08C8A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192BFE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FA07B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6638DC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D03711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6384A7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E56D7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901AEF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FE8E71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36BC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83589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6524E1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6E2FC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F7A32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38056A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09D86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A857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00B1C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D4382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0FF43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DE0C3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D967B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928B02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3FA7B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CBB6B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BC435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BD4617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14271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72228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4F6A68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B3E39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38B355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7EF87A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57C460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246ED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082E3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3AA152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8CD640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805E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B4F40B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E0E87D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B1B75A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C21CA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82F6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590C1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0D316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D346350">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0B9231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3E18BC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41786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231A51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1D633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A0B64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94AFD0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1C273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F612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F6898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00E2B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225D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5281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E2409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ABCC11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DC9F69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540423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7ACC14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38D69A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28DF734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EB2FF3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5B1D994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7DECED9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12D1C58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bl>
    <w:p w14:paraId="5DF003D1">
      <w:pPr>
        <w:spacing w:line="440" w:lineRule="exact"/>
        <w:rPr>
          <w:rFonts w:ascii="Times New Roman" w:hAnsi="Times New Roman" w:eastAsia="仿宋_GB2312;仿宋" w:cs="Times New Roman"/>
          <w:color w:val="000000"/>
          <w:sz w:val="24"/>
          <w:szCs w:val="24"/>
        </w:rPr>
      </w:pPr>
      <w:r>
        <w:br w:type="page"/>
      </w:r>
    </w:p>
    <w:p w14:paraId="6EBEAAE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：专业工程暂估价表</w:t>
      </w:r>
    </w:p>
    <w:tbl>
      <w:tblPr>
        <w:tblStyle w:val="19"/>
        <w:tblW w:w="8817" w:type="dxa"/>
        <w:tblInd w:w="0" w:type="dxa"/>
        <w:tblLayout w:type="fixed"/>
        <w:tblCellMar>
          <w:top w:w="0" w:type="dxa"/>
          <w:left w:w="28" w:type="dxa"/>
          <w:bottom w:w="0" w:type="dxa"/>
          <w:right w:w="28" w:type="dxa"/>
        </w:tblCellMar>
      </w:tblPr>
      <w:tblGrid>
        <w:gridCol w:w="879"/>
        <w:gridCol w:w="1984"/>
        <w:gridCol w:w="4678"/>
        <w:gridCol w:w="1276"/>
      </w:tblGrid>
      <w:tr w14:paraId="1A910548">
        <w:tblPrEx>
          <w:tblCellMar>
            <w:top w:w="0" w:type="dxa"/>
            <w:left w:w="28" w:type="dxa"/>
            <w:bottom w:w="0" w:type="dxa"/>
            <w:right w:w="28" w:type="dxa"/>
          </w:tblCellMar>
        </w:tblPrEx>
        <w:tc>
          <w:tcPr>
            <w:tcW w:w="879" w:type="dxa"/>
            <w:tcBorders>
              <w:top w:val="single" w:color="000000" w:sz="12" w:space="0"/>
              <w:left w:val="single" w:color="000000" w:sz="12" w:space="0"/>
              <w:bottom w:val="double" w:color="000000" w:sz="6" w:space="0"/>
              <w:right w:val="single" w:color="000000" w:sz="6" w:space="0"/>
            </w:tcBorders>
          </w:tcPr>
          <w:p w14:paraId="5AF77D7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4F0B046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专业工程名称</w:t>
            </w:r>
          </w:p>
        </w:tc>
        <w:tc>
          <w:tcPr>
            <w:tcW w:w="4678" w:type="dxa"/>
            <w:tcBorders>
              <w:top w:val="single" w:color="000000" w:sz="12" w:space="0"/>
              <w:left w:val="single" w:color="000000" w:sz="6" w:space="0"/>
              <w:bottom w:val="double" w:color="000000" w:sz="6" w:space="0"/>
              <w:right w:val="single" w:color="000000" w:sz="6" w:space="0"/>
            </w:tcBorders>
          </w:tcPr>
          <w:p w14:paraId="6E9039E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工程内容</w:t>
            </w:r>
          </w:p>
        </w:tc>
        <w:tc>
          <w:tcPr>
            <w:tcW w:w="1276" w:type="dxa"/>
            <w:tcBorders>
              <w:top w:val="single" w:color="000000" w:sz="12" w:space="0"/>
              <w:left w:val="single" w:color="000000" w:sz="6" w:space="0"/>
              <w:bottom w:val="double" w:color="000000" w:sz="6" w:space="0"/>
              <w:right w:val="single" w:color="000000" w:sz="12" w:space="0"/>
            </w:tcBorders>
          </w:tcPr>
          <w:p w14:paraId="009639D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金额</w:t>
            </w:r>
          </w:p>
        </w:tc>
      </w:tr>
      <w:tr w14:paraId="572B9CBB">
        <w:tblPrEx>
          <w:tblCellMar>
            <w:top w:w="0" w:type="dxa"/>
            <w:left w:w="28" w:type="dxa"/>
            <w:bottom w:w="0" w:type="dxa"/>
            <w:right w:w="28" w:type="dxa"/>
          </w:tblCellMar>
        </w:tblPrEx>
        <w:tc>
          <w:tcPr>
            <w:tcW w:w="879" w:type="dxa"/>
            <w:tcBorders>
              <w:top w:val="double" w:color="000000" w:sz="6" w:space="0"/>
              <w:left w:val="single" w:color="000000" w:sz="12" w:space="0"/>
              <w:bottom w:val="single" w:color="000000" w:sz="6" w:space="0"/>
              <w:right w:val="single" w:color="000000" w:sz="6" w:space="0"/>
            </w:tcBorders>
          </w:tcPr>
          <w:p w14:paraId="1A895539">
            <w:pPr>
              <w:pStyle w:val="8"/>
              <w:keepNext/>
              <w:snapToGrid w:val="0"/>
              <w:spacing w:before="0" w:after="0" w:line="440" w:lineRule="exact"/>
              <w:ind w:left="63" w:right="63" w:firstLine="0"/>
              <w:rPr>
                <w:rFonts w:eastAsia="仿宋_GB2312;仿宋"/>
                <w:color w:val="000000"/>
                <w:kern w:val="2"/>
                <w:sz w:val="18"/>
                <w:szCs w:val="18"/>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E8517DC">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double" w:color="000000" w:sz="6" w:space="0"/>
              <w:left w:val="single" w:color="000000" w:sz="6" w:space="0"/>
              <w:bottom w:val="single" w:color="000000" w:sz="6" w:space="0"/>
              <w:right w:val="single" w:color="000000" w:sz="6" w:space="0"/>
            </w:tcBorders>
          </w:tcPr>
          <w:p w14:paraId="6D0F1FB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double" w:color="000000" w:sz="6" w:space="0"/>
              <w:left w:val="single" w:color="000000" w:sz="6" w:space="0"/>
              <w:bottom w:val="single" w:color="000000" w:sz="6" w:space="0"/>
              <w:right w:val="single" w:color="000000" w:sz="12" w:space="0"/>
            </w:tcBorders>
          </w:tcPr>
          <w:p w14:paraId="486393EE">
            <w:pPr>
              <w:pStyle w:val="8"/>
              <w:keepNext/>
              <w:snapToGrid w:val="0"/>
              <w:spacing w:before="0" w:after="0" w:line="440" w:lineRule="exact"/>
              <w:ind w:left="63" w:right="63" w:firstLine="0"/>
              <w:rPr>
                <w:color w:val="000000"/>
                <w:kern w:val="2"/>
                <w:sz w:val="18"/>
                <w:szCs w:val="18"/>
                <w:lang w:val="en-US" w:eastAsia="zh-CN"/>
              </w:rPr>
            </w:pPr>
          </w:p>
        </w:tc>
      </w:tr>
      <w:tr w14:paraId="3B4D7285">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06E9891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F4A37F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0F735508">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D7D6247">
            <w:pPr>
              <w:pStyle w:val="8"/>
              <w:keepNext/>
              <w:snapToGrid w:val="0"/>
              <w:spacing w:before="0" w:after="0" w:line="440" w:lineRule="exact"/>
              <w:ind w:left="63" w:right="63" w:firstLine="0"/>
              <w:rPr>
                <w:color w:val="000000"/>
                <w:kern w:val="2"/>
                <w:sz w:val="18"/>
                <w:szCs w:val="18"/>
                <w:lang w:val="en-US" w:eastAsia="zh-CN"/>
              </w:rPr>
            </w:pPr>
          </w:p>
        </w:tc>
      </w:tr>
      <w:tr w14:paraId="1A56C5AA">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19D1F22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C7DDD13">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7D24DFE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73DB25B">
            <w:pPr>
              <w:pStyle w:val="8"/>
              <w:keepNext/>
              <w:snapToGrid w:val="0"/>
              <w:spacing w:before="0" w:after="0" w:line="440" w:lineRule="exact"/>
              <w:ind w:left="63" w:right="63" w:firstLine="0"/>
              <w:rPr>
                <w:color w:val="000000"/>
                <w:kern w:val="2"/>
                <w:sz w:val="18"/>
                <w:szCs w:val="18"/>
                <w:lang w:val="en-US" w:eastAsia="zh-CN"/>
              </w:rPr>
            </w:pPr>
          </w:p>
        </w:tc>
      </w:tr>
      <w:tr w14:paraId="726C42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13BC21A">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C4CD40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6DDD532">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2881C50">
            <w:pPr>
              <w:pStyle w:val="8"/>
              <w:keepNext/>
              <w:snapToGrid w:val="0"/>
              <w:spacing w:before="0" w:after="0" w:line="440" w:lineRule="exact"/>
              <w:ind w:left="63" w:right="63" w:firstLine="0"/>
              <w:rPr>
                <w:color w:val="000000"/>
                <w:kern w:val="2"/>
                <w:sz w:val="18"/>
                <w:szCs w:val="18"/>
                <w:lang w:val="en-US" w:eastAsia="zh-CN"/>
              </w:rPr>
            </w:pPr>
          </w:p>
        </w:tc>
      </w:tr>
      <w:tr w14:paraId="54D8DDD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0CCD46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85B655">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156C2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7F677C9">
            <w:pPr>
              <w:pStyle w:val="8"/>
              <w:keepNext/>
              <w:snapToGrid w:val="0"/>
              <w:spacing w:before="0" w:after="0" w:line="440" w:lineRule="exact"/>
              <w:ind w:left="63" w:right="63" w:firstLine="0"/>
              <w:rPr>
                <w:color w:val="000000"/>
                <w:kern w:val="2"/>
                <w:sz w:val="18"/>
                <w:szCs w:val="18"/>
                <w:lang w:val="en-US" w:eastAsia="zh-CN"/>
              </w:rPr>
            </w:pPr>
          </w:p>
        </w:tc>
      </w:tr>
      <w:tr w14:paraId="0FBA6F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6227B8C">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BAC7EF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FDBCC4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49C50F3">
            <w:pPr>
              <w:pStyle w:val="8"/>
              <w:keepNext/>
              <w:snapToGrid w:val="0"/>
              <w:spacing w:before="0" w:after="0" w:line="440" w:lineRule="exact"/>
              <w:ind w:left="63" w:right="63" w:firstLine="0"/>
              <w:rPr>
                <w:color w:val="000000"/>
                <w:kern w:val="2"/>
                <w:sz w:val="18"/>
                <w:szCs w:val="18"/>
                <w:lang w:val="en-US" w:eastAsia="zh-CN"/>
              </w:rPr>
            </w:pPr>
          </w:p>
        </w:tc>
      </w:tr>
      <w:tr w14:paraId="2DCF592D">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344A693">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A80FA2">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6E0FE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A800BBB">
            <w:pPr>
              <w:pStyle w:val="8"/>
              <w:keepNext/>
              <w:snapToGrid w:val="0"/>
              <w:spacing w:before="0" w:after="0" w:line="440" w:lineRule="exact"/>
              <w:ind w:left="63" w:right="63" w:firstLine="0"/>
              <w:rPr>
                <w:color w:val="000000"/>
                <w:kern w:val="2"/>
                <w:sz w:val="18"/>
                <w:szCs w:val="18"/>
                <w:lang w:val="en-US" w:eastAsia="zh-CN"/>
              </w:rPr>
            </w:pPr>
          </w:p>
        </w:tc>
      </w:tr>
      <w:tr w14:paraId="3C844A75">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38D957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BA6D7F7">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5B73A1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20CDABD">
            <w:pPr>
              <w:pStyle w:val="8"/>
              <w:keepNext/>
              <w:snapToGrid w:val="0"/>
              <w:spacing w:before="0" w:after="0" w:line="440" w:lineRule="exact"/>
              <w:ind w:left="63" w:right="63" w:firstLine="0"/>
              <w:rPr>
                <w:color w:val="000000"/>
                <w:kern w:val="2"/>
                <w:sz w:val="18"/>
                <w:szCs w:val="18"/>
                <w:lang w:val="en-US" w:eastAsia="zh-CN"/>
              </w:rPr>
            </w:pPr>
          </w:p>
        </w:tc>
      </w:tr>
      <w:tr w14:paraId="609EE75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C261DA6">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0124E87">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9AC1C25">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5C7467D6">
            <w:pPr>
              <w:pStyle w:val="8"/>
              <w:keepNext/>
              <w:snapToGrid w:val="0"/>
              <w:spacing w:before="0" w:after="0" w:line="440" w:lineRule="exact"/>
              <w:ind w:left="63" w:right="63" w:firstLine="0"/>
              <w:rPr>
                <w:color w:val="000000"/>
                <w:kern w:val="2"/>
                <w:sz w:val="18"/>
                <w:szCs w:val="18"/>
                <w:lang w:val="en-US" w:eastAsia="zh-CN"/>
              </w:rPr>
            </w:pPr>
          </w:p>
        </w:tc>
      </w:tr>
      <w:tr w14:paraId="444A3582">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6A834E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F90192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1C2DFB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D831844">
            <w:pPr>
              <w:pStyle w:val="8"/>
              <w:keepNext/>
              <w:snapToGrid w:val="0"/>
              <w:spacing w:before="0" w:after="0" w:line="440" w:lineRule="exact"/>
              <w:ind w:left="63" w:right="63" w:firstLine="0"/>
              <w:rPr>
                <w:color w:val="000000"/>
                <w:kern w:val="2"/>
                <w:sz w:val="18"/>
                <w:szCs w:val="18"/>
                <w:lang w:val="en-US" w:eastAsia="zh-CN"/>
              </w:rPr>
            </w:pPr>
          </w:p>
        </w:tc>
      </w:tr>
      <w:tr w14:paraId="439C2D8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9D37D3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E05D1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1C1A9A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2D252DE">
            <w:pPr>
              <w:pStyle w:val="8"/>
              <w:keepNext/>
              <w:snapToGrid w:val="0"/>
              <w:spacing w:before="0" w:after="0" w:line="440" w:lineRule="exact"/>
              <w:ind w:left="63" w:right="63" w:firstLine="0"/>
              <w:rPr>
                <w:color w:val="000000"/>
                <w:kern w:val="2"/>
                <w:sz w:val="18"/>
                <w:szCs w:val="18"/>
                <w:lang w:val="en-US" w:eastAsia="zh-CN"/>
              </w:rPr>
            </w:pPr>
          </w:p>
        </w:tc>
      </w:tr>
      <w:tr w14:paraId="4867C8F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A2AC80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6F0A5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A3BCBF">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E4ED436">
            <w:pPr>
              <w:pStyle w:val="8"/>
              <w:keepNext/>
              <w:snapToGrid w:val="0"/>
              <w:spacing w:before="0" w:after="0" w:line="440" w:lineRule="exact"/>
              <w:ind w:left="63" w:right="63" w:firstLine="0"/>
              <w:rPr>
                <w:color w:val="000000"/>
                <w:kern w:val="2"/>
                <w:sz w:val="18"/>
                <w:szCs w:val="18"/>
                <w:lang w:val="en-US" w:eastAsia="zh-CN"/>
              </w:rPr>
            </w:pPr>
          </w:p>
        </w:tc>
      </w:tr>
      <w:tr w14:paraId="0168D09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ED2223B">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623E72">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32EE40E">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4A459B3">
            <w:pPr>
              <w:pStyle w:val="8"/>
              <w:keepNext/>
              <w:snapToGrid w:val="0"/>
              <w:spacing w:before="0" w:after="0" w:line="440" w:lineRule="exact"/>
              <w:ind w:left="63" w:right="63" w:firstLine="0"/>
              <w:rPr>
                <w:color w:val="000000"/>
                <w:kern w:val="2"/>
                <w:sz w:val="18"/>
                <w:szCs w:val="18"/>
                <w:lang w:val="en-US" w:eastAsia="zh-CN"/>
              </w:rPr>
            </w:pPr>
          </w:p>
        </w:tc>
      </w:tr>
      <w:tr w14:paraId="7EC587E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974F01B">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B9E2D8">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8DBD65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D08A5E8">
            <w:pPr>
              <w:pStyle w:val="8"/>
              <w:keepNext/>
              <w:snapToGrid w:val="0"/>
              <w:spacing w:before="0" w:after="0" w:line="440" w:lineRule="exact"/>
              <w:ind w:left="63" w:right="63" w:firstLine="0"/>
              <w:rPr>
                <w:color w:val="000000"/>
                <w:kern w:val="2"/>
                <w:sz w:val="18"/>
                <w:szCs w:val="18"/>
                <w:lang w:val="en-US" w:eastAsia="zh-CN"/>
              </w:rPr>
            </w:pPr>
          </w:p>
        </w:tc>
      </w:tr>
      <w:tr w14:paraId="32582B8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663D5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B07BE3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81FF70B">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52F8C6">
            <w:pPr>
              <w:pStyle w:val="8"/>
              <w:keepNext/>
              <w:snapToGrid w:val="0"/>
              <w:spacing w:before="0" w:after="0" w:line="440" w:lineRule="exact"/>
              <w:ind w:left="63" w:right="63" w:firstLine="0"/>
              <w:rPr>
                <w:color w:val="000000"/>
                <w:kern w:val="2"/>
                <w:sz w:val="18"/>
                <w:szCs w:val="18"/>
                <w:lang w:val="en-US" w:eastAsia="zh-CN"/>
              </w:rPr>
            </w:pPr>
          </w:p>
        </w:tc>
      </w:tr>
      <w:tr w14:paraId="3E08EF69">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235F54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38363D">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6C36B6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EA50D14">
            <w:pPr>
              <w:pStyle w:val="8"/>
              <w:keepNext/>
              <w:snapToGrid w:val="0"/>
              <w:spacing w:before="0" w:after="0" w:line="440" w:lineRule="exact"/>
              <w:ind w:left="63" w:right="63" w:firstLine="0"/>
              <w:rPr>
                <w:color w:val="000000"/>
                <w:kern w:val="2"/>
                <w:sz w:val="18"/>
                <w:szCs w:val="18"/>
                <w:lang w:val="en-US" w:eastAsia="zh-CN"/>
              </w:rPr>
            </w:pPr>
          </w:p>
        </w:tc>
      </w:tr>
      <w:tr w14:paraId="13469CE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B2579FC">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38278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A425450">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B1658CC">
            <w:pPr>
              <w:pStyle w:val="8"/>
              <w:keepNext/>
              <w:snapToGrid w:val="0"/>
              <w:spacing w:before="0" w:after="0" w:line="440" w:lineRule="exact"/>
              <w:ind w:left="63" w:right="63" w:firstLine="0"/>
              <w:rPr>
                <w:color w:val="000000"/>
                <w:kern w:val="2"/>
                <w:sz w:val="18"/>
                <w:szCs w:val="18"/>
                <w:lang w:val="en-US" w:eastAsia="zh-CN"/>
              </w:rPr>
            </w:pPr>
          </w:p>
        </w:tc>
      </w:tr>
      <w:tr w14:paraId="4D9504D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B15993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C51353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BCF147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93D687">
            <w:pPr>
              <w:pStyle w:val="8"/>
              <w:keepNext/>
              <w:snapToGrid w:val="0"/>
              <w:spacing w:before="0" w:after="0" w:line="440" w:lineRule="exact"/>
              <w:ind w:left="63" w:right="63" w:firstLine="0"/>
              <w:rPr>
                <w:color w:val="000000"/>
                <w:kern w:val="2"/>
                <w:sz w:val="18"/>
                <w:szCs w:val="18"/>
                <w:lang w:val="en-US" w:eastAsia="zh-CN"/>
              </w:rPr>
            </w:pPr>
          </w:p>
        </w:tc>
      </w:tr>
      <w:tr w14:paraId="5D43F94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E72065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7B53294">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85A69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59CD0D">
            <w:pPr>
              <w:pStyle w:val="8"/>
              <w:keepNext/>
              <w:snapToGrid w:val="0"/>
              <w:spacing w:before="0" w:after="0" w:line="440" w:lineRule="exact"/>
              <w:ind w:left="63" w:right="63" w:firstLine="0"/>
              <w:rPr>
                <w:color w:val="000000"/>
                <w:kern w:val="2"/>
                <w:sz w:val="18"/>
                <w:szCs w:val="18"/>
                <w:lang w:val="en-US" w:eastAsia="zh-CN"/>
              </w:rPr>
            </w:pPr>
          </w:p>
        </w:tc>
      </w:tr>
      <w:tr w14:paraId="5CC52A14">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285CE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1343B61">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129435D">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4F13510">
            <w:pPr>
              <w:pStyle w:val="8"/>
              <w:keepNext/>
              <w:snapToGrid w:val="0"/>
              <w:spacing w:before="0" w:after="0" w:line="440" w:lineRule="exact"/>
              <w:ind w:left="63" w:right="63" w:firstLine="0"/>
              <w:rPr>
                <w:color w:val="000000"/>
                <w:kern w:val="2"/>
                <w:sz w:val="18"/>
                <w:szCs w:val="18"/>
                <w:lang w:val="en-US" w:eastAsia="zh-CN"/>
              </w:rPr>
            </w:pPr>
          </w:p>
        </w:tc>
      </w:tr>
      <w:tr w14:paraId="3A8678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0684D73">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36E96EA">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32CF31">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999A830">
            <w:pPr>
              <w:pStyle w:val="8"/>
              <w:keepNext/>
              <w:snapToGrid w:val="0"/>
              <w:spacing w:before="0" w:after="0" w:line="440" w:lineRule="exact"/>
              <w:ind w:left="63" w:right="63" w:firstLine="0"/>
              <w:rPr>
                <w:color w:val="000000"/>
                <w:kern w:val="2"/>
                <w:sz w:val="18"/>
                <w:szCs w:val="18"/>
                <w:lang w:val="en-US" w:eastAsia="zh-CN"/>
              </w:rPr>
            </w:pPr>
          </w:p>
        </w:tc>
      </w:tr>
      <w:tr w14:paraId="1B33934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07F6316">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761F5C1">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85438F5">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0700BDA">
            <w:pPr>
              <w:pStyle w:val="8"/>
              <w:keepNext/>
              <w:snapToGrid w:val="0"/>
              <w:spacing w:before="0" w:after="0" w:line="440" w:lineRule="exact"/>
              <w:ind w:left="63" w:right="63" w:firstLine="0"/>
              <w:rPr>
                <w:color w:val="000000"/>
                <w:kern w:val="2"/>
                <w:sz w:val="18"/>
                <w:szCs w:val="18"/>
                <w:lang w:val="en-US" w:eastAsia="zh-CN"/>
              </w:rPr>
            </w:pPr>
          </w:p>
        </w:tc>
      </w:tr>
      <w:tr w14:paraId="42084146">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8E705B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0A786D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7CA106DF">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C5FDF5">
            <w:pPr>
              <w:pStyle w:val="8"/>
              <w:keepNext/>
              <w:snapToGrid w:val="0"/>
              <w:spacing w:before="0" w:after="0" w:line="440" w:lineRule="exact"/>
              <w:ind w:left="63" w:right="63" w:firstLine="0"/>
              <w:rPr>
                <w:color w:val="000000"/>
                <w:kern w:val="2"/>
                <w:sz w:val="18"/>
                <w:szCs w:val="18"/>
                <w:lang w:val="en-US" w:eastAsia="zh-CN"/>
              </w:rPr>
            </w:pPr>
          </w:p>
        </w:tc>
      </w:tr>
      <w:tr w14:paraId="07DB09BA">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FB706C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C59751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FDECEF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F36DB5D">
            <w:pPr>
              <w:pStyle w:val="8"/>
              <w:keepNext/>
              <w:snapToGrid w:val="0"/>
              <w:spacing w:before="0" w:after="0" w:line="440" w:lineRule="exact"/>
              <w:ind w:left="63" w:right="63" w:firstLine="0"/>
              <w:rPr>
                <w:color w:val="000000"/>
                <w:kern w:val="2"/>
                <w:sz w:val="18"/>
                <w:szCs w:val="18"/>
                <w:lang w:val="en-US" w:eastAsia="zh-CN"/>
              </w:rPr>
            </w:pPr>
          </w:p>
        </w:tc>
      </w:tr>
      <w:tr w14:paraId="1F41849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F9CF09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FB7C47A">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4F3EC1">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622FFBB">
            <w:pPr>
              <w:pStyle w:val="8"/>
              <w:keepNext/>
              <w:snapToGrid w:val="0"/>
              <w:spacing w:before="0" w:after="0" w:line="440" w:lineRule="exact"/>
              <w:ind w:left="63" w:right="63" w:firstLine="0"/>
              <w:rPr>
                <w:color w:val="000000"/>
                <w:kern w:val="2"/>
                <w:sz w:val="18"/>
                <w:szCs w:val="18"/>
                <w:lang w:val="en-US" w:eastAsia="zh-CN"/>
              </w:rPr>
            </w:pPr>
          </w:p>
        </w:tc>
      </w:tr>
      <w:tr w14:paraId="02AF9F3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B0C1B5A">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0FB108E">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7D9F96D">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B256F36">
            <w:pPr>
              <w:pStyle w:val="8"/>
              <w:keepNext/>
              <w:snapToGrid w:val="0"/>
              <w:spacing w:before="0" w:after="0" w:line="440" w:lineRule="exact"/>
              <w:ind w:left="63" w:right="63" w:firstLine="0"/>
              <w:rPr>
                <w:color w:val="000000"/>
                <w:kern w:val="2"/>
                <w:sz w:val="18"/>
                <w:szCs w:val="18"/>
                <w:lang w:val="en-US" w:eastAsia="zh-CN"/>
              </w:rPr>
            </w:pPr>
          </w:p>
        </w:tc>
      </w:tr>
      <w:tr w14:paraId="50638D97">
        <w:tblPrEx>
          <w:tblCellMar>
            <w:top w:w="0" w:type="dxa"/>
            <w:left w:w="28" w:type="dxa"/>
            <w:bottom w:w="0" w:type="dxa"/>
            <w:right w:w="28" w:type="dxa"/>
          </w:tblCellMar>
        </w:tblPrEx>
        <w:tc>
          <w:tcPr>
            <w:tcW w:w="8817" w:type="dxa"/>
            <w:gridSpan w:val="4"/>
            <w:tcBorders>
              <w:top w:val="single" w:color="000000" w:sz="6" w:space="0"/>
              <w:left w:val="single" w:color="000000" w:sz="12" w:space="0"/>
              <w:bottom w:val="single" w:color="000000" w:sz="12" w:space="0"/>
              <w:right w:val="single" w:color="000000" w:sz="12" w:space="0"/>
            </w:tcBorders>
          </w:tcPr>
          <w:p w14:paraId="057710AD">
            <w:pPr>
              <w:pStyle w:val="8"/>
              <w:keepNext/>
              <w:spacing w:before="0" w:after="0" w:line="440" w:lineRule="exact"/>
              <w:ind w:left="63" w:right="63" w:firstLine="0"/>
              <w:rPr>
                <w:color w:val="000000"/>
                <w:kern w:val="2"/>
                <w:sz w:val="18"/>
                <w:szCs w:val="18"/>
                <w:lang w:val="en-US" w:eastAsia="zh-CN"/>
              </w:rPr>
            </w:pPr>
            <w:r>
              <w:rPr>
                <w:rFonts w:eastAsia="仿宋_GB2312;仿宋"/>
                <w:color w:val="000000"/>
                <w:kern w:val="2"/>
                <w:sz w:val="22"/>
                <w:szCs w:val="24"/>
                <w:lang w:val="en-US" w:eastAsia="zh-CN"/>
              </w:rPr>
              <w:t>小计：</w:t>
            </w:r>
          </w:p>
        </w:tc>
      </w:tr>
    </w:tbl>
    <w:p w14:paraId="23104C02">
      <w:pPr>
        <w:rPr>
          <w:rFonts w:ascii="Times New Roman" w:hAnsi="Times New Roman" w:cs="Times New Roman"/>
          <w:sz w:val="18"/>
          <w:szCs w:val="21"/>
        </w:rPr>
      </w:pPr>
      <w:r>
        <w:br w:type="page"/>
      </w:r>
    </w:p>
    <w:p w14:paraId="78760962">
      <w:pPr>
        <w:numPr>
          <w:ilvl w:val="0"/>
          <w:numId w:val="0"/>
        </w:numPr>
        <w:jc w:val="center"/>
        <w:outlineLvl w:val="0"/>
        <w:rPr>
          <w:rFonts w:ascii="宋体" w:hAnsi="宋体"/>
          <w:b/>
          <w:color w:val="000000"/>
          <w:sz w:val="36"/>
          <w:szCs w:val="36"/>
          <w:highlight w:val="none"/>
        </w:rPr>
      </w:pPr>
      <w:bookmarkStart w:id="195" w:name="__RefHeading___Toc469495743"/>
      <w:bookmarkEnd w:id="195"/>
      <w:r>
        <w:rPr>
          <w:rFonts w:ascii="宋体" w:hAnsi="宋体"/>
          <w:b/>
          <w:color w:val="000000"/>
          <w:sz w:val="36"/>
          <w:szCs w:val="36"/>
        </w:rPr>
        <w:t>第六章  响应文件格式</w:t>
      </w:r>
    </w:p>
    <w:p w14:paraId="7186A343">
      <w:pPr>
        <w:spacing w:line="240" w:lineRule="atLeast"/>
        <w:ind w:left="735" w:firstLine="120"/>
        <w:rPr>
          <w:rFonts w:ascii="仿宋" w:hAnsi="仿宋" w:eastAsia="仿宋" w:cs="仿宋"/>
          <w:b/>
          <w:color w:val="000000"/>
          <w:sz w:val="24"/>
          <w:szCs w:val="36"/>
          <w:highlight w:val="none"/>
        </w:rPr>
      </w:pPr>
    </w:p>
    <w:p w14:paraId="19B4D637">
      <w:pPr>
        <w:spacing w:line="440" w:lineRule="exact"/>
        <w:ind w:firstLine="649"/>
        <w:jc w:val="center"/>
        <w:rPr>
          <w:rFonts w:ascii="宋体" w:hAnsi="宋体" w:eastAsia="宋体" w:cs="宋体"/>
          <w:b/>
          <w:bCs/>
          <w:color w:val="0000FF"/>
          <w:sz w:val="44"/>
          <w:szCs w:val="44"/>
          <w:highlight w:val="none"/>
        </w:rPr>
      </w:pPr>
      <w:r>
        <w:rPr>
          <w:rFonts w:ascii="宋体" w:hAnsi="宋体" w:cs="宋体"/>
          <w:b/>
          <w:bCs/>
          <w:color w:val="0000FF"/>
          <w:sz w:val="44"/>
          <w:szCs w:val="44"/>
        </w:rPr>
        <w:t>资格证明</w:t>
      </w:r>
      <w:r>
        <w:rPr>
          <w:rFonts w:ascii="宋体" w:hAnsi="宋体" w:cs="宋体"/>
          <w:b/>
          <w:bCs/>
          <w:color w:val="0000FF"/>
          <w:sz w:val="44"/>
          <w:szCs w:val="44"/>
          <w:lang w:eastAsia="zh-CN"/>
        </w:rPr>
        <w:t>文件</w:t>
      </w:r>
    </w:p>
    <w:p w14:paraId="5673FBE1">
      <w:pPr>
        <w:numPr>
          <w:ilvl w:val="0"/>
          <w:numId w:val="0"/>
        </w:numPr>
        <w:spacing w:line="440" w:lineRule="exact"/>
        <w:ind w:left="0" w:firstLine="0"/>
        <w:rPr>
          <w:rFonts w:ascii="宋体" w:hAnsi="宋体" w:eastAsia="宋体" w:cs="宋体"/>
          <w:b/>
          <w:bCs/>
          <w:color w:val="0000FF"/>
          <w:sz w:val="44"/>
          <w:szCs w:val="21"/>
          <w:highlight w:val="none"/>
          <w:lang w:val="en-US" w:eastAsia="zh-CN"/>
        </w:rPr>
      </w:pPr>
    </w:p>
    <w:p w14:paraId="0603847F">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1</w:t>
      </w:r>
      <w:r>
        <w:rPr>
          <w:rFonts w:ascii="宋体" w:hAnsi="宋体" w:cs="宋体"/>
          <w:b/>
          <w:bCs/>
          <w:i w:val="0"/>
          <w:iCs w:val="0"/>
          <w:color w:val="0000FF"/>
          <w:sz w:val="21"/>
          <w:szCs w:val="21"/>
          <w:lang w:val="en-US" w:eastAsia="zh-CN"/>
        </w:rPr>
        <w:t>）具备三证合一营业执照副本；</w:t>
      </w:r>
    </w:p>
    <w:p w14:paraId="61BBE43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2</w:t>
      </w:r>
      <w:r>
        <w:rPr>
          <w:rFonts w:ascii="宋体" w:hAnsi="宋体" w:cs="宋体"/>
          <w:b/>
          <w:bCs/>
          <w:i w:val="0"/>
          <w:iCs w:val="0"/>
          <w:color w:val="0000FF"/>
          <w:sz w:val="21"/>
          <w:szCs w:val="21"/>
          <w:lang w:val="en-US" w:eastAsia="zh-CN"/>
        </w:rPr>
        <w:t>）法定代表人响应需提供法定代表人资格证明书，委托代理人响应需提供法定代表人授权委托书；</w:t>
      </w:r>
    </w:p>
    <w:p w14:paraId="5F7BE60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3</w:t>
      </w:r>
      <w:r>
        <w:rPr>
          <w:rFonts w:ascii="宋体" w:hAnsi="宋体" w:cs="宋体"/>
          <w:b/>
          <w:bCs/>
          <w:i w:val="0"/>
          <w:iCs w:val="0"/>
          <w:color w:val="0000FF"/>
          <w:sz w:val="21"/>
          <w:szCs w:val="21"/>
          <w:lang w:val="en-US" w:eastAsia="zh-CN"/>
        </w:rPr>
        <w:t xml:space="preserve">）供应商须提供供应商（被授权在职人员）近 </w:t>
      </w:r>
      <w:r>
        <w:rPr>
          <w:rFonts w:ascii="宋体" w:hAnsi="宋体" w:eastAsia="宋体" w:cs="宋体"/>
          <w:b/>
          <w:bCs/>
          <w:i w:val="0"/>
          <w:iCs w:val="0"/>
          <w:color w:val="0000FF"/>
          <w:sz w:val="21"/>
          <w:szCs w:val="21"/>
          <w:lang w:val="en-US" w:eastAsia="zh-CN"/>
        </w:rPr>
        <w:t xml:space="preserve">6 </w:t>
      </w:r>
      <w:r>
        <w:rPr>
          <w:rFonts w:ascii="宋体" w:hAnsi="宋体" w:cs="宋体"/>
          <w:b/>
          <w:bCs/>
          <w:i w:val="0"/>
          <w:iCs w:val="0"/>
          <w:color w:val="0000FF"/>
          <w:sz w:val="21"/>
          <w:szCs w:val="21"/>
          <w:lang w:val="en-US" w:eastAsia="zh-CN"/>
        </w:rPr>
        <w:t>个月内任意一个月有效的社保证明；</w:t>
      </w:r>
    </w:p>
    <w:p w14:paraId="5F6BFBF4">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4</w:t>
      </w:r>
      <w:r>
        <w:rPr>
          <w:rFonts w:ascii="宋体" w:hAnsi="宋体" w:cs="宋体"/>
          <w:b/>
          <w:bCs/>
          <w:i w:val="0"/>
          <w:iCs w:val="0"/>
          <w:color w:val="0000FF"/>
          <w:sz w:val="21"/>
          <w:szCs w:val="21"/>
          <w:lang w:val="en-US" w:eastAsia="zh-CN"/>
        </w:rPr>
        <w:t>）未被“信用中国 ”（</w:t>
      </w:r>
      <w:r>
        <w:rPr>
          <w:rFonts w:ascii="宋体" w:hAnsi="宋体" w:eastAsia="宋体" w:cs="宋体"/>
          <w:b/>
          <w:bCs/>
          <w:i w:val="0"/>
          <w:iCs w:val="0"/>
          <w:color w:val="0000FF"/>
          <w:sz w:val="21"/>
          <w:szCs w:val="21"/>
          <w:lang w:val="en-US" w:eastAsia="zh-CN"/>
        </w:rPr>
        <w:t>www.creditchina.gov.cn</w:t>
      </w:r>
      <w:r>
        <w:rPr>
          <w:rFonts w:ascii="宋体" w:hAnsi="宋体" w:cs="宋体"/>
          <w:b/>
          <w:bCs/>
          <w:i w:val="0"/>
          <w:iCs w:val="0"/>
          <w:color w:val="0000FF"/>
          <w:sz w:val="21"/>
          <w:szCs w:val="21"/>
          <w:lang w:val="en-US" w:eastAsia="zh-CN"/>
        </w:rPr>
        <w:t>）、中国政府采购网（</w:t>
      </w:r>
      <w:r>
        <w:rPr>
          <w:rFonts w:ascii="宋体" w:hAnsi="宋体" w:eastAsia="宋体" w:cs="宋体"/>
          <w:b/>
          <w:bCs/>
          <w:i w:val="0"/>
          <w:iCs w:val="0"/>
          <w:color w:val="0000FF"/>
          <w:sz w:val="21"/>
          <w:szCs w:val="21"/>
          <w:lang w:val="en-US" w:eastAsia="zh-CN"/>
        </w:rPr>
        <w:t>www.ccgp.gov.cn</w:t>
      </w:r>
      <w:r>
        <w:rPr>
          <w:rFonts w:ascii="宋体" w:hAnsi="宋体" w:cs="宋体"/>
          <w:b/>
          <w:bCs/>
          <w:i w:val="0"/>
          <w:iCs w:val="0"/>
          <w:color w:val="0000FF"/>
          <w:sz w:val="21"/>
          <w:szCs w:val="21"/>
          <w:lang w:val="en-US" w:eastAsia="zh-CN"/>
        </w:rPr>
        <w:t>） 列入失信被执行人、重大税收违法案件当事人名单、政府采购严重违法失信行为记录名单（提</w:t>
      </w:r>
    </w:p>
    <w:p w14:paraId="36487F47">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供查询结果网页截图并加盖供应商公章）；</w:t>
      </w:r>
    </w:p>
    <w:p w14:paraId="05B4D27B">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供应商须具备建筑工程施工总承包二级（含）以上资质等级、有效的安全生产许可证；项目负责人具备建筑工程专业二级（含）以上注册建造师执业资格且具有有效的安全生产考核证；</w:t>
      </w:r>
    </w:p>
    <w:p w14:paraId="2C342036">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磋商保证金汇款凭证或响应担保函等保证金交纳证明材料；</w:t>
      </w:r>
    </w:p>
    <w:p w14:paraId="77F69A7D">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提供承建商为中小企业的《中小企业声明函》；</w:t>
      </w:r>
    </w:p>
    <w:p w14:paraId="6F6ED3F7">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 xml:space="preserve">供应商关联单位的说明； </w:t>
      </w:r>
    </w:p>
    <w:p w14:paraId="0DEB003C">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供应商须知资料表要求的其他资格证明文件。</w:t>
      </w:r>
    </w:p>
    <w:p w14:paraId="4E1B1878">
      <w:pPr>
        <w:pStyle w:val="67"/>
        <w:rPr>
          <w:rFonts w:ascii="宋体" w:hAnsi="宋体" w:eastAsia="宋体" w:cs="宋体"/>
          <w:b/>
          <w:bCs/>
          <w:i w:val="0"/>
          <w:iCs w:val="0"/>
          <w:color w:val="0000FF"/>
          <w:kern w:val="2"/>
          <w:sz w:val="21"/>
          <w:szCs w:val="21"/>
          <w:lang w:val="en-US" w:eastAsia="zh-CN" w:bidi="ar-SA"/>
        </w:rPr>
      </w:pPr>
    </w:p>
    <w:p w14:paraId="44AEDBBE">
      <w:pPr>
        <w:spacing w:line="440" w:lineRule="exact"/>
        <w:jc w:val="center"/>
        <w:rPr>
          <w:rFonts w:ascii="宋体" w:hAnsi="宋体" w:eastAsia="宋体" w:cs="宋体"/>
          <w:b/>
          <w:bCs/>
          <w:i w:val="0"/>
          <w:iCs w:val="0"/>
          <w:color w:val="0000FF"/>
          <w:kern w:val="2"/>
          <w:sz w:val="21"/>
          <w:szCs w:val="21"/>
          <w:highlight w:val="none"/>
          <w:lang w:val="en-US" w:eastAsia="zh-CN" w:bidi="ar-SA"/>
        </w:rPr>
      </w:pPr>
    </w:p>
    <w:p w14:paraId="2CFB5EF7">
      <w:pPr>
        <w:spacing w:line="440" w:lineRule="exact"/>
        <w:jc w:val="center"/>
        <w:rPr>
          <w:rFonts w:ascii="宋体" w:hAnsi="宋体" w:eastAsia="宋体" w:cs="宋体"/>
          <w:b/>
          <w:bCs/>
          <w:color w:val="0000FF"/>
          <w:sz w:val="21"/>
          <w:szCs w:val="21"/>
          <w:highlight w:val="none"/>
          <w:lang w:val="en-US" w:eastAsia="zh-CN"/>
        </w:rPr>
      </w:pPr>
    </w:p>
    <w:p w14:paraId="04C4C1AA">
      <w:pPr>
        <w:spacing w:line="440" w:lineRule="exact"/>
        <w:jc w:val="center"/>
        <w:rPr>
          <w:rFonts w:ascii="宋体" w:hAnsi="宋体" w:eastAsia="宋体" w:cs="宋体"/>
          <w:b/>
          <w:bCs/>
          <w:color w:val="0000FF"/>
          <w:sz w:val="21"/>
          <w:szCs w:val="21"/>
          <w:highlight w:val="none"/>
          <w:lang w:val="en-US" w:eastAsia="zh-CN"/>
        </w:rPr>
      </w:pPr>
    </w:p>
    <w:p w14:paraId="0886A46D">
      <w:pPr>
        <w:spacing w:line="440" w:lineRule="exact"/>
        <w:jc w:val="center"/>
        <w:rPr>
          <w:rFonts w:ascii="宋体" w:hAnsi="宋体" w:eastAsia="宋体" w:cs="宋体"/>
          <w:b/>
          <w:bCs/>
          <w:color w:val="0000FF"/>
          <w:sz w:val="21"/>
          <w:szCs w:val="21"/>
          <w:highlight w:val="none"/>
          <w:lang w:val="en-US" w:eastAsia="zh-CN"/>
        </w:rPr>
      </w:pPr>
    </w:p>
    <w:p w14:paraId="16051F4A">
      <w:pPr>
        <w:spacing w:line="440" w:lineRule="exact"/>
        <w:jc w:val="center"/>
        <w:rPr>
          <w:rFonts w:ascii="宋体" w:hAnsi="宋体" w:eastAsia="宋体" w:cs="宋体"/>
          <w:b/>
          <w:bCs/>
          <w:color w:val="0000FF"/>
          <w:sz w:val="21"/>
          <w:szCs w:val="21"/>
          <w:highlight w:val="none"/>
          <w:lang w:val="en-US" w:eastAsia="zh-CN"/>
        </w:rPr>
      </w:pPr>
    </w:p>
    <w:p w14:paraId="40FD5F0E">
      <w:pPr>
        <w:spacing w:line="440" w:lineRule="exact"/>
        <w:jc w:val="center"/>
        <w:rPr>
          <w:rFonts w:ascii="宋体" w:hAnsi="宋体" w:eastAsia="宋体" w:cs="宋体"/>
          <w:b/>
          <w:bCs/>
          <w:color w:val="0000FF"/>
          <w:sz w:val="21"/>
          <w:szCs w:val="21"/>
          <w:highlight w:val="none"/>
          <w:lang w:val="en-US" w:eastAsia="zh-CN"/>
        </w:rPr>
      </w:pPr>
    </w:p>
    <w:p w14:paraId="569F0004">
      <w:pPr>
        <w:spacing w:line="440" w:lineRule="exact"/>
        <w:jc w:val="center"/>
        <w:rPr>
          <w:rFonts w:ascii="宋体" w:hAnsi="宋体" w:eastAsia="宋体" w:cs="宋体"/>
          <w:b/>
          <w:bCs/>
          <w:color w:val="0000FF"/>
          <w:sz w:val="21"/>
          <w:szCs w:val="21"/>
          <w:highlight w:val="none"/>
          <w:lang w:val="en-US" w:eastAsia="zh-CN"/>
        </w:rPr>
      </w:pPr>
    </w:p>
    <w:p w14:paraId="5C60583B">
      <w:pPr>
        <w:pStyle w:val="67"/>
        <w:rPr>
          <w:rFonts w:ascii="宋体" w:hAnsi="宋体" w:eastAsia="宋体" w:cs="宋体"/>
          <w:b/>
          <w:bCs/>
          <w:color w:val="0000FF"/>
          <w:sz w:val="21"/>
          <w:szCs w:val="21"/>
          <w:highlight w:val="none"/>
          <w:lang w:val="en-US" w:eastAsia="zh-CN"/>
        </w:rPr>
      </w:pPr>
    </w:p>
    <w:p w14:paraId="6A21BEE8">
      <w:pPr>
        <w:pStyle w:val="67"/>
        <w:rPr>
          <w:lang w:val="en-US" w:eastAsia="zh-CN"/>
        </w:rPr>
      </w:pPr>
    </w:p>
    <w:p w14:paraId="552D504D">
      <w:pPr>
        <w:pStyle w:val="67"/>
        <w:rPr>
          <w:lang w:val="en-US" w:eastAsia="zh-CN"/>
        </w:rPr>
      </w:pPr>
    </w:p>
    <w:p w14:paraId="453D1E24">
      <w:pPr>
        <w:spacing w:line="440" w:lineRule="exact"/>
        <w:jc w:val="center"/>
        <w:rPr>
          <w:rFonts w:ascii="宋体" w:hAnsi="宋体" w:eastAsia="宋体" w:cs="宋体"/>
          <w:b/>
          <w:bCs/>
          <w:color w:val="0000FF"/>
          <w:sz w:val="21"/>
          <w:szCs w:val="21"/>
          <w:highlight w:val="none"/>
          <w:lang w:val="en-US" w:eastAsia="zh-CN"/>
        </w:rPr>
      </w:pPr>
    </w:p>
    <w:p w14:paraId="11972BFC">
      <w:pPr>
        <w:pStyle w:val="8"/>
        <w:rPr>
          <w:rFonts w:ascii="宋体" w:hAnsi="宋体" w:eastAsia="宋体" w:cs="宋体"/>
          <w:b/>
          <w:bCs/>
          <w:color w:val="0000FF"/>
          <w:sz w:val="21"/>
          <w:szCs w:val="21"/>
          <w:highlight w:val="none"/>
          <w:lang w:val="en-US" w:eastAsia="zh-CN"/>
        </w:rPr>
      </w:pPr>
    </w:p>
    <w:p w14:paraId="0E65530E">
      <w:pPr>
        <w:rPr>
          <w:rFonts w:ascii="宋体" w:hAnsi="宋体" w:eastAsia="宋体" w:cs="宋体"/>
          <w:b/>
          <w:bCs/>
          <w:color w:val="0000FF"/>
          <w:sz w:val="21"/>
          <w:szCs w:val="21"/>
          <w:highlight w:val="none"/>
          <w:lang w:val="en-US" w:eastAsia="zh-CN"/>
        </w:rPr>
      </w:pPr>
    </w:p>
    <w:p w14:paraId="2C9D4DCB">
      <w:pPr>
        <w:pStyle w:val="8"/>
        <w:rPr>
          <w:rFonts w:ascii="宋体" w:hAnsi="宋体" w:eastAsia="宋体" w:cs="宋体"/>
          <w:b/>
          <w:bCs/>
          <w:color w:val="0000FF"/>
          <w:sz w:val="21"/>
          <w:szCs w:val="21"/>
          <w:highlight w:val="none"/>
          <w:lang w:val="en-US" w:eastAsia="zh-CN"/>
        </w:rPr>
      </w:pPr>
    </w:p>
    <w:p w14:paraId="02787257">
      <w:pPr>
        <w:rPr>
          <w:rFonts w:ascii="宋体" w:hAnsi="宋体" w:eastAsia="宋体" w:cs="宋体"/>
          <w:b/>
          <w:bCs/>
          <w:color w:val="0000FF"/>
          <w:sz w:val="21"/>
          <w:szCs w:val="21"/>
          <w:highlight w:val="none"/>
          <w:lang w:val="en-US" w:eastAsia="zh-CN"/>
        </w:rPr>
      </w:pPr>
    </w:p>
    <w:p w14:paraId="422E6F3F">
      <w:pPr>
        <w:spacing w:line="440" w:lineRule="exact"/>
        <w:jc w:val="center"/>
        <w:rPr>
          <w:rFonts w:ascii="宋体" w:hAnsi="宋体" w:eastAsia="宋体" w:cs="宋体"/>
          <w:b/>
          <w:bCs/>
          <w:color w:val="0000FF"/>
          <w:sz w:val="21"/>
          <w:szCs w:val="21"/>
          <w:highlight w:val="none"/>
          <w:lang w:val="en-US" w:eastAsia="zh-CN"/>
        </w:rPr>
      </w:pPr>
    </w:p>
    <w:p w14:paraId="1D3A8D7D">
      <w:pPr>
        <w:spacing w:line="440" w:lineRule="exact"/>
        <w:jc w:val="center"/>
        <w:rPr>
          <w:rFonts w:ascii="宋体" w:hAnsi="宋体" w:eastAsia="宋体" w:cs="宋体"/>
          <w:b/>
          <w:bCs/>
          <w:color w:val="0000FF"/>
          <w:sz w:val="36"/>
          <w:szCs w:val="36"/>
          <w:highlight w:val="none"/>
        </w:rPr>
      </w:pPr>
      <w:r>
        <w:rPr>
          <w:rFonts w:ascii="宋体" w:hAnsi="宋体" w:cs="宋体"/>
          <w:b/>
          <w:bCs/>
          <w:color w:val="0000FF"/>
          <w:sz w:val="36"/>
          <w:szCs w:val="36"/>
          <w:lang w:val="en-US" w:eastAsia="zh-CN"/>
        </w:rPr>
        <w:t>商务及技术文件</w:t>
      </w:r>
    </w:p>
    <w:p w14:paraId="779043C7">
      <w:pPr>
        <w:spacing w:line="440" w:lineRule="exact"/>
        <w:ind w:firstLine="285"/>
        <w:rPr>
          <w:rFonts w:ascii="宋体" w:hAnsi="宋体" w:eastAsia="宋体" w:cs="宋体"/>
          <w:b/>
          <w:bCs/>
          <w:color w:val="0000FF"/>
          <w:sz w:val="36"/>
          <w:szCs w:val="21"/>
          <w:highlight w:val="none"/>
          <w:lang w:val="en-US" w:eastAsia="zh-CN"/>
        </w:rPr>
      </w:pPr>
    </w:p>
    <w:p w14:paraId="78F59E30">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2962D0EA">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2BE4B361">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337362D8">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ACF367">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07F97836">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13396455">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CA6E6BF">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418FA296">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FD45DE2">
      <w:pPr>
        <w:spacing w:line="600" w:lineRule="auto"/>
        <w:ind w:firstLine="420"/>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4A8DB78E">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p>
    <w:p w14:paraId="59D63392">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r>
        <w:rPr>
          <w:rFonts w:ascii="宋体" w:hAnsi="宋体" w:cs="宋体"/>
          <w:b/>
          <w:bCs/>
          <w:color w:val="000000"/>
          <w:sz w:val="24"/>
          <w:szCs w:val="24"/>
          <w:lang w:val="en-US" w:eastAsia="zh-CN"/>
        </w:rPr>
        <w:t>注：</w:t>
      </w:r>
    </w:p>
    <w:p w14:paraId="4E2E5CA9">
      <w:pPr>
        <w:numPr>
          <w:ilvl w:val="0"/>
          <w:numId w:val="0"/>
        </w:numPr>
        <w:spacing w:line="480" w:lineRule="auto"/>
        <w:ind w:left="0" w:firstLine="0"/>
        <w:jc w:val="both"/>
        <w:rPr>
          <w:rFonts w:ascii="宋体" w:hAnsi="宋体" w:eastAsia="宋体" w:cs="宋体"/>
          <w:b/>
          <w:bCs/>
          <w:color w:val="000000"/>
          <w:sz w:val="24"/>
          <w:szCs w:val="24"/>
          <w:highlight w:val="none"/>
          <w:lang w:val="en-US" w:eastAsia="zh-CN"/>
        </w:rPr>
      </w:pPr>
      <w:r>
        <w:rPr>
          <w:rFonts w:ascii="宋体" w:hAnsi="宋体" w:eastAsia="宋体" w:cs="宋体"/>
          <w:b/>
          <w:bCs/>
          <w:color w:val="0000FF"/>
          <w:sz w:val="21"/>
          <w:szCs w:val="21"/>
          <w:lang w:val="en-US" w:eastAsia="zh-CN"/>
        </w:rPr>
        <w:t>1</w:t>
      </w:r>
      <w:r>
        <w:rPr>
          <w:rFonts w:ascii="宋体" w:hAnsi="宋体" w:cs="宋体"/>
          <w:b/>
          <w:bCs/>
          <w:color w:val="0000FF"/>
          <w:sz w:val="21"/>
          <w:szCs w:val="21"/>
          <w:lang w:val="en-US" w:eastAsia="zh-CN"/>
        </w:rPr>
        <w:t>、为方便专家评审建议供应商编制目录对应页码。</w:t>
      </w:r>
    </w:p>
    <w:p w14:paraId="4D4C29FD">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2</w:t>
      </w:r>
      <w:r>
        <w:rPr>
          <w:rFonts w:ascii="宋体" w:hAnsi="宋体" w:cs="宋体"/>
          <w:b/>
          <w:bCs/>
          <w:color w:val="0000FF"/>
          <w:sz w:val="21"/>
          <w:szCs w:val="21"/>
          <w:lang w:val="en-US" w:eastAsia="zh-CN"/>
        </w:rPr>
        <w:t>、磋商文件提供格式的请严格按照格式要求填写，未提供格式的请供应商自行编辑提供。</w:t>
      </w:r>
    </w:p>
    <w:p w14:paraId="447A75A3">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3</w:t>
      </w:r>
      <w:r>
        <w:rPr>
          <w:rFonts w:ascii="宋体" w:hAnsi="宋体" w:cs="宋体"/>
          <w:b/>
          <w:bCs/>
          <w:color w:val="0000FF"/>
          <w:sz w:val="21"/>
          <w:szCs w:val="21"/>
          <w:lang w:val="en-US" w:eastAsia="zh-CN"/>
        </w:rPr>
        <w:t>、响应文件须逐页加盖供应商公章。</w:t>
      </w:r>
    </w:p>
    <w:p w14:paraId="2CA8C5FC">
      <w:pPr>
        <w:tabs>
          <w:tab w:val="left" w:pos="5580"/>
        </w:tabs>
        <w:spacing w:line="240" w:lineRule="atLeast"/>
        <w:ind w:left="1" w:firstLine="564"/>
        <w:rPr>
          <w:rFonts w:ascii="宋体" w:hAnsi="宋体" w:eastAsia="宋体" w:cs="宋体"/>
          <w:b/>
          <w:bCs/>
          <w:color w:val="000000"/>
          <w:sz w:val="24"/>
          <w:szCs w:val="21"/>
          <w:highlight w:val="none"/>
          <w:lang w:val="en-US" w:eastAsia="zh-CN"/>
        </w:rPr>
      </w:pPr>
    </w:p>
    <w:p w14:paraId="0613E8AF">
      <w:pPr>
        <w:tabs>
          <w:tab w:val="left" w:pos="5580"/>
        </w:tabs>
        <w:spacing w:line="240" w:lineRule="atLeast"/>
        <w:ind w:left="1" w:firstLine="564"/>
        <w:rPr>
          <w:rFonts w:ascii="宋体" w:hAnsi="宋体" w:eastAsia="宋体" w:cs="宋体"/>
          <w:color w:val="000000"/>
          <w:sz w:val="24"/>
          <w:highlight w:val="none"/>
        </w:rPr>
      </w:pPr>
    </w:p>
    <w:p w14:paraId="1E1BE429">
      <w:pPr>
        <w:tabs>
          <w:tab w:val="left" w:pos="5580"/>
        </w:tabs>
        <w:spacing w:line="240" w:lineRule="atLeast"/>
        <w:ind w:left="1" w:firstLine="564"/>
        <w:rPr>
          <w:rFonts w:ascii="宋体" w:hAnsi="宋体" w:eastAsia="宋体" w:cs="宋体"/>
          <w:color w:val="000000"/>
          <w:sz w:val="24"/>
          <w:highlight w:val="none"/>
        </w:rPr>
      </w:pPr>
    </w:p>
    <w:p w14:paraId="3CE39202">
      <w:pPr>
        <w:tabs>
          <w:tab w:val="left" w:pos="5580"/>
        </w:tabs>
        <w:spacing w:line="240" w:lineRule="atLeast"/>
        <w:ind w:left="1" w:firstLine="564"/>
        <w:rPr>
          <w:rFonts w:ascii="宋体" w:hAnsi="宋体" w:eastAsia="宋体" w:cs="宋体"/>
          <w:color w:val="000000"/>
          <w:sz w:val="24"/>
          <w:highlight w:val="none"/>
        </w:rPr>
      </w:pPr>
    </w:p>
    <w:p w14:paraId="24BAA92E">
      <w:pPr>
        <w:tabs>
          <w:tab w:val="left" w:pos="5580"/>
        </w:tabs>
        <w:spacing w:line="240" w:lineRule="atLeast"/>
        <w:ind w:left="1" w:firstLine="564"/>
        <w:rPr>
          <w:rFonts w:ascii="宋体" w:hAnsi="宋体" w:eastAsia="宋体" w:cs="宋体"/>
          <w:color w:val="000000"/>
          <w:sz w:val="24"/>
          <w:highlight w:val="none"/>
        </w:rPr>
      </w:pPr>
    </w:p>
    <w:p w14:paraId="62F1182C">
      <w:pPr>
        <w:tabs>
          <w:tab w:val="left" w:pos="5580"/>
        </w:tabs>
        <w:spacing w:line="240" w:lineRule="atLeast"/>
        <w:ind w:left="1" w:firstLine="564"/>
        <w:rPr>
          <w:rFonts w:ascii="宋体" w:hAnsi="宋体" w:eastAsia="宋体" w:cs="宋体"/>
          <w:color w:val="000000"/>
          <w:sz w:val="24"/>
          <w:highlight w:val="none"/>
        </w:rPr>
      </w:pPr>
    </w:p>
    <w:p w14:paraId="4BFABE37">
      <w:pPr>
        <w:tabs>
          <w:tab w:val="left" w:pos="5580"/>
        </w:tabs>
        <w:spacing w:line="240" w:lineRule="atLeast"/>
        <w:ind w:left="1" w:firstLine="564"/>
        <w:rPr>
          <w:rFonts w:ascii="宋体" w:hAnsi="宋体" w:eastAsia="宋体" w:cs="宋体"/>
          <w:color w:val="000000"/>
          <w:sz w:val="24"/>
          <w:highlight w:val="none"/>
        </w:rPr>
      </w:pPr>
    </w:p>
    <w:p w14:paraId="294C4CA9">
      <w:pPr>
        <w:tabs>
          <w:tab w:val="left" w:pos="5580"/>
        </w:tabs>
        <w:spacing w:line="240" w:lineRule="atLeast"/>
        <w:ind w:left="1" w:firstLine="564"/>
        <w:rPr>
          <w:rFonts w:ascii="宋体" w:hAnsi="宋体" w:eastAsia="宋体" w:cs="宋体"/>
          <w:color w:val="000000"/>
          <w:sz w:val="24"/>
          <w:highlight w:val="none"/>
        </w:rPr>
      </w:pPr>
    </w:p>
    <w:p w14:paraId="51958600">
      <w:pPr>
        <w:tabs>
          <w:tab w:val="left" w:pos="5580"/>
        </w:tabs>
        <w:spacing w:line="240" w:lineRule="atLeast"/>
        <w:ind w:left="1" w:firstLine="564"/>
        <w:rPr>
          <w:rFonts w:ascii="宋体" w:hAnsi="宋体" w:eastAsia="宋体" w:cs="宋体"/>
          <w:color w:val="000000"/>
          <w:sz w:val="24"/>
          <w:highlight w:val="none"/>
        </w:rPr>
      </w:pPr>
    </w:p>
    <w:p w14:paraId="38B992FE">
      <w:pPr>
        <w:tabs>
          <w:tab w:val="left" w:pos="5580"/>
        </w:tabs>
        <w:spacing w:line="240" w:lineRule="atLeast"/>
        <w:ind w:left="1" w:firstLine="564"/>
        <w:rPr>
          <w:rFonts w:ascii="宋体" w:hAnsi="宋体" w:eastAsia="宋体" w:cs="宋体"/>
          <w:color w:val="000000"/>
          <w:sz w:val="24"/>
          <w:highlight w:val="none"/>
        </w:rPr>
      </w:pPr>
    </w:p>
    <w:p w14:paraId="1311FF4A">
      <w:pPr>
        <w:tabs>
          <w:tab w:val="left" w:pos="5580"/>
        </w:tabs>
        <w:spacing w:line="240" w:lineRule="atLeast"/>
        <w:ind w:left="1" w:firstLine="564"/>
        <w:rPr>
          <w:rFonts w:ascii="宋体" w:hAnsi="宋体" w:eastAsia="宋体" w:cs="宋体"/>
          <w:color w:val="000000"/>
          <w:sz w:val="24"/>
          <w:highlight w:val="none"/>
        </w:rPr>
      </w:pPr>
    </w:p>
    <w:p w14:paraId="20D4B2CB">
      <w:pPr>
        <w:tabs>
          <w:tab w:val="left" w:pos="5580"/>
        </w:tabs>
        <w:spacing w:line="240" w:lineRule="atLeast"/>
        <w:ind w:left="1" w:firstLine="564"/>
        <w:rPr>
          <w:rFonts w:ascii="宋体" w:hAnsi="宋体" w:eastAsia="宋体" w:cs="宋体"/>
          <w:color w:val="000000"/>
          <w:sz w:val="24"/>
          <w:highlight w:val="none"/>
        </w:rPr>
      </w:pPr>
    </w:p>
    <w:p w14:paraId="0DCF594D">
      <w:pPr>
        <w:tabs>
          <w:tab w:val="left" w:pos="5580"/>
        </w:tabs>
        <w:spacing w:line="240" w:lineRule="atLeast"/>
        <w:ind w:left="1" w:firstLine="564"/>
        <w:rPr>
          <w:rFonts w:ascii="宋体" w:hAnsi="宋体" w:eastAsia="宋体" w:cs="宋体"/>
          <w:color w:val="000000"/>
          <w:sz w:val="24"/>
          <w:highlight w:val="none"/>
        </w:rPr>
      </w:pPr>
    </w:p>
    <w:p w14:paraId="6F79A689">
      <w:pPr>
        <w:pStyle w:val="8"/>
        <w:rPr>
          <w:rFonts w:ascii="宋体" w:hAnsi="宋体" w:eastAsia="宋体" w:cs="宋体"/>
          <w:color w:val="000000"/>
          <w:sz w:val="24"/>
          <w:highlight w:val="none"/>
        </w:rPr>
      </w:pPr>
    </w:p>
    <w:p w14:paraId="432A116A"/>
    <w:p w14:paraId="63FFD7CE">
      <w:pPr>
        <w:pStyle w:val="3"/>
        <w:numPr>
          <w:ilvl w:val="0"/>
          <w:numId w:val="0"/>
        </w:numPr>
        <w:spacing w:before="0" w:after="0" w:line="240" w:lineRule="atLeast"/>
        <w:ind w:left="0" w:firstLine="0"/>
        <w:rPr>
          <w:rFonts w:ascii="宋体" w:hAnsi="宋体" w:eastAsia="宋体" w:cs="宋体"/>
          <w:b/>
          <w:bCs/>
          <w:color w:val="000000"/>
          <w:sz w:val="24"/>
          <w:highlight w:val="none"/>
        </w:rPr>
      </w:pPr>
    </w:p>
    <w:p w14:paraId="6CD8100C">
      <w:pPr>
        <w:pStyle w:val="3"/>
        <w:numPr>
          <w:ilvl w:val="0"/>
          <w:numId w:val="0"/>
        </w:numPr>
        <w:spacing w:before="0" w:after="0" w:line="240" w:lineRule="atLeast"/>
        <w:ind w:left="0" w:firstLine="0"/>
        <w:rPr>
          <w:rFonts w:ascii="宋体" w:hAnsi="宋体" w:eastAsia="宋体" w:cs="宋体"/>
          <w:b/>
          <w:bCs/>
          <w:color w:val="000000"/>
          <w:sz w:val="24"/>
          <w:highlight w:val="none"/>
          <w:lang w:val="en-US" w:eastAsia="zh-CN"/>
        </w:rPr>
      </w:pPr>
      <w:r>
        <w:rPr>
          <w:rFonts w:ascii="宋体" w:hAnsi="宋体" w:cs="宋体"/>
          <w:b/>
          <w:bCs/>
          <w:color w:val="000000"/>
          <w:sz w:val="24"/>
        </w:rPr>
        <w:t>响应文件格式</w:t>
      </w:r>
      <w:r>
        <w:rPr>
          <w:rFonts w:ascii="宋体" w:hAnsi="宋体" w:eastAsia="宋体" w:cs="宋体"/>
          <w:b/>
          <w:bCs/>
          <w:color w:val="000000"/>
          <w:sz w:val="24"/>
          <w:lang w:val="en-US" w:eastAsia="zh-CN"/>
        </w:rPr>
        <w:t>1</w:t>
      </w:r>
    </w:p>
    <w:p w14:paraId="2178E42A">
      <w:pPr>
        <w:rPr>
          <w:rFonts w:ascii="宋体" w:hAnsi="宋体" w:eastAsia="宋体" w:cs="宋体"/>
          <w:b/>
          <w:bCs/>
          <w:color w:val="000000"/>
          <w:sz w:val="24"/>
          <w:highlight w:val="none"/>
          <w:lang w:val="en-US" w:eastAsia="zh-CN"/>
        </w:rPr>
      </w:pPr>
    </w:p>
    <w:p w14:paraId="28C7F780">
      <w:pPr>
        <w:pStyle w:val="3"/>
        <w:numPr>
          <w:ilvl w:val="0"/>
          <w:numId w:val="0"/>
        </w:numPr>
        <w:spacing w:before="0" w:after="0" w:line="360" w:lineRule="auto"/>
        <w:ind w:left="0" w:firstLine="0"/>
        <w:jc w:val="center"/>
        <w:rPr>
          <w:rFonts w:ascii="宋体" w:hAnsi="宋体" w:eastAsia="宋体" w:cs="宋体"/>
          <w:b w:val="0"/>
          <w:color w:val="000000"/>
          <w:sz w:val="24"/>
          <w:highlight w:val="none"/>
          <w:u w:val="single"/>
        </w:rPr>
      </w:pPr>
      <w:r>
        <w:rPr>
          <w:rFonts w:ascii="宋体" w:hAnsi="宋体" w:cs="宋体"/>
          <w:b/>
          <w:bCs/>
          <w:color w:val="000000"/>
          <w:sz w:val="24"/>
        </w:rPr>
        <w:t>法定代表人资格证明书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42564CE8">
      <w:pPr>
        <w:snapToGrid w:val="0"/>
        <w:spacing w:before="240" w:after="240" w:line="360" w:lineRule="auto"/>
        <w:rPr>
          <w:rFonts w:ascii="宋体" w:hAnsi="宋体" w:eastAsia="宋体" w:cs="宋体"/>
          <w:color w:val="000000"/>
          <w:sz w:val="21"/>
          <w:szCs w:val="21"/>
          <w:highlight w:val="none"/>
        </w:rPr>
      </w:pPr>
      <w:r>
        <w:rPr>
          <w:rFonts w:ascii="宋体" w:hAnsi="宋体" w:cs="宋体"/>
          <w:color w:val="000000"/>
          <w:sz w:val="21"/>
          <w:szCs w:val="21"/>
        </w:rPr>
        <w:t>致：</w:t>
      </w:r>
    </w:p>
    <w:p w14:paraId="3213DF4B">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eastAsia="宋体" w:cs="宋体"/>
          <w:color w:val="000000"/>
          <w:sz w:val="21"/>
          <w:szCs w:val="21"/>
          <w:u w:val="single"/>
        </w:rPr>
        <w:t xml:space="preserve">          </w:t>
      </w:r>
      <w:r>
        <w:rPr>
          <w:rFonts w:ascii="宋体" w:hAnsi="宋体" w:cs="宋体"/>
          <w:color w:val="000000"/>
          <w:sz w:val="21"/>
          <w:szCs w:val="21"/>
        </w:rPr>
        <w:t>同志，现任我单位</w:t>
      </w:r>
      <w:r>
        <w:rPr>
          <w:rFonts w:ascii="宋体" w:hAnsi="宋体" w:cs="宋体"/>
          <w:color w:val="000000"/>
          <w:sz w:val="21"/>
          <w:szCs w:val="21"/>
          <w:u w:val="single"/>
        </w:rPr>
        <w:t xml:space="preserve">          </w:t>
      </w:r>
      <w:r>
        <w:rPr>
          <w:rFonts w:ascii="宋体" w:hAnsi="宋体" w:cs="宋体"/>
          <w:color w:val="000000"/>
          <w:sz w:val="21"/>
          <w:szCs w:val="21"/>
        </w:rPr>
        <w:t>职务，为法定代表人，特此证明。</w:t>
      </w:r>
    </w:p>
    <w:p w14:paraId="39611A5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lang w:val="en-US" w:eastAsia="zh-CN"/>
        </w:rPr>
        <w:t>营业执照成立日期</w:t>
      </w:r>
      <w:r>
        <w:rPr>
          <w:rFonts w:ascii="宋体" w:hAnsi="宋体" w:cs="宋体"/>
          <w:color w:val="000000"/>
          <w:sz w:val="21"/>
          <w:szCs w:val="21"/>
        </w:rPr>
        <w:t xml:space="preserve">：          单位：          </w:t>
      </w:r>
    </w:p>
    <w:p w14:paraId="4F55C355">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附：代表人性别：            年龄：           身份证号码：</w:t>
      </w:r>
    </w:p>
    <w:p w14:paraId="097EED3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联系电话：</w:t>
      </w:r>
    </w:p>
    <w:p w14:paraId="4EAEA046">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营业执照号码：              经济性质：</w:t>
      </w:r>
    </w:p>
    <w:p w14:paraId="6EE7A8A3">
      <w:pPr>
        <w:spacing w:line="360" w:lineRule="auto"/>
        <w:rPr>
          <w:rFonts w:ascii="宋体" w:hAnsi="宋体" w:eastAsia="宋体" w:cs="宋体"/>
          <w:color w:val="000000"/>
          <w:sz w:val="21"/>
          <w:szCs w:val="21"/>
          <w:highlight w:val="none"/>
        </w:rPr>
      </w:pPr>
      <w:r>
        <w:rPr>
          <w:rFonts w:ascii="宋体" w:hAnsi="宋体" w:cs="宋体"/>
          <w:color w:val="000000"/>
          <w:sz w:val="21"/>
          <w:szCs w:val="21"/>
        </w:rPr>
        <w:t>说明：</w:t>
      </w:r>
    </w:p>
    <w:p w14:paraId="14500F5D">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1</w:t>
      </w:r>
      <w:r>
        <w:rPr>
          <w:rFonts w:ascii="宋体" w:hAnsi="宋体" w:cs="宋体"/>
          <w:color w:val="000000"/>
          <w:sz w:val="21"/>
          <w:szCs w:val="21"/>
        </w:rPr>
        <w:t>、法定代表人为企业事业单位、国家机关、社会团体的主要行政负责人。</w:t>
      </w:r>
    </w:p>
    <w:p w14:paraId="212C9CA7">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2</w:t>
      </w:r>
      <w:r>
        <w:rPr>
          <w:rFonts w:ascii="宋体" w:hAnsi="宋体" w:cs="宋体"/>
          <w:color w:val="000000"/>
          <w:sz w:val="21"/>
          <w:szCs w:val="21"/>
        </w:rPr>
        <w:t>、内容必须填写真实、清楚、涂改无效，不得转让。</w:t>
      </w:r>
    </w:p>
    <w:p w14:paraId="31189711">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3</w:t>
      </w:r>
      <w:r>
        <w:rPr>
          <w:rFonts w:ascii="宋体" w:hAnsi="宋体" w:cs="宋体"/>
          <w:color w:val="000000"/>
          <w:sz w:val="21"/>
          <w:szCs w:val="21"/>
        </w:rPr>
        <w:t>、将此证明书原件提交采购代理机构作为响应文件附件。</w:t>
      </w:r>
    </w:p>
    <w:p w14:paraId="7BB7DC68">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cs="宋体"/>
          <w:color w:val="000000"/>
          <w:sz w:val="21"/>
          <w:szCs w:val="21"/>
        </w:rPr>
        <w:t>为避免无效响应，请供应商务必提供本附件</w:t>
      </w:r>
      <w:r>
        <w:rPr>
          <w:rFonts w:ascii="宋体" w:hAnsi="宋体" w:eastAsia="宋体" w:cs="宋体"/>
          <w:color w:val="000000"/>
          <w:sz w:val="21"/>
          <w:szCs w:val="21"/>
        </w:rPr>
        <w:t>)</w:t>
      </w:r>
    </w:p>
    <w:p w14:paraId="4B581EA2">
      <w:pPr>
        <w:spacing w:line="360" w:lineRule="auto"/>
        <w:rPr>
          <w:rFonts w:ascii="宋体" w:hAnsi="宋体" w:eastAsia="宋体" w:cs="宋体"/>
          <w:color w:val="000000"/>
          <w:sz w:val="24"/>
          <w:szCs w:val="24"/>
          <w:highlight w:val="none"/>
        </w:rPr>
      </w:pPr>
    </w:p>
    <w:p w14:paraId="10CD6046">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398780</wp:posOffset>
                </wp:positionH>
                <wp:positionV relativeFrom="paragraph">
                  <wp:posOffset>38100</wp:posOffset>
                </wp:positionV>
                <wp:extent cx="2333625" cy="1584325"/>
                <wp:effectExtent l="5715" t="5715" r="5080" b="5080"/>
                <wp:wrapNone/>
                <wp:docPr id="11" name="流程图: 可选过程 10"/>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wps:txbx>
                      <wps:bodyPr anchor="t">
                        <a:noAutofit/>
                      </wps:bodyPr>
                    </wps:wsp>
                  </a:graphicData>
                </a:graphic>
              </wp:anchor>
            </w:drawing>
          </mc:Choice>
          <mc:Fallback>
            <w:pict>
              <v:shape id="流程图: 可选过程 10" o:spid="_x0000_s1026" o:spt="176" type="#_x0000_t176" style="position:absolute;left:0pt;margin-left:31.4pt;margin-top:3pt;height:124.75pt;width:183.75pt;z-index:251660288;mso-width-relative:page;mso-height-relative:page;" fillcolor="#FFFFFF" filled="t" stroked="t" coordsize="21600,21600" o:allowincell="f" o:gfxdata="UEsDBAoAAAAAAIdO4kAAAAAAAAAAAAAAAAAEAAAAZHJzL1BLAwQUAAAACACHTuJAavUxgdgAAAAI&#10;AQAADwAAAGRycy9kb3ducmV2LnhtbE2PsU7DQBBEeyT+4bRIdOQuNo6C8TlSEIGGIoQ0dBt7sS18&#10;e8Z3Sczfs1RQjVazmnlTrCbXqxONofNsYT4zoIgrX3fcWNi/bW6WoEJErrH3TBa+KcCqvLwoMK/9&#10;mV/ptIuNkhAOOVpoYxxyrUPVksMw8wOxeB9+dBjlHBtdj3iWcNfrxJiFdtixNLQ40ENL1efu6Czg&#10;5v0Ju5e7+LXeZvpxmU7T835t7fXV3NyDijTFv2f4xRd0KIXp4I9cB9VbWCRCHkVlkdi3qUlBHSwk&#10;WZaBLgv9f0D5A1BLAwQUAAAACACHTuJAvwkEyfgBAADoAwAADgAAAGRycy9lMm9Eb2MueG1srVNL&#10;jhMxEN0jcQfLe9L5MKOhlc5oNFHYIIg0cADHbact2S7LdtKdHawQYsEBuAC7WbGF0wyfW1B2hwQG&#10;hGaBF+7yp16991w9Pe+MJlvhgwJb0dFgSImwHGpl1xV98Xzx4IySEJmtmQYrKroTgZ7P7t+btq4U&#10;Y2hA18ITBLGhbF1FmxhdWRSBN8KwMAAnLB5K8IZFXPp1UXvWIrrRxXg4PC1a8LXzwEUIuDvvD+ke&#10;0d8FEKRUXMyBb4ywsUf1QrOIkkKjXKCzzFZKweMzKYOIRFcUlcY8YxGMV2kuZlNWrj1zjeJ7Cuwu&#10;FG5pMkxZLHqAmrPIyMarP6CM4h4CyDjgYIpeSHYEVYyGt7y5apgTWQtaHdzB9PD/YPnT7dITVWMn&#10;jCixzOCLf/n46uuHtzfvP5Xk5t3195dvvn1+jRtklO1qXSgx68otPZqXVgHDpL2T3qQvqiJdtnh3&#10;sFh0kXDcHE8mk5Mxus/xbHRy9nBymlGLY7rzIT4WYEgKKio1tJcN8/FCR+Eti2LZN0/2m22fhIg8&#10;MP9nXqIQQKt6obTOC79eXWpPtgybYJFHendM+e2atqSt6KNE6N8Qwzz+BmEUUuyhtcUKR3dSFLtV&#10;t7dsBfUOfWeWN4DdGHNFCxebCFJlPSmhv7XHwQbInPfNmjrs13W+dfxBZz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vUxgdgAAAAIAQAADwAAAAAAAAABACAAAAAiAAAAZHJzL2Rvd25yZXYueG1s&#10;UEsBAhQAFAAAAAgAh07iQL8JBMn4AQAA6AMAAA4AAAAAAAAAAQAgAAAAJwEAAGRycy9lMm9Eb2Mu&#10;eG1sUEsFBgAAAAAGAAYAWQEAAJEFAAAAAA==&#10;">
                <v:fill on="t" focussize="0,0"/>
                <v:stroke weight="0.737007874015748pt" color="#000000" joinstyle="miter"/>
                <v:imagedata o:title=""/>
                <o:lock v:ext="edit" aspectratio="f"/>
                <v:textbo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v:textbox>
              </v:shape>
            </w:pict>
          </mc:Fallback>
        </mc:AlternateContent>
      </w: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3226435</wp:posOffset>
                </wp:positionH>
                <wp:positionV relativeFrom="paragraph">
                  <wp:posOffset>34290</wp:posOffset>
                </wp:positionV>
                <wp:extent cx="2333625" cy="1584325"/>
                <wp:effectExtent l="5715" t="5715" r="5080" b="5080"/>
                <wp:wrapNone/>
                <wp:docPr id="12" name="流程图: 可选过程 11"/>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wps:txbx>
                      <wps:bodyPr anchor="t">
                        <a:noAutofit/>
                      </wps:bodyPr>
                    </wps:wsp>
                  </a:graphicData>
                </a:graphic>
              </wp:anchor>
            </w:drawing>
          </mc:Choice>
          <mc:Fallback>
            <w:pict>
              <v:shape id="流程图: 可选过程 11" o:spid="_x0000_s1026" o:spt="176" type="#_x0000_t176" style="position:absolute;left:0pt;margin-left:254.05pt;margin-top:2.7pt;height:124.75pt;width:183.75pt;z-index:251660288;mso-width-relative:page;mso-height-relative:page;" fillcolor="#FFFFFF" filled="t" stroked="t" coordsize="21600,21600" o:allowincell="f" o:gfxdata="UEsDBAoAAAAAAIdO4kAAAAAAAAAAAAAAAAAEAAAAZHJzL1BLAwQUAAAACACHTuJAh6GIUdkAAAAJ&#10;AQAADwAAAGRycy9kb3ducmV2LnhtbE2PwU7DMBBE70j8g7VI3Kid0pQ0xKlUROHSA7S99LaNTRIR&#10;r0PstuHvWU5wm9WMZt4Wy9F14myH0HrSkEwUCEuVNy3VGva79V0GIkQkg50nq+HbBliW11cF5sZf&#10;6N2et7EWXEIhRw1NjH0uZaga6zBMfG+JvQ8/OIx8DrU0A1643HVyqtRcOmyJFxrs7VNjq8/tyWnA&#10;9eEF280ifq3eUvmc3Y/j636l9e1Noh5BRDvGvzD84jM6lMx09CcyQXQaUpUlHGUxA8F+9pDOQRw1&#10;TNPZAmRZyP8flD9QSwMEFAAAAAgAh07iQIs8kbT5AQAA6AMAAA4AAABkcnMvZTJvRG9jLnhtbK1T&#10;S24UMRDdI3EHy3um50Oi0JqeKMpo2CCIFDiAx21PW7Jdlu2Z7tnBCiEWHIALsMuKLZwmfG5B2d1M&#10;ICCUBV64y5969d5z9fy0M5rshA8KbEUnozElwnKold1U9MXz1YMTSkJktmYarKjoXgR6urh/b966&#10;UkyhAV0LTxDEhrJ1FW1idGVRBN4Iw8IInLB4KMEbFnHpN0XtWYvoRhfT8fi4aMHXzgMXIeDusj+k&#10;A6K/CyBIqbhYAt8aYWOP6oVmESWFRrlAF5mtlILHZ1IGEYmuKCqNecYiGK/TXCzmrNx45hrFBwrs&#10;LhRuaTJMWSx6gFqyyMjWqz+gjOIeAsg44mCKXkh2BFVMxre8uWyYE1kLWh3cwfTw/2D5092FJ6rG&#10;TphSYpnBF//y8dXXD2+v338qyfW7q+8v33z7/Bo3yGSS7GpdKDHr0l34YRUwTNo76U36oirSZYv3&#10;B4tFFwnHzelsNjuaovsczyZHJw9nx/kRipt050N8LMCQFFRUamjPG+bjmY7CWxbFRd882W+2exIi&#10;8sD8n3mJQgCt6pXSOi/8Zn2uPdkxbIJVHkkIpvx2TVvSVvRRIvRviHEef4MwCin20NpiheRV706K&#10;YrfuBsvWUO/Rd2Z5A9iNMVe0cLaNIFXWkxL6WwMONkDmPDRr6rBf1/nWzQ+6+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oYhR2QAAAAkBAAAPAAAAAAAAAAEAIAAAACIAAABkcnMvZG93bnJldi54&#10;bWxQSwECFAAUAAAACACHTuJAizyRtPkBAADoAwAADgAAAAAAAAABACAAAAAoAQAAZHJzL2Uyb0Rv&#10;Yy54bWxQSwUGAAAAAAYABgBZAQAAkwUAAAAA&#10;">
                <v:fill on="t" focussize="0,0"/>
                <v:stroke weight="0.737007874015748pt" color="#000000" joinstyle="miter"/>
                <v:imagedata o:title=""/>
                <o:lock v:ext="edit" aspectratio="f"/>
                <v:textbo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v:textbox>
              </v:shape>
            </w:pict>
          </mc:Fallback>
        </mc:AlternateContent>
      </w:r>
    </w:p>
    <w:p w14:paraId="1B970393">
      <w:pPr>
        <w:spacing w:line="360" w:lineRule="auto"/>
        <w:rPr>
          <w:rFonts w:ascii="宋体" w:hAnsi="宋体" w:eastAsia="宋体" w:cs="宋体"/>
          <w:color w:val="000000"/>
          <w:sz w:val="24"/>
          <w:szCs w:val="24"/>
          <w:highlight w:val="none"/>
        </w:rPr>
      </w:pPr>
    </w:p>
    <w:p w14:paraId="18F43790">
      <w:pPr>
        <w:spacing w:line="360" w:lineRule="auto"/>
        <w:rPr>
          <w:rFonts w:ascii="宋体" w:hAnsi="宋体" w:eastAsia="宋体" w:cs="宋体"/>
          <w:color w:val="000000"/>
          <w:sz w:val="24"/>
          <w:szCs w:val="24"/>
          <w:highlight w:val="none"/>
        </w:rPr>
      </w:pPr>
    </w:p>
    <w:p w14:paraId="613FA88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eastAsia="宋体" w:cs="宋体"/>
          <w:color w:val="000000"/>
          <w:sz w:val="24"/>
          <w:szCs w:val="24"/>
          <w:highlight w:val="none"/>
        </w:rPr>
      </w:pPr>
    </w:p>
    <w:p w14:paraId="63AC9830">
      <w:pPr>
        <w:spacing w:line="360" w:lineRule="auto"/>
        <w:jc w:val="center"/>
        <w:rPr>
          <w:rFonts w:ascii="宋体" w:hAnsi="宋体" w:eastAsia="宋体" w:cs="宋体"/>
          <w:color w:val="000000"/>
          <w:sz w:val="24"/>
          <w:szCs w:val="24"/>
          <w:highlight w:val="none"/>
        </w:rPr>
      </w:pPr>
    </w:p>
    <w:p w14:paraId="227BBEA6">
      <w:pPr>
        <w:autoSpaceDE w:val="0"/>
        <w:spacing w:line="360" w:lineRule="auto"/>
        <w:ind w:right="246" w:firstLine="784"/>
        <w:rPr>
          <w:rFonts w:ascii="宋体" w:hAnsi="宋体" w:eastAsia="宋体" w:cs="宋体"/>
          <w:color w:val="000000"/>
          <w:kern w:val="0"/>
          <w:sz w:val="24"/>
          <w:szCs w:val="24"/>
          <w:highlight w:val="none"/>
        </w:rPr>
      </w:pPr>
    </w:p>
    <w:p w14:paraId="5573F48D">
      <w:pPr>
        <w:pStyle w:val="50"/>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供应商（盖单位章）：                           </w:t>
      </w:r>
    </w:p>
    <w:p w14:paraId="6110CFF7">
      <w:pPr>
        <w:pStyle w:val="50"/>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法定代表人（签字或盖章）：                     </w:t>
      </w:r>
    </w:p>
    <w:p w14:paraId="0DDC55FB">
      <w:pPr>
        <w:spacing w:line="360" w:lineRule="auto"/>
        <w:ind w:firstLine="420"/>
        <w:jc w:val="left"/>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年   月   日 </w:t>
      </w:r>
    </w:p>
    <w:p w14:paraId="0FA9BB12">
      <w:pPr>
        <w:pStyle w:val="87"/>
        <w:spacing w:line="360" w:lineRule="auto"/>
        <w:ind w:left="0" w:firstLine="0"/>
        <w:rPr>
          <w:rFonts w:ascii="宋体" w:hAnsi="宋体" w:eastAsia="宋体" w:cs="宋体"/>
          <w:b/>
          <w:color w:val="000000"/>
          <w:kern w:val="2"/>
          <w:sz w:val="28"/>
          <w:szCs w:val="28"/>
          <w:highlight w:val="none"/>
          <w:u w:val="none"/>
          <w:lang w:val="en-US" w:eastAsia="zh-CN" w:bidi="ar-SA"/>
        </w:rPr>
      </w:pPr>
    </w:p>
    <w:p w14:paraId="449EE0F7">
      <w:pPr>
        <w:pStyle w:val="50"/>
        <w:tabs>
          <w:tab w:val="left" w:pos="5580"/>
        </w:tabs>
        <w:spacing w:line="360" w:lineRule="auto"/>
        <w:rPr>
          <w:rFonts w:ascii="宋体" w:hAnsi="宋体" w:eastAsia="宋体" w:cs="宋体"/>
          <w:b/>
          <w:bCs/>
          <w:color w:val="000000"/>
          <w:sz w:val="24"/>
          <w:szCs w:val="28"/>
          <w:highlight w:val="none"/>
          <w:lang w:val="en-US" w:eastAsia="zh-CN"/>
        </w:rPr>
      </w:pPr>
    </w:p>
    <w:p w14:paraId="16819191">
      <w:pPr>
        <w:pStyle w:val="50"/>
        <w:tabs>
          <w:tab w:val="left" w:pos="5580"/>
        </w:tabs>
        <w:spacing w:line="360" w:lineRule="auto"/>
        <w:rPr>
          <w:rFonts w:ascii="宋体" w:hAnsi="宋体" w:eastAsia="宋体" w:cs="宋体"/>
          <w:b/>
          <w:bCs/>
          <w:color w:val="000000"/>
          <w:sz w:val="24"/>
          <w:highlight w:val="none"/>
          <w:lang w:val="en-US" w:eastAsia="zh-CN"/>
        </w:rPr>
      </w:pPr>
    </w:p>
    <w:p w14:paraId="70967A04">
      <w:pPr>
        <w:pStyle w:val="50"/>
        <w:tabs>
          <w:tab w:val="left" w:pos="5580"/>
        </w:tabs>
        <w:spacing w:line="360" w:lineRule="auto"/>
        <w:rPr>
          <w:rFonts w:ascii="宋体" w:hAnsi="宋体" w:eastAsia="宋体" w:cs="宋体"/>
          <w:b/>
          <w:bCs/>
          <w:color w:val="000000"/>
          <w:sz w:val="24"/>
          <w:highlight w:val="none"/>
          <w:lang w:val="en-US" w:eastAsia="zh-CN"/>
        </w:rPr>
      </w:pPr>
    </w:p>
    <w:p w14:paraId="1090B803">
      <w:pPr>
        <w:pStyle w:val="50"/>
        <w:tabs>
          <w:tab w:val="left" w:pos="5580"/>
        </w:tabs>
        <w:spacing w:line="360" w:lineRule="auto"/>
        <w:rPr>
          <w:rFonts w:ascii="宋体" w:hAnsi="宋体" w:eastAsia="宋体" w:cs="宋体"/>
          <w:b/>
          <w:bCs/>
          <w:color w:val="000000"/>
          <w:sz w:val="24"/>
          <w:highlight w:val="none"/>
          <w:lang w:val="en-US" w:eastAsia="zh-CN"/>
        </w:rPr>
      </w:pPr>
    </w:p>
    <w:p w14:paraId="1FD78AC1">
      <w:pPr>
        <w:pStyle w:val="50"/>
        <w:tabs>
          <w:tab w:val="left" w:pos="5580"/>
        </w:tabs>
        <w:spacing w:line="360" w:lineRule="auto"/>
        <w:rPr>
          <w:rFonts w:ascii="宋体" w:hAnsi="宋体" w:eastAsia="宋体" w:cs="宋体"/>
          <w:b/>
          <w:bCs/>
          <w:color w:val="000000"/>
          <w:sz w:val="24"/>
          <w:highlight w:val="none"/>
          <w:lang w:val="en-US" w:eastAsia="zh-CN"/>
        </w:rPr>
      </w:pPr>
    </w:p>
    <w:p w14:paraId="3D63C01E">
      <w:pPr>
        <w:pStyle w:val="50"/>
        <w:tabs>
          <w:tab w:val="left" w:pos="5580"/>
        </w:tabs>
        <w:spacing w:line="360" w:lineRule="auto"/>
        <w:rPr>
          <w:rFonts w:ascii="宋体" w:hAnsi="宋体" w:eastAsia="宋体" w:cs="宋体"/>
          <w:b/>
          <w:bCs/>
          <w:color w:val="000000"/>
          <w:sz w:val="24"/>
          <w:highlight w:val="none"/>
          <w:lang w:val="en-US" w:eastAsia="zh-CN"/>
        </w:rPr>
      </w:pPr>
    </w:p>
    <w:p w14:paraId="3F2ED0C4">
      <w:pPr>
        <w:pStyle w:val="50"/>
        <w:tabs>
          <w:tab w:val="left" w:pos="5580"/>
        </w:tabs>
        <w:spacing w:line="360" w:lineRule="auto"/>
        <w:rPr>
          <w:rFonts w:ascii="宋体" w:hAnsi="宋体" w:eastAsia="宋体" w:cs="宋体"/>
          <w:b/>
          <w:bCs/>
          <w:color w:val="000000"/>
          <w:sz w:val="24"/>
          <w:highlight w:val="none"/>
          <w:lang w:val="en-US" w:eastAsia="zh-CN"/>
        </w:rPr>
      </w:pPr>
    </w:p>
    <w:p w14:paraId="3690E679">
      <w:pPr>
        <w:rPr>
          <w:rFonts w:ascii="宋体" w:hAnsi="宋体" w:eastAsia="宋体" w:cs="宋体"/>
          <w:b/>
          <w:bCs/>
          <w:color w:val="000000"/>
          <w:sz w:val="24"/>
          <w:highlight w:val="none"/>
          <w:lang w:val="en-US" w:eastAsia="zh-CN"/>
        </w:rPr>
      </w:pPr>
    </w:p>
    <w:p w14:paraId="01797D77">
      <w:pPr>
        <w:rPr>
          <w:rFonts w:ascii="宋体" w:hAnsi="宋体" w:eastAsia="宋体" w:cs="宋体"/>
          <w:b/>
          <w:bCs/>
          <w:color w:val="000000"/>
          <w:sz w:val="24"/>
          <w:highlight w:val="none"/>
          <w:lang w:val="en-US" w:eastAsia="zh-CN"/>
        </w:rPr>
      </w:pPr>
    </w:p>
    <w:p w14:paraId="63218E9D">
      <w:pPr>
        <w:pStyle w:val="50"/>
        <w:tabs>
          <w:tab w:val="left" w:pos="5580"/>
        </w:tabs>
        <w:spacing w:line="360" w:lineRule="auto"/>
        <w:ind w:left="269"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eastAsia="宋体" w:cs="宋体"/>
          <w:b/>
          <w:bCs/>
          <w:color w:val="000000"/>
          <w:sz w:val="24"/>
          <w:lang w:val="en-US" w:eastAsia="zh-CN"/>
        </w:rPr>
        <w:t>2</w:t>
      </w:r>
      <w:r>
        <w:rPr>
          <w:rFonts w:ascii="宋体" w:hAnsi="宋体" w:cs="宋体"/>
          <w:color w:val="000000"/>
          <w:sz w:val="24"/>
          <w:lang w:val="en-US" w:eastAsia="zh-CN"/>
        </w:rPr>
        <w:t>：</w:t>
      </w:r>
    </w:p>
    <w:p w14:paraId="10D49319">
      <w:pPr>
        <w:pStyle w:val="3"/>
        <w:numPr>
          <w:ilvl w:val="0"/>
          <w:numId w:val="0"/>
        </w:numPr>
        <w:spacing w:before="0" w:after="0" w:line="360" w:lineRule="auto"/>
        <w:ind w:left="0" w:firstLine="0"/>
        <w:jc w:val="center"/>
        <w:rPr>
          <w:rFonts w:ascii="宋体" w:hAnsi="宋体" w:eastAsia="宋体" w:cs="宋体"/>
          <w:b/>
          <w:bCs/>
          <w:color w:val="000000"/>
          <w:sz w:val="24"/>
          <w:highlight w:val="none"/>
          <w:u w:val="single"/>
          <w:lang w:eastAsia="zh-CN"/>
        </w:rPr>
      </w:pPr>
      <w:r>
        <w:rPr>
          <w:rFonts w:ascii="宋体" w:hAnsi="宋体" w:cs="宋体"/>
          <w:b/>
          <w:bCs/>
          <w:color w:val="000000"/>
          <w:sz w:val="24"/>
        </w:rPr>
        <w:t>法定代表人授权委托书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1ECE7F2B">
      <w:pPr>
        <w:pStyle w:val="50"/>
        <w:spacing w:line="360" w:lineRule="auto"/>
        <w:ind w:left="1080" w:hanging="540"/>
        <w:rPr>
          <w:rFonts w:ascii="宋体" w:hAnsi="宋体" w:eastAsia="宋体" w:cs="宋体"/>
          <w:b/>
          <w:bCs/>
          <w:color w:val="000000"/>
          <w:sz w:val="24"/>
          <w:highlight w:val="none"/>
          <w:u w:val="single"/>
          <w:lang w:eastAsia="zh-CN"/>
        </w:rPr>
      </w:pPr>
    </w:p>
    <w:p w14:paraId="23853E5D">
      <w:pPr>
        <w:pStyle w:val="50"/>
        <w:tabs>
          <w:tab w:val="left" w:pos="5580"/>
        </w:tabs>
        <w:spacing w:line="360" w:lineRule="auto"/>
        <w:rPr>
          <w:rFonts w:ascii="宋体" w:hAnsi="宋体" w:eastAsia="宋体" w:cs="宋体"/>
          <w:color w:val="000000"/>
          <w:sz w:val="21"/>
          <w:szCs w:val="16"/>
          <w:highlight w:val="none"/>
        </w:rPr>
      </w:pPr>
      <w:r>
        <w:rPr>
          <w:rFonts w:eastAsia="宋体" w:cs="宋体"/>
          <w:color w:val="000000"/>
          <w:sz w:val="24"/>
        </w:rPr>
        <w:t xml:space="preserve"> </w:t>
      </w:r>
      <w:r>
        <w:rPr>
          <w:rFonts w:eastAsia="宋体" w:cs="宋体"/>
          <w:color w:val="000000"/>
          <w:sz w:val="24"/>
          <w:szCs w:val="20"/>
        </w:rPr>
        <w:t xml:space="preserve">  </w:t>
      </w:r>
      <w:r>
        <w:rPr>
          <w:rFonts w:eastAsia="宋体" w:cs="宋体"/>
          <w:color w:val="000000"/>
          <w:sz w:val="22"/>
          <w:szCs w:val="18"/>
        </w:rPr>
        <w:t xml:space="preserve"> </w:t>
      </w:r>
      <w:r>
        <w:rPr>
          <w:rFonts w:ascii="宋体" w:hAnsi="宋体" w:cs="宋体"/>
          <w:color w:val="000000"/>
          <w:sz w:val="21"/>
          <w:szCs w:val="16"/>
        </w:rPr>
        <w:t>本授权书声明</w:t>
      </w:r>
      <w:r>
        <w:rPr>
          <w:rFonts w:ascii="宋体" w:hAnsi="宋体" w:cs="宋体"/>
          <w:i w:val="0"/>
          <w:iCs w:val="0"/>
          <w:color w:val="000000"/>
          <w:sz w:val="21"/>
          <w:szCs w:val="16"/>
        </w:rPr>
        <w:t>：注册于</w:t>
      </w:r>
      <w:r>
        <w:rPr>
          <w:rFonts w:ascii="宋体" w:hAnsi="宋体" w:cs="宋体"/>
          <w:i w:val="0"/>
          <w:iCs w:val="0"/>
          <w:color w:val="000000"/>
          <w:sz w:val="21"/>
          <w:szCs w:val="16"/>
          <w:u w:val="single"/>
        </w:rPr>
        <w:t>（国家或地区的名称）</w:t>
      </w:r>
      <w:r>
        <w:rPr>
          <w:rFonts w:ascii="宋体" w:hAnsi="宋体" w:cs="宋体"/>
          <w:i w:val="0"/>
          <w:iCs w:val="0"/>
          <w:color w:val="000000"/>
          <w:sz w:val="21"/>
          <w:szCs w:val="16"/>
        </w:rPr>
        <w:t>的（</w:t>
      </w:r>
      <w:r>
        <w:rPr>
          <w:rFonts w:ascii="宋体" w:hAnsi="宋体" w:cs="宋体"/>
          <w:i w:val="0"/>
          <w:iCs w:val="0"/>
          <w:color w:val="000000"/>
          <w:sz w:val="21"/>
          <w:szCs w:val="16"/>
          <w:u w:val="single"/>
        </w:rPr>
        <w:t>供应商</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法人代表姓名、职务</w:t>
      </w:r>
      <w:r>
        <w:rPr>
          <w:rFonts w:ascii="宋体" w:hAnsi="宋体" w:cs="宋体"/>
          <w:i w:val="0"/>
          <w:iCs w:val="0"/>
          <w:color w:val="000000"/>
          <w:sz w:val="21"/>
          <w:szCs w:val="16"/>
        </w:rPr>
        <w:t>）代表我单位授权（</w:t>
      </w:r>
      <w:r>
        <w:rPr>
          <w:rFonts w:ascii="宋体" w:hAnsi="宋体" w:cs="宋体"/>
          <w:i w:val="0"/>
          <w:iCs w:val="0"/>
          <w:color w:val="000000"/>
          <w:sz w:val="21"/>
          <w:szCs w:val="16"/>
          <w:u w:val="single"/>
        </w:rPr>
        <w:t>单位名称</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被授权人的姓名、职务</w:t>
      </w:r>
      <w:r>
        <w:rPr>
          <w:rFonts w:ascii="宋体" w:hAnsi="宋体" w:cs="宋体"/>
          <w:i w:val="0"/>
          <w:iCs w:val="0"/>
          <w:color w:val="000000"/>
          <w:sz w:val="21"/>
          <w:szCs w:val="16"/>
        </w:rPr>
        <w:t>）</w:t>
      </w:r>
      <w:r>
        <w:rPr>
          <w:rFonts w:ascii="宋体" w:hAnsi="宋体" w:cs="宋体"/>
          <w:color w:val="000000"/>
          <w:sz w:val="21"/>
          <w:szCs w:val="16"/>
        </w:rPr>
        <w:t>为我单位的合法代理人，</w:t>
      </w:r>
      <w:r>
        <w:rPr>
          <w:rFonts w:ascii="宋体" w:hAnsi="宋体" w:cs="宋体"/>
          <w:i w:val="0"/>
          <w:iCs w:val="0"/>
          <w:color w:val="000000"/>
          <w:sz w:val="21"/>
          <w:szCs w:val="16"/>
        </w:rPr>
        <w:t>就（</w:t>
      </w:r>
      <w:r>
        <w:rPr>
          <w:rFonts w:ascii="宋体" w:hAnsi="宋体" w:cs="宋体"/>
          <w:i w:val="0"/>
          <w:iCs w:val="0"/>
          <w:color w:val="000000"/>
          <w:sz w:val="21"/>
          <w:szCs w:val="16"/>
          <w:u w:val="single"/>
        </w:rPr>
        <w:t>项目名称</w:t>
      </w:r>
      <w:r>
        <w:rPr>
          <w:rFonts w:ascii="宋体" w:hAnsi="宋体" w:cs="宋体"/>
          <w:color w:val="000000"/>
          <w:sz w:val="21"/>
          <w:szCs w:val="16"/>
        </w:rPr>
        <w:t>）响应，以我单位名义处理一切与之有关的事务。</w:t>
      </w:r>
    </w:p>
    <w:p w14:paraId="42C8F83E">
      <w:pPr>
        <w:pStyle w:val="50"/>
        <w:tabs>
          <w:tab w:val="left" w:pos="5580"/>
        </w:tabs>
        <w:spacing w:line="360" w:lineRule="auto"/>
        <w:rPr>
          <w:rFonts w:ascii="宋体" w:hAnsi="宋体" w:eastAsia="宋体" w:cs="宋体"/>
          <w:color w:val="000000"/>
          <w:sz w:val="22"/>
          <w:szCs w:val="18"/>
          <w:highlight w:val="none"/>
        </w:rPr>
      </w:pPr>
      <w:r>
        <w:rPr>
          <w:rFonts w:ascii="宋体" w:hAnsi="宋体" w:cs="宋体"/>
          <w:color w:val="000000"/>
          <w:sz w:val="21"/>
          <w:szCs w:val="16"/>
        </w:rPr>
        <w:t>　　本授权书于</w:t>
      </w:r>
      <w:r>
        <w:rPr>
          <w:rFonts w:ascii="宋体" w:hAnsi="宋体" w:cs="宋体"/>
          <w:color w:val="000000"/>
          <w:sz w:val="21"/>
          <w:szCs w:val="16"/>
          <w:u w:val="single"/>
        </w:rPr>
        <w:t xml:space="preserve">           </w:t>
      </w:r>
      <w:r>
        <w:rPr>
          <w:rFonts w:ascii="宋体" w:hAnsi="宋体" w:cs="宋体"/>
          <w:color w:val="000000"/>
          <w:sz w:val="21"/>
          <w:szCs w:val="16"/>
        </w:rPr>
        <w:t>年</w:t>
      </w:r>
      <w:r>
        <w:rPr>
          <w:rFonts w:ascii="宋体" w:hAnsi="宋体" w:cs="宋体"/>
          <w:color w:val="000000"/>
          <w:sz w:val="21"/>
          <w:szCs w:val="16"/>
          <w:u w:val="single"/>
        </w:rPr>
        <w:t xml:space="preserve">     </w:t>
      </w:r>
      <w:r>
        <w:rPr>
          <w:rFonts w:ascii="宋体" w:hAnsi="宋体" w:cs="宋体"/>
          <w:color w:val="000000"/>
          <w:sz w:val="21"/>
          <w:szCs w:val="16"/>
        </w:rPr>
        <w:t>月</w:t>
      </w:r>
      <w:r>
        <w:rPr>
          <w:rFonts w:ascii="宋体" w:hAnsi="宋体" w:cs="宋体"/>
          <w:color w:val="000000"/>
          <w:sz w:val="21"/>
          <w:szCs w:val="16"/>
          <w:u w:val="single"/>
        </w:rPr>
        <w:t xml:space="preserve">     </w:t>
      </w:r>
      <w:r>
        <w:rPr>
          <w:rFonts w:ascii="宋体" w:hAnsi="宋体" w:cs="宋体"/>
          <w:color w:val="000000"/>
          <w:sz w:val="21"/>
          <w:szCs w:val="16"/>
        </w:rPr>
        <w:t>日签字生效</w:t>
      </w:r>
      <w:r>
        <w:rPr>
          <w:rFonts w:eastAsia="宋体" w:cs="宋体"/>
          <w:color w:val="000000"/>
          <w:sz w:val="21"/>
          <w:szCs w:val="16"/>
        </w:rPr>
        <w:t>,</w:t>
      </w:r>
      <w:r>
        <w:rPr>
          <w:rFonts w:ascii="宋体" w:hAnsi="宋体" w:cs="宋体"/>
          <w:color w:val="000000"/>
          <w:sz w:val="21"/>
          <w:szCs w:val="16"/>
        </w:rPr>
        <w:t>特此声明。</w:t>
      </w:r>
    </w:p>
    <w:p w14:paraId="2FEFE8EF">
      <w:pPr>
        <w:pStyle w:val="50"/>
        <w:tabs>
          <w:tab w:val="left" w:pos="5580"/>
        </w:tabs>
        <w:spacing w:line="360" w:lineRule="auto"/>
        <w:rPr>
          <w:rFonts w:ascii="宋体" w:hAnsi="宋体" w:eastAsia="宋体" w:cs="宋体"/>
          <w:color w:val="000000"/>
          <w:sz w:val="24"/>
          <w:szCs w:val="18"/>
          <w:highlight w:val="none"/>
        </w:rPr>
      </w:pPr>
    </w:p>
    <w:p w14:paraId="6E693B7C">
      <w:pPr>
        <w:pStyle w:val="50"/>
        <w:tabs>
          <w:tab w:val="left" w:pos="5580"/>
        </w:tabs>
        <w:spacing w:line="360" w:lineRule="auto"/>
        <w:ind w:left="-540" w:firstLine="900"/>
        <w:rPr>
          <w:rFonts w:ascii="宋体" w:hAnsi="宋体" w:eastAsia="宋体" w:cs="宋体"/>
          <w:color w:val="000000"/>
          <w:sz w:val="24"/>
          <w:highlight w:val="none"/>
        </w:rPr>
      </w:pP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20955</wp:posOffset>
                </wp:positionH>
                <wp:positionV relativeFrom="paragraph">
                  <wp:posOffset>135890</wp:posOffset>
                </wp:positionV>
                <wp:extent cx="2507615" cy="1143000"/>
                <wp:effectExtent l="5715" t="5080" r="5080" b="5715"/>
                <wp:wrapNone/>
                <wp:docPr id="13" name="流程图: 可选过程 6"/>
                <wp:cNvGraphicFramePr/>
                <a:graphic xmlns:a="http://schemas.openxmlformats.org/drawingml/2006/main">
                  <a:graphicData uri="http://schemas.microsoft.com/office/word/2010/wordprocessingShape">
                    <wps:wsp>
                      <wps:cNvSpPr/>
                      <wps:spPr>
                        <a:xfrm>
                          <a:off x="0" y="0"/>
                          <a:ext cx="2507760" cy="114300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wps:txbx>
                      <wps:bodyPr anchor="t">
                        <a:noAutofit/>
                      </wps:bodyPr>
                    </wps:wsp>
                  </a:graphicData>
                </a:graphic>
              </wp:anchor>
            </w:drawing>
          </mc:Choice>
          <mc:Fallback>
            <w:pict>
              <v:shape id="流程图: 可选过程 6" o:spid="_x0000_s1026" o:spt="176" type="#_x0000_t176" style="position:absolute;left:0pt;margin-left:1.65pt;margin-top:10.7pt;height:90pt;width:197.45pt;z-index:251660288;mso-width-relative:page;mso-height-relative:page;" fillcolor="#FFFFFF" filled="t" stroked="t" coordsize="21600,21600" o:allowincell="f" o:gfxdata="UEsDBAoAAAAAAIdO4kAAAAAAAAAAAAAAAAAEAAAAZHJzL1BLAwQUAAAACACHTuJAdyZ/ydcAAAAI&#10;AQAADwAAAGRycy9kb3ducmV2LnhtbE2PsU7DQBBEeyT+4bRIdOTONiDH+BwpiEBDASEN3cZebAvf&#10;nvFdEvP3LBWUOzOafVOuZjeoI02h92whWRhQxLVvem4t7N42VzmoEJEbHDyThW8KsKrOz0osGn/i&#10;VzpuY6ukhEOBFroYx0LrUHfkMCz8SCzeh58cRjmnVjcTnqTcDTo15lY77Fk+dDjSfUf15/bgLODm&#10;/RH752X8Wr/c6Ic8m+en3dray4vE3IGKNMe/MPziCzpUwrT3B26CGixkmQQtpMk1KLGzZZ6C2otg&#10;RNFVqf8PqH4AUEsDBBQAAAAIAIdO4kB6VCqy+wEAAOcDAAAOAAAAZHJzL2Uyb0RvYy54bWytU82O&#10;0zAQviPxDpbvNGkXuhA1Xa22KhcElRYewHWcxpLtsWy3SW9wQogDD8AL7I0TV3ia5ectGDuhZRcJ&#10;7YEckhnb8833fZ7MzjqtyE44L8GUdDzKKRGGQyXNpqSvXi4fPKbEB2YqpsCIku6Fp2fz+/dmrS3E&#10;BBpQlXAEQYwvWlvSJgRbZJnnjdDMj8AKg5s1OM0Cpm6TVY61iK5VNsnzadaCq6wDLrzH1UW/SQdE&#10;dxdAqGvJxQL4VgsTelQnFAsoyTfSejpPbOta8PCirr0IRJUUlYb0xiYYr+M7m89YsXHMNpIPFNhd&#10;KNzSpJk02PQAtWCBka2Tf0FpyR14qMOIg856IckRVDHOb3lz2TArkha02tuD6f7/wfLnu5UjssJJ&#10;OKHEMI03/u3zm+9X768/finI9YdPP1+/+/H1LS6QaXSrtb7Aoku7ckPmMYzSu9rp+EVRpEsO7w8O&#10;iy4QjouTR/np6RTN57g3Hj88yfN0B9mx3DofngrQJAYlrRW0Fw1z4VwF4QwLYtXPTrKb7Z75gDyw&#10;/nddpOBByWoplUqJ26wvlCM7hjOwTE8UgiU3jilD2pI+OUF2/4ZAykfWNyC0RIo9tDLYIXrVuxOj&#10;0K27wbI1VHu0nRneAA5jSB0NnG8D1DLpiQX9qQEH7z9xHmY1DtifeTp1/D/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3Jn/J1wAAAAgBAAAPAAAAAAAAAAEAIAAAACIAAABkcnMvZG93bnJldi54&#10;bWxQSwECFAAUAAAACACHTuJAelQqsvsBAADnAwAADgAAAAAAAAABACAAAAAmAQAAZHJzL2Uyb0Rv&#10;Yy54bWxQSwUGAAAAAAYABgBZAQAAkwUAAAAA&#10;">
                <v:fill on="t" focussize="0,0"/>
                <v:stroke weight="0.737007874015748pt" color="#000000" joinstyle="miter"/>
                <v:imagedata o:title=""/>
                <o:lock v:ext="edit" aspectratio="f"/>
                <v:textbo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v:textbox>
              </v:shape>
            </w:pict>
          </mc:Fallback>
        </mc:AlternateContent>
      </w: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3039110</wp:posOffset>
                </wp:positionH>
                <wp:positionV relativeFrom="paragraph">
                  <wp:posOffset>167640</wp:posOffset>
                </wp:positionV>
                <wp:extent cx="2478405" cy="1125220"/>
                <wp:effectExtent l="8890" t="8255" r="8255" b="8890"/>
                <wp:wrapNone/>
                <wp:docPr id="14" name="圆角矩形 4"/>
                <wp:cNvGraphicFramePr/>
                <a:graphic xmlns:a="http://schemas.openxmlformats.org/drawingml/2006/main">
                  <a:graphicData uri="http://schemas.microsoft.com/office/word/2010/wordprocessingShape">
                    <wps:wsp>
                      <wps:cNvSpPr/>
                      <wps:spPr>
                        <a:xfrm>
                          <a:off x="0" y="0"/>
                          <a:ext cx="2478240" cy="112536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wps:txbx>
                      <wps:bodyPr anchor="t">
                        <a:noAutofit/>
                      </wps:bodyPr>
                    </wps:wsp>
                  </a:graphicData>
                </a:graphic>
              </wp:anchor>
            </w:drawing>
          </mc:Choice>
          <mc:Fallback>
            <w:pict>
              <v:roundrect id="圆角矩形 4" o:spid="_x0000_s1026" o:spt="2" style="position:absolute;left:0pt;margin-left:239.3pt;margin-top:13.2pt;height:88.6pt;width:195.15pt;z-index:251660288;mso-width-relative:page;mso-height-relative:page;" fillcolor="#FFFFFF" filled="t" stroked="t" coordsize="21600,21600" o:allowincell="f" arcsize="0.166666666666667" o:gfxdata="UEsDBAoAAAAAAIdO4kAAAAAAAAAAAAAAAAAEAAAAZHJzL1BLAwQUAAAACACHTuJAqyAiK9YAAAAK&#10;AQAADwAAAGRycy9kb3ducmV2LnhtbE2PQU7DMBBF90jcwRqk7qjdtHLTEKcLpIoFbCgcwImnSYQ9&#10;jmynKbfHrGA5M09/3q+PN2fZFUMcPSnYrAUwpM6bkXoFnx+nxxJYTJqMtp5QwTdGODb3d7WujF/o&#10;Ha/n1LMcQrHSCoaUporz2A3odFz7CSnfLj44nfIYem6CXnK4s7wQQnKnR8ofBj3h84Dd13l2Cmja&#10;ty/BiZOdl7euuLgD+dek1OphI56AJbylPxh+9bM6NNmp9TOZyKyC3b6UGVVQyB2wDJSyPABr80Js&#10;JfCm5v8rND9QSwMEFAAAAAgAh07iQFtLcsL4AQAA+QMAAA4AAABkcnMvZTJvRG9jLnhtbK1TXY7T&#10;MBB+R+IOlt9p2tLtVlXTFaIqLwhWLBzA9U9jZHss222yF+AAPCMh8YI4BMdZwTEYO6ELC0L7QCIl&#10;M/HM5+/7PFlddNaQowxRg6vpZDSmRDoOQrt9Td+83j5aUBITc4IZcLKm1zLSi/XDB6vWL+UUGjBC&#10;BoIgLi5bX9MmJb+sqsgbaVkcgZcOFxUEyxKmYV+JwFpEt6aajsfzqoUgfAAuY8Svm36RDojhPoCg&#10;lOZyA/xgpUs9apCGJZQUG+0jXRe2SkmeXioVZSKmpqg0lSdugvEuP6v1ii33gflG84ECuw+FO5os&#10;0w43PUFtWGLkEPQfUFbzABFUGnGwVS+kOIIqJuM73lw1zMuiBa2O/mR6/H+w/MXxMhAtcBJmlDhm&#10;8cRvPrz7/vn9t49fbr5+IrNsUevjEiuv/GUYsohh1tupYPMblZCu2Hp9slV2iXD8OJ2dL6YzdJzj&#10;2mQyPXs8L8ZXt+0+xPRMgiU5qGmAgxOv8PCKp+z4PKZirhgYMvGWEmUNHtWRGTKZz+fnmSciDsUY&#10;/cTMnRGMFlttTEnCfvfUBIKtNd2Wa2j+rcw40iLfswVS/zfGYpzvv2EUIT0x45BfNrK3Lkep23WD&#10;nzsQ13gQzPEGcDx74Q6eHBIonTJCbuirhgQnoigepjeP3K95qbr9Y9c/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gIivWAAAACgEAAA8AAAAAAAAAAQAgAAAAIgAAAGRycy9kb3ducmV2LnhtbFBL&#10;AQIUABQAAAAIAIdO4kBbS3LC+AEAAPkDAAAOAAAAAAAAAAEAIAAAACUBAABkcnMvZTJvRG9jLnht&#10;bFBLBQYAAAAABgAGAFkBAACPBQAAAAA=&#10;">
                <v:fill on="t" focussize="0,0"/>
                <v:stroke weight="1.24724409448819pt" color="#808080" joinstyle="round"/>
                <v:imagedata o:title=""/>
                <o:lock v:ext="edit" aspectratio="f"/>
                <v:textbo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v:textbox>
              </v:roundrect>
            </w:pict>
          </mc:Fallback>
        </mc:AlternateContent>
      </w:r>
    </w:p>
    <w:p w14:paraId="5989A16D">
      <w:pPr>
        <w:spacing w:line="360" w:lineRule="auto"/>
        <w:ind w:firstLine="240"/>
        <w:rPr>
          <w:rFonts w:ascii="宋体" w:hAnsi="宋体" w:eastAsia="宋体" w:cs="宋体"/>
          <w:color w:val="000000"/>
          <w:sz w:val="24"/>
          <w:highlight w:val="none"/>
        </w:rPr>
      </w:pPr>
    </w:p>
    <w:p w14:paraId="33F65709">
      <w:pPr>
        <w:spacing w:line="360" w:lineRule="auto"/>
        <w:ind w:firstLine="240"/>
        <w:rPr>
          <w:rFonts w:ascii="宋体" w:hAnsi="宋体" w:eastAsia="宋体" w:cs="宋体"/>
          <w:color w:val="000000"/>
          <w:sz w:val="24"/>
          <w:highlight w:val="none"/>
        </w:rPr>
      </w:pPr>
    </w:p>
    <w:p w14:paraId="3FC912B0">
      <w:pPr>
        <w:spacing w:line="360" w:lineRule="auto"/>
        <w:ind w:firstLine="240"/>
        <w:rPr>
          <w:rFonts w:ascii="宋体" w:hAnsi="宋体" w:eastAsia="宋体" w:cs="宋体"/>
          <w:color w:val="000000"/>
          <w:sz w:val="24"/>
          <w:highlight w:val="none"/>
        </w:rPr>
      </w:pPr>
    </w:p>
    <w:p w14:paraId="6A4E994E">
      <w:pPr>
        <w:spacing w:line="360" w:lineRule="auto"/>
        <w:ind w:firstLine="240"/>
        <w:rPr>
          <w:rFonts w:ascii="宋体" w:hAnsi="宋体" w:eastAsia="宋体" w:cs="宋体"/>
          <w:color w:val="000000"/>
          <w:sz w:val="24"/>
          <w:highlight w:val="none"/>
        </w:rPr>
      </w:pPr>
    </w:p>
    <w:p w14:paraId="25CF123D">
      <w:pPr>
        <w:spacing w:line="360" w:lineRule="auto"/>
        <w:ind w:firstLine="240"/>
        <w:rPr>
          <w:rFonts w:ascii="宋体" w:hAnsi="宋体" w:eastAsia="宋体" w:cs="宋体"/>
          <w:color w:val="000000"/>
          <w:sz w:val="24"/>
          <w:highlight w:val="none"/>
        </w:rPr>
      </w:pP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-10795</wp:posOffset>
                </wp:positionH>
                <wp:positionV relativeFrom="paragraph">
                  <wp:posOffset>29845</wp:posOffset>
                </wp:positionV>
                <wp:extent cx="2555240" cy="1024890"/>
                <wp:effectExtent l="8255" t="8255" r="8890" b="8890"/>
                <wp:wrapNone/>
                <wp:docPr id="15" name="圆角矩形 3"/>
                <wp:cNvGraphicFramePr/>
                <a:graphic xmlns:a="http://schemas.openxmlformats.org/drawingml/2006/main">
                  <a:graphicData uri="http://schemas.microsoft.com/office/word/2010/wordprocessingShape">
                    <wps:wsp>
                      <wps:cNvSpPr/>
                      <wps:spPr>
                        <a:xfrm>
                          <a:off x="0" y="0"/>
                          <a:ext cx="2555280" cy="102492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wps:txbx>
                      <wps:bodyPr anchor="t">
                        <a:noAutofit/>
                      </wps:bodyPr>
                    </wps:wsp>
                  </a:graphicData>
                </a:graphic>
              </wp:anchor>
            </w:drawing>
          </mc:Choice>
          <mc:Fallback>
            <w:pict>
              <v:roundrect id="圆角矩形 3" o:spid="_x0000_s1026" o:spt="2" style="position:absolute;left:0pt;margin-left:-0.85pt;margin-top:2.35pt;height:80.7pt;width:201.2pt;z-index:251660288;mso-width-relative:page;mso-height-relative:page;" fillcolor="#FFFFFF" filled="t" stroked="t" coordsize="21600,21600" o:allowincell="f" arcsize="0.166666666666667" o:gfxdata="UEsDBAoAAAAAAIdO4kAAAAAAAAAAAAAAAAAEAAAAZHJzL1BLAwQUAAAACACHTuJAqbB2+tQAAAAI&#10;AQAADwAAAGRycy9kb3ducmV2LnhtbE2PwU7DMBBE70j8g7WVuLV2qiqFEKcHpIoDXCh8gBNvk6j2&#10;OrKdpvw9ywlOu6sZzb6pDzfvxBVjGgNpKDYKBFIX7Ei9hq/P4/oRRMqGrHGBUMM3Jjg093e1qWxY&#10;6AOvp9wLDqFUGQ1DzlMlZeoG9CZtwoTE2jlEbzKfsZc2moXDvZNbpUrpzUj8YTATvgzYXU6z10DT&#10;vn2NXh3dvLx327N/ovCWtX5YFeoZRMZb/jPDLz6jQ8NMbZjJJuE0rIs9OzXseLC8U4qXln1lWYBs&#10;avm/QPMDUEsDBBQAAAAIAIdO4kCEeNPy+gEAAPkDAAAOAAAAZHJzL2Uyb0RvYy54bWytU82O0zAQ&#10;viPxDpbvNGnYlhI1XSGqckGwYuEBXP80Rv6T7TbpC/AAnJGQuKx4CB5nBY/B2AndHzjsgURyZuyZ&#10;z/N9M1me91qhA/dBWtPg6aTEiBtqmTS7Bn94v3mywChEYhhR1vAGH3nA56vHj5adq3llW6sY9whA&#10;TKg71+A2RlcXRaAt1yRMrOMGDoX1mkRw/a5gnnSArlVRleW86KxnzlvKQ4Dd9XCIR0T/EEArhKR8&#10;belecxMHVM8ViUAptNIFvMrVCsFpfCtE4BGpBgPTmFe4BOxtWovVktQ7T1wr6VgCeUgJ9zhpIg1c&#10;eoJak0jQ3su/oLSk3gYr4oRaXQxEsiLAYlre0+ayJY5nLiB1cCfRw/+DpW8OFx5JBpMww8gQDR2/&#10;/vLp19Xnn1+/X//4hp4miToXaoi8dBd+9AKYiW8vvE5fYIL6LOvxJCvvI6KwWc1ms2oBilM4m5bV&#10;2fMqC1/cpDsf4ituNUpGg73dG/YOmpc1JYfXIWZx2VghYR8xElpBqw5Eoel8Pn+W6gTEMRisP5gp&#10;M1gl2UYqlR2/275UHkFqgzf5GZPvhCmDuiTL4qzMZdw5DLcxFmV6/4WRiQyFKQP1JSEH6ZIV+20/&#10;6rm17AiNIIa2FsZzIG7si320QsaEkBKGqNGBiciMx+lNI3fbz1E3f+z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mwdvrUAAAACAEAAA8AAAAAAAAAAQAgAAAAIgAAAGRycy9kb3ducmV2LnhtbFBL&#10;AQIUABQAAAAIAIdO4kCEeNPy+gEAAPkDAAAOAAAAAAAAAAEAIAAAACMBAABkcnMvZTJvRG9jLnht&#10;bFBLBQYAAAAABgAGAFkBAACPBQAAAAA=&#10;">
                <v:fill on="t" focussize="0,0"/>
                <v:stroke weight="1.24724409448819pt" color="#808080" joinstyle="round"/>
                <v:imagedata o:title=""/>
                <o:lock v:ext="edit" aspectratio="f"/>
                <v:textbo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v:textbox>
              </v:roundrect>
            </w:pict>
          </mc:Fallback>
        </mc:AlternateContent>
      </w: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3018155</wp:posOffset>
                </wp:positionH>
                <wp:positionV relativeFrom="paragraph">
                  <wp:posOffset>53975</wp:posOffset>
                </wp:positionV>
                <wp:extent cx="2535555" cy="1029335"/>
                <wp:effectExtent l="8890" t="8890" r="8255" b="8255"/>
                <wp:wrapNone/>
                <wp:docPr id="16" name="圆角矩形 5"/>
                <wp:cNvGraphicFramePr/>
                <a:graphic xmlns:a="http://schemas.openxmlformats.org/drawingml/2006/main">
                  <a:graphicData uri="http://schemas.microsoft.com/office/word/2010/wordprocessingShape">
                    <wps:wsp>
                      <wps:cNvSpPr/>
                      <wps:spPr>
                        <a:xfrm>
                          <a:off x="0" y="0"/>
                          <a:ext cx="2535480" cy="102924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wps:txbx>
                      <wps:bodyPr anchor="t">
                        <a:noAutofit/>
                      </wps:bodyPr>
                    </wps:wsp>
                  </a:graphicData>
                </a:graphic>
              </wp:anchor>
            </w:drawing>
          </mc:Choice>
          <mc:Fallback>
            <w:pict>
              <v:roundrect id="圆角矩形 5" o:spid="_x0000_s1026" o:spt="2" style="position:absolute;left:0pt;margin-left:237.65pt;margin-top:4.25pt;height:81.05pt;width:199.65pt;z-index:251660288;mso-width-relative:page;mso-height-relative:page;" fillcolor="#FFFFFF" filled="t" stroked="t" coordsize="21600,21600" o:allowincell="f" arcsize="0.166666666666667" o:gfxdata="UEsDBAoAAAAAAIdO4kAAAAAAAAAAAAAAAAAEAAAAZHJzL1BLAwQUAAAACACHTuJAGHo7VtYAAAAJ&#10;AQAADwAAAGRycy9kb3ducmV2LnhtbE2PQU7DMBBF90jcwRokdtRuaZMQ4nSBVLGADS0HcOJpEmGP&#10;o9hpyu0ZVrAc/af/31T7q3figlMcAmlYrxQIpDbYgToNn6fDQwEiJkPWuECo4Rsj7Ovbm8qUNiz0&#10;gZdj6gSXUCyNhj6lsZQytj16E1dhROLsHCZvEp9TJ+1kFi73Tm6UyqQ3A/FCb0Z86bH9Os5eA415&#10;8zp5dXDz8t5uzv6JwlvS+v5urZ5BJLymPxh+9VkdanZqwkw2Cqdhm+8eGdVQ7EBwXuTbDETDYK4y&#10;kHUl/39Q/wBQSwMEFAAAAAgAh07iQBU2xkj3AQAA+QMAAA4AAABkcnMvZTJvRG9jLnhtbK1TW47T&#10;MBT9R2IPlv9p0jAtJWo6QlTlB8GIGRbg+tEY+SXbbdINsAC+kZD4QSyC5YxgGXPthA4MCM0HiZTc&#10;G997fM7xzfK81woduA/SmgZPJyVG3FDLpNk1+O3V5tECoxCJYURZwxt85AGfrx4+WHau5pVtrWLc&#10;IwAxoe5cg9sYXV0UgbZckzCxjhtYFNZrEiH1u4J50gG6VkVVlvOis545bykPAb6uh0U8Ivr7AFoh&#10;JOVrS/eamzigeq5IBEmhlS7gVWYrBKfxtRCBR6QaDEpjfsImEG/Ts1gtSb3zxLWSjhTIfSjc0aSJ&#10;NLDpCWpNIkF7L/+A0pJ6G6yIE2p1MQjJjoCKaXnHm8uWOJ61gNXBnUwP/w+WvjpceCQZTMIcI0M0&#10;nPj1x/c/vnz4/unr9bfPaJYs6lyoofLSXfgxCxAmvb3wOr1BCeqzrceTrbyPiMLHavZ4drYAxyms&#10;TcvqaXWWjS9u250P8QW3GqWgwd7uDXsDh5c9JYeXIWZz2ciQsHcYCa3gqA5Eoel8Pn+SeALiWAzR&#10;T8zUGaySbCOVyonfbZ8rj6C1wZt8jc2/lSmDOuA7WwDbf2MsynT/DSMLGYgpA/ySkYN1KYr9th/9&#10;3Fp2hIMghrYWxnMQbuyzfbRCxoSQGoaqMYGJyIrH6U0j92ueq27/2NU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Ho7VtYAAAAJAQAADwAAAAAAAAABACAAAAAiAAAAZHJzL2Rvd25yZXYueG1sUEsB&#10;AhQAFAAAAAgAh07iQBU2xkj3AQAA+QMAAA4AAAAAAAAAAQAgAAAAJQEAAGRycy9lMm9Eb2MueG1s&#10;UEsFBgAAAAAGAAYAWQEAAI4FAAAAAA==&#10;">
                <v:fill on="t" focussize="0,0"/>
                <v:stroke weight="1.24724409448819pt" color="#808080" joinstyle="round"/>
                <v:imagedata o:title=""/>
                <o:lock v:ext="edit" aspectratio="f"/>
                <v:textbo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v:textbox>
              </v:roundrect>
            </w:pict>
          </mc:Fallback>
        </mc:AlternateContent>
      </w:r>
    </w:p>
    <w:p w14:paraId="562680AB">
      <w:pPr>
        <w:spacing w:line="360" w:lineRule="auto"/>
        <w:ind w:firstLine="240"/>
        <w:rPr>
          <w:rFonts w:ascii="宋体" w:hAnsi="宋体" w:eastAsia="宋体" w:cs="宋体"/>
          <w:color w:val="000000"/>
          <w:sz w:val="24"/>
          <w:highlight w:val="none"/>
        </w:rPr>
      </w:pPr>
    </w:p>
    <w:p w14:paraId="1091B9B2">
      <w:pPr>
        <w:spacing w:line="360" w:lineRule="auto"/>
        <w:ind w:firstLine="240"/>
        <w:rPr>
          <w:rFonts w:ascii="宋体" w:hAnsi="宋体" w:eastAsia="宋体" w:cs="宋体"/>
          <w:color w:val="000000"/>
          <w:sz w:val="24"/>
          <w:highlight w:val="none"/>
        </w:rPr>
      </w:pPr>
    </w:p>
    <w:p w14:paraId="659B980E">
      <w:pPr>
        <w:spacing w:line="360" w:lineRule="auto"/>
        <w:ind w:firstLine="240"/>
        <w:rPr>
          <w:rFonts w:ascii="宋体" w:hAnsi="宋体" w:eastAsia="宋体" w:cs="宋体"/>
          <w:color w:val="000000"/>
          <w:sz w:val="24"/>
          <w:highlight w:val="none"/>
        </w:rPr>
      </w:pPr>
    </w:p>
    <w:p w14:paraId="4E4B0CDD">
      <w:pPr>
        <w:pStyle w:val="50"/>
        <w:tabs>
          <w:tab w:val="left" w:pos="5580"/>
        </w:tabs>
        <w:spacing w:line="360" w:lineRule="auto"/>
        <w:rPr>
          <w:rFonts w:ascii="宋体" w:hAnsi="宋体" w:eastAsia="宋体" w:cs="宋体"/>
          <w:color w:val="000000"/>
          <w:sz w:val="24"/>
          <w:highlight w:val="none"/>
        </w:rPr>
      </w:pPr>
    </w:p>
    <w:p w14:paraId="318B3C26">
      <w:pPr>
        <w:pStyle w:val="50"/>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供应商（盖单位章）</w:t>
      </w:r>
      <w:r>
        <w:rPr>
          <w:rFonts w:eastAsia="宋体" w:cs="宋体"/>
          <w:color w:val="000000"/>
          <w:sz w:val="21"/>
          <w:szCs w:val="16"/>
        </w:rPr>
        <w:t>;</w:t>
      </w:r>
      <w:r>
        <w:rPr>
          <w:rFonts w:eastAsia="宋体" w:cs="宋体"/>
          <w:color w:val="000000"/>
          <w:sz w:val="21"/>
          <w:szCs w:val="16"/>
          <w:u w:val="single"/>
        </w:rPr>
        <w:t xml:space="preserve">                           </w:t>
      </w:r>
    </w:p>
    <w:p w14:paraId="7D94D85A">
      <w:pPr>
        <w:pStyle w:val="50"/>
        <w:tabs>
          <w:tab w:val="left" w:pos="5580"/>
        </w:tabs>
        <w:spacing w:line="360" w:lineRule="auto"/>
        <w:ind w:firstLine="420"/>
        <w:rPr>
          <w:rFonts w:ascii="宋体" w:hAnsi="宋体" w:eastAsia="宋体" w:cs="宋体"/>
          <w:color w:val="000000"/>
          <w:sz w:val="21"/>
          <w:szCs w:val="16"/>
          <w:highlight w:val="none"/>
        </w:rPr>
      </w:pPr>
      <w:r>
        <w:rPr>
          <w:rFonts w:ascii="宋体" w:hAnsi="宋体" w:cs="宋体"/>
          <w:color w:val="000000"/>
          <w:sz w:val="21"/>
          <w:szCs w:val="16"/>
        </w:rPr>
        <w:t>法定代表人（签字或</w:t>
      </w:r>
      <w:r>
        <w:rPr>
          <w:rFonts w:ascii="宋体" w:hAnsi="宋体" w:cs="宋体"/>
          <w:color w:val="000000"/>
          <w:sz w:val="21"/>
          <w:szCs w:val="16"/>
          <w:lang w:val="en-US" w:eastAsia="zh-CN"/>
        </w:rPr>
        <w:t>盖章</w:t>
      </w:r>
      <w:r>
        <w:rPr>
          <w:rFonts w:ascii="宋体" w:hAnsi="宋体" w:cs="宋体"/>
          <w:color w:val="000000"/>
          <w:sz w:val="21"/>
          <w:szCs w:val="16"/>
        </w:rPr>
        <w:t>）：</w:t>
      </w:r>
      <w:r>
        <w:rPr>
          <w:rFonts w:ascii="宋体" w:hAnsi="宋体" w:cs="宋体"/>
          <w:color w:val="000000"/>
          <w:sz w:val="21"/>
          <w:szCs w:val="16"/>
          <w:u w:val="single"/>
        </w:rPr>
        <w:t xml:space="preserve">                     </w:t>
      </w:r>
    </w:p>
    <w:p w14:paraId="2CD488B0">
      <w:pPr>
        <w:pStyle w:val="50"/>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委托代理人：</w:t>
      </w:r>
      <w:r>
        <w:rPr>
          <w:rFonts w:ascii="宋体" w:hAnsi="宋体" w:cs="宋体"/>
          <w:color w:val="000000"/>
          <w:sz w:val="21"/>
          <w:szCs w:val="16"/>
          <w:u w:val="single"/>
        </w:rPr>
        <w:t xml:space="preserve">                                   </w:t>
      </w:r>
    </w:p>
    <w:p w14:paraId="64EDA176">
      <w:pPr>
        <w:spacing w:line="360" w:lineRule="auto"/>
        <w:ind w:firstLine="420"/>
        <w:jc w:val="left"/>
        <w:rPr>
          <w:rFonts w:ascii="宋体" w:hAnsi="宋体" w:eastAsia="宋体" w:cs="宋体"/>
          <w:color w:val="000000"/>
          <w:sz w:val="22"/>
          <w:szCs w:val="22"/>
          <w:highlight w:val="none"/>
        </w:rPr>
      </w:pPr>
      <w:r>
        <w:rPr>
          <w:rFonts w:ascii="宋体" w:hAnsi="宋体" w:cs="宋体"/>
          <w:color w:val="000000"/>
          <w:kern w:val="2"/>
          <w:sz w:val="21"/>
          <w:szCs w:val="16"/>
          <w:u w:val="none" w:color="000000"/>
          <w:lang w:val="en-US" w:eastAsia="zh-CN" w:bidi="ar-SA"/>
        </w:rPr>
        <w:t xml:space="preserve">年   月   日 </w:t>
      </w:r>
    </w:p>
    <w:p w14:paraId="73757C2F">
      <w:pPr>
        <w:spacing w:line="360" w:lineRule="auto"/>
        <w:ind w:firstLine="270"/>
        <w:rPr>
          <w:rFonts w:ascii="宋体" w:hAnsi="宋体" w:eastAsia="宋体" w:cs="宋体"/>
          <w:kern w:val="2"/>
          <w:sz w:val="20"/>
          <w:szCs w:val="20"/>
          <w:lang w:val="en-US" w:eastAsia="zh-CN" w:bidi="ar-SA"/>
        </w:rPr>
      </w:pPr>
      <w:r>
        <w:rPr>
          <w:rFonts w:ascii="宋体" w:hAnsi="宋体" w:cs="宋体"/>
          <w:kern w:val="2"/>
          <w:sz w:val="20"/>
          <w:szCs w:val="20"/>
          <w:lang w:val="en-US" w:eastAsia="zh-CN" w:bidi="ar-SA"/>
        </w:rPr>
        <w:t>注：委托代理人响应的还须提供供应商（被授权人）响应文件递交截止时间近</w:t>
      </w:r>
      <w:r>
        <w:rPr>
          <w:rFonts w:ascii="宋体" w:hAnsi="宋体" w:eastAsia="宋体" w:cs="宋体"/>
          <w:kern w:val="2"/>
          <w:sz w:val="20"/>
          <w:szCs w:val="20"/>
          <w:lang w:val="en-US" w:eastAsia="zh-CN" w:bidi="ar-SA"/>
        </w:rPr>
        <w:t>6</w:t>
      </w:r>
      <w:r>
        <w:rPr>
          <w:rFonts w:ascii="宋体" w:hAnsi="宋体" w:cs="宋体"/>
          <w:kern w:val="2"/>
          <w:sz w:val="20"/>
          <w:szCs w:val="20"/>
          <w:lang w:val="en-US" w:eastAsia="zh-CN" w:bidi="ar-SA"/>
        </w:rPr>
        <w:t>个月内任意</w:t>
      </w:r>
      <w:r>
        <w:rPr>
          <w:rFonts w:ascii="宋体" w:hAnsi="宋体" w:eastAsia="宋体" w:cs="宋体"/>
          <w:kern w:val="2"/>
          <w:sz w:val="20"/>
          <w:szCs w:val="20"/>
          <w:lang w:val="en-US" w:eastAsia="zh-CN" w:bidi="ar-SA"/>
        </w:rPr>
        <w:t>1</w:t>
      </w:r>
      <w:r>
        <w:rPr>
          <w:rFonts w:ascii="宋体" w:hAnsi="宋体" w:cs="宋体"/>
          <w:kern w:val="2"/>
          <w:sz w:val="20"/>
          <w:szCs w:val="20"/>
          <w:lang w:val="en-US" w:eastAsia="zh-CN" w:bidi="ar-SA"/>
        </w:rPr>
        <w:t>个月的社保证明，后附社保证明文件。</w:t>
      </w:r>
      <w:r>
        <w:br w:type="page"/>
      </w:r>
    </w:p>
    <w:p w14:paraId="6C62AAFF">
      <w:pPr>
        <w:pStyle w:val="3"/>
        <w:numPr>
          <w:ilvl w:val="0"/>
          <w:numId w:val="0"/>
        </w:numPr>
        <w:spacing w:before="0" w:after="0" w:line="360" w:lineRule="auto"/>
        <w:ind w:left="0" w:firstLine="0"/>
        <w:rPr>
          <w:rFonts w:ascii="宋体" w:hAnsi="宋体" w:eastAsia="宋体" w:cs="宋体"/>
          <w:color w:val="000000"/>
          <w:kern w:val="2"/>
          <w:sz w:val="24"/>
          <w:szCs w:val="20"/>
          <w:highlight w:val="none"/>
          <w:lang w:val="en-US" w:eastAsia="zh-CN" w:bidi="ar-SA"/>
        </w:rPr>
      </w:pPr>
    </w:p>
    <w:p w14:paraId="3944407E">
      <w:pPr>
        <w:pStyle w:val="3"/>
        <w:numPr>
          <w:ilvl w:val="0"/>
          <w:numId w:val="0"/>
        </w:numPr>
        <w:spacing w:before="0" w:after="0" w:line="360" w:lineRule="auto"/>
        <w:ind w:left="0" w:firstLine="0"/>
        <w:rPr>
          <w:rFonts w:ascii="宋体" w:hAnsi="宋体" w:eastAsia="宋体" w:cs="宋体"/>
          <w:color w:val="000000"/>
          <w:sz w:val="24"/>
          <w:highlight w:val="none"/>
        </w:rPr>
      </w:pPr>
    </w:p>
    <w:p w14:paraId="5BA782AF">
      <w:pPr>
        <w:pStyle w:val="3"/>
        <w:numPr>
          <w:ilvl w:val="0"/>
          <w:numId w:val="0"/>
        </w:numPr>
        <w:spacing w:before="0" w:after="0" w:line="360" w:lineRule="auto"/>
        <w:ind w:left="0"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z w:val="24"/>
          <w:lang w:val="en-US" w:eastAsia="zh-CN"/>
        </w:rPr>
        <w:t>3</w:t>
      </w:r>
      <w:r>
        <w:rPr>
          <w:rFonts w:ascii="宋体" w:hAnsi="宋体" w:cs="宋体"/>
          <w:color w:val="000000"/>
          <w:sz w:val="24"/>
          <w:lang w:val="en-US" w:eastAsia="zh-CN"/>
        </w:rPr>
        <w:t>：</w:t>
      </w:r>
    </w:p>
    <w:p w14:paraId="0D2AFF17">
      <w:pPr>
        <w:jc w:val="center"/>
        <w:rPr>
          <w:rFonts w:ascii="宋体" w:hAnsi="宋体" w:eastAsia="宋体" w:cs="宋体"/>
          <w:b/>
          <w:bCs/>
          <w:color w:val="000000"/>
          <w:sz w:val="24"/>
          <w:highlight w:val="none"/>
          <w:lang w:val="en-US" w:eastAsia="zh-CN"/>
        </w:rPr>
      </w:pPr>
      <w:r>
        <w:rPr>
          <w:rFonts w:ascii="宋体" w:hAnsi="宋体" w:cs="宋体"/>
          <w:b/>
          <w:bCs/>
          <w:color w:val="000000"/>
          <w:kern w:val="0"/>
          <w:sz w:val="24"/>
          <w:szCs w:val="20"/>
          <w:u w:val="none"/>
          <w:lang w:val="en-US" w:eastAsia="zh-CN" w:bidi="ar-SA"/>
        </w:rPr>
        <w:t>中小企业声明函</w:t>
      </w:r>
      <w:r>
        <w:rPr>
          <w:rFonts w:ascii="宋体" w:hAnsi="宋体" w:eastAsia="宋体" w:cs="宋体"/>
          <w:b/>
          <w:bCs/>
          <w:color w:val="000000"/>
          <w:kern w:val="0"/>
          <w:sz w:val="24"/>
          <w:szCs w:val="20"/>
          <w:u w:val="none"/>
          <w:lang w:val="en-US" w:eastAsia="zh-CN" w:bidi="ar-SA"/>
        </w:rPr>
        <w:t>(</w:t>
      </w:r>
      <w:r>
        <w:rPr>
          <w:rFonts w:ascii="宋体" w:hAnsi="宋体" w:cs="宋体"/>
          <w:b/>
          <w:bCs/>
          <w:color w:val="000000"/>
          <w:kern w:val="0"/>
          <w:sz w:val="24"/>
          <w:szCs w:val="20"/>
          <w:u w:val="none"/>
          <w:lang w:val="en-US" w:eastAsia="zh-CN" w:bidi="ar-SA"/>
        </w:rPr>
        <w:t>工程</w:t>
      </w:r>
      <w:r>
        <w:rPr>
          <w:rFonts w:ascii="宋体" w:hAnsi="宋体" w:eastAsia="宋体" w:cs="宋体"/>
          <w:b/>
          <w:bCs/>
          <w:color w:val="000000"/>
          <w:kern w:val="0"/>
          <w:sz w:val="24"/>
          <w:szCs w:val="20"/>
          <w:u w:val="none"/>
          <w:lang w:val="en-US" w:eastAsia="zh-CN" w:bidi="ar-SA"/>
        </w:rPr>
        <w:t>)</w:t>
      </w:r>
    </w:p>
    <w:p w14:paraId="7CF45A85">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本公司（联合体）郑重声明，根据《政府采购促进中小企业发展管理办法》（财库﹝</w:t>
      </w:r>
      <w:r>
        <w:rPr>
          <w:rFonts w:ascii="宋体" w:hAnsi="宋体" w:eastAsia="宋体" w:cs="宋体"/>
          <w:color w:val="000000"/>
          <w:kern w:val="2"/>
          <w:sz w:val="21"/>
          <w:szCs w:val="21"/>
          <w:u w:val="none" w:color="000000"/>
          <w:lang w:val="en-US" w:eastAsia="zh-CN" w:bidi="ar-SA"/>
        </w:rPr>
        <w:t xml:space="preserve">2020﹞46 </w:t>
      </w:r>
      <w:r>
        <w:rPr>
          <w:rFonts w:ascii="宋体" w:hAnsi="宋体" w:cs="宋体"/>
          <w:color w:val="000000"/>
          <w:kern w:val="2"/>
          <w:sz w:val="21"/>
          <w:szCs w:val="21"/>
          <w:u w:val="none" w:color="000000"/>
          <w:lang w:val="en-US" w:eastAsia="zh-CN" w:bidi="ar-SA"/>
        </w:rPr>
        <w:t>号）的规定，本公司（联合体）参加</w:t>
      </w:r>
      <w:r>
        <w:rPr>
          <w:rFonts w:ascii="宋体" w:hAnsi="宋体" w:cs="宋体"/>
          <w:color w:val="000000"/>
          <w:kern w:val="2"/>
          <w:sz w:val="21"/>
          <w:szCs w:val="21"/>
          <w:u w:val="single"/>
          <w:lang w:val="en-US" w:eastAsia="zh-CN" w:bidi="ar-SA"/>
        </w:rPr>
        <w:t>（单位名称）</w:t>
      </w:r>
      <w:r>
        <w:rPr>
          <w:rFonts w:ascii="宋体" w:hAnsi="宋体" w:cs="宋体"/>
          <w:color w:val="000000"/>
          <w:kern w:val="2"/>
          <w:sz w:val="21"/>
          <w:szCs w:val="21"/>
          <w:u w:val="none" w:color="000000"/>
          <w:lang w:val="en-US" w:eastAsia="zh-CN" w:bidi="ar-SA"/>
        </w:rPr>
        <w:t>的</w:t>
      </w:r>
      <w:r>
        <w:rPr>
          <w:rFonts w:ascii="宋体" w:hAnsi="宋体" w:cs="宋体"/>
          <w:color w:val="000000"/>
          <w:kern w:val="2"/>
          <w:sz w:val="21"/>
          <w:szCs w:val="21"/>
          <w:u w:val="single"/>
          <w:lang w:val="en-US" w:eastAsia="zh-CN" w:bidi="ar-SA"/>
        </w:rPr>
        <w:t>（项目名称）</w:t>
      </w:r>
      <w:r>
        <w:rPr>
          <w:rFonts w:ascii="宋体" w:hAnsi="宋体" w:cs="宋体"/>
          <w:color w:val="000000"/>
          <w:kern w:val="2"/>
          <w:sz w:val="21"/>
          <w:szCs w:val="21"/>
          <w:u w:val="none" w:color="000000"/>
          <w:lang w:val="en-US" w:eastAsia="zh-CN" w:bidi="ar-SA"/>
        </w:rPr>
        <w:t xml:space="preserve">采购活动，工程的施工单位全部由符合政策要求的中小企业承建。相关企业 （含联合体中的中小企业、签订分包意向协议的中小企业） 的具体情况如下： </w:t>
      </w:r>
    </w:p>
    <w:p w14:paraId="675D01F8">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1.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1EE67F7B">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2.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77CB2337">
      <w:pPr>
        <w:widowControl/>
        <w:kinsoku/>
        <w:bidi w:val="0"/>
        <w:spacing w:before="100" w:after="100" w:line="380" w:lineRule="exact"/>
        <w:ind w:firstLine="420"/>
        <w:jc w:val="left"/>
        <w:rPr>
          <w:rFonts w:ascii="宋体" w:hAnsi="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w:t>
      </w:r>
    </w:p>
    <w:p w14:paraId="7D28A4FC">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以上企业，不属于大企业的分支机构，不存在控股股东为大企业的情形，也不存在与大企业的负责人为同一人的情形。</w:t>
      </w:r>
    </w:p>
    <w:p w14:paraId="2F20F0B0">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本企业对上述声明内容的真实性负责。如有虚假，将依法承担相应责任。 </w:t>
      </w:r>
    </w:p>
    <w:p w14:paraId="50B63093">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企业名称（盖章）：      </w:t>
      </w:r>
    </w:p>
    <w:p w14:paraId="33B84513">
      <w:pPr>
        <w:widowControl/>
        <w:kinsoku/>
        <w:bidi w:val="0"/>
        <w:spacing w:before="100" w:after="100" w:line="380" w:lineRule="exact"/>
        <w:ind w:firstLine="420"/>
        <w:jc w:val="left"/>
        <w:rPr>
          <w:rFonts w:ascii="宋体" w:hAnsi="宋体" w:eastAsia="宋体" w:cs="宋体"/>
          <w:kern w:val="0"/>
          <w:sz w:val="21"/>
          <w:szCs w:val="21"/>
          <w:u w:val="single"/>
        </w:rPr>
      </w:pPr>
      <w:r>
        <w:rPr>
          <w:rFonts w:ascii="宋体" w:hAnsi="宋体" w:cs="宋体"/>
          <w:color w:val="000000"/>
          <w:kern w:val="2"/>
          <w:sz w:val="21"/>
          <w:szCs w:val="21"/>
          <w:u w:val="none" w:color="000000"/>
          <w:lang w:val="en-US" w:eastAsia="zh-CN" w:bidi="ar-SA"/>
        </w:rPr>
        <w:t xml:space="preserve">日 期：    </w:t>
      </w:r>
    </w:p>
    <w:p w14:paraId="6EE0C84E">
      <w:pPr>
        <w:spacing w:before="27" w:after="0" w:line="228" w:lineRule="auto"/>
        <w:ind w:left="192" w:right="235" w:firstLine="604"/>
        <w:rPr>
          <w:rFonts w:ascii="宋体" w:hAnsi="宋体" w:eastAsia="宋体" w:cs="宋体"/>
          <w:spacing w:val="-2"/>
          <w:kern w:val="0"/>
          <w:sz w:val="28"/>
          <w:szCs w:val="28"/>
          <w:u w:val="single"/>
        </w:rPr>
      </w:pPr>
    </w:p>
    <w:p w14:paraId="24182991">
      <w:pPr>
        <w:spacing w:before="27" w:after="0" w:line="228" w:lineRule="auto"/>
        <w:ind w:left="192" w:right="235" w:firstLine="604"/>
        <w:rPr>
          <w:rFonts w:ascii="宋体" w:hAnsi="宋体" w:eastAsia="宋体" w:cs="宋体"/>
          <w:spacing w:val="-2"/>
          <w:sz w:val="28"/>
          <w:szCs w:val="28"/>
        </w:rPr>
      </w:pPr>
    </w:p>
    <w:p w14:paraId="5A0E3C62">
      <w:pPr>
        <w:spacing w:before="27" w:after="0" w:line="228" w:lineRule="auto"/>
        <w:ind w:left="192" w:right="235" w:firstLine="604"/>
        <w:rPr>
          <w:rFonts w:ascii="宋体" w:hAnsi="宋体" w:eastAsia="宋体" w:cs="宋体"/>
          <w:spacing w:val="-2"/>
          <w:sz w:val="24"/>
          <w:szCs w:val="24"/>
          <w:highlight w:val="yellow"/>
        </w:rPr>
      </w:pPr>
      <w:r>
        <w:rPr>
          <w:rFonts w:ascii="宋体" w:hAnsi="宋体" w:cs="宋体"/>
          <w:spacing w:val="-2"/>
          <w:sz w:val="24"/>
          <w:szCs w:val="24"/>
          <w:highlight w:val="yellow"/>
        </w:rPr>
        <w:t>说明：</w:t>
      </w:r>
      <w:r>
        <w:rPr>
          <w:rFonts w:ascii="宋体" w:hAnsi="宋体" w:eastAsia="宋体" w:cs="宋体"/>
          <w:spacing w:val="-2"/>
          <w:sz w:val="24"/>
          <w:szCs w:val="24"/>
          <w:highlight w:val="yellow"/>
        </w:rPr>
        <w:t>1</w:t>
      </w:r>
      <w:r>
        <w:rPr>
          <w:rFonts w:ascii="宋体" w:hAnsi="宋体" w:cs="宋体"/>
          <w:spacing w:val="-2"/>
          <w:sz w:val="24"/>
          <w:szCs w:val="24"/>
          <w:highlight w:val="yellow"/>
        </w:rPr>
        <w:t>、填写前请认真阅读《工业和信息化部、国家统计局、国家发展和改革委员会、财政部关于印发中小企业划型标准规定的通知》（工信部联企业</w:t>
      </w:r>
      <w:r>
        <w:rPr>
          <w:rFonts w:ascii="宋体" w:hAnsi="宋体" w:eastAsia="宋体" w:cs="宋体"/>
          <w:spacing w:val="-2"/>
          <w:sz w:val="24"/>
          <w:szCs w:val="24"/>
          <w:highlight w:val="yellow"/>
        </w:rPr>
        <w:t xml:space="preserve">[2011]300 </w:t>
      </w:r>
      <w:r>
        <w:rPr>
          <w:rFonts w:ascii="宋体" w:hAnsi="宋体" w:cs="宋体"/>
          <w:spacing w:val="-2"/>
          <w:sz w:val="24"/>
          <w:szCs w:val="24"/>
          <w:highlight w:val="yellow"/>
        </w:rPr>
        <w:t>号）和《政府采购促进中小企业发展管理办法》 （财库﹝</w:t>
      </w:r>
      <w:r>
        <w:rPr>
          <w:rFonts w:ascii="宋体" w:hAnsi="宋体" w:eastAsia="宋体" w:cs="宋体"/>
          <w:spacing w:val="-2"/>
          <w:sz w:val="24"/>
          <w:szCs w:val="24"/>
          <w:highlight w:val="yellow"/>
        </w:rPr>
        <w:t xml:space="preserve">2020﹞46 </w:t>
      </w:r>
      <w:r>
        <w:rPr>
          <w:rFonts w:ascii="宋体" w:hAnsi="宋体" w:cs="宋体"/>
          <w:spacing w:val="-2"/>
          <w:sz w:val="24"/>
          <w:szCs w:val="24"/>
          <w:highlight w:val="yellow"/>
        </w:rPr>
        <w:t>号）相关规定。</w:t>
      </w:r>
    </w:p>
    <w:p w14:paraId="274FA8CC">
      <w:pPr>
        <w:spacing w:before="27" w:after="0" w:line="228" w:lineRule="auto"/>
        <w:ind w:left="192" w:right="235" w:firstLine="604"/>
        <w:rPr>
          <w:rFonts w:ascii="宋体" w:hAnsi="宋体" w:eastAsia="宋体" w:cs="宋体"/>
          <w:spacing w:val="-2"/>
          <w:sz w:val="24"/>
          <w:szCs w:val="24"/>
          <w:highlight w:val="yellow"/>
        </w:rPr>
      </w:pPr>
      <w:r>
        <w:rPr>
          <w:rFonts w:ascii="宋体" w:hAnsi="宋体" w:eastAsia="宋体" w:cs="宋体"/>
          <w:spacing w:val="-2"/>
          <w:sz w:val="24"/>
          <w:szCs w:val="24"/>
          <w:highlight w:val="yellow"/>
        </w:rPr>
        <w:t>2</w:t>
      </w:r>
      <w:r>
        <w:rPr>
          <w:rFonts w:ascii="宋体" w:hAnsi="宋体" w:cs="宋体"/>
          <w:spacing w:val="-2"/>
          <w:sz w:val="24"/>
          <w:szCs w:val="24"/>
          <w:highlight w:val="yellow"/>
        </w:rPr>
        <w:t>、未按上述要求提供、填写的，评审时不予以考虑。</w:t>
      </w:r>
    </w:p>
    <w:p w14:paraId="37756BCC">
      <w:pPr>
        <w:pStyle w:val="55"/>
        <w:kinsoku/>
        <w:bidi w:val="0"/>
        <w:spacing w:line="380" w:lineRule="exact"/>
        <w:ind w:firstLine="708"/>
        <w:rPr>
          <w:rFonts w:ascii="宋体" w:hAnsi="宋体" w:eastAsia="宋体" w:cs="宋体"/>
          <w:spacing w:val="-2"/>
          <w:sz w:val="24"/>
          <w:szCs w:val="24"/>
          <w:highlight w:val="yellow"/>
          <w:lang w:eastAsia="zh-CN"/>
        </w:rPr>
      </w:pPr>
      <w:r>
        <w:rPr>
          <w:rFonts w:ascii="宋体" w:hAnsi="宋体" w:eastAsia="宋体" w:cs="宋体"/>
          <w:spacing w:val="-2"/>
          <w:sz w:val="24"/>
          <w:szCs w:val="24"/>
          <w:highlight w:val="yellow"/>
        </w:rPr>
        <w:t>3</w:t>
      </w:r>
      <w:r>
        <w:rPr>
          <w:rFonts w:ascii="宋体" w:hAnsi="宋体" w:cs="宋体"/>
          <w:spacing w:val="-2"/>
          <w:sz w:val="24"/>
          <w:szCs w:val="24"/>
          <w:highlight w:val="yellow"/>
        </w:rPr>
        <w:t>、从业人员、营业收入、资产总额填报上一年度数据，无上一年度数据的新成立企业可不填报</w:t>
      </w:r>
      <w:r>
        <w:rPr>
          <w:rFonts w:ascii="宋体" w:hAnsi="宋体" w:cs="宋体"/>
          <w:spacing w:val="-2"/>
          <w:sz w:val="24"/>
          <w:szCs w:val="24"/>
          <w:highlight w:val="yellow"/>
          <w:lang w:eastAsia="zh-CN"/>
        </w:rPr>
        <w:t>。</w:t>
      </w:r>
    </w:p>
    <w:p w14:paraId="1323E2C8">
      <w:pPr>
        <w:pStyle w:val="55"/>
        <w:kinsoku/>
        <w:bidi w:val="0"/>
        <w:spacing w:line="380" w:lineRule="exact"/>
        <w:ind w:firstLine="708"/>
        <w:rPr>
          <w:rFonts w:ascii="宋体" w:hAnsi="宋体" w:eastAsia="宋体" w:cs="宋体"/>
          <w:spacing w:val="-2"/>
          <w:sz w:val="24"/>
          <w:szCs w:val="24"/>
          <w:highlight w:val="yellow"/>
          <w:lang w:val="en-US" w:eastAsia="zh-CN"/>
        </w:rPr>
      </w:pPr>
      <w:r>
        <w:rPr>
          <w:rFonts w:ascii="宋体" w:hAnsi="宋体" w:eastAsia="宋体" w:cs="宋体"/>
          <w:spacing w:val="-2"/>
          <w:sz w:val="24"/>
          <w:szCs w:val="24"/>
          <w:highlight w:val="yellow"/>
          <w:lang w:val="en-US" w:eastAsia="zh-CN"/>
        </w:rPr>
        <w:t>4</w:t>
      </w:r>
      <w:r>
        <w:rPr>
          <w:rFonts w:ascii="宋体" w:hAnsi="宋体" w:cs="宋体"/>
          <w:spacing w:val="-2"/>
          <w:sz w:val="24"/>
          <w:szCs w:val="24"/>
          <w:highlight w:val="yellow"/>
          <w:lang w:val="en-US" w:eastAsia="zh-CN"/>
        </w:rPr>
        <w:t>、供应商须按磋商文件中明确的所属行业填列，多品目（多个标的物）项目中须按上表要求逐条填列，否则，其提供的中小企业声明将被判定为无效声明函，由此造成的后果由供应商自行承担（涉及资格的按无效响应处理；涉及价格评审优惠的，不予认定）</w:t>
      </w:r>
    </w:p>
    <w:p w14:paraId="55ED3934">
      <w:pPr>
        <w:pStyle w:val="55"/>
        <w:kinsoku/>
        <w:bidi w:val="0"/>
        <w:spacing w:line="380" w:lineRule="exact"/>
        <w:ind w:firstLine="708"/>
        <w:rPr>
          <w:rFonts w:ascii="宋体" w:hAnsi="宋体" w:eastAsia="宋体" w:cs="宋体"/>
          <w:spacing w:val="-2"/>
          <w:sz w:val="24"/>
          <w:szCs w:val="24"/>
          <w:highlight w:val="yellow"/>
          <w:lang w:val="en-US" w:eastAsia="zh-CN"/>
        </w:rPr>
        <w:sectPr>
          <w:headerReference r:id="rId23" w:type="default"/>
          <w:footerReference r:id="rId24" w:type="default"/>
          <w:pgSz w:w="11906" w:h="16838"/>
          <w:pgMar w:top="400" w:right="978" w:bottom="953" w:left="1077" w:header="0" w:footer="788" w:gutter="0"/>
          <w:pgNumType w:fmt="decimal"/>
          <w:cols w:space="720" w:num="1"/>
          <w:formProt w:val="0"/>
          <w:docGrid w:linePitch="360" w:charSpace="0"/>
        </w:sectPr>
      </w:pPr>
      <w:r>
        <w:rPr>
          <w:rFonts w:ascii="宋体" w:hAnsi="宋体" w:eastAsia="宋体" w:cs="宋体"/>
          <w:spacing w:val="-2"/>
          <w:sz w:val="24"/>
          <w:szCs w:val="24"/>
          <w:highlight w:val="yellow"/>
          <w:lang w:val="en-US" w:eastAsia="zh-CN"/>
        </w:rPr>
        <w:t>5</w:t>
      </w:r>
      <w:r>
        <w:rPr>
          <w:rFonts w:ascii="宋体" w:hAnsi="宋体" w:cs="宋体"/>
          <w:spacing w:val="-2"/>
          <w:sz w:val="24"/>
          <w:szCs w:val="24"/>
          <w:highlight w:val="yellow"/>
          <w:lang w:val="en-US" w:eastAsia="zh-CN"/>
        </w:rPr>
        <w:t>、供应商应当对其出具的《中小企业声明函》真实性负责，供应商出具的《中小企业声明函》内容不实的，属于提供虚假材料谋取成交。在实际操作中，项目属性为货物且供应商希望获得中小企业政策支持的，应从制造商处获得充分、准确的信息。</w:t>
      </w:r>
    </w:p>
    <w:p w14:paraId="1923CB81">
      <w:pPr>
        <w:pStyle w:val="3"/>
        <w:numPr>
          <w:ilvl w:val="0"/>
          <w:numId w:val="0"/>
        </w:numPr>
        <w:kinsoku/>
        <w:bidi w:val="0"/>
        <w:spacing w:line="360" w:lineRule="auto"/>
        <w:ind w:left="0" w:firstLine="0"/>
        <w:jc w:val="center"/>
        <w:rPr>
          <w:rFonts w:ascii="宋体" w:hAnsi="宋体" w:eastAsia="宋体" w:cs="宋体"/>
          <w:b/>
          <w:bCs/>
          <w:spacing w:val="-2"/>
          <w:sz w:val="24"/>
          <w:szCs w:val="24"/>
          <w:highlight w:val="yellow"/>
          <w:lang w:val="en-US" w:eastAsia="zh-CN"/>
        </w:rPr>
      </w:pPr>
    </w:p>
    <w:p w14:paraId="5CAD2FF2">
      <w:pPr>
        <w:pStyle w:val="3"/>
        <w:numPr>
          <w:ilvl w:val="0"/>
          <w:numId w:val="0"/>
        </w:numPr>
        <w:kinsoku/>
        <w:bidi w:val="0"/>
        <w:spacing w:line="360" w:lineRule="auto"/>
        <w:ind w:left="0" w:firstLine="0"/>
        <w:jc w:val="center"/>
        <w:rPr>
          <w:rFonts w:ascii="宋体" w:hAnsi="宋体" w:eastAsia="宋体" w:cs="宋体"/>
          <w:b/>
          <w:bCs/>
        </w:rPr>
      </w:pPr>
      <w:r>
        <w:rPr>
          <w:rFonts w:ascii="宋体" w:hAnsi="宋体" w:cs="宋体"/>
          <w:b/>
          <w:bCs/>
        </w:rPr>
        <w:t>残疾人福利性单位声明函</w:t>
      </w:r>
    </w:p>
    <w:p w14:paraId="0ED28B90">
      <w:pPr>
        <w:kinsoku/>
        <w:bidi w:val="0"/>
        <w:spacing w:line="360" w:lineRule="auto"/>
        <w:ind w:left="1087" w:hanging="540"/>
        <w:jc w:val="center"/>
        <w:rPr>
          <w:rFonts w:ascii="宋体" w:hAnsi="宋体" w:eastAsia="宋体" w:cs="宋体"/>
          <w:b/>
          <w:bCs/>
          <w:kern w:val="0"/>
          <w:sz w:val="24"/>
          <w:szCs w:val="20"/>
        </w:rPr>
      </w:pPr>
    </w:p>
    <w:p w14:paraId="6C206AAD">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本单位郑重声明，根据《财政部 民政部 中国残疾人联合会关于促进残疾人就业政府采购政策的通知》（财库〔</w:t>
      </w:r>
      <w:r>
        <w:rPr>
          <w:rFonts w:ascii="宋体" w:hAnsi="宋体" w:eastAsia="宋体" w:cs="宋体"/>
          <w:color w:val="000000"/>
          <w:kern w:val="2"/>
          <w:sz w:val="21"/>
          <w:szCs w:val="21"/>
          <w:u w:val="none" w:color="000000"/>
          <w:lang w:val="en-US" w:eastAsia="zh-CN" w:bidi="ar-SA"/>
        </w:rPr>
        <w:t>2017</w:t>
      </w:r>
      <w:r>
        <w:rPr>
          <w:rFonts w:ascii="宋体" w:hAnsi="宋体" w:cs="宋体"/>
          <w:color w:val="000000"/>
          <w:kern w:val="2"/>
          <w:sz w:val="21"/>
          <w:szCs w:val="21"/>
          <w:u w:val="none" w:color="000000"/>
          <w:lang w:val="en-US" w:eastAsia="zh-CN" w:bidi="ar-SA"/>
        </w:rPr>
        <w:t>〕</w:t>
      </w:r>
      <w:r>
        <w:rPr>
          <w:rFonts w:ascii="宋体" w:hAnsi="宋体" w:eastAsia="宋体" w:cs="宋体"/>
          <w:color w:val="000000"/>
          <w:kern w:val="2"/>
          <w:sz w:val="21"/>
          <w:szCs w:val="21"/>
          <w:u w:val="none" w:color="000000"/>
          <w:lang w:val="en-US" w:eastAsia="zh-CN" w:bidi="ar-SA"/>
        </w:rPr>
        <w:t>141</w:t>
      </w:r>
      <w:r>
        <w:rPr>
          <w:rFonts w:ascii="宋体" w:hAnsi="宋体" w:cs="宋体"/>
          <w:color w:val="000000"/>
          <w:kern w:val="2"/>
          <w:sz w:val="21"/>
          <w:szCs w:val="21"/>
          <w:u w:val="none" w:color="000000"/>
          <w:lang w:val="en-US" w:eastAsia="zh-CN" w:bidi="ar-SA"/>
        </w:rPr>
        <w:t>号）的规定，本单位为符合条件的残疾人福利性单位，且本单位参加</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单位的</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项目采购活动提供本单位制造的货物，或者提供其他残疾人福利性单位制造的货物（不包括使用非残疾人福利性单位注册商标的货物）。</w:t>
      </w:r>
    </w:p>
    <w:p w14:paraId="6B01CA80">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本单位对上述声明的真实性负责。如有虚假，将依法承担相应责任。</w:t>
      </w:r>
    </w:p>
    <w:p w14:paraId="57D7D936">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残疾人福利性单位名称（盖单位章）：</w:t>
      </w:r>
      <w:r>
        <w:rPr>
          <w:rFonts w:ascii="宋体" w:hAnsi="宋体" w:eastAsia="宋体" w:cs="宋体"/>
          <w:color w:val="000000"/>
          <w:kern w:val="2"/>
          <w:sz w:val="21"/>
          <w:szCs w:val="21"/>
          <w:u w:val="none" w:color="000000"/>
          <w:lang w:val="en-US" w:eastAsia="zh-CN" w:bidi="ar-SA"/>
        </w:rPr>
        <w:t>______________</w:t>
      </w:r>
    </w:p>
    <w:p w14:paraId="040E9572">
      <w:pPr>
        <w:widowControl/>
        <w:kinsoku/>
        <w:bidi w:val="0"/>
        <w:spacing w:before="100" w:after="100" w:line="360" w:lineRule="auto"/>
        <w:ind w:firstLine="420"/>
        <w:jc w:val="left"/>
        <w:rPr>
          <w:rFonts w:ascii="宋体" w:hAnsi="宋体" w:eastAsia="宋体" w:cs="宋体"/>
          <w:kern w:val="0"/>
          <w:sz w:val="24"/>
          <w:szCs w:val="20"/>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日  期：</w:t>
      </w:r>
      <w:r>
        <w:rPr>
          <w:rFonts w:ascii="宋体" w:hAnsi="宋体" w:eastAsia="宋体" w:cs="宋体"/>
          <w:color w:val="000000"/>
          <w:kern w:val="2"/>
          <w:sz w:val="21"/>
          <w:szCs w:val="21"/>
          <w:u w:val="none" w:color="000000"/>
          <w:lang w:val="en-US" w:eastAsia="zh-CN" w:bidi="ar-SA"/>
        </w:rPr>
        <w:t>____________________</w:t>
      </w:r>
      <w:r>
        <w:rPr>
          <w:rFonts w:ascii="宋体" w:hAnsi="宋体" w:eastAsia="宋体" w:cs="宋体"/>
          <w:kern w:val="0"/>
          <w:sz w:val="24"/>
          <w:szCs w:val="20"/>
        </w:rPr>
        <w:t>_________________________</w:t>
      </w:r>
    </w:p>
    <w:p w14:paraId="0B1C3216">
      <w:pPr>
        <w:widowControl/>
        <w:numPr>
          <w:ilvl w:val="0"/>
          <w:numId w:val="0"/>
        </w:numPr>
        <w:kinsoku/>
        <w:bidi w:val="0"/>
        <w:spacing w:before="100" w:after="100" w:line="360" w:lineRule="auto"/>
        <w:ind w:left="0" w:firstLine="0"/>
        <w:jc w:val="left"/>
        <w:rPr>
          <w:rFonts w:ascii="宋体" w:hAnsi="宋体" w:eastAsia="宋体" w:cs="宋体"/>
          <w:color w:val="000000"/>
          <w:kern w:val="0"/>
          <w:sz w:val="24"/>
          <w:szCs w:val="20"/>
          <w:highlight w:val="none"/>
          <w:lang w:val="en-US" w:eastAsia="zh-CN"/>
        </w:rPr>
      </w:pPr>
    </w:p>
    <w:p w14:paraId="090E280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2CF33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9516BF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36491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08F2D19">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03A2BD9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2C0E9157">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0FB425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66C1025E">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7AD6F9FF">
      <w:pPr>
        <w:pStyle w:val="8"/>
        <w:rPr>
          <w:rFonts w:ascii="宋体" w:hAnsi="宋体" w:eastAsia="宋体" w:cs="宋体"/>
          <w:color w:val="000000"/>
          <w:sz w:val="24"/>
          <w:highlight w:val="none"/>
          <w:lang w:val="en-US" w:eastAsia="zh-CN"/>
        </w:rPr>
      </w:pPr>
    </w:p>
    <w:p w14:paraId="6EDD339D">
      <w:pPr>
        <w:rPr>
          <w:rFonts w:ascii="宋体" w:hAnsi="宋体" w:eastAsia="宋体" w:cs="宋体"/>
          <w:color w:val="000000"/>
          <w:sz w:val="24"/>
          <w:highlight w:val="none"/>
          <w:lang w:val="en-US" w:eastAsia="zh-CN"/>
        </w:rPr>
      </w:pPr>
    </w:p>
    <w:p w14:paraId="459FAC56">
      <w:pPr>
        <w:pStyle w:val="8"/>
        <w:rPr>
          <w:rFonts w:ascii="宋体" w:hAnsi="宋体" w:eastAsia="宋体" w:cs="宋体"/>
          <w:color w:val="000000"/>
          <w:sz w:val="24"/>
          <w:highlight w:val="none"/>
          <w:lang w:val="en-US" w:eastAsia="zh-CN"/>
        </w:rPr>
      </w:pPr>
    </w:p>
    <w:p w14:paraId="3D962A8D">
      <w:pPr>
        <w:rPr>
          <w:rFonts w:ascii="宋体" w:hAnsi="宋体" w:eastAsia="宋体" w:cs="宋体"/>
          <w:color w:val="000000"/>
          <w:sz w:val="24"/>
          <w:highlight w:val="none"/>
          <w:lang w:val="en-US" w:eastAsia="zh-CN"/>
        </w:rPr>
      </w:pPr>
    </w:p>
    <w:p w14:paraId="7265CC7B">
      <w:pPr>
        <w:pStyle w:val="8"/>
        <w:rPr>
          <w:rFonts w:ascii="宋体" w:hAnsi="宋体" w:eastAsia="宋体" w:cs="宋体"/>
          <w:color w:val="000000"/>
          <w:sz w:val="24"/>
          <w:highlight w:val="none"/>
          <w:lang w:val="en-US" w:eastAsia="zh-CN"/>
        </w:rPr>
      </w:pPr>
    </w:p>
    <w:p w14:paraId="452AFA79">
      <w:pPr>
        <w:rPr>
          <w:rFonts w:ascii="宋体" w:hAnsi="宋体" w:eastAsia="宋体" w:cs="宋体"/>
          <w:color w:val="000000"/>
          <w:sz w:val="24"/>
          <w:highlight w:val="none"/>
          <w:lang w:val="en-US" w:eastAsia="zh-CN"/>
        </w:rPr>
      </w:pPr>
    </w:p>
    <w:p w14:paraId="7DFCCEAB">
      <w:pPr>
        <w:pStyle w:val="8"/>
        <w:rPr>
          <w:rFonts w:ascii="宋体" w:hAnsi="宋体" w:eastAsia="宋体" w:cs="宋体"/>
          <w:color w:val="000000"/>
          <w:sz w:val="24"/>
          <w:highlight w:val="none"/>
          <w:lang w:val="en-US" w:eastAsia="zh-CN"/>
        </w:rPr>
      </w:pPr>
    </w:p>
    <w:p w14:paraId="30C7D820">
      <w:pPr>
        <w:rPr>
          <w:lang w:val="en-US" w:eastAsia="zh-CN"/>
        </w:rPr>
      </w:pPr>
    </w:p>
    <w:p w14:paraId="02FF378A">
      <w:pPr>
        <w:pStyle w:val="55"/>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各行业划型标准： </w:t>
      </w:r>
    </w:p>
    <w:p w14:paraId="0F699AB7">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农、林、牧、渔业。营业收入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360420EA">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工业。从业人员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40000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万元以下的为微型企业。 </w:t>
      </w:r>
    </w:p>
    <w:p w14:paraId="423E36D3">
      <w:pPr>
        <w:pStyle w:val="55"/>
        <w:numPr>
          <w:ilvl w:val="0"/>
          <w:numId w:val="14"/>
        </w:numPr>
        <w:kinsoku/>
        <w:bidi w:val="0"/>
        <w:spacing w:line="360" w:lineRule="auto"/>
        <w:ind w:left="0" w:firstLine="0"/>
        <w:rPr>
          <w:rFonts w:ascii="宋体" w:hAnsi="宋体" w:eastAsia="宋体" w:cs="宋体"/>
          <w:color w:val="000000"/>
          <w:kern w:val="2"/>
          <w:sz w:val="21"/>
          <w:szCs w:val="21"/>
          <w:highlight w:val="yellow"/>
          <w:u w:val="none" w:color="000000"/>
          <w:lang w:val="en-US" w:eastAsia="zh-CN" w:bidi="ar-SA"/>
        </w:rPr>
      </w:pPr>
      <w:r>
        <w:rPr>
          <w:rFonts w:ascii="宋体" w:hAnsi="宋体" w:cs="宋体"/>
          <w:color w:val="000000"/>
          <w:kern w:val="2"/>
          <w:sz w:val="21"/>
          <w:szCs w:val="21"/>
          <w:highlight w:val="yellow"/>
          <w:u w:val="none" w:color="000000"/>
          <w:lang w:val="en-US" w:eastAsia="zh-CN" w:bidi="ar-SA"/>
        </w:rPr>
        <w:t xml:space="preserve">建筑业。营业收入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万元以下的为中小微型企业。其中，营业收入 </w:t>
      </w:r>
      <w:r>
        <w:rPr>
          <w:rFonts w:ascii="宋体" w:hAnsi="宋体" w:eastAsia="宋体" w:cs="宋体"/>
          <w:color w:val="000000"/>
          <w:kern w:val="2"/>
          <w:sz w:val="21"/>
          <w:szCs w:val="21"/>
          <w:highlight w:val="yellow"/>
          <w:u w:val="none" w:color="000000"/>
          <w:lang w:val="en-US" w:eastAsia="zh-CN" w:bidi="ar-SA"/>
        </w:rPr>
        <w:t xml:space="preserve">6000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万元及以上的为小型企业；营业收入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万元以下的为微型企业。 （四）批发业。从业人员 </w:t>
      </w:r>
      <w:r>
        <w:rPr>
          <w:rFonts w:ascii="宋体" w:hAnsi="宋体" w:eastAsia="宋体" w:cs="宋体"/>
          <w:color w:val="000000"/>
          <w:kern w:val="2"/>
          <w:sz w:val="21"/>
          <w:szCs w:val="21"/>
          <w:highlight w:val="yellow"/>
          <w:u w:val="none" w:color="000000"/>
          <w:lang w:val="en-US" w:eastAsia="zh-CN" w:bidi="ar-SA"/>
        </w:rPr>
        <w:t xml:space="preserve">200 </w:t>
      </w:r>
      <w:r>
        <w:rPr>
          <w:rFonts w:ascii="宋体" w:hAnsi="宋体" w:cs="宋体"/>
          <w:color w:val="000000"/>
          <w:kern w:val="2"/>
          <w:sz w:val="21"/>
          <w:szCs w:val="21"/>
          <w:highlight w:val="yellow"/>
          <w:u w:val="none" w:color="000000"/>
          <w:lang w:val="en-US" w:eastAsia="zh-CN" w:bidi="ar-SA"/>
        </w:rPr>
        <w:t xml:space="preserve">人以下或营业收入 </w:t>
      </w:r>
      <w:r>
        <w:rPr>
          <w:rFonts w:ascii="宋体" w:hAnsi="宋体" w:eastAsia="宋体" w:cs="宋体"/>
          <w:color w:val="000000"/>
          <w:kern w:val="2"/>
          <w:sz w:val="21"/>
          <w:szCs w:val="21"/>
          <w:highlight w:val="yellow"/>
          <w:u w:val="none" w:color="000000"/>
          <w:lang w:val="en-US" w:eastAsia="zh-CN" w:bidi="ar-SA"/>
        </w:rPr>
        <w:t xml:space="preserve">40000 </w:t>
      </w:r>
      <w:r>
        <w:rPr>
          <w:rFonts w:ascii="宋体" w:hAnsi="宋体" w:cs="宋体"/>
          <w:color w:val="000000"/>
          <w:kern w:val="2"/>
          <w:sz w:val="21"/>
          <w:szCs w:val="21"/>
          <w:highlight w:val="yellow"/>
          <w:u w:val="none" w:color="000000"/>
          <w:lang w:val="en-US" w:eastAsia="zh-CN" w:bidi="ar-SA"/>
        </w:rPr>
        <w:t xml:space="preserve">万元以下的为中小微型企业。其中，从业人员 </w:t>
      </w:r>
      <w:r>
        <w:rPr>
          <w:rFonts w:ascii="宋体" w:hAnsi="宋体" w:eastAsia="宋体" w:cs="宋体"/>
          <w:color w:val="000000"/>
          <w:kern w:val="2"/>
          <w:sz w:val="21"/>
          <w:szCs w:val="21"/>
          <w:highlight w:val="yellow"/>
          <w:u w:val="none" w:color="000000"/>
          <w:lang w:val="en-US" w:eastAsia="zh-CN" w:bidi="ar-SA"/>
        </w:rPr>
        <w:t xml:space="preserve">20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万元及以上的为中型企业；从业人员</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万元及以上的为小型企业；从业人员 </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人以下或营业收入</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万元以下的为微型企业。 </w:t>
      </w:r>
    </w:p>
    <w:p w14:paraId="7B9C79C5">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零售业。从业人员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5FBDD19A">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交通运输业。从业人员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200</w:t>
      </w:r>
      <w:r>
        <w:rPr>
          <w:rFonts w:ascii="宋体" w:hAnsi="宋体" w:cs="宋体"/>
          <w:color w:val="000000"/>
          <w:kern w:val="2"/>
          <w:sz w:val="21"/>
          <w:szCs w:val="21"/>
          <w:u w:val="none" w:color="000000"/>
          <w:lang w:val="en-US" w:eastAsia="zh-CN" w:bidi="ar-SA"/>
        </w:rPr>
        <w:t xml:space="preserve">万元以下的为微型企业。 </w:t>
      </w:r>
    </w:p>
    <w:p w14:paraId="7675CF61">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仓储业。从业人员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35DFDCE">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邮政业。从业人员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20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万元以下的为微型企业。 （九）住宿业。从业人员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（十）餐饮业。从业人员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49DF692">
      <w:pPr>
        <w:pStyle w:val="55"/>
        <w:numPr>
          <w:ilvl w:val="0"/>
          <w:numId w:val="15"/>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信息传输业。从业人员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万元以下的为微型企业。</w:t>
      </w:r>
    </w:p>
    <w:p w14:paraId="686CB176">
      <w:pPr>
        <w:pStyle w:val="55"/>
        <w:numPr>
          <w:ilvl w:val="0"/>
          <w:numId w:val="15"/>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软件和信息技术服务业。从业人员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 </w:t>
      </w:r>
      <w:r>
        <w:rPr>
          <w:rFonts w:ascii="宋体" w:hAnsi="宋体" w:eastAsia="宋体" w:cs="宋体"/>
          <w:color w:val="000000"/>
          <w:kern w:val="2"/>
          <w:sz w:val="21"/>
          <w:szCs w:val="21"/>
          <w:u w:val="none" w:color="000000"/>
          <w:lang w:val="en-US" w:eastAsia="zh-CN" w:bidi="ar-SA"/>
        </w:rPr>
        <w:t xml:space="preserve">27 </w:t>
      </w:r>
      <w:r>
        <w:rPr>
          <w:rFonts w:ascii="宋体" w:hAnsi="宋体" w:cs="宋体"/>
          <w:color w:val="000000"/>
          <w:kern w:val="2"/>
          <w:sz w:val="21"/>
          <w:szCs w:val="21"/>
          <w:u w:val="none" w:color="000000"/>
          <w:lang w:val="en-US" w:eastAsia="zh-CN" w:bidi="ar-SA"/>
        </w:rPr>
        <w:t xml:space="preserve">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5EC2D91B">
      <w:pPr>
        <w:pStyle w:val="55"/>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房地产开发经营。营业收入 </w:t>
      </w:r>
      <w:r>
        <w:rPr>
          <w:rFonts w:ascii="宋体" w:hAnsi="宋体" w:eastAsia="宋体" w:cs="宋体"/>
          <w:color w:val="000000"/>
          <w:kern w:val="2"/>
          <w:sz w:val="21"/>
          <w:szCs w:val="21"/>
          <w:u w:val="none" w:color="000000"/>
          <w:lang w:val="en-US" w:eastAsia="zh-CN" w:bidi="ar-SA"/>
        </w:rPr>
        <w:t xml:space="preserve">200000 </w:t>
      </w:r>
      <w:r>
        <w:rPr>
          <w:rFonts w:ascii="宋体" w:hAnsi="宋体" w:cs="宋体"/>
          <w:color w:val="000000"/>
          <w:kern w:val="2"/>
          <w:sz w:val="21"/>
          <w:szCs w:val="21"/>
          <w:u w:val="none" w:color="000000"/>
          <w:lang w:val="en-US" w:eastAsia="zh-CN" w:bidi="ar-SA"/>
        </w:rPr>
        <w:t>万元以下或资产总额</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万元以下或资产总额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万元以下的为微型企业。 </w:t>
      </w:r>
    </w:p>
    <w:p w14:paraId="51F00BD1">
      <w:pPr>
        <w:pStyle w:val="55"/>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物业管理。从业人员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500</w:t>
      </w:r>
      <w:r>
        <w:rPr>
          <w:rFonts w:ascii="宋体" w:hAnsi="宋体" w:cs="宋体"/>
          <w:color w:val="000000"/>
          <w:kern w:val="2"/>
          <w:sz w:val="21"/>
          <w:szCs w:val="21"/>
          <w:u w:val="none" w:color="000000"/>
          <w:lang w:val="en-US" w:eastAsia="zh-CN" w:bidi="ar-SA"/>
        </w:rPr>
        <w:t xml:space="preserve">万元以下的为微型企业。 </w:t>
      </w:r>
    </w:p>
    <w:p w14:paraId="381840BE">
      <w:pPr>
        <w:pStyle w:val="55"/>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租赁和商务服务业。从业人员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8000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48AF3620">
      <w:pPr>
        <w:pStyle w:val="55"/>
        <w:numPr>
          <w:ilvl w:val="0"/>
          <w:numId w:val="0"/>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（十六）其他未列明行业。从业人员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人以下的为中小微型企业。其中，从业人员</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人以下的为微型企业。</w:t>
      </w:r>
    </w:p>
    <w:p w14:paraId="2B4CCEA5">
      <w:pPr>
        <w:pStyle w:val="50"/>
        <w:tabs>
          <w:tab w:val="left" w:pos="5580"/>
        </w:tabs>
        <w:spacing w:line="240" w:lineRule="atLeast"/>
        <w:ind w:left="1942" w:firstLine="0"/>
        <w:rPr>
          <w:rFonts w:ascii="宋体" w:hAnsi="宋体" w:eastAsia="宋体" w:cs="宋体"/>
          <w:color w:val="000000"/>
          <w:kern w:val="2"/>
          <w:sz w:val="21"/>
          <w:szCs w:val="21"/>
          <w:highlight w:val="none"/>
          <w:u w:val="none" w:color="000000"/>
          <w:lang w:val="en-US" w:eastAsia="zh-CN" w:bidi="ar-SA"/>
        </w:rPr>
      </w:pPr>
    </w:p>
    <w:p w14:paraId="6344523E">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9474592">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721316DB">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4CCC203C">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74716C9">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240402EE">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487C912">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2E1AFA9">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EA6C40B">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F2ECAE1">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7A74CDF5">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6FFC7F9">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4DF28FC">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B44246E">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1DD89B71">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38608A5">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4D7DC55F">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B9A0A13">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4D8554D">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DC49713">
      <w:pPr>
        <w:pStyle w:val="50"/>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4</w:t>
      </w:r>
      <w:r>
        <w:rPr>
          <w:rFonts w:ascii="宋体" w:hAnsi="宋体" w:cs="宋体"/>
          <w:color w:val="000000"/>
          <w:sz w:val="24"/>
          <w:lang w:val="en-US" w:eastAsia="zh-CN"/>
        </w:rPr>
        <w:t>：</w:t>
      </w:r>
    </w:p>
    <w:p w14:paraId="5B80F065">
      <w:pPr>
        <w:pStyle w:val="8"/>
        <w:numPr>
          <w:ilvl w:val="0"/>
          <w:numId w:val="0"/>
        </w:numPr>
        <w:kinsoku w:val="0"/>
        <w:overflowPunct w:val="0"/>
        <w:spacing w:before="130" w:after="120" w:line="360" w:lineRule="auto"/>
        <w:ind w:left="480" w:right="7" w:firstLine="0"/>
        <w:jc w:val="center"/>
        <w:rPr>
          <w:rFonts w:ascii="宋体" w:hAnsi="宋体" w:eastAsia="宋体" w:cs="宋体"/>
          <w:b/>
          <w:bCs/>
          <w:color w:val="000000"/>
          <w:sz w:val="28"/>
          <w:szCs w:val="28"/>
        </w:rPr>
      </w:pPr>
      <w:r>
        <w:rPr>
          <w:rFonts w:ascii="宋体" w:hAnsi="宋体" w:cs="宋体"/>
          <w:b/>
          <w:bCs/>
          <w:color w:val="000000"/>
          <w:sz w:val="28"/>
          <w:szCs w:val="28"/>
        </w:rPr>
        <w:t>响应函</w:t>
      </w:r>
    </w:p>
    <w:p w14:paraId="05399D6F">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u w:val="single"/>
          <w:lang w:eastAsia="zh-CN"/>
        </w:rPr>
      </w:pPr>
      <w:r>
        <w:rPr>
          <w:rFonts w:ascii="宋体" w:hAnsi="宋体" w:cs="宋体"/>
          <w:color w:val="000000"/>
          <w:kern w:val="0"/>
          <w:sz w:val="21"/>
          <w:szCs w:val="21"/>
        </w:rPr>
        <w:t>致：</w:t>
      </w:r>
      <w:r>
        <w:rPr>
          <w:rFonts w:ascii="宋体" w:hAnsi="宋体" w:cs="宋体"/>
          <w:sz w:val="21"/>
          <w:szCs w:val="21"/>
          <w:u w:val="single"/>
          <w:lang w:eastAsia="zh-CN"/>
        </w:rPr>
        <w:t>（</w:t>
      </w:r>
      <w:r>
        <w:rPr>
          <w:rFonts w:ascii="宋体" w:hAnsi="宋体" w:cs="宋体"/>
          <w:sz w:val="21"/>
          <w:szCs w:val="21"/>
          <w:u w:val="single"/>
        </w:rPr>
        <w:t>采购代理机构</w:t>
      </w:r>
      <w:r>
        <w:rPr>
          <w:rFonts w:ascii="宋体" w:hAnsi="宋体" w:cs="宋体"/>
          <w:sz w:val="21"/>
          <w:szCs w:val="21"/>
          <w:u w:val="single"/>
          <w:lang w:eastAsia="zh-CN"/>
        </w:rPr>
        <w:t>）</w:t>
      </w:r>
    </w:p>
    <w:p w14:paraId="47413D07">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为响应你方组织的</w:t>
      </w:r>
      <w:r>
        <w:rPr>
          <w:rFonts w:ascii="宋体" w:hAnsi="宋体" w:cs="宋体"/>
          <w:color w:val="000000"/>
          <w:kern w:val="0"/>
          <w:sz w:val="21"/>
          <w:szCs w:val="21"/>
          <w:u w:val="single"/>
        </w:rPr>
        <w:t xml:space="preserve">              </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u w:val="single"/>
        </w:rPr>
        <w:t xml:space="preserve">     </w:t>
      </w:r>
      <w:r>
        <w:rPr>
          <w:rFonts w:ascii="宋体" w:hAnsi="宋体" w:cs="宋体"/>
          <w:color w:val="000000"/>
          <w:kern w:val="0"/>
          <w:sz w:val="21"/>
          <w:szCs w:val="21"/>
        </w:rPr>
        <w:t>项目的项目编号为：</w:t>
      </w:r>
      <w:r>
        <w:rPr>
          <w:rFonts w:ascii="宋体" w:hAnsi="宋体" w:cs="宋体"/>
          <w:color w:val="000000"/>
          <w:kern w:val="0"/>
          <w:sz w:val="21"/>
          <w:szCs w:val="21"/>
          <w:u w:val="single"/>
        </w:rPr>
        <w:t xml:space="preserve">                      </w:t>
      </w:r>
      <w:r>
        <w:rPr>
          <w:rFonts w:ascii="宋体" w:hAnsi="宋体" w:cs="宋体"/>
          <w:color w:val="000000"/>
          <w:kern w:val="0"/>
          <w:sz w:val="21"/>
          <w:szCs w:val="21"/>
        </w:rPr>
        <w:t>，我方愿参与磋商。</w:t>
      </w:r>
    </w:p>
    <w:p w14:paraId="61721BD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我方确认收到贵方提供的</w:t>
      </w:r>
      <w:r>
        <w:rPr>
          <w:rFonts w:ascii="宋体" w:hAnsi="宋体" w:cs="宋体"/>
          <w:color w:val="000000"/>
          <w:kern w:val="0"/>
          <w:sz w:val="21"/>
          <w:szCs w:val="21"/>
          <w:u w:val="single"/>
        </w:rPr>
        <w:t xml:space="preserve">                                     </w:t>
      </w:r>
      <w:r>
        <w:rPr>
          <w:rFonts w:ascii="宋体" w:hAnsi="宋体" w:cs="宋体"/>
          <w:color w:val="000000"/>
          <w:kern w:val="0"/>
          <w:sz w:val="21"/>
          <w:szCs w:val="21"/>
          <w:u w:val="none"/>
        </w:rPr>
        <w:t>采购</w:t>
      </w:r>
      <w:r>
        <w:rPr>
          <w:rFonts w:ascii="宋体" w:hAnsi="宋体" w:cs="宋体"/>
          <w:color w:val="000000"/>
          <w:kern w:val="0"/>
          <w:sz w:val="21"/>
          <w:szCs w:val="21"/>
        </w:rPr>
        <w:t>文件的全部内容</w:t>
      </w:r>
      <w:r>
        <w:rPr>
          <w:rFonts w:ascii="宋体" w:hAnsi="宋体" w:cs="宋体"/>
          <w:color w:val="000000"/>
          <w:kern w:val="0"/>
          <w:sz w:val="21"/>
          <w:szCs w:val="21"/>
          <w:u w:val="none"/>
        </w:rPr>
        <w:t>。并出具的金额为人民币</w:t>
      </w:r>
      <w:r>
        <w:rPr>
          <w:rFonts w:ascii="宋体" w:hAnsi="宋体" w:cs="宋体"/>
          <w:i/>
          <w:iCs/>
          <w:color w:val="000000"/>
          <w:kern w:val="0"/>
          <w:sz w:val="21"/>
          <w:szCs w:val="21"/>
          <w:u w:val="single"/>
          <w:lang w:val="en-US" w:eastAsia="zh-CN"/>
        </w:rPr>
        <w:t xml:space="preserve">           </w:t>
      </w:r>
      <w:r>
        <w:rPr>
          <w:rFonts w:ascii="宋体" w:hAnsi="宋体" w:cs="宋体"/>
          <w:color w:val="000000"/>
          <w:kern w:val="0"/>
          <w:sz w:val="21"/>
          <w:szCs w:val="21"/>
          <w:u w:val="none"/>
        </w:rPr>
        <w:t>元的磋商保证金。</w:t>
      </w:r>
    </w:p>
    <w:p w14:paraId="0D27AA5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在参与磋商前已详细研究了磋商文件的所有内容，包括澄清、修改文件（如果有）和所有已提供的参考资料以及有关附件，我方完全明白并认为此磋商文件没有倾向性，也不存在排斥潜在报价供应商的内容，我方同意磋商文件的相关条款，放弃对磋商文件提出误解和质疑的一切权力。</w:t>
      </w:r>
    </w:p>
    <w:p w14:paraId="6E263782">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eastAsia="宋体" w:cs="宋体"/>
          <w:color w:val="000000"/>
          <w:kern w:val="0"/>
          <w:sz w:val="21"/>
          <w:szCs w:val="21"/>
          <w:u w:val="single"/>
        </w:rPr>
        <w:t xml:space="preserve">      (供应商名称)      作为供应商正式授权  (授权代表全名, 职务)  代表我方全权处理有关本项目响应的一切事宜。</w:t>
      </w:r>
    </w:p>
    <w:p w14:paraId="5713547E">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我方已完全明白磋商文件的所有条款要求，并申明如下：</w:t>
      </w:r>
    </w:p>
    <w:p w14:paraId="21C9BA30">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（一）按磋商文件提供的全部货物与相关服务的磋商总价详见《</w:t>
      </w:r>
      <w:r>
        <w:rPr>
          <w:rFonts w:ascii="宋体" w:hAnsi="宋体" w:cs="宋体"/>
          <w:color w:val="000000"/>
          <w:kern w:val="0"/>
          <w:sz w:val="21"/>
          <w:szCs w:val="21"/>
          <w:lang w:val="en-US" w:eastAsia="zh-CN"/>
        </w:rPr>
        <w:t>开启响应文件</w:t>
      </w:r>
      <w:r>
        <w:rPr>
          <w:rFonts w:ascii="宋体" w:hAnsi="宋体" w:cs="宋体"/>
          <w:color w:val="000000"/>
          <w:kern w:val="0"/>
          <w:sz w:val="21"/>
          <w:szCs w:val="21"/>
        </w:rPr>
        <w:t>一览表》。</w:t>
      </w:r>
    </w:p>
    <w:p w14:paraId="5A2F0161">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（二）本响应文件的有效期为响应文件递交截止时间起</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rPr>
        <w:t>天。如成交，有效期将延至合同终止日为止。在此提交的资格证明文件均至响应文件递交截止日有效，如有在磋商有效期内失效的，我方承诺在成交后补齐一切手续，保证所有资格证明文件能在签订采购合同时直至采购合同终止日有效。</w:t>
      </w:r>
    </w:p>
    <w:p w14:paraId="5DDBD703">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（三）我方同意按照贵方可能提出的要求而提供与响应有关的任何其它数据、信息或资料。</w:t>
      </w:r>
    </w:p>
    <w:p w14:paraId="46B5E00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四</w:t>
      </w:r>
      <w:r>
        <w:rPr>
          <w:rFonts w:ascii="宋体" w:hAnsi="宋体" w:cs="宋体"/>
          <w:color w:val="000000"/>
          <w:kern w:val="0"/>
          <w:sz w:val="21"/>
          <w:szCs w:val="21"/>
        </w:rPr>
        <w:t>）我方理解贵方不一定接受最低响应价或任何贵方可能收到的响应。</w:t>
      </w:r>
    </w:p>
    <w:p w14:paraId="0F6B734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五</w:t>
      </w:r>
      <w:r>
        <w:rPr>
          <w:rFonts w:ascii="宋体" w:hAnsi="宋体" w:cs="宋体"/>
          <w:color w:val="000000"/>
          <w:kern w:val="0"/>
          <w:sz w:val="21"/>
          <w:szCs w:val="21"/>
        </w:rPr>
        <w:t>）我方如果成交，将保证履行磋商文件及其澄清、修改文件（如果有）中的全部责任和义务，按质、按量、按期完成《采购内容》及《合同书》中的全部任务。</w:t>
      </w:r>
    </w:p>
    <w:p w14:paraId="6282A133">
      <w:pPr>
        <w:spacing w:line="360" w:lineRule="auto"/>
        <w:ind w:firstLine="426"/>
        <w:rPr>
          <w:rFonts w:ascii="宋体" w:hAnsi="宋体" w:eastAsia="宋体" w:cs="宋体"/>
          <w:color w:val="000000"/>
          <w:kern w:val="0"/>
          <w:sz w:val="21"/>
          <w:szCs w:val="21"/>
          <w:lang w:eastAsia="zh-CN"/>
        </w:rPr>
      </w:pPr>
      <w:r>
        <w:rPr>
          <w:rFonts w:ascii="宋体" w:hAnsi="宋体" w:cs="宋体"/>
          <w:color w:val="000000"/>
          <w:kern w:val="0"/>
          <w:sz w:val="21"/>
          <w:szCs w:val="21"/>
        </w:rPr>
        <w:t>（</w:t>
      </w:r>
      <w:r>
        <w:rPr>
          <w:rFonts w:ascii="宋体" w:hAnsi="宋体" w:cs="宋体"/>
          <w:color w:val="000000"/>
          <w:kern w:val="0"/>
          <w:sz w:val="21"/>
          <w:szCs w:val="21"/>
          <w:lang w:eastAsia="zh-CN"/>
        </w:rPr>
        <w:t>六</w:t>
      </w:r>
      <w:r>
        <w:rPr>
          <w:rFonts w:ascii="宋体" w:hAnsi="宋体" w:cs="宋体"/>
          <w:color w:val="000000"/>
          <w:kern w:val="0"/>
          <w:sz w:val="21"/>
          <w:szCs w:val="21"/>
        </w:rPr>
        <w:t>）如我方被授予合同，我方承诺一次性支付就本次采购应支付或将支付的成交服务费。</w:t>
      </w:r>
    </w:p>
    <w:p w14:paraId="371453BA">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七</w:t>
      </w:r>
      <w:r>
        <w:rPr>
          <w:rFonts w:ascii="宋体" w:hAnsi="宋体" w:cs="宋体"/>
          <w:color w:val="000000"/>
          <w:kern w:val="0"/>
          <w:sz w:val="21"/>
          <w:szCs w:val="21"/>
        </w:rPr>
        <w:t>）我方作为在法律、财务和运作上独立于采购人、采购代理机构的供应商，在此保证所提交的所有文件和全部说明是真实的和正确的。</w:t>
      </w:r>
    </w:p>
    <w:p w14:paraId="4DEF5C8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八</w:t>
      </w:r>
      <w:r>
        <w:rPr>
          <w:rFonts w:ascii="宋体" w:hAnsi="宋体" w:cs="宋体"/>
          <w:color w:val="000000"/>
          <w:kern w:val="0"/>
          <w:sz w:val="21"/>
          <w:szCs w:val="21"/>
        </w:rPr>
        <w:t>）我方磋商报价已包含应向知识产权所有权人支付的所有相关税费，并保证采购人在中国使用我方提供的货物时，如有第三方提出侵犯其知识产权主张的，责任由我方承担。</w:t>
      </w:r>
    </w:p>
    <w:p w14:paraId="6BDE8E4B">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九</w:t>
      </w:r>
      <w:r>
        <w:rPr>
          <w:rFonts w:ascii="宋体" w:hAnsi="宋体" w:cs="宋体"/>
          <w:color w:val="000000"/>
          <w:kern w:val="0"/>
          <w:sz w:val="21"/>
          <w:szCs w:val="21"/>
        </w:rPr>
        <w:t>）我方与其他供应商不存在单位负责人为同一人或者存在直接控股、管理关系。</w:t>
      </w:r>
    </w:p>
    <w:p w14:paraId="56A4F038">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（十）我方承诺未为本项目提供整体设计、规范编制或者项目管理、监理、检测等服务。</w:t>
      </w:r>
    </w:p>
    <w:p w14:paraId="59F2DEE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eastAsia="zh-CN"/>
        </w:rPr>
        <w:t>一</w:t>
      </w:r>
      <w:r>
        <w:rPr>
          <w:rFonts w:ascii="宋体" w:hAnsi="宋体" w:cs="宋体"/>
          <w:color w:val="000000"/>
          <w:kern w:val="0"/>
          <w:sz w:val="21"/>
          <w:szCs w:val="21"/>
        </w:rPr>
        <w:t>）我方具备《政府采购法》第二十二条规定的条件，承诺如下：</w:t>
      </w:r>
    </w:p>
    <w:p w14:paraId="513A922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1</w:t>
      </w:r>
      <w:r>
        <w:rPr>
          <w:rFonts w:ascii="宋体" w:hAnsi="宋体" w:cs="宋体"/>
          <w:color w:val="000000"/>
          <w:kern w:val="0"/>
          <w:sz w:val="21"/>
          <w:szCs w:val="21"/>
        </w:rPr>
        <w:t>）我方已依法缴纳了各项税费及社会保险费用，如有需要，可随时向采购人提供近三个月内的相关缴费证明，以便核查。</w:t>
      </w:r>
    </w:p>
    <w:p w14:paraId="1BFD2B3F">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2</w:t>
      </w:r>
      <w:r>
        <w:rPr>
          <w:rFonts w:ascii="宋体" w:hAnsi="宋体" w:cs="宋体"/>
          <w:color w:val="000000"/>
          <w:kern w:val="0"/>
          <w:sz w:val="21"/>
          <w:szCs w:val="21"/>
        </w:rPr>
        <w:t>）我方已依法建立健全的财务会计制度，如有需要，可随时向采购人提供相关的证明材料，以便核查。</w:t>
      </w:r>
    </w:p>
    <w:p w14:paraId="1F9B9E2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3</w:t>
      </w:r>
      <w:r>
        <w:rPr>
          <w:rFonts w:ascii="宋体" w:hAnsi="宋体" w:cs="宋体"/>
          <w:color w:val="000000"/>
          <w:kern w:val="0"/>
          <w:sz w:val="21"/>
          <w:szCs w:val="21"/>
        </w:rPr>
        <w:t>）我方参加本项目政府采购活动前</w:t>
      </w:r>
      <w:r>
        <w:rPr>
          <w:rFonts w:ascii="宋体" w:hAnsi="宋体" w:eastAsia="宋体" w:cs="宋体"/>
          <w:color w:val="000000"/>
          <w:kern w:val="0"/>
          <w:sz w:val="21"/>
          <w:szCs w:val="21"/>
        </w:rPr>
        <w:t>3</w:t>
      </w:r>
      <w:r>
        <w:rPr>
          <w:rFonts w:ascii="宋体" w:hAnsi="宋体" w:cs="宋体"/>
          <w:color w:val="000000"/>
          <w:kern w:val="0"/>
          <w:sz w:val="21"/>
          <w:szCs w:val="21"/>
        </w:rPr>
        <w:t>年内在经营活动中没有重大违法记录。</w:t>
      </w:r>
    </w:p>
    <w:p w14:paraId="5444090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4</w:t>
      </w:r>
      <w:r>
        <w:rPr>
          <w:rFonts w:ascii="宋体" w:hAnsi="宋体" w:cs="宋体"/>
          <w:color w:val="000000"/>
          <w:kern w:val="0"/>
          <w:sz w:val="21"/>
          <w:szCs w:val="21"/>
        </w:rPr>
        <w:t>）我方具备履行合同所必需的设备和专业技术能力。</w:t>
      </w:r>
    </w:p>
    <w:p w14:paraId="4C551EB1">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5</w:t>
      </w:r>
      <w:r>
        <w:rPr>
          <w:rFonts w:ascii="宋体" w:hAnsi="宋体" w:cs="宋体"/>
          <w:color w:val="000000"/>
          <w:kern w:val="0"/>
          <w:sz w:val="21"/>
          <w:szCs w:val="21"/>
        </w:rPr>
        <w:t>）我方符合法律、行政法规规定的其他条件。</w:t>
      </w:r>
    </w:p>
    <w:p w14:paraId="51E72AF3">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以上内容如有虚假或与事实不符的，磋商小组可将我方做无效响应处理，我方愿意承担相应的法律责任。</w:t>
      </w:r>
    </w:p>
    <w:p w14:paraId="4E082B7B">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二</w:t>
      </w:r>
      <w:r>
        <w:rPr>
          <w:rFonts w:ascii="宋体" w:hAnsi="宋体" w:cs="宋体"/>
          <w:color w:val="000000"/>
          <w:kern w:val="0"/>
          <w:sz w:val="21"/>
          <w:szCs w:val="21"/>
        </w:rPr>
        <w:t>）我方对在本函及响应文件中所作的所有承诺承担法律责任。</w:t>
      </w:r>
    </w:p>
    <w:p w14:paraId="2DAC12A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三</w:t>
      </w:r>
      <w:r>
        <w:rPr>
          <w:rFonts w:ascii="宋体" w:hAnsi="宋体" w:cs="宋体"/>
          <w:color w:val="000000"/>
          <w:kern w:val="0"/>
          <w:sz w:val="21"/>
          <w:szCs w:val="21"/>
        </w:rPr>
        <w:t>）所有与本采购有关的函件请发往下列地址：</w:t>
      </w:r>
    </w:p>
    <w:p w14:paraId="4E88040A">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地    址：</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邮政编码：</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92BBD8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电    话：</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21359849">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传    真：</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3F699A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代表姓名：</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职    务：</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0CFF784F">
      <w:pPr>
        <w:keepNext w:val="0"/>
        <w:keepLines w:val="0"/>
        <w:pageBreakBefore w:val="0"/>
        <w:widowControl w:val="0"/>
        <w:autoSpaceDE/>
        <w:bidi w:val="0"/>
        <w:snapToGrid/>
        <w:spacing w:line="360" w:lineRule="auto"/>
        <w:ind w:right="480" w:firstLine="0"/>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供应商：</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 xml:space="preserve">（公章） </w:t>
      </w:r>
    </w:p>
    <w:p w14:paraId="463B4DB9">
      <w:pPr>
        <w:keepNext w:val="0"/>
        <w:keepLines w:val="0"/>
        <w:pageBreakBefore w:val="0"/>
        <w:widowControl w:val="0"/>
        <w:autoSpaceDE/>
        <w:bidi w:val="0"/>
        <w:snapToGrid/>
        <w:spacing w:line="360" w:lineRule="auto"/>
        <w:ind w:firstLine="426"/>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法定代表人或委托人：</w:t>
      </w:r>
      <w:r>
        <w:rPr>
          <w:rFonts w:ascii="宋体" w:hAnsi="宋体" w:eastAsia="宋体" w:cs="宋体"/>
          <w:color w:val="000000"/>
          <w:kern w:val="0"/>
          <w:sz w:val="21"/>
          <w:szCs w:val="21"/>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w:t>
      </w:r>
      <w:r>
        <w:rPr>
          <w:rFonts w:ascii="宋体" w:hAnsi="宋体" w:cs="宋体"/>
          <w:color w:val="000000"/>
          <w:kern w:val="0"/>
          <w:sz w:val="21"/>
          <w:szCs w:val="21"/>
          <w:lang w:eastAsia="zh-CN"/>
        </w:rPr>
        <w:t>签字或盖章</w:t>
      </w:r>
      <w:r>
        <w:rPr>
          <w:rFonts w:ascii="宋体" w:hAnsi="宋体" w:cs="宋体"/>
          <w:color w:val="000000"/>
          <w:kern w:val="0"/>
          <w:sz w:val="21"/>
          <w:szCs w:val="21"/>
        </w:rPr>
        <w:t xml:space="preserve">）  </w:t>
      </w:r>
    </w:p>
    <w:p w14:paraId="3E354632">
      <w:pPr>
        <w:keepNext w:val="0"/>
        <w:keepLines w:val="0"/>
        <w:pageBreakBefore w:val="0"/>
        <w:widowControl w:val="0"/>
        <w:autoSpaceDE/>
        <w:bidi w:val="0"/>
        <w:snapToGrid/>
        <w:spacing w:line="360" w:lineRule="auto"/>
        <w:ind w:firstLine="426"/>
        <w:jc w:val="right"/>
        <w:textAlignment w:val="auto"/>
        <w:rPr>
          <w:rFonts w:ascii="宋体" w:hAnsi="宋体" w:cs="宋体"/>
          <w:color w:val="000000"/>
          <w:kern w:val="0"/>
          <w:sz w:val="21"/>
          <w:szCs w:val="21"/>
        </w:rPr>
      </w:pPr>
      <w:r>
        <w:rPr>
          <w:rFonts w:ascii="宋体" w:hAnsi="宋体" w:eastAsia="宋体" w:cs="宋体"/>
          <w:color w:val="000000"/>
          <w:kern w:val="0"/>
          <w:sz w:val="21"/>
          <w:szCs w:val="21"/>
          <w:u w:val="single"/>
        </w:rPr>
        <w:t xml:space="preserve">      </w:t>
      </w:r>
      <w:r>
        <w:rPr>
          <w:rFonts w:ascii="宋体" w:hAnsi="宋体" w:eastAsia="宋体" w:cs="宋体"/>
          <w:color w:val="000000"/>
          <w:kern w:val="0"/>
          <w:sz w:val="21"/>
          <w:szCs w:val="21"/>
          <w:u w:val="single"/>
        </w:rPr>
        <w:tab/>
      </w:r>
      <w:r>
        <w:rPr>
          <w:rFonts w:ascii="宋体" w:hAnsi="宋体" w:cs="宋体"/>
          <w:color w:val="000000"/>
          <w:kern w:val="0"/>
          <w:sz w:val="21"/>
          <w:szCs w:val="21"/>
        </w:rPr>
        <w:t>年</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月</w:t>
      </w:r>
      <w:r>
        <w:rPr>
          <w:rFonts w:ascii="宋体" w:hAnsi="宋体" w:cs="宋体"/>
          <w:color w:val="000000"/>
          <w:kern w:val="0"/>
          <w:sz w:val="21"/>
          <w:szCs w:val="21"/>
          <w:u w:val="single"/>
        </w:rPr>
        <w:t xml:space="preserve">    </w:t>
      </w:r>
      <w:r>
        <w:rPr>
          <w:rFonts w:ascii="宋体" w:hAnsi="宋体" w:cs="宋体"/>
          <w:color w:val="000000"/>
          <w:kern w:val="0"/>
          <w:sz w:val="21"/>
          <w:szCs w:val="21"/>
        </w:rPr>
        <w:t>日</w:t>
      </w:r>
    </w:p>
    <w:p w14:paraId="5BF78709">
      <w:pPr>
        <w:pStyle w:val="8"/>
        <w:rPr>
          <w:rFonts w:ascii="宋体" w:hAnsi="宋体" w:cs="宋体"/>
          <w:color w:val="000000"/>
          <w:kern w:val="0"/>
          <w:sz w:val="21"/>
          <w:szCs w:val="21"/>
        </w:rPr>
      </w:pPr>
    </w:p>
    <w:p w14:paraId="3440EF70"/>
    <w:p w14:paraId="30F8A266">
      <w:pPr>
        <w:pStyle w:val="50"/>
        <w:tabs>
          <w:tab w:val="left" w:pos="5580"/>
        </w:tabs>
        <w:spacing w:line="360" w:lineRule="auto"/>
        <w:ind w:left="272" w:firstLine="0"/>
        <w:rPr>
          <w:rFonts w:ascii="宋体" w:hAnsi="宋体" w:eastAsia="宋体" w:cs="宋体"/>
          <w:b/>
          <w:bCs/>
          <w:color w:val="000000"/>
          <w:sz w:val="24"/>
          <w:szCs w:val="21"/>
          <w:highlight w:val="none"/>
          <w:lang w:val="en-US" w:eastAsia="zh-CN"/>
        </w:rPr>
      </w:pPr>
    </w:p>
    <w:p w14:paraId="456E4CA7">
      <w:pPr>
        <w:pStyle w:val="50"/>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5</w:t>
      </w:r>
      <w:r>
        <w:rPr>
          <w:rFonts w:ascii="宋体" w:hAnsi="宋体" w:cs="宋体"/>
          <w:color w:val="000000"/>
          <w:sz w:val="24"/>
          <w:lang w:val="en-US" w:eastAsia="zh-CN"/>
        </w:rPr>
        <w:t>：</w:t>
      </w:r>
    </w:p>
    <w:p w14:paraId="78EF5A71">
      <w:pPr>
        <w:pStyle w:val="47"/>
        <w:numPr>
          <w:ilvl w:val="0"/>
          <w:numId w:val="0"/>
        </w:numPr>
        <w:tabs>
          <w:tab w:val="left" w:pos="5580"/>
        </w:tabs>
        <w:spacing w:line="360" w:lineRule="auto"/>
        <w:ind w:left="0" w:firstLine="0"/>
        <w:jc w:val="center"/>
        <w:rPr>
          <w:rFonts w:ascii="宋体" w:hAnsi="宋体" w:eastAsia="宋体" w:cs="宋体"/>
          <w:b/>
          <w:color w:val="000000"/>
          <w:sz w:val="28"/>
          <w:szCs w:val="21"/>
          <w:highlight w:val="none"/>
        </w:rPr>
      </w:pPr>
      <w:r>
        <w:rPr>
          <w:rFonts w:ascii="宋体" w:hAnsi="宋体" w:cs="宋体"/>
          <w:b/>
          <w:color w:val="000000"/>
          <w:sz w:val="28"/>
          <w:szCs w:val="21"/>
        </w:rPr>
        <w:t>报价一览表</w:t>
      </w:r>
    </w:p>
    <w:p w14:paraId="64809CF6">
      <w:pPr>
        <w:pStyle w:val="47"/>
        <w:numPr>
          <w:ilvl w:val="0"/>
          <w:numId w:val="0"/>
        </w:numPr>
        <w:tabs>
          <w:tab w:val="left" w:pos="5580"/>
        </w:tabs>
        <w:spacing w:line="360" w:lineRule="auto"/>
        <w:ind w:left="0" w:firstLine="0"/>
        <w:jc w:val="both"/>
        <w:rPr>
          <w:rFonts w:ascii="宋体" w:hAnsi="宋体" w:eastAsia="宋体" w:cs="宋体"/>
          <w:color w:val="000000"/>
          <w:szCs w:val="21"/>
          <w:highlight w:val="none"/>
          <w:u w:val="single"/>
        </w:rPr>
      </w:pPr>
      <w:r>
        <w:rPr>
          <w:rFonts w:ascii="宋体" w:hAnsi="宋体" w:cs="宋体"/>
          <w:color w:val="000000"/>
          <w:sz w:val="21"/>
          <w:szCs w:val="21"/>
        </w:rPr>
        <w:t>项目名称</w:t>
      </w:r>
      <w:r>
        <w:rPr>
          <w:rFonts w:ascii="宋体" w:hAnsi="宋体" w:cs="宋体"/>
          <w:color w:val="000000"/>
          <w:szCs w:val="21"/>
        </w:rPr>
        <w:t>：</w:t>
      </w:r>
    </w:p>
    <w:p w14:paraId="0064A5CD">
      <w:pPr>
        <w:spacing w:line="360" w:lineRule="auto"/>
        <w:rPr>
          <w:rFonts w:ascii="宋体" w:hAnsi="宋体" w:eastAsia="宋体" w:cs="宋体"/>
          <w:color w:val="000000"/>
          <w:szCs w:val="21"/>
          <w:highlight w:val="none"/>
        </w:rPr>
      </w:pPr>
      <w:r>
        <w:rPr>
          <w:rFonts w:ascii="宋体" w:hAnsi="宋体" w:cs="宋体"/>
          <w:color w:val="000000"/>
          <w:szCs w:val="21"/>
        </w:rPr>
        <w:t xml:space="preserve">项目编号：                                                </w:t>
      </w:r>
    </w:p>
    <w:p w14:paraId="333B2133">
      <w:pPr>
        <w:spacing w:line="360" w:lineRule="auto"/>
        <w:jc w:val="right"/>
        <w:rPr>
          <w:rFonts w:ascii="宋体" w:hAnsi="宋体" w:eastAsia="宋体" w:cs="宋体"/>
          <w:color w:val="000000"/>
          <w:szCs w:val="21"/>
          <w:highlight w:val="none"/>
        </w:rPr>
      </w:pPr>
      <w:r>
        <w:rPr>
          <w:rFonts w:ascii="宋体" w:hAnsi="宋体" w:eastAsia="宋体" w:cs="宋体"/>
          <w:color w:val="000000"/>
          <w:szCs w:val="21"/>
        </w:rPr>
        <w:t xml:space="preserve"> </w:t>
      </w:r>
      <w:r>
        <w:rPr>
          <w:rFonts w:ascii="宋体" w:hAnsi="宋体" w:cs="宋体"/>
          <w:color w:val="000000"/>
          <w:szCs w:val="21"/>
        </w:rPr>
        <w:t>单位：元（人民币）</w:t>
      </w:r>
    </w:p>
    <w:tbl>
      <w:tblPr>
        <w:tblStyle w:val="19"/>
        <w:tblW w:w="8780" w:type="dxa"/>
        <w:tblInd w:w="211" w:type="dxa"/>
        <w:tblLayout w:type="fixed"/>
        <w:tblCellMar>
          <w:top w:w="0" w:type="dxa"/>
          <w:left w:w="108" w:type="dxa"/>
          <w:bottom w:w="0" w:type="dxa"/>
          <w:right w:w="108" w:type="dxa"/>
        </w:tblCellMar>
      </w:tblPr>
      <w:tblGrid>
        <w:gridCol w:w="1621"/>
        <w:gridCol w:w="974"/>
        <w:gridCol w:w="6185"/>
      </w:tblGrid>
      <w:tr w14:paraId="75555C55">
        <w:tblPrEx>
          <w:tblCellMar>
            <w:top w:w="0" w:type="dxa"/>
            <w:left w:w="108" w:type="dxa"/>
            <w:bottom w:w="0" w:type="dxa"/>
            <w:right w:w="108" w:type="dxa"/>
          </w:tblCellMar>
        </w:tblPrEx>
        <w:trPr>
          <w:cantSplit/>
          <w:trHeight w:val="622"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2203A57D">
            <w:pPr>
              <w:spacing w:line="360" w:lineRule="auto"/>
              <w:jc w:val="center"/>
              <w:rPr>
                <w:rFonts w:ascii="宋体" w:hAnsi="宋体" w:eastAsia="宋体" w:cs="宋体"/>
                <w:color w:val="000000"/>
                <w:szCs w:val="21"/>
                <w:highlight w:val="none"/>
              </w:rPr>
            </w:pPr>
            <w:r>
              <w:rPr>
                <w:rFonts w:ascii="宋体" w:hAnsi="宋体" w:cs="宋体"/>
                <w:color w:val="000000"/>
                <w:szCs w:val="21"/>
              </w:rPr>
              <w:t>项目名称</w:t>
            </w:r>
          </w:p>
        </w:tc>
        <w:tc>
          <w:tcPr>
            <w:tcW w:w="6185" w:type="dxa"/>
            <w:tcBorders>
              <w:top w:val="single" w:color="000000" w:sz="4" w:space="0"/>
              <w:left w:val="single" w:color="000000" w:sz="4" w:space="0"/>
              <w:bottom w:val="single" w:color="000000" w:sz="4" w:space="0"/>
              <w:right w:val="single" w:color="000000" w:sz="4" w:space="0"/>
            </w:tcBorders>
            <w:vAlign w:val="center"/>
          </w:tcPr>
          <w:p w14:paraId="00A06FD7">
            <w:pPr>
              <w:snapToGrid w:val="0"/>
              <w:spacing w:line="360" w:lineRule="auto"/>
              <w:rPr>
                <w:rFonts w:ascii="宋体" w:hAnsi="宋体" w:eastAsia="宋体" w:cs="宋体"/>
                <w:color w:val="000000"/>
                <w:szCs w:val="21"/>
                <w:highlight w:val="none"/>
              </w:rPr>
            </w:pPr>
          </w:p>
        </w:tc>
      </w:tr>
      <w:tr w14:paraId="374F87A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6C7BF07C">
            <w:pPr>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val="en-US" w:eastAsia="zh-CN"/>
              </w:rPr>
              <w:t>工期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0ACB9B51">
            <w:pPr>
              <w:snapToGrid w:val="0"/>
              <w:spacing w:line="360" w:lineRule="auto"/>
              <w:jc w:val="center"/>
              <w:rPr>
                <w:rFonts w:ascii="宋体" w:hAnsi="宋体" w:eastAsia="宋体" w:cs="宋体"/>
                <w:color w:val="000000"/>
                <w:szCs w:val="21"/>
                <w:highlight w:val="none"/>
                <w:lang w:eastAsia="zh-CN"/>
              </w:rPr>
            </w:pPr>
          </w:p>
        </w:tc>
      </w:tr>
      <w:tr w14:paraId="4349073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349ABB23">
            <w:pPr>
              <w:spacing w:line="360" w:lineRule="auto"/>
              <w:jc w:val="center"/>
              <w:rPr>
                <w:rFonts w:ascii="宋体" w:hAnsi="宋体" w:eastAsia="宋体" w:cs="宋体"/>
                <w:color w:val="000000"/>
                <w:szCs w:val="21"/>
                <w:highlight w:val="none"/>
                <w:lang w:val="en-US" w:eastAsia="zh-CN"/>
              </w:rPr>
            </w:pPr>
            <w:r>
              <w:rPr>
                <w:rFonts w:ascii="宋体" w:hAnsi="宋体" w:cs="宋体"/>
                <w:color w:val="000000"/>
                <w:szCs w:val="21"/>
                <w:lang w:val="en-US" w:eastAsia="zh-CN"/>
              </w:rPr>
              <w:t>保修期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10EC7913">
            <w:pPr>
              <w:snapToGrid w:val="0"/>
              <w:spacing w:line="360" w:lineRule="auto"/>
              <w:jc w:val="center"/>
              <w:rPr>
                <w:rFonts w:ascii="宋体" w:hAnsi="宋体" w:eastAsia="宋体" w:cs="宋体"/>
                <w:color w:val="000000"/>
                <w:szCs w:val="21"/>
                <w:highlight w:val="none"/>
                <w:lang w:val="en-US" w:eastAsia="zh-CN"/>
              </w:rPr>
            </w:pPr>
          </w:p>
        </w:tc>
      </w:tr>
      <w:tr w14:paraId="3BC1FB92">
        <w:tblPrEx>
          <w:tblCellMar>
            <w:top w:w="0" w:type="dxa"/>
            <w:left w:w="108" w:type="dxa"/>
            <w:bottom w:w="0" w:type="dxa"/>
            <w:right w:w="108" w:type="dxa"/>
          </w:tblCellMar>
        </w:tblPrEx>
        <w:trPr>
          <w:cantSplit/>
          <w:trHeight w:val="603"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52053B33">
            <w:pPr>
              <w:spacing w:line="360" w:lineRule="auto"/>
              <w:jc w:val="center"/>
              <w:rPr>
                <w:rFonts w:ascii="宋体" w:hAnsi="宋体" w:eastAsia="宋体" w:cs="宋体"/>
                <w:color w:val="000000"/>
                <w:szCs w:val="21"/>
                <w:highlight w:val="none"/>
              </w:rPr>
            </w:pPr>
            <w:r>
              <w:rPr>
                <w:rFonts w:ascii="宋体" w:hAnsi="宋体" w:cs="宋体"/>
                <w:color w:val="000000"/>
                <w:szCs w:val="21"/>
              </w:rPr>
              <w:t>磋商有效期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59907CFE">
            <w:pPr>
              <w:snapToGrid w:val="0"/>
              <w:spacing w:line="360" w:lineRule="auto"/>
              <w:jc w:val="center"/>
              <w:rPr>
                <w:rFonts w:ascii="宋体" w:hAnsi="宋体" w:eastAsia="宋体" w:cs="宋体"/>
                <w:color w:val="000000"/>
                <w:szCs w:val="21"/>
                <w:highlight w:val="none"/>
              </w:rPr>
            </w:pPr>
          </w:p>
        </w:tc>
      </w:tr>
      <w:tr w14:paraId="56A5C100">
        <w:tblPrEx>
          <w:tblCellMar>
            <w:top w:w="0" w:type="dxa"/>
            <w:left w:w="108" w:type="dxa"/>
            <w:bottom w:w="0" w:type="dxa"/>
            <w:right w:w="108" w:type="dxa"/>
          </w:tblCellMar>
        </w:tblPrEx>
        <w:trPr>
          <w:cantSplit/>
          <w:trHeight w:val="601" w:hRule="atLeast"/>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12840F78">
            <w:pPr>
              <w:spacing w:line="360" w:lineRule="auto"/>
              <w:jc w:val="center"/>
              <w:rPr>
                <w:rFonts w:ascii="宋体" w:hAnsi="宋体" w:eastAsia="宋体" w:cs="宋体"/>
                <w:color w:val="000000"/>
                <w:szCs w:val="21"/>
                <w:highlight w:val="none"/>
              </w:rPr>
            </w:pPr>
            <w:r>
              <w:rPr>
                <w:rFonts w:ascii="宋体" w:hAnsi="宋体" w:cs="宋体"/>
                <w:color w:val="000000"/>
                <w:szCs w:val="21"/>
              </w:rPr>
              <w:t>响应</w:t>
            </w:r>
            <w:r>
              <w:rPr>
                <w:rFonts w:ascii="宋体" w:hAnsi="宋体" w:cs="宋体"/>
                <w:color w:val="000000"/>
                <w:szCs w:val="21"/>
                <w:lang w:val="en-US" w:eastAsia="zh-CN"/>
              </w:rPr>
              <w:t>总</w:t>
            </w:r>
            <w:r>
              <w:rPr>
                <w:rFonts w:ascii="宋体" w:hAnsi="宋体" w:cs="宋体"/>
                <w:color w:val="000000"/>
                <w:szCs w:val="21"/>
              </w:rPr>
              <w:t>报价</w:t>
            </w:r>
          </w:p>
          <w:p w14:paraId="4BADABA4">
            <w:pPr>
              <w:spacing w:line="360" w:lineRule="auto"/>
              <w:jc w:val="center"/>
              <w:rPr>
                <w:rFonts w:ascii="宋体" w:hAnsi="宋体" w:eastAsia="宋体" w:cs="宋体"/>
                <w:color w:val="000000"/>
                <w:szCs w:val="21"/>
                <w:highlight w:val="none"/>
              </w:rPr>
            </w:pPr>
            <w:r>
              <w:rPr>
                <w:rFonts w:ascii="宋体" w:hAnsi="宋体" w:cs="宋体"/>
                <w:color w:val="000000"/>
                <w:szCs w:val="21"/>
              </w:rPr>
              <w:t>（人民币）</w:t>
            </w:r>
          </w:p>
        </w:tc>
        <w:tc>
          <w:tcPr>
            <w:tcW w:w="974" w:type="dxa"/>
            <w:tcBorders>
              <w:top w:val="single" w:color="000000" w:sz="4" w:space="0"/>
              <w:left w:val="single" w:color="000000" w:sz="4" w:space="0"/>
              <w:bottom w:val="single" w:color="000000" w:sz="4" w:space="0"/>
              <w:right w:val="single" w:color="000000" w:sz="4" w:space="0"/>
            </w:tcBorders>
            <w:vAlign w:val="center"/>
          </w:tcPr>
          <w:p w14:paraId="3BE5014E">
            <w:pPr>
              <w:widowControl/>
              <w:spacing w:line="360" w:lineRule="auto"/>
              <w:jc w:val="center"/>
              <w:rPr>
                <w:rFonts w:ascii="宋体" w:hAnsi="宋体" w:eastAsia="宋体" w:cs="宋体"/>
                <w:color w:val="000000"/>
                <w:szCs w:val="21"/>
                <w:highlight w:val="none"/>
              </w:rPr>
            </w:pPr>
            <w:r>
              <w:rPr>
                <w:rFonts w:ascii="宋体" w:hAnsi="宋体" w:cs="宋体"/>
                <w:color w:val="000000"/>
                <w:szCs w:val="21"/>
              </w:rPr>
              <w:t>小写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4E497F50">
            <w:pPr>
              <w:snapToGrid w:val="0"/>
              <w:spacing w:line="360" w:lineRule="auto"/>
              <w:jc w:val="center"/>
              <w:rPr>
                <w:rFonts w:ascii="宋体" w:hAnsi="宋体" w:eastAsia="宋体" w:cs="宋体"/>
                <w:color w:val="000000"/>
                <w:szCs w:val="21"/>
                <w:highlight w:val="none"/>
              </w:rPr>
            </w:pPr>
          </w:p>
        </w:tc>
      </w:tr>
      <w:tr w14:paraId="5026C306">
        <w:tblPrEx>
          <w:tblCellMar>
            <w:top w:w="0" w:type="dxa"/>
            <w:left w:w="108" w:type="dxa"/>
            <w:bottom w:w="0" w:type="dxa"/>
            <w:right w:w="108" w:type="dxa"/>
          </w:tblCellMar>
        </w:tblPrEx>
        <w:trPr>
          <w:cantSplit/>
          <w:trHeight w:val="601" w:hRule="atLeast"/>
        </w:trPr>
        <w:tc>
          <w:tcPr>
            <w:tcW w:w="1621" w:type="dxa"/>
            <w:vMerge w:val="continue"/>
            <w:tcBorders>
              <w:top w:val="single" w:color="000000" w:sz="4" w:space="0"/>
              <w:left w:val="single" w:color="000000" w:sz="4" w:space="0"/>
              <w:bottom w:val="single" w:color="000000" w:sz="4" w:space="0"/>
              <w:right w:val="single" w:color="000000" w:sz="4" w:space="0"/>
            </w:tcBorders>
            <w:vAlign w:val="center"/>
          </w:tcPr>
          <w:p w14:paraId="022E682B">
            <w:pPr>
              <w:snapToGrid w:val="0"/>
              <w:spacing w:line="360" w:lineRule="auto"/>
              <w:jc w:val="center"/>
              <w:rPr>
                <w:rFonts w:ascii="宋体" w:hAnsi="宋体" w:eastAsia="宋体" w:cs="宋体"/>
                <w:color w:val="000000"/>
                <w:szCs w:val="21"/>
                <w:highlight w:val="none"/>
              </w:rPr>
            </w:pPr>
          </w:p>
        </w:tc>
        <w:tc>
          <w:tcPr>
            <w:tcW w:w="974" w:type="dxa"/>
            <w:tcBorders>
              <w:top w:val="single" w:color="000000" w:sz="4" w:space="0"/>
              <w:left w:val="single" w:color="000000" w:sz="4" w:space="0"/>
              <w:bottom w:val="single" w:color="000000" w:sz="4" w:space="0"/>
              <w:right w:val="single" w:color="000000" w:sz="4" w:space="0"/>
            </w:tcBorders>
            <w:vAlign w:val="center"/>
          </w:tcPr>
          <w:p w14:paraId="2D8E3700">
            <w:pPr>
              <w:widowControl/>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eastAsia="zh-CN"/>
              </w:rPr>
              <w:t>大写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697F0DB2">
            <w:pPr>
              <w:snapToGrid w:val="0"/>
              <w:spacing w:line="360" w:lineRule="auto"/>
              <w:jc w:val="center"/>
              <w:rPr>
                <w:rFonts w:ascii="宋体" w:hAnsi="宋体" w:eastAsia="宋体" w:cs="宋体"/>
                <w:color w:val="000000"/>
                <w:szCs w:val="21"/>
                <w:highlight w:val="none"/>
                <w:lang w:eastAsia="zh-CN"/>
              </w:rPr>
            </w:pPr>
          </w:p>
        </w:tc>
      </w:tr>
    </w:tbl>
    <w:p w14:paraId="78D410AE">
      <w:pPr>
        <w:spacing w:line="360" w:lineRule="auto"/>
        <w:ind w:firstLine="416"/>
        <w:rPr>
          <w:rFonts w:ascii="宋体" w:hAnsi="宋体" w:eastAsia="宋体" w:cs="宋体"/>
          <w:color w:val="000000"/>
          <w:szCs w:val="21"/>
          <w:highlight w:val="none"/>
        </w:rPr>
      </w:pPr>
      <w:r>
        <w:rPr>
          <w:rFonts w:ascii="宋体" w:hAnsi="宋体" w:cs="宋体"/>
          <w:color w:val="000000"/>
          <w:szCs w:val="21"/>
        </w:rPr>
        <w:t>填写说明：</w:t>
      </w:r>
    </w:p>
    <w:p w14:paraId="209B144B">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1</w:t>
      </w:r>
      <w:r>
        <w:rPr>
          <w:rFonts w:ascii="宋体" w:hAnsi="宋体" w:eastAsia="宋体" w:cs="宋体"/>
          <w:color w:val="000000"/>
          <w:szCs w:val="21"/>
        </w:rPr>
        <w:t>.</w:t>
      </w:r>
      <w:r>
        <w:rPr>
          <w:rFonts w:ascii="宋体" w:hAnsi="宋体" w:cs="宋体"/>
          <w:color w:val="000000"/>
          <w:szCs w:val="21"/>
        </w:rPr>
        <w:t>响应文件开启时，本表中的内容与响应文件中的响应函、分项</w:t>
      </w:r>
      <w:r>
        <w:rPr>
          <w:rFonts w:ascii="宋体" w:hAnsi="宋体" w:cs="宋体"/>
          <w:color w:val="000000"/>
          <w:szCs w:val="21"/>
          <w:lang w:val="en-US" w:eastAsia="zh-CN"/>
        </w:rPr>
        <w:t>报价表</w:t>
      </w:r>
      <w:r>
        <w:rPr>
          <w:rFonts w:ascii="宋体" w:hAnsi="宋体" w:cs="宋体"/>
          <w:color w:val="000000"/>
          <w:szCs w:val="21"/>
        </w:rPr>
        <w:t>的内容不一致的，以本表为准；大写金额与小写金额不一致的，以大写金额为准；总价金额与按单价汇总金额不一致的，以单价金额计算结果为准；单价金额小数点有明显错位的，应以总价为准，并修改单价。</w:t>
      </w:r>
    </w:p>
    <w:p w14:paraId="0E7CAC48">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2</w:t>
      </w:r>
      <w:r>
        <w:rPr>
          <w:rFonts w:ascii="宋体" w:hAnsi="宋体" w:eastAsia="宋体" w:cs="宋体"/>
          <w:color w:val="000000"/>
          <w:szCs w:val="21"/>
        </w:rPr>
        <w:t>.</w:t>
      </w:r>
      <w:r>
        <w:rPr>
          <w:rFonts w:ascii="宋体" w:hAnsi="宋体" w:cs="宋体"/>
          <w:color w:val="000000"/>
          <w:szCs w:val="21"/>
        </w:rPr>
        <w:t>磋商总价为采购范围所列全部采购项目的报价总和，并应与分项价格表</w:t>
      </w:r>
      <w:r>
        <w:rPr>
          <w:rFonts w:ascii="宋体" w:hAnsi="宋体" w:cs="宋体"/>
          <w:color w:val="000000"/>
          <w:szCs w:val="21"/>
          <w:lang w:val="en-US" w:eastAsia="zh-CN"/>
        </w:rPr>
        <w:t>的合计</w:t>
      </w:r>
      <w:r>
        <w:rPr>
          <w:rFonts w:ascii="宋体" w:hAnsi="宋体" w:cs="宋体"/>
          <w:color w:val="000000"/>
          <w:szCs w:val="21"/>
        </w:rPr>
        <w:t>保持一致。</w:t>
      </w:r>
    </w:p>
    <w:p w14:paraId="392D477E">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3</w:t>
      </w:r>
      <w:r>
        <w:rPr>
          <w:rFonts w:ascii="宋体" w:hAnsi="宋体" w:eastAsia="宋体" w:cs="宋体"/>
          <w:color w:val="000000"/>
          <w:szCs w:val="21"/>
        </w:rPr>
        <w:t>.</w:t>
      </w:r>
      <w:r>
        <w:rPr>
          <w:rFonts w:ascii="宋体" w:hAnsi="宋体" w:cs="宋体"/>
          <w:color w:val="000000"/>
          <w:szCs w:val="21"/>
        </w:rPr>
        <w:t>磋商报价不得填报选择性报价。</w:t>
      </w:r>
    </w:p>
    <w:p w14:paraId="3F03E01A">
      <w:pPr>
        <w:spacing w:line="360" w:lineRule="auto"/>
        <w:ind w:firstLine="426"/>
        <w:rPr>
          <w:rFonts w:ascii="宋体" w:hAnsi="宋体" w:eastAsia="宋体" w:cs="宋体"/>
          <w:color w:val="000000"/>
          <w:szCs w:val="21"/>
          <w:highlight w:val="none"/>
        </w:rPr>
      </w:pPr>
      <w:r>
        <w:rPr>
          <w:rFonts w:ascii="宋体" w:hAnsi="宋体" w:cs="宋体"/>
          <w:color w:val="000000"/>
          <w:szCs w:val="21"/>
        </w:rPr>
        <w:t>供应商名称：</w:t>
      </w:r>
      <w:r>
        <w:rPr>
          <w:rFonts w:ascii="宋体" w:hAnsi="宋体" w:cs="宋体"/>
          <w:color w:val="000000"/>
          <w:szCs w:val="21"/>
          <w:u w:val="single"/>
        </w:rPr>
        <w:t xml:space="preserve">    （加盖公章）     </w:t>
      </w:r>
      <w:r>
        <w:rPr>
          <w:rFonts w:ascii="宋体" w:hAnsi="宋体" w:cs="宋体"/>
          <w:color w:val="000000"/>
          <w:szCs w:val="21"/>
        </w:rPr>
        <w:t xml:space="preserve">       </w:t>
      </w:r>
    </w:p>
    <w:p w14:paraId="6FFFE833">
      <w:pPr>
        <w:spacing w:line="360" w:lineRule="auto"/>
        <w:ind w:firstLine="426"/>
        <w:rPr>
          <w:rFonts w:ascii="宋体" w:hAnsi="宋体" w:eastAsia="宋体" w:cs="宋体"/>
          <w:color w:val="000000"/>
          <w:szCs w:val="21"/>
          <w:highlight w:val="none"/>
        </w:rPr>
      </w:pPr>
      <w:r>
        <w:rPr>
          <w:rFonts w:ascii="宋体" w:hAnsi="宋体" w:cs="宋体"/>
          <w:color w:val="000000"/>
          <w:szCs w:val="21"/>
        </w:rPr>
        <w:t>法定代表人签字或盖章：</w:t>
      </w:r>
      <w:r>
        <w:rPr>
          <w:rFonts w:ascii="宋体" w:hAnsi="宋体" w:cs="宋体"/>
          <w:color w:val="000000"/>
          <w:szCs w:val="21"/>
          <w:u w:val="single"/>
        </w:rPr>
        <w:t xml:space="preserve">           </w:t>
      </w:r>
      <w:r>
        <w:rPr>
          <w:rFonts w:ascii="宋体" w:hAnsi="宋体" w:cs="宋体"/>
          <w:color w:val="000000"/>
          <w:szCs w:val="21"/>
        </w:rPr>
        <w:t xml:space="preserve"> </w:t>
      </w:r>
    </w:p>
    <w:p w14:paraId="7AC53A63">
      <w:pPr>
        <w:spacing w:line="360" w:lineRule="auto"/>
        <w:ind w:firstLine="426"/>
        <w:rPr>
          <w:rFonts w:ascii="宋体" w:hAnsi="宋体" w:eastAsia="宋体" w:cs="宋体"/>
          <w:color w:val="000000"/>
          <w:szCs w:val="21"/>
          <w:highlight w:val="none"/>
        </w:rPr>
      </w:pPr>
      <w:r>
        <w:rPr>
          <w:rFonts w:ascii="宋体" w:hAnsi="宋体" w:cs="宋体"/>
          <w:color w:val="000000"/>
          <w:szCs w:val="21"/>
        </w:rPr>
        <w:t>授权代表签字或盖章：</w:t>
      </w:r>
      <w:r>
        <w:rPr>
          <w:rFonts w:ascii="宋体" w:hAnsi="宋体" w:cs="宋体"/>
          <w:color w:val="000000"/>
          <w:szCs w:val="21"/>
          <w:u w:val="single"/>
        </w:rPr>
        <w:t xml:space="preserve">               </w:t>
      </w:r>
      <w:r>
        <w:rPr>
          <w:rFonts w:ascii="宋体" w:hAnsi="宋体" w:cs="宋体"/>
          <w:color w:val="000000"/>
          <w:szCs w:val="21"/>
        </w:rPr>
        <w:t xml:space="preserve">  </w:t>
      </w:r>
    </w:p>
    <w:p w14:paraId="04955515">
      <w:pPr>
        <w:spacing w:line="360" w:lineRule="auto"/>
        <w:ind w:firstLine="426"/>
        <w:rPr>
          <w:rFonts w:ascii="宋体" w:hAnsi="宋体" w:eastAsia="宋体" w:cs="宋体"/>
          <w:b/>
          <w:bCs/>
          <w:color w:val="000000"/>
          <w:sz w:val="24"/>
          <w:highlight w:val="none"/>
        </w:rPr>
      </w:pPr>
      <w:r>
        <w:rPr>
          <w:rFonts w:ascii="宋体" w:hAnsi="宋体" w:cs="宋体"/>
          <w:color w:val="000000"/>
          <w:szCs w:val="21"/>
        </w:rPr>
        <w:t>签署日期：</w:t>
      </w:r>
      <w:r>
        <w:rPr>
          <w:rFonts w:ascii="宋体" w:hAnsi="宋体" w:cs="宋体"/>
          <w:color w:val="000000"/>
          <w:szCs w:val="21"/>
          <w:u w:val="single"/>
        </w:rPr>
        <w:t xml:space="preserve">       </w:t>
      </w:r>
      <w:r>
        <w:rPr>
          <w:rFonts w:ascii="宋体" w:hAnsi="宋体" w:cs="宋体"/>
          <w:color w:val="000000"/>
          <w:szCs w:val="21"/>
        </w:rPr>
        <w:t xml:space="preserve"> 年</w:t>
      </w:r>
      <w:r>
        <w:rPr>
          <w:rFonts w:ascii="宋体" w:hAnsi="宋体" w:cs="宋体"/>
          <w:color w:val="000000"/>
          <w:szCs w:val="21"/>
          <w:u w:val="single"/>
        </w:rPr>
        <w:t xml:space="preserve">     </w:t>
      </w:r>
      <w:r>
        <w:rPr>
          <w:rFonts w:ascii="宋体" w:hAnsi="宋体" w:cs="宋体"/>
          <w:color w:val="000000"/>
          <w:szCs w:val="21"/>
        </w:rPr>
        <w:t xml:space="preserve">月 </w:t>
      </w:r>
      <w:r>
        <w:rPr>
          <w:rFonts w:ascii="宋体" w:hAnsi="宋体" w:cs="宋体"/>
          <w:color w:val="000000"/>
          <w:szCs w:val="21"/>
          <w:u w:val="single"/>
        </w:rPr>
        <w:t xml:space="preserve">    </w:t>
      </w:r>
      <w:r>
        <w:rPr>
          <w:rFonts w:ascii="宋体" w:hAnsi="宋体" w:cs="宋体"/>
          <w:color w:val="000000"/>
          <w:szCs w:val="21"/>
        </w:rPr>
        <w:t>日</w:t>
      </w:r>
    </w:p>
    <w:p w14:paraId="4B6C06CA">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1306682B">
      <w:pPr>
        <w:pStyle w:val="50"/>
        <w:tabs>
          <w:tab w:val="left" w:pos="5580"/>
        </w:tabs>
        <w:spacing w:line="360" w:lineRule="auto"/>
        <w:rPr>
          <w:rFonts w:ascii="宋体" w:hAnsi="宋体" w:eastAsia="宋体" w:cs="宋体"/>
          <w:b/>
          <w:bCs/>
          <w:color w:val="000000"/>
          <w:sz w:val="24"/>
          <w:highlight w:val="none"/>
          <w:lang w:val="en-US" w:eastAsia="zh-CN"/>
        </w:rPr>
      </w:pPr>
    </w:p>
    <w:p w14:paraId="47D30F0C">
      <w:pPr>
        <w:pStyle w:val="50"/>
        <w:tabs>
          <w:tab w:val="left" w:pos="5580"/>
        </w:tabs>
        <w:spacing w:line="360" w:lineRule="auto"/>
        <w:rPr>
          <w:rFonts w:ascii="宋体" w:hAnsi="宋体" w:eastAsia="宋体" w:cs="宋体"/>
          <w:b/>
          <w:bCs/>
          <w:color w:val="000000"/>
          <w:sz w:val="24"/>
          <w:highlight w:val="none"/>
          <w:lang w:val="en-US" w:eastAsia="zh-CN"/>
        </w:rPr>
      </w:pPr>
    </w:p>
    <w:p w14:paraId="4CEBEEA7">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10A1468E">
      <w:pPr>
        <w:pStyle w:val="50"/>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6</w:t>
      </w:r>
      <w:r>
        <w:rPr>
          <w:rFonts w:ascii="宋体" w:hAnsi="宋体" w:cs="宋体"/>
          <w:color w:val="000000"/>
          <w:sz w:val="24"/>
          <w:lang w:val="en-US" w:eastAsia="zh-CN"/>
        </w:rPr>
        <w:t>：</w:t>
      </w:r>
    </w:p>
    <w:p w14:paraId="5F7022D3">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响应分项报价表</w:t>
      </w:r>
    </w:p>
    <w:p w14:paraId="63D3E186">
      <w:pPr>
        <w:pStyle w:val="50"/>
        <w:spacing w:line="360" w:lineRule="auto"/>
        <w:jc w:val="center"/>
        <w:rPr>
          <w:rFonts w:ascii="宋体" w:hAnsi="宋体" w:eastAsia="宋体" w:cs="宋体"/>
          <w:b/>
          <w:bCs/>
          <w:color w:val="000000"/>
          <w:sz w:val="24"/>
          <w:highlight w:val="none"/>
          <w:lang w:val="en-US" w:eastAsia="zh-CN"/>
        </w:rPr>
      </w:pPr>
    </w:p>
    <w:p w14:paraId="3E7D189C">
      <w:pPr>
        <w:pStyle w:val="3"/>
        <w:numPr>
          <w:ilvl w:val="0"/>
          <w:numId w:val="0"/>
        </w:numPr>
        <w:spacing w:before="0" w:after="0" w:line="240" w:lineRule="atLeast"/>
        <w:ind w:left="0" w:firstLine="0"/>
        <w:jc w:val="center"/>
        <w:rPr>
          <w:rFonts w:ascii="宋体" w:hAnsi="宋体" w:cs="宋体"/>
          <w:b/>
          <w:bCs/>
          <w:color w:val="000000"/>
          <w:sz w:val="24"/>
          <w:highlight w:val="none"/>
          <w:lang w:eastAsia="zh-CN"/>
        </w:rPr>
      </w:pPr>
      <w:r>
        <w:rPr>
          <w:rFonts w:ascii="宋体" w:hAnsi="宋体" w:cs="宋体"/>
          <w:b/>
          <w:bCs/>
          <w:color w:val="000000"/>
          <w:sz w:val="24"/>
          <w:lang w:eastAsia="zh-CN"/>
        </w:rPr>
        <w:t>（</w:t>
      </w:r>
      <w:r>
        <w:rPr>
          <w:rFonts w:ascii="宋体" w:hAnsi="宋体" w:cs="宋体"/>
          <w:b/>
          <w:bCs/>
          <w:color w:val="000000"/>
          <w:sz w:val="24"/>
          <w:lang w:val="en-US" w:eastAsia="zh-CN"/>
        </w:rPr>
        <w:t>工程量清单计价</w:t>
      </w:r>
      <w:r>
        <w:rPr>
          <w:rFonts w:ascii="宋体" w:hAnsi="宋体" w:cs="宋体"/>
          <w:b/>
          <w:bCs/>
          <w:color w:val="000000"/>
          <w:sz w:val="24"/>
          <w:lang w:eastAsia="zh-CN"/>
        </w:rPr>
        <w:t>）</w:t>
      </w:r>
    </w:p>
    <w:p w14:paraId="7C4AC8B8">
      <w:pPr>
        <w:rPr>
          <w:rFonts w:ascii="宋体" w:hAnsi="宋体" w:cs="宋体"/>
          <w:b/>
          <w:bCs/>
          <w:color w:val="000000"/>
          <w:sz w:val="24"/>
          <w:highlight w:val="none"/>
          <w:lang w:eastAsia="zh-CN"/>
        </w:rPr>
      </w:pPr>
    </w:p>
    <w:p w14:paraId="4060A1C5">
      <w:pPr>
        <w:spacing w:line="360" w:lineRule="auto"/>
        <w:ind w:firstLine="2130"/>
        <w:rPr>
          <w:rFonts w:ascii="宋体" w:hAnsi="宋体" w:eastAsia="宋体" w:cs="宋体"/>
          <w:b/>
          <w:bCs/>
          <w:color w:val="000000"/>
          <w:highlight w:val="none"/>
          <w:lang w:eastAsia="zh-CN"/>
        </w:rPr>
      </w:pPr>
      <w:r>
        <w:rPr>
          <w:rFonts w:ascii="宋体" w:hAnsi="宋体" w:cs="宋体"/>
          <w:b/>
          <w:bCs/>
          <w:color w:val="000000"/>
          <w:lang w:eastAsia="zh-CN"/>
        </w:rPr>
        <w:t>按</w:t>
      </w:r>
      <w:r>
        <w:rPr>
          <w:rFonts w:ascii="宋体" w:hAnsi="宋体" w:cs="宋体"/>
          <w:b/>
          <w:bCs/>
          <w:color w:val="000000"/>
          <w:lang w:val="en-US" w:eastAsia="zh-CN"/>
        </w:rPr>
        <w:t>照</w:t>
      </w:r>
      <w:r>
        <w:rPr>
          <w:rFonts w:ascii="宋体" w:hAnsi="宋体" w:cs="宋体"/>
          <w:b/>
          <w:bCs/>
          <w:color w:val="000000"/>
          <w:lang w:eastAsia="zh-CN"/>
        </w:rPr>
        <w:t>竞争性</w:t>
      </w:r>
      <w:r>
        <w:rPr>
          <w:rFonts w:ascii="宋体" w:hAnsi="宋体" w:cs="宋体"/>
          <w:b/>
          <w:bCs/>
          <w:color w:val="000000"/>
          <w:lang w:val="en-US" w:eastAsia="zh-CN"/>
        </w:rPr>
        <w:t>磋商文件</w:t>
      </w:r>
      <w:r>
        <w:rPr>
          <w:rFonts w:ascii="宋体" w:hAnsi="宋体" w:cs="宋体"/>
          <w:b/>
          <w:bCs/>
          <w:color w:val="000000"/>
          <w:lang w:eastAsia="zh-CN"/>
        </w:rPr>
        <w:t>中“工程量清单”格式报价</w:t>
      </w:r>
    </w:p>
    <w:p w14:paraId="45664003">
      <w:pPr>
        <w:pStyle w:val="50"/>
        <w:spacing w:line="360" w:lineRule="auto"/>
        <w:jc w:val="center"/>
        <w:rPr>
          <w:rFonts w:ascii="宋体" w:hAnsi="宋体" w:eastAsia="宋体" w:cs="宋体"/>
          <w:b/>
          <w:bCs/>
          <w:color w:val="000000"/>
          <w:sz w:val="24"/>
          <w:highlight w:val="none"/>
          <w:lang w:val="en-US" w:eastAsia="zh-CN"/>
        </w:rPr>
      </w:pPr>
    </w:p>
    <w:p w14:paraId="067787ED">
      <w:pPr>
        <w:pStyle w:val="50"/>
        <w:spacing w:line="360" w:lineRule="auto"/>
        <w:jc w:val="center"/>
        <w:rPr>
          <w:rFonts w:ascii="宋体" w:hAnsi="宋体" w:eastAsia="宋体" w:cs="宋体"/>
          <w:color w:val="000000"/>
          <w:sz w:val="24"/>
          <w:highlight w:val="none"/>
          <w:lang w:val="en-US" w:eastAsia="zh-CN"/>
        </w:rPr>
      </w:pPr>
    </w:p>
    <w:p w14:paraId="51A008A0">
      <w:pPr>
        <w:pStyle w:val="50"/>
        <w:spacing w:line="360" w:lineRule="auto"/>
        <w:ind w:firstLine="426"/>
        <w:rPr>
          <w:rFonts w:ascii="宋体" w:hAnsi="宋体" w:eastAsia="宋体" w:cs="宋体"/>
          <w:color w:val="000000"/>
          <w:sz w:val="21"/>
          <w:szCs w:val="21"/>
          <w:highlight w:val="none"/>
        </w:rPr>
      </w:pPr>
      <w:r>
        <w:rPr>
          <w:rFonts w:ascii="宋体" w:hAnsi="宋体" w:cs="宋体"/>
          <w:color w:val="000000"/>
          <w:sz w:val="21"/>
          <w:szCs w:val="21"/>
        </w:rPr>
        <w:t>注</w:t>
      </w:r>
      <w:r>
        <w:rPr>
          <w:rFonts w:eastAsia="宋体" w:cs="宋体"/>
          <w:color w:val="000000"/>
          <w:sz w:val="21"/>
          <w:szCs w:val="21"/>
        </w:rPr>
        <w:t>:</w:t>
      </w:r>
      <w:r>
        <w:rPr>
          <w:rFonts w:eastAsia="宋体" w:cs="宋体"/>
          <w:color w:val="000000"/>
          <w:sz w:val="21"/>
          <w:szCs w:val="21"/>
          <w:lang w:val="en-US" w:eastAsia="zh-CN"/>
        </w:rPr>
        <w:t xml:space="preserve"> 1</w:t>
      </w:r>
      <w:r>
        <w:rPr>
          <w:rFonts w:eastAsia="宋体" w:cs="宋体"/>
          <w:color w:val="000000"/>
          <w:sz w:val="21"/>
          <w:szCs w:val="21"/>
        </w:rPr>
        <w:t>.</w:t>
      </w:r>
      <w:r>
        <w:rPr>
          <w:rFonts w:ascii="宋体" w:hAnsi="宋体" w:cs="宋体"/>
          <w:color w:val="000000"/>
          <w:sz w:val="21"/>
          <w:szCs w:val="21"/>
        </w:rPr>
        <w:t>表中磋商报价总计应与对应</w:t>
      </w:r>
      <w:r>
        <w:rPr>
          <w:rFonts w:ascii="宋体" w:hAnsi="宋体" w:cs="宋体"/>
          <w:color w:val="000000"/>
          <w:sz w:val="21"/>
          <w:szCs w:val="21"/>
          <w:lang w:val="en-US" w:eastAsia="zh-CN"/>
        </w:rPr>
        <w:t>开启响应文件</w:t>
      </w:r>
      <w:r>
        <w:rPr>
          <w:rFonts w:ascii="宋体" w:hAnsi="宋体" w:cs="宋体"/>
          <w:color w:val="000000"/>
          <w:sz w:val="21"/>
          <w:szCs w:val="21"/>
        </w:rPr>
        <w:t>一览表中磋商总价一致。</w:t>
      </w:r>
    </w:p>
    <w:p w14:paraId="3119CFB2">
      <w:pPr>
        <w:pStyle w:val="50"/>
        <w:numPr>
          <w:ilvl w:val="0"/>
          <w:numId w:val="16"/>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响应分项报价表不得缺项漏项，否则按无效响应处理。</w:t>
      </w:r>
    </w:p>
    <w:p w14:paraId="2C247721">
      <w:pPr>
        <w:pStyle w:val="50"/>
        <w:numPr>
          <w:ilvl w:val="0"/>
          <w:numId w:val="16"/>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工程量清单根据代理机构随磋商文件发布提供的清单为准。</w:t>
      </w:r>
      <w:r>
        <w:br w:type="page"/>
      </w:r>
    </w:p>
    <w:p w14:paraId="0FE8B441">
      <w:pPr>
        <w:pStyle w:val="3"/>
        <w:numPr>
          <w:ilvl w:val="0"/>
          <w:numId w:val="0"/>
        </w:numPr>
        <w:spacing w:before="0" w:after="0" w:line="360" w:lineRule="auto"/>
        <w:ind w:left="0" w:firstLine="0"/>
        <w:jc w:val="left"/>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响应文件格式7：</w:t>
      </w:r>
    </w:p>
    <w:p w14:paraId="41F4985B">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技术规格偏离表</w:t>
      </w:r>
    </w:p>
    <w:p w14:paraId="3DFF0B84">
      <w:pPr>
        <w:pStyle w:val="50"/>
        <w:spacing w:line="360" w:lineRule="auto"/>
        <w:ind w:left="1087" w:hanging="540"/>
        <w:rPr>
          <w:rFonts w:ascii="宋体" w:hAnsi="宋体" w:eastAsia="宋体" w:cs="宋体"/>
          <w:b/>
          <w:bCs/>
          <w:color w:val="000000"/>
          <w:sz w:val="22"/>
          <w:szCs w:val="18"/>
          <w:highlight w:val="none"/>
        </w:rPr>
      </w:pPr>
    </w:p>
    <w:p w14:paraId="6D15E385">
      <w:pPr>
        <w:pStyle w:val="50"/>
        <w:spacing w:line="360" w:lineRule="auto"/>
        <w:ind w:firstLine="852"/>
        <w:rPr>
          <w:rFonts w:ascii="宋体" w:hAnsi="宋体" w:eastAsia="宋体" w:cs="宋体"/>
          <w:color w:val="000000"/>
          <w:sz w:val="21"/>
          <w:szCs w:val="21"/>
          <w:highlight w:val="none"/>
        </w:rPr>
      </w:pPr>
      <w:r>
        <w:rPr>
          <w:rFonts w:ascii="宋体" w:hAnsi="宋体" w:cs="宋体"/>
          <w:color w:val="000000"/>
          <w:sz w:val="21"/>
          <w:szCs w:val="21"/>
        </w:rPr>
        <w:t>项目名称</w:t>
      </w:r>
      <w:r>
        <w:rPr>
          <w:rFonts w:eastAsia="宋体" w:cs="宋体"/>
          <w:color w:val="000000"/>
          <w:sz w:val="21"/>
          <w:szCs w:val="21"/>
        </w:rPr>
        <w:t xml:space="preserve">:                       </w:t>
      </w:r>
      <w:r>
        <w:rPr>
          <w:rFonts w:ascii="宋体" w:hAnsi="宋体" w:cs="宋体"/>
          <w:color w:val="000000"/>
          <w:sz w:val="21"/>
          <w:szCs w:val="21"/>
        </w:rPr>
        <w:t>项目编号</w:t>
      </w:r>
      <w:r>
        <w:rPr>
          <w:rFonts w:eastAsia="宋体" w:cs="宋体"/>
          <w:color w:val="000000"/>
          <w:sz w:val="21"/>
          <w:szCs w:val="21"/>
        </w:rPr>
        <w:t xml:space="preserve">:                 </w:t>
      </w:r>
      <w:r>
        <w:rPr>
          <w:rFonts w:ascii="宋体" w:hAnsi="宋体" w:cs="宋体"/>
          <w:color w:val="000000"/>
          <w:sz w:val="21"/>
          <w:szCs w:val="21"/>
        </w:rPr>
        <w:t>包号</w:t>
      </w:r>
      <w:r>
        <w:rPr>
          <w:rFonts w:eastAsia="宋体" w:cs="宋体"/>
          <w:color w:val="000000"/>
          <w:sz w:val="21"/>
          <w:szCs w:val="21"/>
        </w:rPr>
        <w:t>:</w:t>
      </w:r>
    </w:p>
    <w:p w14:paraId="3B1D9DA2">
      <w:pPr>
        <w:pStyle w:val="50"/>
        <w:spacing w:line="360" w:lineRule="auto"/>
        <w:ind w:left="1087" w:hanging="540"/>
        <w:rPr>
          <w:rFonts w:ascii="宋体" w:hAnsi="宋体" w:eastAsia="宋体" w:cs="宋体"/>
          <w:color w:val="000000"/>
          <w:sz w:val="21"/>
          <w:szCs w:val="21"/>
          <w:highlight w:val="none"/>
        </w:rPr>
      </w:pPr>
    </w:p>
    <w:tbl>
      <w:tblPr>
        <w:tblStyle w:val="19"/>
        <w:tblW w:w="8477" w:type="dxa"/>
        <w:jc w:val="center"/>
        <w:tblLayout w:type="fixed"/>
        <w:tblCellMar>
          <w:top w:w="0" w:type="dxa"/>
          <w:left w:w="108" w:type="dxa"/>
          <w:bottom w:w="0" w:type="dxa"/>
          <w:right w:w="108" w:type="dxa"/>
        </w:tblCellMar>
      </w:tblPr>
      <w:tblGrid>
        <w:gridCol w:w="1097"/>
        <w:gridCol w:w="1727"/>
        <w:gridCol w:w="1412"/>
        <w:gridCol w:w="1412"/>
        <w:gridCol w:w="1412"/>
        <w:gridCol w:w="1417"/>
      </w:tblGrid>
      <w:tr w14:paraId="14D66F89">
        <w:tblPrEx>
          <w:tblCellMar>
            <w:top w:w="0" w:type="dxa"/>
            <w:left w:w="108" w:type="dxa"/>
            <w:bottom w:w="0" w:type="dxa"/>
            <w:right w:w="108" w:type="dxa"/>
          </w:tblCellMar>
        </w:tblPrEx>
        <w:trPr>
          <w:trHeight w:val="664" w:hRule="atLeast"/>
          <w:jc w:val="center"/>
        </w:trPr>
        <w:tc>
          <w:tcPr>
            <w:tcW w:w="1097" w:type="dxa"/>
            <w:tcBorders>
              <w:top w:val="single" w:color="000000" w:sz="4" w:space="0"/>
              <w:left w:val="single" w:color="000000" w:sz="4" w:space="0"/>
              <w:bottom w:val="single" w:color="000000" w:sz="4" w:space="0"/>
              <w:right w:val="single" w:color="000000" w:sz="4" w:space="0"/>
            </w:tcBorders>
            <w:vAlign w:val="center"/>
          </w:tcPr>
          <w:p w14:paraId="0E85A910">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1727" w:type="dxa"/>
            <w:tcBorders>
              <w:top w:val="single" w:color="000000" w:sz="4" w:space="0"/>
              <w:left w:val="single" w:color="000000" w:sz="4" w:space="0"/>
              <w:bottom w:val="single" w:color="000000" w:sz="4" w:space="0"/>
              <w:right w:val="single" w:color="000000" w:sz="4" w:space="0"/>
            </w:tcBorders>
            <w:vAlign w:val="center"/>
          </w:tcPr>
          <w:p w14:paraId="251436F2">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服务名称</w:t>
            </w:r>
          </w:p>
        </w:tc>
        <w:tc>
          <w:tcPr>
            <w:tcW w:w="1412" w:type="dxa"/>
            <w:tcBorders>
              <w:top w:val="single" w:color="000000" w:sz="4" w:space="0"/>
              <w:left w:val="single" w:color="000000" w:sz="4" w:space="0"/>
              <w:bottom w:val="single" w:color="000000" w:sz="4" w:space="0"/>
              <w:right w:val="single" w:color="000000" w:sz="4" w:space="0"/>
            </w:tcBorders>
            <w:vAlign w:val="center"/>
          </w:tcPr>
          <w:p w14:paraId="699D7966">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6881DC01">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59B59066">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w:t>
            </w:r>
          </w:p>
        </w:tc>
        <w:tc>
          <w:tcPr>
            <w:tcW w:w="1417" w:type="dxa"/>
            <w:tcBorders>
              <w:top w:val="single" w:color="000000" w:sz="4" w:space="0"/>
              <w:left w:val="single" w:color="000000" w:sz="4" w:space="0"/>
              <w:bottom w:val="single" w:color="000000" w:sz="4" w:space="0"/>
              <w:right w:val="single" w:color="000000" w:sz="4" w:space="0"/>
            </w:tcBorders>
            <w:vAlign w:val="center"/>
          </w:tcPr>
          <w:p w14:paraId="4DC057FE">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说明</w:t>
            </w:r>
          </w:p>
        </w:tc>
      </w:tr>
      <w:tr w14:paraId="6787AB38">
        <w:tblPrEx>
          <w:tblCellMar>
            <w:top w:w="0" w:type="dxa"/>
            <w:left w:w="108" w:type="dxa"/>
            <w:bottom w:w="0" w:type="dxa"/>
            <w:right w:w="108" w:type="dxa"/>
          </w:tblCellMar>
        </w:tblPrEx>
        <w:trPr>
          <w:trHeight w:val="516"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1992BB9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B6AD76B">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9B73A2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1206A0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vAlign w:val="center"/>
          </w:tcPr>
          <w:p w14:paraId="604F1D3B">
            <w:pPr>
              <w:pStyle w:val="50"/>
              <w:keepNext w:val="0"/>
              <w:keepLines w:val="0"/>
              <w:widowControl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110AB0C">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10604629">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D66724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7F9D9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274F68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45921D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3EFCB3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C66BFFA">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324A2620">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A40FABC">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9DFE356">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07AA7C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CAEF42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9D724D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E6DCB8F">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3A07B63D">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7A9460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7234578">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1941B8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D81203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DE7D9E2">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1B6D1254">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7DA30CA6">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A45A42">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C4CD6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2E6B00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E03181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54A3C1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050376F">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583855E5">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367470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59F95C">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CC38E0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EC8F74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B7C52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E356545">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1668FBC4">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63655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99B7BC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FB92C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1940976">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8449B4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6B3EABB">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4809A6BC">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CEBBF18">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91FE93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9402A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4862BB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BA671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862F916">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026EF31E">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62DFD7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B830D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23364EC">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F1D3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620F6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4E9FABEF">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64DAE74F">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83D05E7">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4E570BB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A2B351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A1E7AF7">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EAF6CD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9336FF7">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41EC2D95">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3989AF8">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46B4F6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686C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6C5F87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FF03EE7">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14D6725">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52A8067A">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9153B9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6DA1F2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44AF53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0A6E17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9EB4E1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23ACDA">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50EC7593">
        <w:tblPrEx>
          <w:tblCellMar>
            <w:top w:w="0" w:type="dxa"/>
            <w:left w:w="108" w:type="dxa"/>
            <w:bottom w:w="0" w:type="dxa"/>
            <w:right w:w="108" w:type="dxa"/>
          </w:tblCellMar>
        </w:tblPrEx>
        <w:trPr>
          <w:trHeight w:val="54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C3211E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3F69108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81BEB4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50F886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6CCD52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7D4A00">
            <w:pPr>
              <w:pStyle w:val="50"/>
              <w:snapToGrid w:val="0"/>
              <w:spacing w:line="360" w:lineRule="auto"/>
              <w:ind w:left="1087" w:hanging="540"/>
              <w:rPr>
                <w:rFonts w:ascii="宋体" w:hAnsi="宋体" w:eastAsia="宋体" w:cs="宋体"/>
                <w:color w:val="000000"/>
                <w:sz w:val="21"/>
                <w:szCs w:val="21"/>
                <w:highlight w:val="none"/>
                <w:lang w:val="en-US" w:eastAsia="zh-CN"/>
              </w:rPr>
            </w:pPr>
          </w:p>
        </w:tc>
      </w:tr>
    </w:tbl>
    <w:p w14:paraId="12AABE24">
      <w:pPr>
        <w:pStyle w:val="50"/>
        <w:spacing w:line="360" w:lineRule="auto"/>
        <w:rPr>
          <w:rFonts w:ascii="宋体" w:hAnsi="宋体" w:eastAsia="宋体" w:cs="宋体"/>
          <w:color w:val="000000"/>
          <w:sz w:val="21"/>
          <w:szCs w:val="21"/>
          <w:highlight w:val="none"/>
          <w:lang w:val="en-US" w:eastAsia="zh-CN"/>
        </w:rPr>
      </w:pPr>
    </w:p>
    <w:p w14:paraId="6EC686F1">
      <w:pPr>
        <w:pStyle w:val="50"/>
        <w:spacing w:line="360" w:lineRule="auto"/>
        <w:ind w:left="1087" w:hanging="540"/>
        <w:rPr>
          <w:rFonts w:ascii="宋体" w:hAnsi="宋体" w:eastAsia="宋体" w:cs="宋体"/>
          <w:color w:val="000000"/>
          <w:sz w:val="21"/>
          <w:szCs w:val="21"/>
          <w:highlight w:val="none"/>
          <w:lang w:val="en-US" w:eastAsia="zh-CN"/>
        </w:rPr>
      </w:pPr>
    </w:p>
    <w:p w14:paraId="476E7621">
      <w:pPr>
        <w:pStyle w:val="50"/>
        <w:spacing w:line="360" w:lineRule="auto"/>
        <w:ind w:left="1087" w:hanging="540"/>
        <w:rPr>
          <w:rFonts w:ascii="宋体" w:hAnsi="宋体" w:eastAsia="宋体" w:cs="宋体"/>
          <w:color w:val="000000"/>
          <w:sz w:val="21"/>
          <w:szCs w:val="21"/>
          <w:highlight w:val="none"/>
        </w:rPr>
      </w:pPr>
      <w:r>
        <w:rPr>
          <w:rFonts w:ascii="宋体" w:hAnsi="宋体" w:cs="宋体"/>
          <w:color w:val="000000"/>
          <w:sz w:val="21"/>
          <w:szCs w:val="21"/>
        </w:rPr>
        <w:t>法定代表人或其委托代理人签字</w:t>
      </w:r>
      <w:r>
        <w:rPr>
          <w:rFonts w:ascii="宋体" w:hAnsi="宋体" w:cs="宋体"/>
          <w:color w:val="000000"/>
          <w:sz w:val="21"/>
          <w:szCs w:val="21"/>
          <w:lang w:val="en-US" w:eastAsia="zh-CN"/>
        </w:rPr>
        <w:t>或盖章</w:t>
      </w:r>
      <w:r>
        <w:rPr>
          <w:rFonts w:eastAsia="宋体" w:cs="宋体"/>
          <w:color w:val="000000"/>
          <w:sz w:val="21"/>
          <w:szCs w:val="21"/>
        </w:rPr>
        <w:t>:</w:t>
      </w:r>
      <w:r>
        <w:rPr>
          <w:rFonts w:eastAsia="宋体" w:cs="宋体"/>
          <w:color w:val="000000"/>
          <w:sz w:val="21"/>
          <w:szCs w:val="21"/>
          <w:u w:val="single"/>
        </w:rPr>
        <w:t xml:space="preserve"> </w:t>
      </w:r>
      <w:r>
        <w:rPr>
          <w:rFonts w:eastAsia="宋体" w:cs="宋体"/>
          <w:color w:val="000000"/>
          <w:sz w:val="21"/>
          <w:szCs w:val="21"/>
          <w:u w:val="single"/>
        </w:rPr>
        <w:tab/>
      </w:r>
      <w:r>
        <w:rPr>
          <w:rFonts w:eastAsia="宋体" w:cs="宋体"/>
          <w:color w:val="000000"/>
          <w:sz w:val="21"/>
          <w:szCs w:val="21"/>
          <w:u w:val="single"/>
        </w:rPr>
        <w:t xml:space="preserve">                 </w:t>
      </w:r>
    </w:p>
    <w:p w14:paraId="4F712702">
      <w:pPr>
        <w:pStyle w:val="50"/>
        <w:tabs>
          <w:tab w:val="left" w:pos="5370"/>
        </w:tabs>
        <w:spacing w:line="360" w:lineRule="auto"/>
        <w:ind w:left="1087" w:hanging="540"/>
        <w:rPr>
          <w:rFonts w:ascii="宋体" w:hAnsi="宋体" w:eastAsia="宋体" w:cs="宋体"/>
          <w:color w:val="000000"/>
          <w:sz w:val="21"/>
          <w:szCs w:val="21"/>
          <w:highlight w:val="none"/>
          <w:u w:val="single"/>
        </w:rPr>
      </w:pPr>
      <w:r>
        <w:rPr>
          <w:rFonts w:ascii="宋体" w:hAnsi="宋体" w:cs="宋体"/>
          <w:color w:val="000000"/>
          <w:sz w:val="21"/>
          <w:szCs w:val="21"/>
        </w:rPr>
        <w:t>供应商</w:t>
      </w:r>
      <w:r>
        <w:rPr>
          <w:rFonts w:eastAsia="宋体" w:cs="宋体"/>
          <w:color w:val="000000"/>
          <w:sz w:val="21"/>
          <w:szCs w:val="21"/>
        </w:rPr>
        <w:t>(</w:t>
      </w:r>
      <w:r>
        <w:rPr>
          <w:rFonts w:ascii="宋体" w:hAnsi="宋体" w:cs="宋体"/>
          <w:color w:val="000000"/>
          <w:sz w:val="21"/>
          <w:szCs w:val="21"/>
        </w:rPr>
        <w:t>盖单位章</w:t>
      </w:r>
      <w:r>
        <w:rPr>
          <w:rFonts w:eastAsia="宋体" w:cs="宋体"/>
          <w:color w:val="000000"/>
          <w:sz w:val="21"/>
          <w:szCs w:val="21"/>
        </w:rPr>
        <w:t>):</w:t>
      </w:r>
      <w:r>
        <w:rPr>
          <w:rFonts w:eastAsia="宋体" w:cs="宋体"/>
          <w:color w:val="000000"/>
          <w:sz w:val="21"/>
          <w:szCs w:val="21"/>
          <w:u w:val="single"/>
        </w:rPr>
        <w:tab/>
      </w:r>
    </w:p>
    <w:p w14:paraId="510C22D6">
      <w:pPr>
        <w:pStyle w:val="50"/>
        <w:tabs>
          <w:tab w:val="left" w:pos="5580"/>
        </w:tabs>
        <w:spacing w:line="360" w:lineRule="auto"/>
        <w:ind w:left="1087" w:hanging="540"/>
        <w:rPr>
          <w:rFonts w:ascii="宋体" w:hAnsi="宋体" w:eastAsia="宋体" w:cs="宋体"/>
          <w:color w:val="000000"/>
          <w:sz w:val="24"/>
          <w:highlight w:val="yellow"/>
          <w:u w:val="single"/>
        </w:rPr>
      </w:pPr>
      <w:r>
        <w:rPr>
          <w:rFonts w:ascii="宋体" w:hAnsi="宋体" w:cs="宋体"/>
          <w:color w:val="000000"/>
          <w:sz w:val="21"/>
          <w:szCs w:val="21"/>
          <w:lang w:val="en-US" w:eastAsia="zh-CN"/>
        </w:rPr>
        <w:t>日期：          年    月    日</w:t>
      </w:r>
      <w:r>
        <w:br w:type="page"/>
      </w:r>
    </w:p>
    <w:p w14:paraId="7D4DEDB6">
      <w:pPr>
        <w:pStyle w:val="50"/>
        <w:tabs>
          <w:tab w:val="left" w:pos="5580"/>
        </w:tabs>
        <w:spacing w:line="360" w:lineRule="auto"/>
        <w:ind w:left="1087" w:hanging="540"/>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8</w:t>
      </w:r>
      <w:r>
        <w:rPr>
          <w:rFonts w:ascii="宋体" w:hAnsi="宋体" w:cs="宋体"/>
          <w:b/>
          <w:bCs/>
          <w:color w:val="000000"/>
          <w:sz w:val="24"/>
          <w:lang w:val="en-US" w:eastAsia="zh-CN"/>
        </w:rPr>
        <w:t>：</w:t>
      </w:r>
    </w:p>
    <w:p w14:paraId="05CA1F6A">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商务条款偏离表</w:t>
      </w:r>
    </w:p>
    <w:p w14:paraId="51BB7C1C">
      <w:pPr>
        <w:pStyle w:val="50"/>
        <w:spacing w:line="360" w:lineRule="auto"/>
        <w:ind w:left="1087" w:hanging="540"/>
        <w:rPr>
          <w:rFonts w:ascii="宋体" w:hAnsi="宋体" w:eastAsia="宋体" w:cs="宋体"/>
          <w:b/>
          <w:bCs/>
          <w:color w:val="000000"/>
          <w:sz w:val="24"/>
          <w:highlight w:val="none"/>
        </w:rPr>
      </w:pPr>
    </w:p>
    <w:p w14:paraId="694D9C1F">
      <w:pPr>
        <w:pStyle w:val="50"/>
        <w:spacing w:line="360" w:lineRule="auto"/>
        <w:ind w:left="1087" w:hanging="540"/>
        <w:rPr>
          <w:rFonts w:ascii="宋体" w:hAnsi="宋体" w:eastAsia="宋体" w:cs="宋体"/>
          <w:color w:val="000000"/>
          <w:sz w:val="21"/>
          <w:szCs w:val="16"/>
          <w:highlight w:val="none"/>
        </w:rPr>
      </w:pPr>
      <w:r>
        <w:rPr>
          <w:rFonts w:ascii="宋体" w:hAnsi="宋体" w:cs="宋体"/>
          <w:color w:val="000000"/>
          <w:sz w:val="21"/>
          <w:szCs w:val="16"/>
        </w:rPr>
        <w:t>项目名称</w:t>
      </w:r>
      <w:r>
        <w:rPr>
          <w:rFonts w:eastAsia="宋体" w:cs="宋体"/>
          <w:color w:val="000000"/>
          <w:sz w:val="21"/>
          <w:szCs w:val="16"/>
        </w:rPr>
        <w:t xml:space="preserve">:                      </w:t>
      </w:r>
      <w:r>
        <w:rPr>
          <w:rFonts w:ascii="宋体" w:hAnsi="宋体" w:cs="宋体"/>
          <w:color w:val="000000"/>
          <w:sz w:val="21"/>
          <w:szCs w:val="16"/>
        </w:rPr>
        <w:t>项目编号</w:t>
      </w:r>
      <w:r>
        <w:rPr>
          <w:rFonts w:eastAsia="宋体" w:cs="宋体"/>
          <w:color w:val="000000"/>
          <w:sz w:val="21"/>
          <w:szCs w:val="16"/>
        </w:rPr>
        <w:t xml:space="preserve">:    </w:t>
      </w:r>
      <w:r>
        <w:rPr>
          <w:rFonts w:eastAsia="宋体" w:cs="宋体"/>
          <w:color w:val="000000"/>
          <w:sz w:val="21"/>
          <w:szCs w:val="16"/>
          <w:lang w:val="en-US" w:eastAsia="zh-CN"/>
        </w:rPr>
        <w:t xml:space="preserve">       </w:t>
      </w:r>
      <w:r>
        <w:rPr>
          <w:rFonts w:eastAsia="宋体" w:cs="宋体"/>
          <w:color w:val="000000"/>
          <w:sz w:val="21"/>
          <w:szCs w:val="16"/>
        </w:rPr>
        <w:t xml:space="preserve">      </w:t>
      </w:r>
      <w:r>
        <w:rPr>
          <w:rFonts w:ascii="宋体" w:hAnsi="宋体" w:cs="宋体"/>
          <w:color w:val="000000"/>
          <w:sz w:val="21"/>
          <w:szCs w:val="16"/>
        </w:rPr>
        <w:t>包号</w:t>
      </w:r>
      <w:r>
        <w:rPr>
          <w:rFonts w:eastAsia="宋体" w:cs="宋体"/>
          <w:color w:val="000000"/>
          <w:sz w:val="21"/>
          <w:szCs w:val="16"/>
        </w:rPr>
        <w:t>:</w:t>
      </w:r>
    </w:p>
    <w:p w14:paraId="35F7B972">
      <w:pPr>
        <w:pStyle w:val="50"/>
        <w:spacing w:line="360" w:lineRule="auto"/>
        <w:ind w:left="1087" w:hanging="540"/>
        <w:rPr>
          <w:rFonts w:ascii="宋体" w:hAnsi="宋体" w:eastAsia="宋体" w:cs="宋体"/>
          <w:color w:val="000000"/>
          <w:sz w:val="22"/>
          <w:szCs w:val="18"/>
          <w:highlight w:val="none"/>
        </w:rPr>
      </w:pPr>
    </w:p>
    <w:tbl>
      <w:tblPr>
        <w:tblStyle w:val="19"/>
        <w:tblW w:w="8938" w:type="dxa"/>
        <w:jc w:val="center"/>
        <w:tblLayout w:type="fixed"/>
        <w:tblCellMar>
          <w:top w:w="0" w:type="dxa"/>
          <w:left w:w="108" w:type="dxa"/>
          <w:bottom w:w="0" w:type="dxa"/>
          <w:right w:w="108" w:type="dxa"/>
        </w:tblCellMar>
      </w:tblPr>
      <w:tblGrid>
        <w:gridCol w:w="708"/>
        <w:gridCol w:w="5925"/>
        <w:gridCol w:w="1200"/>
        <w:gridCol w:w="1105"/>
      </w:tblGrid>
      <w:tr w14:paraId="7A0E9B95">
        <w:tblPrEx>
          <w:tblCellMar>
            <w:top w:w="0" w:type="dxa"/>
            <w:left w:w="108" w:type="dxa"/>
            <w:bottom w:w="0" w:type="dxa"/>
            <w:right w:w="108" w:type="dxa"/>
          </w:tblCellMar>
        </w:tblPrEx>
        <w:trPr>
          <w:trHeight w:val="279"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BD52E7B">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5925" w:type="dxa"/>
            <w:tcBorders>
              <w:top w:val="single" w:color="000000" w:sz="4" w:space="0"/>
              <w:left w:val="single" w:color="000000" w:sz="4" w:space="0"/>
              <w:bottom w:val="single" w:color="000000" w:sz="4" w:space="0"/>
              <w:right w:val="single" w:color="000000" w:sz="4" w:space="0"/>
            </w:tcBorders>
          </w:tcPr>
          <w:p w14:paraId="7257F22F">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磋商文件主要商务条款</w:t>
            </w:r>
          </w:p>
        </w:tc>
        <w:tc>
          <w:tcPr>
            <w:tcW w:w="1200" w:type="dxa"/>
            <w:tcBorders>
              <w:top w:val="single" w:color="000000" w:sz="4" w:space="0"/>
              <w:left w:val="single" w:color="000000" w:sz="4" w:space="0"/>
              <w:bottom w:val="single" w:color="000000" w:sz="4" w:space="0"/>
              <w:right w:val="single" w:color="000000" w:sz="4" w:space="0"/>
            </w:tcBorders>
          </w:tcPr>
          <w:p w14:paraId="3BACC1E9">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是否响应</w:t>
            </w:r>
          </w:p>
        </w:tc>
        <w:tc>
          <w:tcPr>
            <w:tcW w:w="1105" w:type="dxa"/>
            <w:tcBorders>
              <w:top w:val="single" w:color="000000" w:sz="4" w:space="0"/>
              <w:left w:val="single" w:color="000000" w:sz="4" w:space="0"/>
              <w:bottom w:val="single" w:color="000000" w:sz="4" w:space="0"/>
              <w:right w:val="single" w:color="000000" w:sz="4" w:space="0"/>
            </w:tcBorders>
          </w:tcPr>
          <w:p w14:paraId="410A55A7">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偏离说明</w:t>
            </w:r>
          </w:p>
        </w:tc>
      </w:tr>
      <w:tr w14:paraId="4004BE6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9503818">
            <w:pPr>
              <w:pStyle w:val="73"/>
              <w:spacing w:before="23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rPr>
              <w:t>1</w:t>
            </w:r>
          </w:p>
        </w:tc>
        <w:tc>
          <w:tcPr>
            <w:tcW w:w="5925" w:type="dxa"/>
            <w:tcBorders>
              <w:top w:val="single" w:color="000000" w:sz="4" w:space="0"/>
              <w:left w:val="single" w:color="000000" w:sz="4" w:space="0"/>
              <w:bottom w:val="single" w:color="000000" w:sz="4" w:space="0"/>
              <w:right w:val="single" w:color="000000" w:sz="4" w:space="0"/>
            </w:tcBorders>
          </w:tcPr>
          <w:p w14:paraId="50AE065A">
            <w:pPr>
              <w:pStyle w:val="73"/>
              <w:spacing w:before="38" w:after="0" w:line="220" w:lineRule="auto"/>
              <w:ind w:left="113"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完全理解并接受对合格供应商、合格的货物和服务</w:t>
            </w:r>
            <w:r>
              <w:rPr>
                <w:rFonts w:ascii="宋体" w:hAnsi="宋体" w:cs="宋体"/>
                <w:color w:val="000000"/>
                <w:spacing w:val="-4"/>
                <w:sz w:val="21"/>
                <w:szCs w:val="21"/>
              </w:rPr>
              <w:t>要求。</w:t>
            </w:r>
          </w:p>
        </w:tc>
        <w:tc>
          <w:tcPr>
            <w:tcW w:w="1200" w:type="dxa"/>
            <w:tcBorders>
              <w:top w:val="single" w:color="000000" w:sz="4" w:space="0"/>
              <w:left w:val="single" w:color="000000" w:sz="4" w:space="0"/>
              <w:bottom w:val="single" w:color="000000" w:sz="4" w:space="0"/>
              <w:right w:val="single" w:color="000000" w:sz="4" w:space="0"/>
            </w:tcBorders>
          </w:tcPr>
          <w:p w14:paraId="669DA1C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6C90584">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952E70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97F2812">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2</w:t>
            </w:r>
          </w:p>
        </w:tc>
        <w:tc>
          <w:tcPr>
            <w:tcW w:w="5925" w:type="dxa"/>
            <w:tcBorders>
              <w:top w:val="single" w:color="000000" w:sz="4" w:space="0"/>
              <w:left w:val="single" w:color="000000" w:sz="4" w:space="0"/>
              <w:bottom w:val="single" w:color="000000" w:sz="4" w:space="0"/>
              <w:right w:val="single" w:color="000000" w:sz="4" w:space="0"/>
            </w:tcBorders>
          </w:tcPr>
          <w:p w14:paraId="370CAB14">
            <w:pPr>
              <w:pStyle w:val="73"/>
              <w:spacing w:before="38" w:after="0" w:line="220" w:lineRule="auto"/>
              <w:ind w:left="114"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完全理解并接受对供应商的各项须知、规约要求和责任义</w:t>
            </w:r>
            <w:r>
              <w:rPr>
                <w:rFonts w:ascii="宋体" w:hAnsi="宋体" w:cs="宋体"/>
                <w:color w:val="000000"/>
                <w:spacing w:val="-6"/>
                <w:sz w:val="21"/>
                <w:szCs w:val="21"/>
              </w:rPr>
              <w:t>务。</w:t>
            </w:r>
          </w:p>
        </w:tc>
        <w:tc>
          <w:tcPr>
            <w:tcW w:w="1200" w:type="dxa"/>
            <w:tcBorders>
              <w:top w:val="single" w:color="000000" w:sz="4" w:space="0"/>
              <w:left w:val="single" w:color="000000" w:sz="4" w:space="0"/>
              <w:bottom w:val="single" w:color="000000" w:sz="4" w:space="0"/>
              <w:right w:val="single" w:color="000000" w:sz="4" w:space="0"/>
            </w:tcBorders>
          </w:tcPr>
          <w:p w14:paraId="6FF00B7F">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F8571DD">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0AE5488C">
        <w:tblPrEx>
          <w:tblCellMar>
            <w:top w:w="0" w:type="dxa"/>
            <w:left w:w="108" w:type="dxa"/>
            <w:bottom w:w="0" w:type="dxa"/>
            <w:right w:w="108" w:type="dxa"/>
          </w:tblCellMar>
        </w:tblPrEx>
        <w:trPr>
          <w:trHeight w:val="448"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EBFDA60">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3</w:t>
            </w:r>
          </w:p>
        </w:tc>
        <w:tc>
          <w:tcPr>
            <w:tcW w:w="5925" w:type="dxa"/>
            <w:tcBorders>
              <w:top w:val="single" w:color="000000" w:sz="4" w:space="0"/>
              <w:left w:val="single" w:color="000000" w:sz="4" w:space="0"/>
              <w:bottom w:val="single" w:color="000000" w:sz="4" w:space="0"/>
              <w:right w:val="single" w:color="000000" w:sz="4" w:space="0"/>
            </w:tcBorders>
          </w:tcPr>
          <w:p w14:paraId="26E0B48D">
            <w:pPr>
              <w:pStyle w:val="73"/>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同意接受合同范本所列述的各项条款。</w:t>
            </w:r>
          </w:p>
        </w:tc>
        <w:tc>
          <w:tcPr>
            <w:tcW w:w="1200" w:type="dxa"/>
            <w:tcBorders>
              <w:top w:val="single" w:color="000000" w:sz="4" w:space="0"/>
              <w:left w:val="single" w:color="000000" w:sz="4" w:space="0"/>
              <w:bottom w:val="single" w:color="000000" w:sz="4" w:space="0"/>
              <w:right w:val="single" w:color="000000" w:sz="4" w:space="0"/>
            </w:tcBorders>
          </w:tcPr>
          <w:p w14:paraId="6F3557D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57D2E9CA">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A700B44">
        <w:tblPrEx>
          <w:tblCellMar>
            <w:top w:w="0" w:type="dxa"/>
            <w:left w:w="108" w:type="dxa"/>
            <w:bottom w:w="0" w:type="dxa"/>
            <w:right w:w="108" w:type="dxa"/>
          </w:tblCellMar>
        </w:tblPrEx>
        <w:trPr>
          <w:trHeight w:val="37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00A7482">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4</w:t>
            </w:r>
          </w:p>
        </w:tc>
        <w:tc>
          <w:tcPr>
            <w:tcW w:w="5925" w:type="dxa"/>
            <w:tcBorders>
              <w:top w:val="single" w:color="000000" w:sz="4" w:space="0"/>
              <w:left w:val="single" w:color="000000" w:sz="4" w:space="0"/>
              <w:bottom w:val="single" w:color="000000" w:sz="4" w:space="0"/>
              <w:right w:val="single" w:color="000000" w:sz="4" w:space="0"/>
            </w:tcBorders>
          </w:tcPr>
          <w:p w14:paraId="1CFBAE72">
            <w:pPr>
              <w:pStyle w:val="73"/>
              <w:spacing w:before="109"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同意按本项目要求缴付相关款项。</w:t>
            </w:r>
          </w:p>
        </w:tc>
        <w:tc>
          <w:tcPr>
            <w:tcW w:w="1200" w:type="dxa"/>
            <w:tcBorders>
              <w:top w:val="single" w:color="000000" w:sz="4" w:space="0"/>
              <w:left w:val="single" w:color="000000" w:sz="4" w:space="0"/>
              <w:bottom w:val="single" w:color="000000" w:sz="4" w:space="0"/>
              <w:right w:val="single" w:color="000000" w:sz="4" w:space="0"/>
            </w:tcBorders>
          </w:tcPr>
          <w:p w14:paraId="4FE59E12">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1391E8F">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34344F7">
        <w:tblPrEx>
          <w:tblCellMar>
            <w:top w:w="0" w:type="dxa"/>
            <w:left w:w="108" w:type="dxa"/>
            <w:bottom w:w="0" w:type="dxa"/>
            <w:right w:w="108" w:type="dxa"/>
          </w:tblCellMar>
        </w:tblPrEx>
        <w:trPr>
          <w:trHeight w:val="29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2AF299A">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5</w:t>
            </w:r>
          </w:p>
        </w:tc>
        <w:tc>
          <w:tcPr>
            <w:tcW w:w="5925" w:type="dxa"/>
            <w:tcBorders>
              <w:top w:val="single" w:color="000000" w:sz="4" w:space="0"/>
              <w:left w:val="single" w:color="000000" w:sz="4" w:space="0"/>
              <w:bottom w:val="single" w:color="000000" w:sz="4" w:space="0"/>
              <w:right w:val="single" w:color="000000" w:sz="4" w:space="0"/>
            </w:tcBorders>
          </w:tcPr>
          <w:p w14:paraId="522544BA">
            <w:pPr>
              <w:pStyle w:val="73"/>
              <w:spacing w:before="40" w:after="0" w:line="228" w:lineRule="auto"/>
              <w:ind w:left="111" w:right="104" w:firstLine="3"/>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磋商有效期：</w:t>
            </w:r>
            <w:r>
              <w:rPr>
                <w:rFonts w:ascii="宋体" w:hAnsi="宋体" w:cs="宋体"/>
                <w:color w:val="000000"/>
                <w:spacing w:val="1"/>
                <w:sz w:val="21"/>
                <w:szCs w:val="21"/>
              </w:rPr>
              <w:t>不少于</w:t>
            </w:r>
            <w:r>
              <w:rPr>
                <w:rFonts w:eastAsia="宋体" w:cs="宋体"/>
                <w:color w:val="000000"/>
                <w:spacing w:val="-42"/>
                <w:sz w:val="21"/>
                <w:szCs w:val="21"/>
                <w:u w:val="single"/>
                <w:lang w:val="en-US" w:eastAsia="zh-CN"/>
              </w:rPr>
              <w:t xml:space="preserve">60   </w:t>
            </w:r>
            <w:r>
              <w:rPr>
                <w:rFonts w:ascii="宋体" w:hAnsi="宋体" w:cs="宋体"/>
                <w:color w:val="000000"/>
                <w:spacing w:val="1"/>
                <w:sz w:val="21"/>
                <w:szCs w:val="21"/>
              </w:rPr>
              <w:t>天</w:t>
            </w:r>
            <w:r>
              <w:rPr>
                <w:rFonts w:ascii="宋体" w:hAnsi="宋体" w:cs="宋体"/>
                <w:color w:val="000000"/>
                <w:spacing w:val="-2"/>
                <w:sz w:val="21"/>
                <w:szCs w:val="21"/>
              </w:rPr>
              <w:t>。</w:t>
            </w:r>
          </w:p>
        </w:tc>
        <w:tc>
          <w:tcPr>
            <w:tcW w:w="1200" w:type="dxa"/>
            <w:tcBorders>
              <w:top w:val="single" w:color="000000" w:sz="4" w:space="0"/>
              <w:left w:val="single" w:color="000000" w:sz="4" w:space="0"/>
              <w:bottom w:val="single" w:color="000000" w:sz="4" w:space="0"/>
              <w:right w:val="single" w:color="000000" w:sz="4" w:space="0"/>
            </w:tcBorders>
          </w:tcPr>
          <w:p w14:paraId="5DB6542B">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2E828267">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4F95A141">
        <w:tblPrEx>
          <w:tblCellMar>
            <w:top w:w="0" w:type="dxa"/>
            <w:left w:w="108" w:type="dxa"/>
            <w:bottom w:w="0" w:type="dxa"/>
            <w:right w:w="108" w:type="dxa"/>
          </w:tblCellMar>
        </w:tblPrEx>
        <w:trPr>
          <w:trHeight w:val="42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6AD86CE6">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6</w:t>
            </w:r>
          </w:p>
        </w:tc>
        <w:tc>
          <w:tcPr>
            <w:tcW w:w="5925" w:type="dxa"/>
            <w:tcBorders>
              <w:top w:val="single" w:color="000000" w:sz="4" w:space="0"/>
              <w:left w:val="single" w:color="000000" w:sz="4" w:space="0"/>
              <w:bottom w:val="single" w:color="000000" w:sz="4" w:space="0"/>
              <w:right w:val="single" w:color="000000" w:sz="4" w:space="0"/>
            </w:tcBorders>
          </w:tcPr>
          <w:p w14:paraId="147447B2">
            <w:pPr>
              <w:pStyle w:val="73"/>
              <w:spacing w:before="112" w:after="0" w:line="218" w:lineRule="auto"/>
              <w:ind w:left="115"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响应内容均涵盖</w:t>
            </w:r>
            <w:r>
              <w:rPr>
                <w:rFonts w:ascii="宋体" w:hAnsi="宋体" w:cs="宋体"/>
                <w:color w:val="000000"/>
                <w:spacing w:val="-1"/>
                <w:sz w:val="21"/>
                <w:szCs w:val="21"/>
                <w:lang w:val="en-US" w:eastAsia="zh-CN"/>
              </w:rPr>
              <w:t>采购</w:t>
            </w:r>
            <w:r>
              <w:rPr>
                <w:rFonts w:ascii="宋体" w:hAnsi="宋体" w:cs="宋体"/>
                <w:color w:val="000000"/>
                <w:spacing w:val="-1"/>
                <w:sz w:val="21"/>
                <w:szCs w:val="21"/>
              </w:rPr>
              <w:t>要求及一切费用和伴随服务。</w:t>
            </w:r>
          </w:p>
        </w:tc>
        <w:tc>
          <w:tcPr>
            <w:tcW w:w="1200" w:type="dxa"/>
            <w:tcBorders>
              <w:top w:val="single" w:color="000000" w:sz="4" w:space="0"/>
              <w:left w:val="single" w:color="000000" w:sz="4" w:space="0"/>
              <w:bottom w:val="single" w:color="000000" w:sz="4" w:space="0"/>
              <w:right w:val="single" w:color="000000" w:sz="4" w:space="0"/>
            </w:tcBorders>
          </w:tcPr>
          <w:p w14:paraId="7A1E921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F0DBC78">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2A09C291">
        <w:tblPrEx>
          <w:tblCellMar>
            <w:top w:w="0" w:type="dxa"/>
            <w:left w:w="108" w:type="dxa"/>
            <w:bottom w:w="0" w:type="dxa"/>
            <w:right w:w="108" w:type="dxa"/>
          </w:tblCellMar>
        </w:tblPrEx>
        <w:trPr>
          <w:trHeight w:val="357"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BBB167F">
            <w:pPr>
              <w:pStyle w:val="73"/>
              <w:spacing w:before="149"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7</w:t>
            </w:r>
          </w:p>
        </w:tc>
        <w:tc>
          <w:tcPr>
            <w:tcW w:w="5925" w:type="dxa"/>
            <w:tcBorders>
              <w:top w:val="single" w:color="000000" w:sz="4" w:space="0"/>
              <w:left w:val="single" w:color="000000" w:sz="4" w:space="0"/>
              <w:bottom w:val="single" w:color="000000" w:sz="4" w:space="0"/>
              <w:right w:val="single" w:color="000000" w:sz="4" w:space="0"/>
            </w:tcBorders>
          </w:tcPr>
          <w:p w14:paraId="740E6A58">
            <w:pPr>
              <w:pStyle w:val="73"/>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同意接受本项目</w:t>
            </w:r>
            <w:r>
              <w:rPr>
                <w:rFonts w:ascii="宋体" w:hAnsi="宋体" w:cs="宋体"/>
                <w:color w:val="000000"/>
                <w:spacing w:val="-2"/>
                <w:sz w:val="21"/>
                <w:szCs w:val="21"/>
                <w:lang w:val="en-US" w:eastAsia="zh-CN"/>
              </w:rPr>
              <w:t>的供货期、供货地点以及</w:t>
            </w:r>
            <w:r>
              <w:rPr>
                <w:rFonts w:ascii="宋体" w:hAnsi="宋体" w:cs="宋体"/>
                <w:color w:val="000000"/>
                <w:spacing w:val="-2"/>
                <w:sz w:val="21"/>
                <w:szCs w:val="21"/>
              </w:rPr>
              <w:t>相关进度安排要求。</w:t>
            </w:r>
          </w:p>
        </w:tc>
        <w:tc>
          <w:tcPr>
            <w:tcW w:w="1200" w:type="dxa"/>
            <w:tcBorders>
              <w:top w:val="single" w:color="000000" w:sz="4" w:space="0"/>
              <w:left w:val="single" w:color="000000" w:sz="4" w:space="0"/>
              <w:bottom w:val="single" w:color="000000" w:sz="4" w:space="0"/>
              <w:right w:val="single" w:color="000000" w:sz="4" w:space="0"/>
            </w:tcBorders>
          </w:tcPr>
          <w:p w14:paraId="17CCC52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AFA1246">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1EF8A2A0">
        <w:tblPrEx>
          <w:tblCellMar>
            <w:top w:w="0" w:type="dxa"/>
            <w:left w:w="108" w:type="dxa"/>
            <w:bottom w:w="0" w:type="dxa"/>
            <w:right w:w="108" w:type="dxa"/>
          </w:tblCellMar>
        </w:tblPrEx>
        <w:trPr>
          <w:trHeight w:val="42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71355026">
            <w:pPr>
              <w:pStyle w:val="73"/>
              <w:spacing w:before="15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8</w:t>
            </w:r>
          </w:p>
        </w:tc>
        <w:tc>
          <w:tcPr>
            <w:tcW w:w="5925" w:type="dxa"/>
            <w:tcBorders>
              <w:top w:val="single" w:color="000000" w:sz="4" w:space="0"/>
              <w:left w:val="single" w:color="000000" w:sz="4" w:space="0"/>
              <w:bottom w:val="single" w:color="000000" w:sz="4" w:space="0"/>
              <w:right w:val="single" w:color="000000" w:sz="4" w:space="0"/>
            </w:tcBorders>
          </w:tcPr>
          <w:p w14:paraId="7F96300C">
            <w:pPr>
              <w:pStyle w:val="73"/>
              <w:spacing w:before="11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w:t>
            </w:r>
            <w:r>
              <w:rPr>
                <w:rFonts w:ascii="宋体" w:hAnsi="宋体" w:cs="宋体"/>
                <w:color w:val="000000"/>
                <w:spacing w:val="-3"/>
                <w:sz w:val="21"/>
                <w:szCs w:val="21"/>
                <w:lang w:val="en-US" w:eastAsia="zh-CN"/>
              </w:rPr>
              <w:t>货物</w:t>
            </w:r>
            <w:r>
              <w:rPr>
                <w:rFonts w:eastAsia="宋体" w:cs="宋体"/>
                <w:color w:val="000000"/>
                <w:spacing w:val="-3"/>
                <w:sz w:val="21"/>
                <w:szCs w:val="21"/>
                <w:lang w:val="en-US" w:eastAsia="zh-CN"/>
              </w:rPr>
              <w:t>/</w:t>
            </w:r>
            <w:r>
              <w:rPr>
                <w:rFonts w:ascii="宋体" w:hAnsi="宋体" w:cs="宋体"/>
                <w:color w:val="000000"/>
                <w:spacing w:val="-3"/>
                <w:sz w:val="21"/>
                <w:szCs w:val="21"/>
              </w:rPr>
              <w:t>服务的各项要求。</w:t>
            </w:r>
          </w:p>
        </w:tc>
        <w:tc>
          <w:tcPr>
            <w:tcW w:w="1200" w:type="dxa"/>
            <w:tcBorders>
              <w:top w:val="single" w:color="000000" w:sz="4" w:space="0"/>
              <w:left w:val="single" w:color="000000" w:sz="4" w:space="0"/>
              <w:bottom w:val="single" w:color="000000" w:sz="4" w:space="0"/>
              <w:right w:val="single" w:color="000000" w:sz="4" w:space="0"/>
            </w:tcBorders>
          </w:tcPr>
          <w:p w14:paraId="533A110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5D85FAC">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7A5873C5">
        <w:tblPrEx>
          <w:tblCellMar>
            <w:top w:w="0" w:type="dxa"/>
            <w:left w:w="108" w:type="dxa"/>
            <w:bottom w:w="0" w:type="dxa"/>
            <w:right w:w="108" w:type="dxa"/>
          </w:tblCellMar>
        </w:tblPrEx>
        <w:trPr>
          <w:trHeight w:val="61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0D0B103">
            <w:pPr>
              <w:pStyle w:val="73"/>
              <w:spacing w:before="2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9</w:t>
            </w:r>
          </w:p>
        </w:tc>
        <w:tc>
          <w:tcPr>
            <w:tcW w:w="5925" w:type="dxa"/>
            <w:tcBorders>
              <w:top w:val="single" w:color="000000" w:sz="4" w:space="0"/>
              <w:left w:val="single" w:color="000000" w:sz="4" w:space="0"/>
              <w:bottom w:val="single" w:color="000000" w:sz="4" w:space="0"/>
              <w:right w:val="single" w:color="000000" w:sz="4" w:space="0"/>
            </w:tcBorders>
          </w:tcPr>
          <w:p w14:paraId="396A8CDF">
            <w:pPr>
              <w:pStyle w:val="73"/>
              <w:spacing w:before="85" w:after="0" w:line="228" w:lineRule="auto"/>
              <w:ind w:left="118" w:right="106"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同意采购方以任何形式对我方的响应</w:t>
            </w:r>
            <w:r>
              <w:rPr>
                <w:rFonts w:eastAsia="宋体" w:cs="宋体"/>
                <w:color w:val="000000"/>
                <w:spacing w:val="1"/>
                <w:sz w:val="21"/>
                <w:szCs w:val="21"/>
              </w:rPr>
              <w:t>/</w:t>
            </w:r>
            <w:r>
              <w:rPr>
                <w:rFonts w:ascii="宋体" w:hAnsi="宋体" w:cs="宋体"/>
                <w:color w:val="000000"/>
                <w:spacing w:val="1"/>
                <w:sz w:val="21"/>
                <w:szCs w:val="21"/>
              </w:rPr>
              <w:t>响应文件内容的真</w:t>
            </w:r>
            <w:r>
              <w:rPr>
                <w:rFonts w:ascii="宋体" w:hAnsi="宋体" w:cs="宋体"/>
                <w:color w:val="000000"/>
                <w:spacing w:val="8"/>
                <w:sz w:val="21"/>
                <w:szCs w:val="21"/>
              </w:rPr>
              <w:t xml:space="preserve"> </w:t>
            </w:r>
            <w:r>
              <w:rPr>
                <w:rFonts w:ascii="宋体" w:hAnsi="宋体" w:cs="宋体"/>
                <w:color w:val="000000"/>
                <w:spacing w:val="-2"/>
                <w:sz w:val="21"/>
                <w:szCs w:val="21"/>
              </w:rPr>
              <w:t>实性和有效性进行审查、验证。</w:t>
            </w:r>
          </w:p>
        </w:tc>
        <w:tc>
          <w:tcPr>
            <w:tcW w:w="1200" w:type="dxa"/>
            <w:tcBorders>
              <w:top w:val="single" w:color="000000" w:sz="4" w:space="0"/>
              <w:left w:val="single" w:color="000000" w:sz="4" w:space="0"/>
              <w:bottom w:val="single" w:color="000000" w:sz="4" w:space="0"/>
              <w:right w:val="single" w:color="000000" w:sz="4" w:space="0"/>
            </w:tcBorders>
          </w:tcPr>
          <w:p w14:paraId="572DE9A9">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AFA6A79">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684A9D36">
        <w:tblPrEx>
          <w:tblCellMar>
            <w:top w:w="0" w:type="dxa"/>
            <w:left w:w="108" w:type="dxa"/>
            <w:bottom w:w="0" w:type="dxa"/>
            <w:right w:w="108" w:type="dxa"/>
          </w:tblCellMar>
        </w:tblPrEx>
        <w:trPr>
          <w:trHeight w:val="47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FCBE29B">
            <w:pPr>
              <w:pStyle w:val="73"/>
              <w:spacing w:before="159"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10</w:t>
            </w:r>
          </w:p>
        </w:tc>
        <w:tc>
          <w:tcPr>
            <w:tcW w:w="5925" w:type="dxa"/>
            <w:tcBorders>
              <w:top w:val="single" w:color="000000" w:sz="4" w:space="0"/>
              <w:left w:val="single" w:color="000000" w:sz="4" w:space="0"/>
              <w:bottom w:val="single" w:color="000000" w:sz="4" w:space="0"/>
              <w:right w:val="single" w:color="000000" w:sz="4" w:space="0"/>
            </w:tcBorders>
          </w:tcPr>
          <w:p w14:paraId="3C5223AE">
            <w:pPr>
              <w:pStyle w:val="73"/>
              <w:spacing w:before="12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同意接受本项目付款的各项要求。</w:t>
            </w:r>
          </w:p>
        </w:tc>
        <w:tc>
          <w:tcPr>
            <w:tcW w:w="1200" w:type="dxa"/>
            <w:tcBorders>
              <w:top w:val="single" w:color="000000" w:sz="4" w:space="0"/>
              <w:left w:val="single" w:color="000000" w:sz="4" w:space="0"/>
              <w:bottom w:val="single" w:color="000000" w:sz="4" w:space="0"/>
              <w:right w:val="single" w:color="000000" w:sz="4" w:space="0"/>
            </w:tcBorders>
          </w:tcPr>
          <w:p w14:paraId="6E060A2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C5CF101">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3AE8D5B1">
        <w:tblPrEx>
          <w:tblCellMar>
            <w:top w:w="0" w:type="dxa"/>
            <w:left w:w="108" w:type="dxa"/>
            <w:bottom w:w="0" w:type="dxa"/>
            <w:right w:w="108" w:type="dxa"/>
          </w:tblCellMar>
        </w:tblPrEx>
        <w:trPr>
          <w:trHeight w:val="39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12F7FA90">
            <w:pPr>
              <w:pStyle w:val="73"/>
              <w:spacing w:before="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rPr>
              <w:t>1</w:t>
            </w:r>
            <w:r>
              <w:rPr>
                <w:rFonts w:eastAsia="宋体" w:cs="宋体"/>
                <w:color w:val="000000"/>
                <w:spacing w:val="-14"/>
                <w:sz w:val="21"/>
                <w:szCs w:val="21"/>
                <w:lang w:val="en-US" w:eastAsia="zh-CN"/>
              </w:rPr>
              <w:t>1</w:t>
            </w:r>
          </w:p>
        </w:tc>
        <w:tc>
          <w:tcPr>
            <w:tcW w:w="5925" w:type="dxa"/>
            <w:tcBorders>
              <w:top w:val="single" w:color="000000" w:sz="4" w:space="0"/>
              <w:left w:val="single" w:color="000000" w:sz="4" w:space="0"/>
              <w:bottom w:val="single" w:color="000000" w:sz="4" w:space="0"/>
              <w:right w:val="single" w:color="000000" w:sz="4" w:space="0"/>
            </w:tcBorders>
          </w:tcPr>
          <w:p w14:paraId="1C6536D9">
            <w:pPr>
              <w:pStyle w:val="73"/>
              <w:spacing w:before="42" w:after="0" w:line="218" w:lineRule="auto"/>
              <w:ind w:left="113"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其它商务条款偏离说明</w:t>
            </w:r>
            <w:r>
              <w:rPr>
                <w:rFonts w:ascii="宋体" w:hAnsi="宋体" w:cs="宋体"/>
                <w:color w:val="000000"/>
                <w:spacing w:val="-1"/>
                <w:sz w:val="21"/>
                <w:szCs w:val="21"/>
                <w:lang w:eastAsia="zh-CN"/>
              </w:rPr>
              <w:t>（</w:t>
            </w:r>
            <w:r>
              <w:rPr>
                <w:rFonts w:ascii="宋体" w:hAnsi="宋体" w:cs="宋体"/>
                <w:color w:val="000000"/>
                <w:spacing w:val="-1"/>
                <w:sz w:val="21"/>
                <w:szCs w:val="21"/>
                <w:lang w:val="en-US" w:eastAsia="zh-CN"/>
              </w:rPr>
              <w:t>如有</w:t>
            </w:r>
            <w:r>
              <w:rPr>
                <w:rFonts w:ascii="宋体" w:hAnsi="宋体" w:cs="宋体"/>
                <w:color w:val="000000"/>
                <w:spacing w:val="-1"/>
                <w:sz w:val="21"/>
                <w:szCs w:val="21"/>
                <w:lang w:eastAsia="zh-CN"/>
              </w:rPr>
              <w:t>）</w:t>
            </w:r>
          </w:p>
        </w:tc>
        <w:tc>
          <w:tcPr>
            <w:tcW w:w="1200" w:type="dxa"/>
            <w:tcBorders>
              <w:top w:val="single" w:color="000000" w:sz="4" w:space="0"/>
              <w:left w:val="single" w:color="000000" w:sz="4" w:space="0"/>
              <w:bottom w:val="single" w:color="000000" w:sz="4" w:space="0"/>
              <w:right w:val="single" w:color="000000" w:sz="4" w:space="0"/>
            </w:tcBorders>
          </w:tcPr>
          <w:p w14:paraId="16564C14">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B0B2118">
            <w:pPr>
              <w:pStyle w:val="50"/>
              <w:snapToGrid w:val="0"/>
              <w:spacing w:line="240" w:lineRule="atLeast"/>
              <w:ind w:left="1087" w:hanging="540"/>
              <w:rPr>
                <w:rFonts w:ascii="宋体" w:hAnsi="宋体" w:eastAsia="宋体" w:cs="宋体"/>
                <w:color w:val="000000"/>
                <w:sz w:val="21"/>
                <w:szCs w:val="21"/>
                <w:highlight w:val="yellow"/>
                <w:lang w:val="en-US" w:eastAsia="zh-CN"/>
              </w:rPr>
            </w:pPr>
          </w:p>
        </w:tc>
      </w:tr>
    </w:tbl>
    <w:p w14:paraId="309F1D3D">
      <w:pPr>
        <w:pStyle w:val="50"/>
        <w:spacing w:line="360" w:lineRule="auto"/>
        <w:ind w:left="1087" w:hanging="540"/>
        <w:rPr>
          <w:rFonts w:ascii="宋体" w:hAnsi="宋体" w:eastAsia="宋体" w:cs="宋体"/>
          <w:color w:val="000000"/>
          <w:sz w:val="24"/>
          <w:highlight w:val="yellow"/>
        </w:rPr>
      </w:pPr>
    </w:p>
    <w:p w14:paraId="13D8E6CE">
      <w:pPr>
        <w:pStyle w:val="50"/>
        <w:spacing w:line="360" w:lineRule="auto"/>
        <w:ind w:left="1087" w:hanging="540"/>
        <w:rPr>
          <w:rFonts w:ascii="宋体" w:hAnsi="宋体" w:eastAsia="宋体" w:cs="宋体"/>
          <w:color w:val="000000"/>
          <w:sz w:val="24"/>
          <w:highlight w:val="yellow"/>
        </w:rPr>
      </w:pPr>
    </w:p>
    <w:p w14:paraId="72CE7FEB">
      <w:pPr>
        <w:pStyle w:val="50"/>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法定代表人或其委托代理人签字或盖章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p>
    <w:p w14:paraId="14341A2F">
      <w:pPr>
        <w:pStyle w:val="50"/>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供应商</w:t>
      </w:r>
      <w:r>
        <w:rPr>
          <w:rFonts w:eastAsia="宋体" w:cs="宋体"/>
          <w:color w:val="000000"/>
          <w:sz w:val="21"/>
          <w:szCs w:val="16"/>
          <w:lang w:val="en-US" w:eastAsia="zh-CN"/>
        </w:rPr>
        <w:t>(</w:t>
      </w:r>
      <w:r>
        <w:rPr>
          <w:rFonts w:ascii="宋体" w:hAnsi="宋体" w:cs="宋体"/>
          <w:color w:val="000000"/>
          <w:sz w:val="21"/>
          <w:szCs w:val="16"/>
          <w:lang w:val="en-US" w:eastAsia="zh-CN"/>
        </w:rPr>
        <w:t>盖单位章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r>
        <w:rPr>
          <w:rFonts w:eastAsia="宋体" w:cs="宋体"/>
          <w:color w:val="000000"/>
          <w:sz w:val="21"/>
          <w:szCs w:val="16"/>
          <w:lang w:val="en-US" w:eastAsia="zh-CN"/>
        </w:rPr>
        <w:tab/>
      </w:r>
    </w:p>
    <w:p w14:paraId="571D92F8">
      <w:pPr>
        <w:pStyle w:val="50"/>
        <w:spacing w:line="360" w:lineRule="auto"/>
        <w:jc w:val="left"/>
        <w:rPr>
          <w:rFonts w:ascii="宋体" w:hAnsi="宋体" w:eastAsia="宋体" w:cs="宋体"/>
          <w:color w:val="000000"/>
          <w:sz w:val="21"/>
          <w:szCs w:val="16"/>
          <w:highlight w:val="none"/>
          <w:lang w:val="en-US" w:eastAsia="zh-CN"/>
        </w:rPr>
      </w:pPr>
    </w:p>
    <w:p w14:paraId="1F6F8E90">
      <w:pPr>
        <w:pStyle w:val="50"/>
        <w:spacing w:line="360" w:lineRule="auto"/>
        <w:jc w:val="left"/>
        <w:rPr>
          <w:rFonts w:ascii="宋体" w:hAnsi="宋体" w:eastAsia="宋体" w:cs="宋体"/>
          <w:color w:val="000000"/>
          <w:highlight w:val="none"/>
        </w:rPr>
      </w:pPr>
    </w:p>
    <w:p w14:paraId="14CFD849">
      <w:pPr>
        <w:pStyle w:val="50"/>
        <w:spacing w:line="360" w:lineRule="auto"/>
        <w:jc w:val="left"/>
        <w:rPr>
          <w:rFonts w:ascii="宋体" w:hAnsi="宋体" w:eastAsia="宋体" w:cs="宋体"/>
          <w:color w:val="000000"/>
          <w:highlight w:val="none"/>
        </w:rPr>
      </w:pPr>
    </w:p>
    <w:p w14:paraId="5D6F74E0">
      <w:pPr>
        <w:pStyle w:val="50"/>
        <w:spacing w:line="360" w:lineRule="auto"/>
        <w:jc w:val="left"/>
        <w:rPr>
          <w:rFonts w:ascii="宋体" w:hAnsi="宋体" w:eastAsia="宋体" w:cs="宋体"/>
          <w:color w:val="000000"/>
          <w:highlight w:val="none"/>
        </w:rPr>
      </w:pPr>
    </w:p>
    <w:p w14:paraId="17BFEECB">
      <w:pPr>
        <w:pStyle w:val="50"/>
        <w:spacing w:line="360" w:lineRule="auto"/>
        <w:jc w:val="left"/>
        <w:rPr>
          <w:rFonts w:ascii="宋体" w:hAnsi="宋体" w:eastAsia="宋体" w:cs="宋体"/>
          <w:color w:val="000000"/>
          <w:highlight w:val="none"/>
        </w:rPr>
      </w:pPr>
    </w:p>
    <w:p w14:paraId="7912FDD4">
      <w:pPr>
        <w:pStyle w:val="50"/>
        <w:spacing w:line="360" w:lineRule="auto"/>
        <w:jc w:val="left"/>
        <w:rPr>
          <w:rFonts w:ascii="宋体" w:hAnsi="宋体" w:eastAsia="宋体" w:cs="宋体"/>
          <w:color w:val="000000"/>
          <w:highlight w:val="none"/>
        </w:rPr>
      </w:pPr>
    </w:p>
    <w:p w14:paraId="4851E195">
      <w:pPr>
        <w:pStyle w:val="50"/>
        <w:spacing w:line="360" w:lineRule="auto"/>
        <w:jc w:val="left"/>
        <w:rPr>
          <w:rFonts w:ascii="宋体" w:hAnsi="宋体" w:eastAsia="宋体" w:cs="宋体"/>
          <w:color w:val="000000"/>
          <w:highlight w:val="none"/>
        </w:rPr>
      </w:pPr>
    </w:p>
    <w:p w14:paraId="550E5DC5">
      <w:pPr>
        <w:pStyle w:val="88"/>
        <w:keepNext w:val="0"/>
        <w:keepLines w:val="0"/>
        <w:widowControl w:val="0"/>
        <w:bidi w:val="0"/>
        <w:spacing w:before="0" w:after="0" w:line="360" w:lineRule="auto"/>
        <w:ind w:left="0" w:right="0" w:firstLine="420"/>
        <w:jc w:val="left"/>
        <w:rPr>
          <w:rFonts w:ascii="宋体" w:hAnsi="宋体" w:eastAsia="宋体" w:cs="宋体"/>
          <w:b/>
          <w:bCs/>
          <w:color w:val="000000"/>
          <w:sz w:val="24"/>
          <w:highlight w:val="none"/>
          <w:lang w:val="en-US" w:eastAsia="zh-CN"/>
        </w:rPr>
      </w:pPr>
    </w:p>
    <w:p w14:paraId="48551057">
      <w:pPr>
        <w:pStyle w:val="88"/>
        <w:keepNext w:val="0"/>
        <w:keepLines w:val="0"/>
        <w:widowControl w:val="0"/>
        <w:bidi w:val="0"/>
        <w:spacing w:before="0" w:after="0" w:line="360" w:lineRule="auto"/>
        <w:ind w:left="0" w:right="0" w:firstLine="420"/>
        <w:jc w:val="left"/>
        <w:rPr>
          <w:rFonts w:ascii="宋体" w:hAnsi="宋体" w:eastAsia="宋体" w:cs="宋体"/>
          <w:b/>
          <w:bCs/>
          <w:color w:val="000000"/>
          <w:spacing w:val="0"/>
          <w:w w:val="100"/>
          <w:position w:val="0"/>
          <w:sz w:val="24"/>
          <w:szCs w:val="24"/>
          <w:vertAlign w:val="baseline"/>
          <w:lang w:val="en-US" w:eastAsia="zh-CN"/>
        </w:rPr>
      </w:pPr>
      <w:r>
        <w:rPr>
          <w:rFonts w:ascii="宋体" w:hAnsi="宋体" w:cs="宋体"/>
          <w:b/>
          <w:bCs/>
          <w:color w:val="000000"/>
          <w:sz w:val="24"/>
          <w:lang w:val="en-US" w:eastAsia="zh-CN"/>
        </w:rPr>
        <w:t>响应文件格式</w:t>
      </w:r>
      <w:r>
        <w:rPr>
          <w:rFonts w:cs="宋体"/>
          <w:b/>
          <w:bCs/>
          <w:color w:val="000000"/>
          <w:spacing w:val="0"/>
          <w:w w:val="100"/>
          <w:position w:val="0"/>
          <w:sz w:val="24"/>
          <w:szCs w:val="24"/>
          <w:vertAlign w:val="baseline"/>
          <w:lang w:val="en-US" w:eastAsia="zh-CN"/>
        </w:rPr>
        <w:t>9</w:t>
      </w:r>
      <w:r>
        <w:rPr>
          <w:rFonts w:ascii="宋体" w:hAnsi="宋体" w:cs="宋体"/>
          <w:b/>
          <w:bCs/>
          <w:color w:val="000000"/>
          <w:spacing w:val="0"/>
          <w:w w:val="100"/>
          <w:position w:val="0"/>
          <w:sz w:val="24"/>
          <w:szCs w:val="24"/>
          <w:vertAlign w:val="baseline"/>
          <w:lang w:val="en-US" w:eastAsia="zh-CN"/>
        </w:rPr>
        <w:t>：</w:t>
      </w:r>
    </w:p>
    <w:p w14:paraId="76E6670C">
      <w:pPr>
        <w:pStyle w:val="88"/>
        <w:keepNext w:val="0"/>
        <w:keepLines w:val="0"/>
        <w:widowControl w:val="0"/>
        <w:bidi w:val="0"/>
        <w:spacing w:before="0" w:after="0" w:line="360" w:lineRule="auto"/>
        <w:ind w:left="0" w:right="0" w:firstLine="420"/>
        <w:jc w:val="center"/>
        <w:rPr>
          <w:rFonts w:ascii="宋体" w:hAnsi="宋体" w:eastAsia="宋体" w:cs="宋体"/>
          <w:b/>
          <w:bCs/>
          <w:color w:val="000000"/>
          <w:spacing w:val="0"/>
          <w:w w:val="100"/>
          <w:position w:val="0"/>
          <w:sz w:val="24"/>
          <w:szCs w:val="24"/>
          <w:vertAlign w:val="baseline"/>
          <w:lang w:val="en-US" w:eastAsia="zh-CN"/>
        </w:rPr>
      </w:pPr>
    </w:p>
    <w:p w14:paraId="5F03003F">
      <w:pPr>
        <w:pStyle w:val="8"/>
        <w:numPr>
          <w:ilvl w:val="0"/>
          <w:numId w:val="0"/>
        </w:numPr>
        <w:kinsoku w:val="0"/>
        <w:overflowPunct w:val="0"/>
        <w:spacing w:before="5" w:after="120" w:line="360" w:lineRule="auto"/>
        <w:ind w:left="0" w:right="0" w:firstLine="0"/>
        <w:jc w:val="center"/>
        <w:rPr>
          <w:rFonts w:ascii="宋体" w:hAnsi="宋体" w:eastAsia="宋体" w:cs="宋体"/>
          <w:b/>
          <w:bCs/>
          <w:color w:val="000000"/>
          <w:spacing w:val="0"/>
          <w:w w:val="100"/>
          <w:position w:val="0"/>
          <w:sz w:val="36"/>
          <w:szCs w:val="36"/>
          <w:vertAlign w:val="baseline"/>
          <w:lang w:val="en-US" w:eastAsia="zh-CN"/>
        </w:rPr>
      </w:pPr>
      <w:r>
        <w:rPr>
          <w:rFonts w:ascii="宋体" w:hAnsi="宋体" w:cs="宋体"/>
          <w:b/>
          <w:bCs/>
          <w:color w:val="000000"/>
          <w:spacing w:val="0"/>
          <w:w w:val="100"/>
          <w:position w:val="0"/>
          <w:sz w:val="24"/>
          <w:szCs w:val="24"/>
          <w:vertAlign w:val="baseline"/>
          <w:lang w:val="en-US" w:eastAsia="zh-CN"/>
        </w:rPr>
        <w:t>供应商基本情况表</w:t>
      </w:r>
    </w:p>
    <w:p w14:paraId="3989E449">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b/>
          <w:bCs/>
          <w:color w:val="000000"/>
          <w:spacing w:val="0"/>
          <w:w w:val="100"/>
          <w:position w:val="0"/>
          <w:sz w:val="24"/>
          <w:szCs w:val="24"/>
          <w:vertAlign w:val="baseline"/>
          <w:lang w:val="en-US" w:eastAsia="zh-CN"/>
        </w:rPr>
      </w:pPr>
    </w:p>
    <w:tbl>
      <w:tblPr>
        <w:tblStyle w:val="19"/>
        <w:tblW w:w="8639" w:type="dxa"/>
        <w:jc w:val="center"/>
        <w:tblLayout w:type="fixed"/>
        <w:tblCellMar>
          <w:top w:w="0" w:type="dxa"/>
          <w:left w:w="0" w:type="dxa"/>
          <w:bottom w:w="0" w:type="dxa"/>
          <w:right w:w="0" w:type="dxa"/>
        </w:tblCellMar>
      </w:tblPr>
      <w:tblGrid>
        <w:gridCol w:w="1499"/>
        <w:gridCol w:w="1164"/>
        <w:gridCol w:w="842"/>
        <w:gridCol w:w="488"/>
        <w:gridCol w:w="1331"/>
        <w:gridCol w:w="455"/>
        <w:gridCol w:w="910"/>
        <w:gridCol w:w="1950"/>
      </w:tblGrid>
      <w:tr w14:paraId="1062663E">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6DDAE542">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单位名称</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7E77D164">
            <w:pPr>
              <w:snapToGrid w:val="0"/>
              <w:spacing w:line="360" w:lineRule="auto"/>
              <w:jc w:val="center"/>
              <w:rPr>
                <w:rFonts w:ascii="宋体" w:hAnsi="宋体" w:eastAsia="宋体" w:cs="宋体"/>
                <w:color w:val="000000"/>
                <w:sz w:val="21"/>
                <w:szCs w:val="21"/>
              </w:rPr>
            </w:pPr>
          </w:p>
        </w:tc>
      </w:tr>
      <w:tr w14:paraId="437A6047">
        <w:tblPrEx>
          <w:tblCellMar>
            <w:top w:w="0" w:type="dxa"/>
            <w:left w:w="0" w:type="dxa"/>
            <w:bottom w:w="0" w:type="dxa"/>
            <w:right w:w="0" w:type="dxa"/>
          </w:tblCellMar>
        </w:tblPrEx>
        <w:trPr>
          <w:trHeight w:val="689"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AD65AF3">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单位地址</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0753C157">
            <w:pPr>
              <w:snapToGrid w:val="0"/>
              <w:spacing w:line="360" w:lineRule="auto"/>
              <w:jc w:val="center"/>
              <w:rPr>
                <w:rFonts w:ascii="宋体" w:hAnsi="宋体" w:eastAsia="宋体" w:cs="宋体"/>
                <w:color w:val="000000"/>
                <w:sz w:val="21"/>
                <w:szCs w:val="21"/>
              </w:rPr>
            </w:pPr>
          </w:p>
        </w:tc>
      </w:tr>
      <w:tr w14:paraId="03695393">
        <w:tblPrEx>
          <w:tblCellMar>
            <w:top w:w="0" w:type="dxa"/>
            <w:left w:w="0" w:type="dxa"/>
            <w:bottom w:w="0" w:type="dxa"/>
            <w:right w:w="0" w:type="dxa"/>
          </w:tblCellMar>
        </w:tblPrEx>
        <w:trPr>
          <w:trHeight w:val="628"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8AA95E4">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主管部门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483F3A0B">
            <w:pPr>
              <w:snapToGrid w:val="0"/>
              <w:spacing w:line="360" w:lineRule="auto"/>
              <w:jc w:val="center"/>
              <w:rPr>
                <w:rFonts w:ascii="宋体" w:hAnsi="宋体" w:eastAsia="宋体" w:cs="宋体"/>
                <w:color w:val="000000"/>
                <w:sz w:val="21"/>
                <w:szCs w:val="21"/>
              </w:rPr>
            </w:pPr>
          </w:p>
        </w:tc>
      </w:tr>
      <w:tr w14:paraId="0A733BE1">
        <w:tblPrEx>
          <w:tblCellMar>
            <w:top w:w="0" w:type="dxa"/>
            <w:left w:w="0" w:type="dxa"/>
            <w:bottom w:w="0" w:type="dxa"/>
            <w:right w:w="0" w:type="dxa"/>
          </w:tblCellMar>
        </w:tblPrEx>
        <w:trPr>
          <w:trHeight w:val="78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4E164FF">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成立时间</w:t>
            </w:r>
          </w:p>
        </w:tc>
        <w:tc>
          <w:tcPr>
            <w:tcW w:w="2006" w:type="dxa"/>
            <w:gridSpan w:val="2"/>
            <w:tcBorders>
              <w:top w:val="single" w:color="000000" w:sz="4" w:space="0"/>
              <w:left w:val="single" w:color="000000" w:sz="4" w:space="0"/>
              <w:bottom w:val="single" w:color="000000" w:sz="4" w:space="0"/>
              <w:right w:val="single" w:color="000000" w:sz="4" w:space="0"/>
            </w:tcBorders>
            <w:vAlign w:val="center"/>
          </w:tcPr>
          <w:p w14:paraId="4D0E5C8F">
            <w:pPr>
              <w:snapToGrid w:val="0"/>
              <w:spacing w:line="360" w:lineRule="auto"/>
              <w:jc w:val="both"/>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F4FB131">
            <w:pPr>
              <w:pStyle w:val="78"/>
              <w:kinsoku w:val="0"/>
              <w:overflowPunct w:val="0"/>
              <w:spacing w:before="145" w:after="0" w:line="360" w:lineRule="auto"/>
              <w:ind w:left="181" w:firstLine="0"/>
              <w:jc w:val="center"/>
              <w:rPr>
                <w:rFonts w:ascii="宋体" w:hAnsi="宋体" w:eastAsia="宋体" w:cs="宋体"/>
                <w:color w:val="000000"/>
                <w:sz w:val="21"/>
                <w:szCs w:val="21"/>
              </w:rPr>
            </w:pPr>
            <w:r>
              <w:rPr>
                <w:rFonts w:ascii="宋体" w:hAnsi="宋体" w:cs="宋体"/>
                <w:color w:val="000000"/>
                <w:sz w:val="21"/>
                <w:szCs w:val="21"/>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03465D4">
            <w:pPr>
              <w:snapToGrid w:val="0"/>
              <w:spacing w:line="360" w:lineRule="auto"/>
              <w:jc w:val="center"/>
              <w:rPr>
                <w:rFonts w:ascii="宋体" w:hAnsi="宋体" w:eastAsia="宋体" w:cs="宋体"/>
                <w:color w:val="000000"/>
                <w:sz w:val="21"/>
                <w:szCs w:val="21"/>
              </w:rPr>
            </w:pPr>
          </w:p>
        </w:tc>
      </w:tr>
      <w:tr w14:paraId="2F7324DC">
        <w:tblPrEx>
          <w:tblCellMar>
            <w:top w:w="0" w:type="dxa"/>
            <w:left w:w="0" w:type="dxa"/>
            <w:bottom w:w="0" w:type="dxa"/>
            <w:right w:w="0" w:type="dxa"/>
          </w:tblCellMar>
        </w:tblPrEx>
        <w:trPr>
          <w:trHeight w:val="447" w:hRule="exact"/>
          <w:jc w:val="center"/>
        </w:trPr>
        <w:tc>
          <w:tcPr>
            <w:tcW w:w="1499" w:type="dxa"/>
            <w:vMerge w:val="restart"/>
            <w:tcBorders>
              <w:top w:val="single" w:color="000000" w:sz="4" w:space="0"/>
              <w:left w:val="single" w:color="000000" w:sz="4" w:space="0"/>
              <w:bottom w:val="single" w:color="000000" w:sz="4" w:space="0"/>
              <w:right w:val="single" w:color="000000" w:sz="4" w:space="0"/>
            </w:tcBorders>
            <w:vAlign w:val="center"/>
          </w:tcPr>
          <w:p w14:paraId="1A08F183">
            <w:pPr>
              <w:pStyle w:val="78"/>
              <w:kinsoku w:val="0"/>
              <w:overflowPunct w:val="0"/>
              <w:spacing w:before="145" w:after="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开户银行</w:t>
            </w:r>
          </w:p>
        </w:tc>
        <w:tc>
          <w:tcPr>
            <w:tcW w:w="200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9448A42">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13C59D60">
            <w:pPr>
              <w:pStyle w:val="78"/>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开户行账号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59CD2756">
            <w:pPr>
              <w:snapToGrid w:val="0"/>
              <w:jc w:val="center"/>
              <w:rPr>
                <w:rFonts w:ascii="宋体" w:hAnsi="宋体" w:eastAsia="宋体" w:cs="宋体"/>
                <w:color w:val="000000"/>
                <w:sz w:val="21"/>
                <w:szCs w:val="21"/>
              </w:rPr>
            </w:pPr>
          </w:p>
        </w:tc>
      </w:tr>
      <w:tr w14:paraId="07FC68F9">
        <w:tblPrEx>
          <w:tblCellMar>
            <w:top w:w="0" w:type="dxa"/>
            <w:left w:w="0" w:type="dxa"/>
            <w:bottom w:w="0" w:type="dxa"/>
            <w:right w:w="0" w:type="dxa"/>
          </w:tblCellMar>
        </w:tblPrEx>
        <w:trPr>
          <w:trHeight w:val="602" w:hRule="exact"/>
          <w:jc w:val="center"/>
        </w:trPr>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51D4B8D1">
            <w:pPr>
              <w:pStyle w:val="78"/>
              <w:kinsoku w:val="0"/>
              <w:overflowPunct w:val="0"/>
              <w:snapToGrid w:val="0"/>
              <w:spacing w:before="145" w:after="0"/>
              <w:ind w:left="137" w:firstLine="0"/>
              <w:jc w:val="center"/>
              <w:rPr>
                <w:rFonts w:ascii="宋体" w:hAnsi="宋体" w:eastAsia="宋体" w:cs="宋体"/>
                <w:color w:val="000000"/>
                <w:sz w:val="21"/>
                <w:szCs w:val="21"/>
              </w:rPr>
            </w:pPr>
          </w:p>
        </w:tc>
        <w:tc>
          <w:tcPr>
            <w:tcW w:w="200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47BF5FE">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6741862">
            <w:pPr>
              <w:pStyle w:val="78"/>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开户行行号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EBD69C1">
            <w:pPr>
              <w:snapToGrid w:val="0"/>
              <w:jc w:val="center"/>
              <w:rPr>
                <w:rFonts w:ascii="宋体" w:hAnsi="宋体" w:eastAsia="宋体" w:cs="宋体"/>
                <w:color w:val="000000"/>
                <w:sz w:val="21"/>
                <w:szCs w:val="21"/>
              </w:rPr>
            </w:pPr>
          </w:p>
        </w:tc>
      </w:tr>
      <w:tr w14:paraId="3604C8C7">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0F51A9A">
            <w:pPr>
              <w:pStyle w:val="78"/>
              <w:kinsoku w:val="0"/>
              <w:overflowPunct w:val="0"/>
              <w:spacing w:before="146"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单位性质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674C81F6">
            <w:pPr>
              <w:snapToGrid w:val="0"/>
              <w:spacing w:line="360" w:lineRule="auto"/>
              <w:jc w:val="center"/>
              <w:rPr>
                <w:rFonts w:ascii="宋体" w:hAnsi="宋体" w:eastAsia="宋体" w:cs="宋体"/>
                <w:color w:val="000000"/>
                <w:sz w:val="21"/>
                <w:szCs w:val="21"/>
              </w:rPr>
            </w:pPr>
          </w:p>
        </w:tc>
      </w:tr>
      <w:tr w14:paraId="7E68E3C3">
        <w:tblPrEx>
          <w:tblCellMar>
            <w:top w:w="0" w:type="dxa"/>
            <w:left w:w="0" w:type="dxa"/>
            <w:bottom w:w="0" w:type="dxa"/>
            <w:right w:w="0" w:type="dxa"/>
          </w:tblCellMar>
        </w:tblPrEx>
        <w:trPr>
          <w:trHeight w:val="1150"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18E04A">
            <w:pPr>
              <w:pStyle w:val="78"/>
              <w:kinsoku w:val="0"/>
              <w:overflowPunct w:val="0"/>
              <w:spacing w:before="141" w:after="0" w:line="360" w:lineRule="auto"/>
              <w:ind w:left="257" w:right="133" w:hanging="120"/>
              <w:jc w:val="center"/>
              <w:rPr>
                <w:rFonts w:ascii="宋体" w:hAnsi="宋体" w:eastAsia="宋体" w:cs="宋体"/>
                <w:color w:val="000000"/>
                <w:sz w:val="21"/>
                <w:szCs w:val="21"/>
              </w:rPr>
            </w:pPr>
            <w:r>
              <w:rPr>
                <w:rFonts w:ascii="宋体" w:hAnsi="宋体" w:cs="宋体"/>
                <w:color w:val="000000"/>
                <w:sz w:val="21"/>
                <w:szCs w:val="21"/>
              </w:rPr>
              <w:t>响应期间</w:t>
            </w:r>
            <w:r>
              <w:rPr>
                <w:rFonts w:ascii="宋体" w:hAnsi="宋体" w:cs="宋体"/>
                <w:color w:val="000000"/>
                <w:sz w:val="21"/>
                <w:szCs w:val="21"/>
                <w:lang w:val="en-US" w:eastAsia="zh-CN"/>
              </w:rPr>
              <w:t>响应</w:t>
            </w:r>
            <w:r>
              <w:rPr>
                <w:rFonts w:ascii="宋体" w:hAnsi="宋体" w:cs="宋体"/>
                <w:color w:val="000000"/>
                <w:sz w:val="21"/>
                <w:szCs w:val="21"/>
              </w:rPr>
              <w:t>联系人</w:t>
            </w:r>
          </w:p>
        </w:tc>
        <w:tc>
          <w:tcPr>
            <w:tcW w:w="1164" w:type="dxa"/>
            <w:tcBorders>
              <w:top w:val="single" w:color="000000" w:sz="4" w:space="0"/>
              <w:left w:val="single" w:color="000000" w:sz="4" w:space="0"/>
              <w:bottom w:val="single" w:color="000000" w:sz="4" w:space="0"/>
              <w:right w:val="single" w:color="000000" w:sz="4" w:space="0"/>
            </w:tcBorders>
            <w:vAlign w:val="center"/>
          </w:tcPr>
          <w:p w14:paraId="4B8D35D7">
            <w:pPr>
              <w:snapToGrid w:val="0"/>
              <w:spacing w:line="360" w:lineRule="auto"/>
              <w:jc w:val="center"/>
              <w:rPr>
                <w:rFonts w:ascii="宋体" w:hAnsi="宋体" w:eastAsia="宋体" w:cs="宋体"/>
                <w:color w:val="000000"/>
                <w:sz w:val="21"/>
                <w:szCs w:val="21"/>
              </w:rPr>
            </w:pPr>
          </w:p>
        </w:tc>
        <w:tc>
          <w:tcPr>
            <w:tcW w:w="1330" w:type="dxa"/>
            <w:gridSpan w:val="2"/>
            <w:tcBorders>
              <w:top w:val="single" w:color="000000" w:sz="4" w:space="0"/>
              <w:left w:val="single" w:color="000000" w:sz="4" w:space="0"/>
              <w:bottom w:val="single" w:color="000000" w:sz="4" w:space="0"/>
              <w:right w:val="single" w:color="000000" w:sz="4" w:space="0"/>
            </w:tcBorders>
            <w:vAlign w:val="center"/>
          </w:tcPr>
          <w:p w14:paraId="22B7673F">
            <w:pPr>
              <w:pStyle w:val="78"/>
              <w:kinsoku w:val="0"/>
              <w:overflowPunct w:val="0"/>
              <w:snapToGrid w:val="0"/>
              <w:jc w:val="center"/>
              <w:rPr>
                <w:rFonts w:ascii="宋体" w:hAnsi="宋体" w:eastAsia="宋体" w:cs="宋体"/>
                <w:i w:val="0"/>
                <w:iCs w:val="0"/>
                <w:color w:val="000000"/>
                <w:sz w:val="21"/>
                <w:szCs w:val="21"/>
                <w:lang w:val="en-US" w:eastAsia="zh-CN"/>
              </w:rPr>
            </w:pPr>
          </w:p>
          <w:p w14:paraId="1CA2D72A">
            <w:pPr>
              <w:pStyle w:val="78"/>
              <w:kinsoku w:val="0"/>
              <w:overflowPunct w:val="0"/>
              <w:jc w:val="center"/>
              <w:rPr>
                <w:rFonts w:ascii="宋体" w:hAnsi="宋体" w:eastAsia="宋体" w:cs="宋体"/>
                <w:i w:val="0"/>
                <w:iCs w:val="0"/>
                <w:color w:val="000000"/>
                <w:sz w:val="21"/>
                <w:szCs w:val="21"/>
                <w:lang w:val="en-US" w:eastAsia="zh-CN"/>
              </w:rPr>
            </w:pPr>
            <w:r>
              <w:rPr>
                <w:rFonts w:ascii="宋体" w:hAnsi="宋体" w:cs="宋体"/>
                <w:i w:val="0"/>
                <w:iCs w:val="0"/>
                <w:color w:val="000000"/>
                <w:sz w:val="21"/>
                <w:szCs w:val="21"/>
                <w:lang w:val="en-US" w:eastAsia="zh-CN"/>
              </w:rPr>
              <w:t>手机</w:t>
            </w:r>
          </w:p>
          <w:p w14:paraId="7846E97C">
            <w:pPr>
              <w:pStyle w:val="78"/>
              <w:kinsoku w:val="0"/>
              <w:overflowPunct w:val="0"/>
              <w:spacing w:line="360" w:lineRule="auto"/>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联系方式</w:t>
            </w:r>
          </w:p>
        </w:tc>
        <w:tc>
          <w:tcPr>
            <w:tcW w:w="1331" w:type="dxa"/>
            <w:tcBorders>
              <w:top w:val="single" w:color="000000" w:sz="4" w:space="0"/>
              <w:left w:val="single" w:color="000000" w:sz="4" w:space="0"/>
              <w:bottom w:val="single" w:color="000000" w:sz="4" w:space="0"/>
              <w:right w:val="single" w:color="000000" w:sz="4" w:space="0"/>
            </w:tcBorders>
            <w:vAlign w:val="center"/>
          </w:tcPr>
          <w:p w14:paraId="120D498F">
            <w:pPr>
              <w:snapToGrid w:val="0"/>
              <w:spacing w:line="360" w:lineRule="auto"/>
              <w:jc w:val="center"/>
              <w:rPr>
                <w:rFonts w:ascii="宋体" w:hAnsi="宋体" w:eastAsia="宋体" w:cs="宋体"/>
                <w:color w:val="000000"/>
                <w:sz w:val="21"/>
                <w:szCs w:val="21"/>
              </w:rPr>
            </w:pPr>
          </w:p>
        </w:tc>
        <w:tc>
          <w:tcPr>
            <w:tcW w:w="1365" w:type="dxa"/>
            <w:gridSpan w:val="2"/>
            <w:tcBorders>
              <w:top w:val="single" w:color="000000" w:sz="4" w:space="0"/>
              <w:left w:val="single" w:color="000000" w:sz="4" w:space="0"/>
              <w:bottom w:val="single" w:color="000000" w:sz="4" w:space="0"/>
              <w:right w:val="single" w:color="000000" w:sz="4" w:space="0"/>
            </w:tcBorders>
            <w:vAlign w:val="center"/>
          </w:tcPr>
          <w:p w14:paraId="515DDEA9">
            <w:pPr>
              <w:pStyle w:val="78"/>
              <w:kinsoku w:val="0"/>
              <w:overflowPunct w:val="0"/>
              <w:snapToGrid w:val="0"/>
              <w:spacing w:before="4" w:after="0" w:line="360" w:lineRule="auto"/>
              <w:jc w:val="center"/>
              <w:rPr>
                <w:rFonts w:ascii="宋体" w:hAnsi="宋体" w:eastAsia="宋体" w:cs="宋体"/>
                <w:b/>
                <w:bCs/>
                <w:color w:val="000000"/>
                <w:sz w:val="21"/>
                <w:szCs w:val="21"/>
              </w:rPr>
            </w:pPr>
          </w:p>
          <w:p w14:paraId="30635714">
            <w:pPr>
              <w:pStyle w:val="78"/>
              <w:kinsoku w:val="0"/>
              <w:overflowPunct w:val="0"/>
              <w:spacing w:line="360" w:lineRule="auto"/>
              <w:ind w:left="383" w:firstLine="0"/>
              <w:jc w:val="both"/>
              <w:rPr>
                <w:rFonts w:ascii="宋体" w:hAnsi="宋体" w:eastAsia="宋体" w:cs="宋体"/>
                <w:color w:val="000000"/>
                <w:sz w:val="21"/>
                <w:szCs w:val="21"/>
              </w:rPr>
            </w:pPr>
            <w:r>
              <w:rPr>
                <w:rFonts w:ascii="宋体" w:hAnsi="宋体" w:cs="宋体"/>
                <w:color w:val="000000"/>
                <w:sz w:val="21"/>
                <w:szCs w:val="21"/>
              </w:rPr>
              <w:t>传 真</w:t>
            </w:r>
          </w:p>
        </w:tc>
        <w:tc>
          <w:tcPr>
            <w:tcW w:w="1950" w:type="dxa"/>
            <w:tcBorders>
              <w:top w:val="single" w:color="000000" w:sz="4" w:space="0"/>
              <w:left w:val="single" w:color="000000" w:sz="4" w:space="0"/>
              <w:bottom w:val="single" w:color="000000" w:sz="4" w:space="0"/>
              <w:right w:val="single" w:color="000000" w:sz="4" w:space="0"/>
            </w:tcBorders>
            <w:vAlign w:val="center"/>
          </w:tcPr>
          <w:p w14:paraId="51F4BC2D">
            <w:pPr>
              <w:snapToGrid w:val="0"/>
              <w:spacing w:line="360" w:lineRule="auto"/>
              <w:jc w:val="center"/>
              <w:rPr>
                <w:rFonts w:ascii="宋体" w:hAnsi="宋体" w:eastAsia="宋体" w:cs="宋体"/>
                <w:color w:val="000000"/>
                <w:sz w:val="21"/>
                <w:szCs w:val="21"/>
              </w:rPr>
            </w:pPr>
          </w:p>
        </w:tc>
      </w:tr>
      <w:tr w14:paraId="3C22D6ED">
        <w:tblPrEx>
          <w:tblCellMar>
            <w:top w:w="0" w:type="dxa"/>
            <w:left w:w="0" w:type="dxa"/>
            <w:bottom w:w="0" w:type="dxa"/>
            <w:right w:w="0" w:type="dxa"/>
          </w:tblCellMar>
        </w:tblPrEx>
        <w:trPr>
          <w:trHeight w:val="212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B10C95">
            <w:pPr>
              <w:pStyle w:val="78"/>
              <w:kinsoku w:val="0"/>
              <w:overflowPunct w:val="0"/>
              <w:spacing w:line="360" w:lineRule="auto"/>
              <w:ind w:left="497" w:right="493" w:firstLine="0"/>
              <w:jc w:val="center"/>
              <w:rPr>
                <w:rFonts w:ascii="宋体" w:hAnsi="宋体" w:eastAsia="宋体" w:cs="宋体"/>
                <w:color w:val="000000"/>
                <w:sz w:val="21"/>
                <w:szCs w:val="21"/>
              </w:rPr>
            </w:pPr>
            <w:r>
              <w:rPr>
                <w:rFonts w:ascii="宋体" w:hAnsi="宋体" w:cs="宋体"/>
                <w:color w:val="000000"/>
                <w:sz w:val="21"/>
                <w:szCs w:val="21"/>
              </w:rPr>
              <w:t>单 位 概 况</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BBE5EC5">
            <w:pPr>
              <w:snapToGrid w:val="0"/>
              <w:spacing w:line="360" w:lineRule="auto"/>
              <w:jc w:val="center"/>
              <w:rPr>
                <w:rFonts w:ascii="宋体" w:hAnsi="宋体" w:eastAsia="宋体" w:cs="宋体"/>
                <w:color w:val="000000"/>
                <w:sz w:val="21"/>
                <w:szCs w:val="21"/>
              </w:rPr>
            </w:pPr>
          </w:p>
        </w:tc>
      </w:tr>
      <w:tr w14:paraId="0A522C24">
        <w:tblPrEx>
          <w:tblCellMar>
            <w:top w:w="0" w:type="dxa"/>
            <w:left w:w="0" w:type="dxa"/>
            <w:bottom w:w="0" w:type="dxa"/>
            <w:right w:w="0" w:type="dxa"/>
          </w:tblCellMar>
        </w:tblPrEx>
        <w:trPr>
          <w:trHeight w:val="121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5B53E85">
            <w:pPr>
              <w:pStyle w:val="78"/>
              <w:kinsoku w:val="0"/>
              <w:overflowPunct w:val="0"/>
              <w:spacing w:line="360" w:lineRule="auto"/>
              <w:ind w:left="497" w:right="493"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1865053">
            <w:pPr>
              <w:snapToGrid w:val="0"/>
              <w:spacing w:line="360" w:lineRule="auto"/>
              <w:jc w:val="center"/>
              <w:rPr>
                <w:rFonts w:ascii="宋体" w:hAnsi="宋体" w:eastAsia="宋体" w:cs="宋体"/>
                <w:color w:val="000000"/>
                <w:sz w:val="21"/>
                <w:szCs w:val="21"/>
                <w:lang w:val="en-US" w:eastAsia="zh-CN"/>
              </w:rPr>
            </w:pPr>
          </w:p>
        </w:tc>
      </w:tr>
    </w:tbl>
    <w:p w14:paraId="2869F67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199B9C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3AC57E">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03FB2320">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B5DA41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7E051390">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2A7E2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4DB54EC">
      <w:pPr>
        <w:pStyle w:val="8"/>
        <w:numPr>
          <w:ilvl w:val="0"/>
          <w:numId w:val="0"/>
        </w:numPr>
        <w:kinsoku w:val="0"/>
        <w:overflowPunct w:val="0"/>
        <w:spacing w:before="34" w:after="120" w:line="355" w:lineRule="auto"/>
        <w:ind w:left="480" w:right="126" w:firstLine="0"/>
        <w:jc w:val="both"/>
        <w:rPr>
          <w:rFonts w:ascii="宋体" w:hAnsi="宋体" w:eastAsia="宋体" w:cs="宋体"/>
          <w:b/>
          <w:bCs/>
          <w:color w:val="000000"/>
          <w:w w:val="90"/>
          <w:sz w:val="24"/>
          <w:szCs w:val="24"/>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0</w:t>
      </w:r>
      <w:r>
        <w:rPr>
          <w:rFonts w:ascii="宋体" w:hAnsi="宋体" w:cs="宋体"/>
          <w:b/>
          <w:bCs/>
          <w:color w:val="000000"/>
          <w:w w:val="90"/>
          <w:sz w:val="24"/>
          <w:szCs w:val="24"/>
          <w:lang w:val="en-US" w:eastAsia="zh-CN"/>
        </w:rPr>
        <w:t xml:space="preserve">、           </w:t>
      </w:r>
    </w:p>
    <w:p w14:paraId="0B8EF71F">
      <w:pPr>
        <w:pStyle w:val="8"/>
        <w:numPr>
          <w:ilvl w:val="0"/>
          <w:numId w:val="0"/>
        </w:numPr>
        <w:kinsoku w:val="0"/>
        <w:overflowPunct w:val="0"/>
        <w:spacing w:before="34" w:after="120" w:line="355" w:lineRule="auto"/>
        <w:ind w:left="480" w:right="126" w:firstLine="0"/>
        <w:jc w:val="center"/>
        <w:rPr>
          <w:rFonts w:ascii="宋体" w:hAnsi="宋体" w:eastAsia="宋体" w:cs="宋体"/>
          <w:b/>
          <w:bCs/>
          <w:color w:val="000000"/>
          <w:w w:val="90"/>
          <w:sz w:val="24"/>
          <w:szCs w:val="24"/>
          <w:lang w:eastAsia="zh-CN"/>
        </w:rPr>
      </w:pPr>
      <w:r>
        <w:rPr>
          <w:rFonts w:ascii="宋体" w:hAnsi="宋体" w:cs="宋体"/>
          <w:b/>
          <w:bCs/>
          <w:color w:val="000000"/>
          <w:w w:val="90"/>
          <w:sz w:val="24"/>
          <w:szCs w:val="24"/>
        </w:rPr>
        <w:t>类似项目业绩</w:t>
      </w:r>
      <w:r>
        <w:rPr>
          <w:rFonts w:ascii="宋体" w:hAnsi="宋体" w:cs="宋体"/>
          <w:b/>
          <w:bCs/>
          <w:color w:val="000000"/>
          <w:w w:val="90"/>
          <w:sz w:val="24"/>
          <w:szCs w:val="24"/>
          <w:lang w:eastAsia="zh-CN"/>
        </w:rPr>
        <w:t>表</w:t>
      </w:r>
    </w:p>
    <w:p w14:paraId="5DFE42C1">
      <w:pPr>
        <w:pStyle w:val="8"/>
        <w:numPr>
          <w:ilvl w:val="0"/>
          <w:numId w:val="0"/>
        </w:numPr>
        <w:kinsoku w:val="0"/>
        <w:overflowPunct w:val="0"/>
        <w:ind w:left="0" w:right="0" w:firstLine="0"/>
        <w:rPr>
          <w:rFonts w:ascii="宋体" w:hAnsi="宋体" w:eastAsia="宋体" w:cs="宋体"/>
          <w:b/>
          <w:bCs/>
          <w:color w:val="000000"/>
          <w:w w:val="90"/>
          <w:sz w:val="20"/>
          <w:szCs w:val="20"/>
          <w:lang w:eastAsia="zh-CN"/>
        </w:rPr>
      </w:pPr>
    </w:p>
    <w:tbl>
      <w:tblPr>
        <w:tblStyle w:val="19"/>
        <w:tblW w:w="7536" w:type="dxa"/>
        <w:jc w:val="center"/>
        <w:tblLayout w:type="fixed"/>
        <w:tblCellMar>
          <w:top w:w="0" w:type="dxa"/>
          <w:left w:w="10" w:type="dxa"/>
          <w:bottom w:w="0" w:type="dxa"/>
          <w:right w:w="10" w:type="dxa"/>
        </w:tblCellMar>
      </w:tblPr>
      <w:tblGrid>
        <w:gridCol w:w="1162"/>
        <w:gridCol w:w="1938"/>
        <w:gridCol w:w="1634"/>
        <w:gridCol w:w="1920"/>
        <w:gridCol w:w="882"/>
      </w:tblGrid>
      <w:tr w14:paraId="5AE9119F">
        <w:tblPrEx>
          <w:tblCellMar>
            <w:top w:w="0" w:type="dxa"/>
            <w:left w:w="10" w:type="dxa"/>
            <w:bottom w:w="0" w:type="dxa"/>
            <w:right w:w="10" w:type="dxa"/>
          </w:tblCellMar>
        </w:tblPrEx>
        <w:trPr>
          <w:trHeight w:val="350" w:hRule="exact"/>
          <w:jc w:val="center"/>
        </w:trPr>
        <w:tc>
          <w:tcPr>
            <w:tcW w:w="1162" w:type="dxa"/>
            <w:tcBorders>
              <w:top w:val="single" w:color="000000" w:sz="4" w:space="0"/>
              <w:left w:val="single" w:color="000000" w:sz="4" w:space="0"/>
            </w:tcBorders>
            <w:vAlign w:val="center"/>
          </w:tcPr>
          <w:p w14:paraId="6EA937DF">
            <w:pPr>
              <w:pStyle w:val="71"/>
              <w:keepNext w:val="0"/>
              <w:keepLines w:val="0"/>
              <w:widowControl w:val="0"/>
              <w:bidi w:val="0"/>
              <w:spacing w:before="0" w:after="0" w:line="240" w:lineRule="auto"/>
              <w:ind w:left="0" w:right="0"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序号</w:t>
            </w:r>
          </w:p>
        </w:tc>
        <w:tc>
          <w:tcPr>
            <w:tcW w:w="1938" w:type="dxa"/>
            <w:tcBorders>
              <w:top w:val="single" w:color="000000" w:sz="4" w:space="0"/>
              <w:left w:val="single" w:color="000000" w:sz="4" w:space="0"/>
              <w:right w:val="single" w:color="000000" w:sz="4" w:space="0"/>
            </w:tcBorders>
          </w:tcPr>
          <w:p w14:paraId="3D1578E3">
            <w:pPr>
              <w:widowControl w:val="0"/>
              <w:jc w:val="center"/>
              <w:rPr>
                <w:rFonts w:ascii="宋体" w:hAnsi="宋体" w:eastAsia="宋体" w:cs="宋体"/>
                <w:color w:val="000000"/>
                <w:sz w:val="21"/>
                <w:szCs w:val="21"/>
              </w:rPr>
            </w:pPr>
            <w:r>
              <w:rPr>
                <w:rFonts w:ascii="宋体" w:hAnsi="宋体" w:cs="宋体"/>
                <w:color w:val="000000"/>
                <w:spacing w:val="0"/>
                <w:w w:val="100"/>
                <w:position w:val="0"/>
                <w:sz w:val="21"/>
                <w:szCs w:val="21"/>
                <w:vertAlign w:val="baseline"/>
              </w:rPr>
              <w:t>项目名称</w:t>
            </w:r>
          </w:p>
        </w:tc>
        <w:tc>
          <w:tcPr>
            <w:tcW w:w="1634" w:type="dxa"/>
            <w:tcBorders>
              <w:top w:val="single" w:color="000000" w:sz="4" w:space="0"/>
              <w:left w:val="single" w:color="000000" w:sz="4" w:space="0"/>
              <w:right w:val="single" w:color="000000" w:sz="4" w:space="0"/>
            </w:tcBorders>
          </w:tcPr>
          <w:p w14:paraId="0B1533DF">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成交日期</w:t>
            </w:r>
          </w:p>
        </w:tc>
        <w:tc>
          <w:tcPr>
            <w:tcW w:w="1920" w:type="dxa"/>
            <w:tcBorders>
              <w:top w:val="single" w:color="000000" w:sz="4" w:space="0"/>
              <w:left w:val="single" w:color="000000" w:sz="4" w:space="0"/>
              <w:right w:val="single" w:color="000000" w:sz="4" w:space="0"/>
            </w:tcBorders>
          </w:tcPr>
          <w:p w14:paraId="00CD3347">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成交金额</w:t>
            </w:r>
          </w:p>
        </w:tc>
        <w:tc>
          <w:tcPr>
            <w:tcW w:w="882" w:type="dxa"/>
            <w:tcBorders>
              <w:top w:val="single" w:color="000000" w:sz="4" w:space="0"/>
              <w:left w:val="single" w:color="000000" w:sz="4" w:space="0"/>
              <w:right w:val="single" w:color="000000" w:sz="4" w:space="0"/>
            </w:tcBorders>
          </w:tcPr>
          <w:p w14:paraId="5846B538">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r>
      <w:tr w14:paraId="5F3FB368">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AF11884">
            <w:pPr>
              <w:pStyle w:val="71"/>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lang w:val="en-US" w:eastAsia="zh-CN"/>
              </w:rPr>
            </w:pPr>
          </w:p>
        </w:tc>
        <w:tc>
          <w:tcPr>
            <w:tcW w:w="1938" w:type="dxa"/>
            <w:tcBorders>
              <w:top w:val="single" w:color="000000" w:sz="4" w:space="0"/>
              <w:left w:val="single" w:color="000000" w:sz="4" w:space="0"/>
              <w:right w:val="single" w:color="000000" w:sz="4" w:space="0"/>
            </w:tcBorders>
          </w:tcPr>
          <w:p w14:paraId="146328E6">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218986C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1812C659">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91279F5">
            <w:pPr>
              <w:widowControl w:val="0"/>
              <w:snapToGrid w:val="0"/>
              <w:rPr>
                <w:rFonts w:ascii="宋体" w:hAnsi="宋体" w:eastAsia="宋体" w:cs="宋体"/>
                <w:color w:val="000000"/>
                <w:sz w:val="21"/>
                <w:szCs w:val="21"/>
              </w:rPr>
            </w:pPr>
          </w:p>
        </w:tc>
      </w:tr>
      <w:tr w14:paraId="135FA02D">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3B74A434">
            <w:pPr>
              <w:pStyle w:val="71"/>
              <w:keepNext w:val="0"/>
              <w:keepLines w:val="0"/>
              <w:widowControl w:val="0"/>
              <w:bidi w:val="0"/>
              <w:snapToGrid w:val="0"/>
              <w:spacing w:before="0" w:after="0" w:line="320"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4670DA4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4518F3F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BF7D7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5E54BC44">
            <w:pPr>
              <w:widowControl w:val="0"/>
              <w:snapToGrid w:val="0"/>
              <w:rPr>
                <w:rFonts w:ascii="宋体" w:hAnsi="宋体" w:eastAsia="宋体" w:cs="宋体"/>
                <w:color w:val="000000"/>
                <w:sz w:val="21"/>
                <w:szCs w:val="21"/>
              </w:rPr>
            </w:pPr>
          </w:p>
        </w:tc>
      </w:tr>
      <w:tr w14:paraId="57BADF63">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EBA8EBF">
            <w:pPr>
              <w:pStyle w:val="71"/>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50F5AFD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D084B4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0D34A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0ECB7D9">
            <w:pPr>
              <w:widowControl w:val="0"/>
              <w:snapToGrid w:val="0"/>
              <w:rPr>
                <w:rFonts w:ascii="宋体" w:hAnsi="宋体" w:eastAsia="宋体" w:cs="宋体"/>
                <w:color w:val="000000"/>
                <w:sz w:val="21"/>
                <w:szCs w:val="21"/>
              </w:rPr>
            </w:pPr>
          </w:p>
        </w:tc>
      </w:tr>
      <w:tr w14:paraId="1768D185">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F9FFDA2">
            <w:pPr>
              <w:pStyle w:val="71"/>
              <w:keepNext w:val="0"/>
              <w:keepLines w:val="0"/>
              <w:widowControl w:val="0"/>
              <w:bidi w:val="0"/>
              <w:snapToGrid w:val="0"/>
              <w:spacing w:before="0" w:after="0" w:line="306"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19C5C02C">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76AF748A">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CFCDA2F">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738E997">
            <w:pPr>
              <w:widowControl w:val="0"/>
              <w:snapToGrid w:val="0"/>
              <w:rPr>
                <w:rFonts w:ascii="宋体" w:hAnsi="宋体" w:eastAsia="宋体" w:cs="宋体"/>
                <w:color w:val="000000"/>
                <w:sz w:val="21"/>
                <w:szCs w:val="21"/>
              </w:rPr>
            </w:pPr>
          </w:p>
        </w:tc>
      </w:tr>
      <w:tr w14:paraId="72251F6C">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261E5A7">
            <w:pPr>
              <w:pStyle w:val="71"/>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34B514E5">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95102C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7FE148D5">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480695E">
            <w:pPr>
              <w:widowControl w:val="0"/>
              <w:snapToGrid w:val="0"/>
              <w:rPr>
                <w:rFonts w:ascii="宋体" w:hAnsi="宋体" w:eastAsia="宋体" w:cs="宋体"/>
                <w:color w:val="000000"/>
                <w:sz w:val="21"/>
                <w:szCs w:val="21"/>
              </w:rPr>
            </w:pPr>
          </w:p>
        </w:tc>
      </w:tr>
      <w:tr w14:paraId="2ED74089">
        <w:tblPrEx>
          <w:tblCellMar>
            <w:top w:w="0" w:type="dxa"/>
            <w:left w:w="10" w:type="dxa"/>
            <w:bottom w:w="0" w:type="dxa"/>
            <w:right w:w="10" w:type="dxa"/>
          </w:tblCellMar>
        </w:tblPrEx>
        <w:trPr>
          <w:trHeight w:val="715" w:hRule="atLeast"/>
          <w:jc w:val="center"/>
        </w:trPr>
        <w:tc>
          <w:tcPr>
            <w:tcW w:w="1162" w:type="dxa"/>
            <w:tcBorders>
              <w:top w:val="single" w:color="000000" w:sz="4" w:space="0"/>
              <w:left w:val="single" w:color="000000" w:sz="4" w:space="0"/>
              <w:bottom w:val="single" w:color="000000" w:sz="4" w:space="0"/>
            </w:tcBorders>
            <w:vAlign w:val="center"/>
          </w:tcPr>
          <w:p w14:paraId="7FD9DE17">
            <w:pPr>
              <w:pStyle w:val="71"/>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bottom w:val="single" w:color="000000" w:sz="4" w:space="0"/>
              <w:right w:val="single" w:color="000000" w:sz="4" w:space="0"/>
            </w:tcBorders>
          </w:tcPr>
          <w:p w14:paraId="1EEC716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bottom w:val="single" w:color="000000" w:sz="4" w:space="0"/>
              <w:right w:val="single" w:color="000000" w:sz="4" w:space="0"/>
            </w:tcBorders>
          </w:tcPr>
          <w:p w14:paraId="019D50FD">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bottom w:val="single" w:color="000000" w:sz="4" w:space="0"/>
              <w:right w:val="single" w:color="000000" w:sz="4" w:space="0"/>
            </w:tcBorders>
          </w:tcPr>
          <w:p w14:paraId="101AD350">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bottom w:val="single" w:color="000000" w:sz="4" w:space="0"/>
              <w:right w:val="single" w:color="000000" w:sz="4" w:space="0"/>
            </w:tcBorders>
          </w:tcPr>
          <w:p w14:paraId="0B3842BE">
            <w:pPr>
              <w:widowControl w:val="0"/>
              <w:snapToGrid w:val="0"/>
              <w:rPr>
                <w:rFonts w:ascii="宋体" w:hAnsi="宋体" w:eastAsia="宋体" w:cs="宋体"/>
                <w:color w:val="000000"/>
                <w:sz w:val="21"/>
                <w:szCs w:val="21"/>
              </w:rPr>
            </w:pPr>
          </w:p>
        </w:tc>
      </w:tr>
    </w:tbl>
    <w:p w14:paraId="2AF37E13">
      <w:pPr>
        <w:rPr>
          <w:rFonts w:ascii="宋体" w:hAnsi="宋体" w:eastAsia="宋体" w:cs="宋体"/>
          <w:color w:val="000000"/>
          <w:spacing w:val="-1"/>
          <w:kern w:val="0"/>
          <w:sz w:val="24"/>
        </w:rPr>
      </w:pPr>
    </w:p>
    <w:p w14:paraId="425A45A7">
      <w:pPr>
        <w:rPr>
          <w:rFonts w:ascii="宋体" w:hAnsi="宋体" w:eastAsia="宋体" w:cs="宋体"/>
          <w:color w:val="000000"/>
          <w:spacing w:val="-1"/>
          <w:kern w:val="0"/>
          <w:sz w:val="21"/>
          <w:szCs w:val="21"/>
        </w:rPr>
      </w:pPr>
      <w:r>
        <w:rPr>
          <w:rFonts w:ascii="宋体" w:hAnsi="宋体" w:cs="宋体"/>
          <w:color w:val="000000"/>
          <w:spacing w:val="-1"/>
          <w:kern w:val="0"/>
          <w:sz w:val="21"/>
          <w:szCs w:val="21"/>
        </w:rPr>
        <w:t>注：后附施工合同、验收报告等相关证明材料，否则磋商小组成员在评审时将不予采信。</w:t>
      </w:r>
    </w:p>
    <w:p w14:paraId="3C395A47">
      <w:pPr>
        <w:pStyle w:val="50"/>
        <w:tabs>
          <w:tab w:val="left" w:pos="5580"/>
        </w:tabs>
        <w:spacing w:line="240" w:lineRule="atLeast"/>
        <w:ind w:left="1942" w:firstLine="0"/>
        <w:rPr>
          <w:rFonts w:ascii="宋体" w:hAnsi="宋体" w:eastAsia="宋体" w:cs="宋体"/>
          <w:color w:val="000000"/>
          <w:spacing w:val="-1"/>
          <w:kern w:val="0"/>
          <w:sz w:val="21"/>
          <w:szCs w:val="21"/>
          <w:highlight w:val="none"/>
        </w:rPr>
      </w:pPr>
    </w:p>
    <w:p w14:paraId="27622F04">
      <w:pPr>
        <w:pStyle w:val="50"/>
        <w:tabs>
          <w:tab w:val="left" w:pos="5580"/>
        </w:tabs>
        <w:spacing w:line="240" w:lineRule="atLeast"/>
        <w:ind w:left="1942" w:firstLine="0"/>
        <w:rPr>
          <w:rFonts w:ascii="宋体" w:hAnsi="宋体" w:eastAsia="宋体" w:cs="宋体"/>
          <w:color w:val="000000"/>
          <w:highlight w:val="none"/>
        </w:rPr>
      </w:pPr>
    </w:p>
    <w:p w14:paraId="45581B1E">
      <w:pPr>
        <w:pStyle w:val="50"/>
        <w:tabs>
          <w:tab w:val="left" w:pos="5580"/>
        </w:tabs>
        <w:spacing w:line="240" w:lineRule="atLeast"/>
        <w:ind w:left="1942" w:firstLine="0"/>
        <w:rPr>
          <w:rFonts w:ascii="宋体" w:hAnsi="宋体" w:eastAsia="宋体" w:cs="宋体"/>
          <w:color w:val="000000"/>
          <w:highlight w:val="none"/>
        </w:rPr>
      </w:pPr>
    </w:p>
    <w:p w14:paraId="45823DE1">
      <w:pPr>
        <w:pStyle w:val="50"/>
        <w:tabs>
          <w:tab w:val="left" w:pos="5580"/>
        </w:tabs>
        <w:spacing w:line="240" w:lineRule="atLeast"/>
        <w:ind w:left="1942" w:firstLine="0"/>
        <w:rPr>
          <w:rFonts w:ascii="宋体" w:hAnsi="宋体" w:eastAsia="宋体" w:cs="宋体"/>
          <w:color w:val="000000"/>
          <w:highlight w:val="none"/>
        </w:rPr>
      </w:pPr>
    </w:p>
    <w:p w14:paraId="465ACC9D">
      <w:pPr>
        <w:rPr>
          <w:rFonts w:ascii="宋体" w:hAnsi="宋体" w:eastAsia="宋体" w:cs="宋体"/>
          <w:color w:val="000000"/>
          <w:sz w:val="24"/>
          <w:highlight w:val="none"/>
          <w:lang w:val="en-US" w:eastAsia="zh-CN"/>
        </w:rPr>
      </w:pPr>
    </w:p>
    <w:p w14:paraId="73242BA6">
      <w:pPr>
        <w:pStyle w:val="4"/>
        <w:rPr>
          <w:rFonts w:ascii="宋体" w:hAnsi="宋体" w:eastAsia="宋体" w:cs="宋体"/>
          <w:color w:val="000000"/>
          <w:sz w:val="24"/>
          <w:highlight w:val="none"/>
          <w:lang w:val="en-US" w:eastAsia="zh-CN"/>
        </w:rPr>
      </w:pPr>
    </w:p>
    <w:p w14:paraId="552DA78B">
      <w:pPr>
        <w:rPr>
          <w:color w:val="000000"/>
          <w:highlight w:val="none"/>
          <w:lang w:val="en-US" w:eastAsia="zh-CN"/>
        </w:rPr>
      </w:pPr>
    </w:p>
    <w:p w14:paraId="523A6C80">
      <w:pPr>
        <w:pStyle w:val="67"/>
        <w:rPr>
          <w:color w:val="000000"/>
          <w:highlight w:val="none"/>
          <w:lang w:val="en-US" w:eastAsia="zh-CN"/>
        </w:rPr>
      </w:pPr>
    </w:p>
    <w:p w14:paraId="4C76C09E">
      <w:pPr>
        <w:pStyle w:val="67"/>
        <w:rPr>
          <w:color w:val="000000"/>
          <w:highlight w:val="none"/>
          <w:lang w:val="en-US" w:eastAsia="zh-CN"/>
        </w:rPr>
      </w:pPr>
    </w:p>
    <w:p w14:paraId="63CAF453">
      <w:pPr>
        <w:pStyle w:val="67"/>
        <w:rPr>
          <w:color w:val="000000"/>
          <w:highlight w:val="none"/>
          <w:lang w:val="en-US" w:eastAsia="zh-CN"/>
        </w:rPr>
      </w:pPr>
    </w:p>
    <w:p w14:paraId="573C96E0">
      <w:pPr>
        <w:pStyle w:val="67"/>
        <w:rPr>
          <w:color w:val="000000"/>
          <w:highlight w:val="none"/>
          <w:lang w:val="en-US" w:eastAsia="zh-CN"/>
        </w:rPr>
      </w:pPr>
    </w:p>
    <w:p w14:paraId="778FE395">
      <w:pPr>
        <w:pStyle w:val="67"/>
        <w:rPr>
          <w:color w:val="000000"/>
          <w:highlight w:val="none"/>
          <w:lang w:val="en-US" w:eastAsia="zh-CN"/>
        </w:rPr>
      </w:pPr>
    </w:p>
    <w:p w14:paraId="53FEAF73">
      <w:pPr>
        <w:rPr>
          <w:color w:val="000000"/>
          <w:highlight w:val="none"/>
          <w:lang w:val="en-US" w:eastAsia="zh-CN"/>
        </w:rPr>
      </w:pPr>
    </w:p>
    <w:p w14:paraId="4F12EED0">
      <w:pPr>
        <w:rPr>
          <w:color w:val="000000"/>
          <w:highlight w:val="none"/>
          <w:lang w:val="en-US" w:eastAsia="zh-CN"/>
        </w:rPr>
      </w:pPr>
    </w:p>
    <w:p w14:paraId="6863F1A3">
      <w:pPr>
        <w:rPr>
          <w:color w:val="000000"/>
          <w:highlight w:val="none"/>
          <w:lang w:val="en-US" w:eastAsia="zh-CN"/>
        </w:rPr>
      </w:pPr>
    </w:p>
    <w:p w14:paraId="5DCE3414">
      <w:pPr>
        <w:rPr>
          <w:color w:val="000000"/>
          <w:highlight w:val="none"/>
          <w:lang w:val="en-US" w:eastAsia="zh-CN"/>
        </w:rPr>
      </w:pPr>
    </w:p>
    <w:p w14:paraId="7BCBA6CE">
      <w:pPr>
        <w:rPr>
          <w:color w:val="000000"/>
          <w:highlight w:val="none"/>
          <w:lang w:val="en-US" w:eastAsia="zh-CN"/>
        </w:rPr>
      </w:pPr>
    </w:p>
    <w:p w14:paraId="30528846">
      <w:pPr>
        <w:rPr>
          <w:color w:val="000000"/>
          <w:highlight w:val="none"/>
          <w:lang w:val="en-US" w:eastAsia="zh-CN"/>
        </w:rPr>
      </w:pPr>
    </w:p>
    <w:p w14:paraId="691A3A7C">
      <w:pPr>
        <w:rPr>
          <w:color w:val="000000"/>
          <w:highlight w:val="none"/>
          <w:lang w:val="en-US" w:eastAsia="zh-CN"/>
        </w:rPr>
      </w:pPr>
    </w:p>
    <w:p w14:paraId="4A75875C">
      <w:pPr>
        <w:pStyle w:val="53"/>
        <w:ind w:left="210" w:firstLine="0"/>
        <w:jc w:val="left"/>
        <w:rPr>
          <w:sz w:val="24"/>
          <w:szCs w:val="28"/>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1</w:t>
      </w:r>
      <w:r>
        <w:rPr>
          <w:rFonts w:ascii="宋体" w:hAnsi="宋体" w:cs="宋体"/>
          <w:b/>
          <w:bCs/>
          <w:color w:val="000000"/>
          <w:w w:val="90"/>
          <w:sz w:val="24"/>
          <w:szCs w:val="24"/>
          <w:lang w:val="en-US" w:eastAsia="zh-CN"/>
        </w:rPr>
        <w:t xml:space="preserve">、 </w:t>
      </w:r>
    </w:p>
    <w:p w14:paraId="4731484B">
      <w:pPr>
        <w:pStyle w:val="53"/>
        <w:ind w:left="210" w:firstLine="0"/>
        <w:jc w:val="center"/>
        <w:rPr>
          <w:sz w:val="24"/>
          <w:szCs w:val="28"/>
        </w:rPr>
      </w:pPr>
    </w:p>
    <w:p w14:paraId="611FF1DC">
      <w:pPr>
        <w:pStyle w:val="53"/>
        <w:ind w:left="210" w:firstLine="0"/>
        <w:jc w:val="center"/>
        <w:rPr>
          <w:sz w:val="32"/>
          <w:szCs w:val="36"/>
        </w:rPr>
      </w:pPr>
      <w:r>
        <w:rPr>
          <w:sz w:val="32"/>
          <w:szCs w:val="36"/>
        </w:rPr>
        <w:t>项目管理机构组成表</w:t>
      </w:r>
    </w:p>
    <w:p w14:paraId="30FC560C">
      <w:pPr>
        <w:rPr>
          <w:sz w:val="32"/>
          <w:szCs w:val="36"/>
        </w:rPr>
      </w:pPr>
    </w:p>
    <w:tbl>
      <w:tblPr>
        <w:tblStyle w:val="19"/>
        <w:tblW w:w="9077" w:type="dxa"/>
        <w:jc w:val="center"/>
        <w:tblLayout w:type="fixed"/>
        <w:tblCellMar>
          <w:top w:w="0" w:type="dxa"/>
          <w:left w:w="108" w:type="dxa"/>
          <w:bottom w:w="0" w:type="dxa"/>
          <w:right w:w="108" w:type="dxa"/>
        </w:tblCellMar>
      </w:tblPr>
      <w:tblGrid>
        <w:gridCol w:w="1397"/>
        <w:gridCol w:w="1097"/>
        <w:gridCol w:w="884"/>
        <w:gridCol w:w="1101"/>
        <w:gridCol w:w="764"/>
        <w:gridCol w:w="1480"/>
        <w:gridCol w:w="837"/>
        <w:gridCol w:w="811"/>
        <w:gridCol w:w="706"/>
      </w:tblGrid>
      <w:tr w14:paraId="242C8615">
        <w:tblPrEx>
          <w:tblCellMar>
            <w:top w:w="0" w:type="dxa"/>
            <w:left w:w="108" w:type="dxa"/>
            <w:bottom w:w="0" w:type="dxa"/>
            <w:right w:w="108" w:type="dxa"/>
          </w:tblCellMar>
        </w:tblPrEx>
        <w:trPr>
          <w:trHeight w:val="409"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vAlign w:val="center"/>
          </w:tcPr>
          <w:p w14:paraId="412925C1">
            <w:pPr>
              <w:pStyle w:val="70"/>
              <w:spacing w:line="440" w:lineRule="exact"/>
              <w:jc w:val="center"/>
              <w:rPr>
                <w:rFonts w:ascii="宋体" w:hAnsi="宋体" w:cs="宋体"/>
                <w:szCs w:val="21"/>
              </w:rPr>
            </w:pPr>
            <w:r>
              <w:rPr>
                <w:rFonts w:ascii="宋体" w:hAnsi="宋体" w:cs="宋体"/>
                <w:szCs w:val="21"/>
              </w:rPr>
              <w:t>职务</w:t>
            </w:r>
          </w:p>
        </w:tc>
        <w:tc>
          <w:tcPr>
            <w:tcW w:w="1097" w:type="dxa"/>
            <w:vMerge w:val="restart"/>
            <w:tcBorders>
              <w:top w:val="single" w:color="000000" w:sz="4" w:space="0"/>
              <w:left w:val="single" w:color="000000" w:sz="4" w:space="0"/>
              <w:bottom w:val="single" w:color="000000" w:sz="4" w:space="0"/>
              <w:right w:val="single" w:color="000000" w:sz="4" w:space="0"/>
            </w:tcBorders>
            <w:vAlign w:val="center"/>
          </w:tcPr>
          <w:p w14:paraId="5453938F">
            <w:pPr>
              <w:pStyle w:val="70"/>
              <w:spacing w:line="440" w:lineRule="exact"/>
              <w:jc w:val="center"/>
              <w:rPr>
                <w:rFonts w:ascii="宋体" w:hAnsi="宋体" w:cs="宋体"/>
                <w:szCs w:val="21"/>
              </w:rPr>
            </w:pPr>
            <w:r>
              <w:rPr>
                <w:rFonts w:ascii="宋体" w:hAnsi="宋体" w:cs="宋体"/>
                <w:szCs w:val="21"/>
              </w:rPr>
              <w:t>姓名</w:t>
            </w:r>
          </w:p>
        </w:tc>
        <w:tc>
          <w:tcPr>
            <w:tcW w:w="884" w:type="dxa"/>
            <w:vMerge w:val="restart"/>
            <w:tcBorders>
              <w:top w:val="single" w:color="000000" w:sz="4" w:space="0"/>
              <w:left w:val="single" w:color="000000" w:sz="4" w:space="0"/>
              <w:bottom w:val="single" w:color="000000" w:sz="4" w:space="0"/>
              <w:right w:val="single" w:color="000000" w:sz="4" w:space="0"/>
            </w:tcBorders>
            <w:vAlign w:val="center"/>
          </w:tcPr>
          <w:p w14:paraId="49E84B1C">
            <w:pPr>
              <w:pStyle w:val="70"/>
              <w:spacing w:line="440" w:lineRule="exact"/>
              <w:jc w:val="center"/>
              <w:rPr>
                <w:rFonts w:ascii="宋体" w:hAnsi="宋体" w:cs="宋体"/>
                <w:szCs w:val="21"/>
              </w:rPr>
            </w:pPr>
            <w:r>
              <w:rPr>
                <w:rFonts w:ascii="宋体" w:hAnsi="宋体" w:cs="宋体"/>
                <w:szCs w:val="21"/>
              </w:rPr>
              <w:t>职称</w:t>
            </w:r>
          </w:p>
        </w:tc>
        <w:tc>
          <w:tcPr>
            <w:tcW w:w="4993" w:type="dxa"/>
            <w:gridSpan w:val="5"/>
            <w:tcBorders>
              <w:top w:val="single" w:color="000000" w:sz="4" w:space="0"/>
              <w:left w:val="single" w:color="000000" w:sz="4" w:space="0"/>
              <w:bottom w:val="single" w:color="000000" w:sz="4" w:space="0"/>
              <w:right w:val="single" w:color="000000" w:sz="4" w:space="0"/>
            </w:tcBorders>
            <w:vAlign w:val="center"/>
          </w:tcPr>
          <w:p w14:paraId="7A85EBF2">
            <w:pPr>
              <w:pStyle w:val="70"/>
              <w:spacing w:line="440" w:lineRule="exact"/>
              <w:jc w:val="center"/>
              <w:rPr>
                <w:rFonts w:ascii="宋体" w:hAnsi="宋体" w:cs="宋体"/>
                <w:szCs w:val="21"/>
              </w:rPr>
            </w:pPr>
            <w:r>
              <w:rPr>
                <w:rFonts w:ascii="宋体" w:hAnsi="宋体" w:cs="宋体"/>
                <w:szCs w:val="21"/>
              </w:rPr>
              <w:t>执业或职业资格证明</w:t>
            </w:r>
          </w:p>
        </w:tc>
        <w:tc>
          <w:tcPr>
            <w:tcW w:w="706" w:type="dxa"/>
            <w:tcBorders>
              <w:top w:val="single" w:color="000000" w:sz="4" w:space="0"/>
              <w:left w:val="single" w:color="000000" w:sz="4" w:space="0"/>
              <w:bottom w:val="single" w:color="000000" w:sz="4" w:space="0"/>
              <w:right w:val="single" w:color="000000" w:sz="4" w:space="0"/>
            </w:tcBorders>
            <w:vAlign w:val="center"/>
          </w:tcPr>
          <w:p w14:paraId="4D24CF66">
            <w:pPr>
              <w:pStyle w:val="70"/>
              <w:spacing w:line="440" w:lineRule="exact"/>
              <w:jc w:val="center"/>
              <w:rPr>
                <w:rFonts w:ascii="宋体" w:hAnsi="宋体" w:cs="宋体"/>
                <w:szCs w:val="21"/>
              </w:rPr>
            </w:pPr>
            <w:r>
              <w:rPr>
                <w:rFonts w:ascii="宋体" w:hAnsi="宋体" w:cs="宋体"/>
                <w:szCs w:val="21"/>
              </w:rPr>
              <w:t>备注</w:t>
            </w:r>
          </w:p>
        </w:tc>
      </w:tr>
      <w:tr w14:paraId="25ED1942">
        <w:tblPrEx>
          <w:tblCellMar>
            <w:top w:w="0" w:type="dxa"/>
            <w:left w:w="108" w:type="dxa"/>
            <w:bottom w:w="0" w:type="dxa"/>
            <w:right w:w="108" w:type="dxa"/>
          </w:tblCellMar>
        </w:tblPrEx>
        <w:trPr>
          <w:trHeight w:val="808"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vAlign w:val="center"/>
          </w:tcPr>
          <w:p w14:paraId="578DD016">
            <w:pPr>
              <w:pStyle w:val="70"/>
              <w:snapToGrid w:val="0"/>
              <w:spacing w:line="440" w:lineRule="exact"/>
              <w:jc w:val="center"/>
              <w:rPr>
                <w:rFonts w:ascii="宋体" w:hAnsi="宋体" w:cs="宋体"/>
                <w:szCs w:val="21"/>
              </w:rPr>
            </w:pPr>
          </w:p>
        </w:tc>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3E3A05D2">
            <w:pPr>
              <w:pStyle w:val="70"/>
              <w:snapToGrid w:val="0"/>
              <w:spacing w:line="440" w:lineRule="exact"/>
              <w:jc w:val="center"/>
              <w:rPr>
                <w:rFonts w:ascii="宋体" w:hAnsi="宋体" w:cs="宋体"/>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14:paraId="64972811">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193F64C2">
            <w:pPr>
              <w:pStyle w:val="70"/>
              <w:spacing w:line="440" w:lineRule="exact"/>
              <w:jc w:val="center"/>
              <w:rPr>
                <w:rFonts w:ascii="宋体" w:hAnsi="宋体" w:cs="宋体"/>
                <w:szCs w:val="21"/>
              </w:rPr>
            </w:pPr>
            <w:r>
              <w:rPr>
                <w:rFonts w:ascii="宋体" w:hAnsi="宋体" w:cs="宋体"/>
                <w:szCs w:val="21"/>
              </w:rPr>
              <w:t>证书名称</w:t>
            </w:r>
          </w:p>
        </w:tc>
        <w:tc>
          <w:tcPr>
            <w:tcW w:w="764" w:type="dxa"/>
            <w:tcBorders>
              <w:top w:val="single" w:color="000000" w:sz="4" w:space="0"/>
              <w:left w:val="single" w:color="000000" w:sz="4" w:space="0"/>
              <w:bottom w:val="single" w:color="000000" w:sz="4" w:space="0"/>
              <w:right w:val="single" w:color="000000" w:sz="4" w:space="0"/>
            </w:tcBorders>
            <w:vAlign w:val="center"/>
          </w:tcPr>
          <w:p w14:paraId="32AD98E0">
            <w:pPr>
              <w:pStyle w:val="70"/>
              <w:spacing w:line="440" w:lineRule="exact"/>
              <w:jc w:val="center"/>
              <w:rPr>
                <w:rFonts w:ascii="宋体" w:hAnsi="宋体" w:cs="宋体"/>
                <w:szCs w:val="21"/>
              </w:rPr>
            </w:pPr>
            <w:r>
              <w:rPr>
                <w:rFonts w:ascii="宋体" w:hAnsi="宋体" w:cs="宋体"/>
                <w:szCs w:val="21"/>
              </w:rPr>
              <w:t>级别</w:t>
            </w:r>
          </w:p>
        </w:tc>
        <w:tc>
          <w:tcPr>
            <w:tcW w:w="1480" w:type="dxa"/>
            <w:tcBorders>
              <w:top w:val="single" w:color="000000" w:sz="4" w:space="0"/>
              <w:left w:val="single" w:color="000000" w:sz="4" w:space="0"/>
              <w:bottom w:val="single" w:color="000000" w:sz="4" w:space="0"/>
              <w:right w:val="single" w:color="000000" w:sz="4" w:space="0"/>
            </w:tcBorders>
            <w:vAlign w:val="center"/>
          </w:tcPr>
          <w:p w14:paraId="750ABB33">
            <w:pPr>
              <w:pStyle w:val="70"/>
              <w:spacing w:line="440" w:lineRule="exact"/>
              <w:jc w:val="center"/>
              <w:rPr>
                <w:rFonts w:ascii="宋体" w:hAnsi="宋体" w:cs="宋体"/>
                <w:szCs w:val="21"/>
              </w:rPr>
            </w:pPr>
            <w:r>
              <w:rPr>
                <w:rFonts w:ascii="宋体" w:hAnsi="宋体" w:cs="宋体"/>
                <w:szCs w:val="21"/>
              </w:rPr>
              <w:t>证号</w:t>
            </w:r>
          </w:p>
        </w:tc>
        <w:tc>
          <w:tcPr>
            <w:tcW w:w="837" w:type="dxa"/>
            <w:tcBorders>
              <w:top w:val="single" w:color="000000" w:sz="4" w:space="0"/>
              <w:left w:val="single" w:color="000000" w:sz="4" w:space="0"/>
              <w:bottom w:val="single" w:color="000000" w:sz="4" w:space="0"/>
              <w:right w:val="single" w:color="000000" w:sz="4" w:space="0"/>
            </w:tcBorders>
            <w:vAlign w:val="center"/>
          </w:tcPr>
          <w:p w14:paraId="57237E14">
            <w:pPr>
              <w:pStyle w:val="70"/>
              <w:spacing w:line="440" w:lineRule="exact"/>
              <w:jc w:val="center"/>
              <w:rPr>
                <w:rFonts w:ascii="宋体" w:hAnsi="宋体" w:cs="宋体"/>
                <w:szCs w:val="21"/>
              </w:rPr>
            </w:pPr>
            <w:r>
              <w:rPr>
                <w:rFonts w:ascii="宋体" w:hAnsi="宋体" w:cs="宋体"/>
                <w:szCs w:val="21"/>
              </w:rPr>
              <w:t>专业</w:t>
            </w:r>
          </w:p>
        </w:tc>
        <w:tc>
          <w:tcPr>
            <w:tcW w:w="811" w:type="dxa"/>
            <w:tcBorders>
              <w:top w:val="single" w:color="000000" w:sz="4" w:space="0"/>
              <w:left w:val="single" w:color="000000" w:sz="4" w:space="0"/>
              <w:bottom w:val="single" w:color="000000" w:sz="4" w:space="0"/>
              <w:right w:val="single" w:color="000000" w:sz="4" w:space="0"/>
            </w:tcBorders>
            <w:vAlign w:val="center"/>
          </w:tcPr>
          <w:p w14:paraId="25587BD9">
            <w:pPr>
              <w:pStyle w:val="70"/>
              <w:spacing w:line="440" w:lineRule="exact"/>
              <w:ind w:right="110" w:firstLine="0"/>
              <w:jc w:val="center"/>
              <w:rPr>
                <w:rFonts w:ascii="宋体" w:hAnsi="宋体" w:cs="宋体"/>
                <w:szCs w:val="21"/>
              </w:rPr>
            </w:pPr>
            <w:r>
              <w:rPr>
                <w:rFonts w:ascii="宋体" w:hAnsi="宋体" w:cs="宋体"/>
                <w:szCs w:val="21"/>
              </w:rPr>
              <w:t>养老保险</w:t>
            </w:r>
          </w:p>
        </w:tc>
        <w:tc>
          <w:tcPr>
            <w:tcW w:w="706" w:type="dxa"/>
            <w:tcBorders>
              <w:top w:val="single" w:color="000000" w:sz="4" w:space="0"/>
              <w:left w:val="single" w:color="000000" w:sz="4" w:space="0"/>
              <w:bottom w:val="single" w:color="000000" w:sz="4" w:space="0"/>
              <w:right w:val="single" w:color="000000" w:sz="4" w:space="0"/>
            </w:tcBorders>
            <w:vAlign w:val="center"/>
          </w:tcPr>
          <w:p w14:paraId="39A58A5A">
            <w:pPr>
              <w:pStyle w:val="70"/>
              <w:snapToGrid w:val="0"/>
              <w:spacing w:line="440" w:lineRule="exact"/>
              <w:jc w:val="center"/>
              <w:rPr>
                <w:rFonts w:ascii="宋体" w:hAnsi="宋体" w:cs="宋体"/>
                <w:szCs w:val="21"/>
              </w:rPr>
            </w:pPr>
          </w:p>
        </w:tc>
      </w:tr>
      <w:tr w14:paraId="5C6B285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155F571">
            <w:pPr>
              <w:pStyle w:val="70"/>
              <w:snapToGrid w:val="0"/>
              <w:spacing w:line="440" w:lineRule="exact"/>
              <w:jc w:val="center"/>
              <w:rPr>
                <w:rFonts w:ascii="宋体" w:hAnsi="宋体" w:cs="宋体"/>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7F0E284C">
            <w:pPr>
              <w:pStyle w:val="70"/>
              <w:snapToGrid w:val="0"/>
              <w:spacing w:line="440" w:lineRule="exact"/>
              <w:jc w:val="center"/>
              <w:rPr>
                <w:rFonts w:ascii="宋体" w:hAnsi="宋体" w:cs="宋体"/>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7CC80FD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C92DB99">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00990C93">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7C499340">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1841F923">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21B0C41">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0DC2FEDB">
            <w:pPr>
              <w:pStyle w:val="70"/>
              <w:snapToGrid w:val="0"/>
              <w:spacing w:line="440" w:lineRule="exact"/>
              <w:jc w:val="center"/>
              <w:rPr>
                <w:rFonts w:ascii="宋体" w:hAnsi="宋体" w:cs="宋体"/>
                <w:szCs w:val="21"/>
              </w:rPr>
            </w:pPr>
          </w:p>
        </w:tc>
      </w:tr>
      <w:tr w14:paraId="5F9FCFD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14C9DDB0">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A9B9B0D">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6D492B07">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571C2B1">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605D91BC">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636790CA">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4A0E59A3">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0EBCAA5">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290DBC29">
            <w:pPr>
              <w:pStyle w:val="70"/>
              <w:snapToGrid w:val="0"/>
              <w:spacing w:line="440" w:lineRule="exact"/>
              <w:jc w:val="center"/>
              <w:rPr>
                <w:rFonts w:ascii="宋体" w:hAnsi="宋体" w:cs="宋体"/>
                <w:szCs w:val="21"/>
              </w:rPr>
            </w:pPr>
          </w:p>
        </w:tc>
      </w:tr>
      <w:tr w14:paraId="0D69C067">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99E43D1">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2249C72">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83A8B3F">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5BAD329">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3AFD9E">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59CFBA3">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FE02D6D">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2F67903">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0D0D145">
            <w:pPr>
              <w:pStyle w:val="70"/>
              <w:snapToGrid w:val="0"/>
              <w:spacing w:line="440" w:lineRule="exact"/>
              <w:jc w:val="center"/>
              <w:rPr>
                <w:rFonts w:ascii="宋体" w:hAnsi="宋体" w:cs="宋体"/>
                <w:szCs w:val="21"/>
              </w:rPr>
            </w:pPr>
          </w:p>
        </w:tc>
      </w:tr>
      <w:tr w14:paraId="68F31DD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3D2AA831">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F1E5E79">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4CD4EE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1559B5F">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59D1B760">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8ED87A3">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EC2077">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7B461B1">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2BB5EF4">
            <w:pPr>
              <w:pStyle w:val="70"/>
              <w:snapToGrid w:val="0"/>
              <w:spacing w:line="440" w:lineRule="exact"/>
              <w:jc w:val="center"/>
              <w:rPr>
                <w:rFonts w:ascii="宋体" w:hAnsi="宋体" w:cs="宋体"/>
                <w:szCs w:val="21"/>
              </w:rPr>
            </w:pPr>
          </w:p>
        </w:tc>
      </w:tr>
      <w:tr w14:paraId="605BD171">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761BF9A">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70A50233">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648ADDDF">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329F06B5">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467A3D9">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42824C">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6FC1FACB">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1BAEA3BF">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1D274DD3">
            <w:pPr>
              <w:pStyle w:val="70"/>
              <w:snapToGrid w:val="0"/>
              <w:spacing w:line="440" w:lineRule="exact"/>
              <w:jc w:val="center"/>
              <w:rPr>
                <w:rFonts w:ascii="宋体" w:hAnsi="宋体" w:cs="宋体"/>
                <w:szCs w:val="21"/>
              </w:rPr>
            </w:pPr>
          </w:p>
        </w:tc>
      </w:tr>
      <w:tr w14:paraId="5B8D6098">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4F3A5C7">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D73BC3C">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955DF4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1B0235FD">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49F19899">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41D5468">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8F5598">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35CA85F">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8349263">
            <w:pPr>
              <w:pStyle w:val="70"/>
              <w:snapToGrid w:val="0"/>
              <w:spacing w:line="440" w:lineRule="exact"/>
              <w:jc w:val="center"/>
              <w:rPr>
                <w:rFonts w:ascii="宋体" w:hAnsi="宋体" w:cs="宋体"/>
                <w:szCs w:val="21"/>
              </w:rPr>
            </w:pPr>
          </w:p>
        </w:tc>
      </w:tr>
      <w:tr w14:paraId="5B19588E">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5F1F9764">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214B2BA">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8811AC8">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3AD3DAB">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F4CE496">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19D2E0C">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277197">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17A9964">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D3E54F5">
            <w:pPr>
              <w:pStyle w:val="70"/>
              <w:snapToGrid w:val="0"/>
              <w:spacing w:line="440" w:lineRule="exact"/>
              <w:jc w:val="center"/>
              <w:rPr>
                <w:rFonts w:ascii="宋体" w:hAnsi="宋体" w:cs="宋体"/>
                <w:szCs w:val="21"/>
              </w:rPr>
            </w:pPr>
          </w:p>
        </w:tc>
      </w:tr>
      <w:tr w14:paraId="7F87C87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B1CC1AF">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6596AF27">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098AC79">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C24D2E1">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243D9DA">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4C9A45F">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7BD9D218">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926D211">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FDF361">
            <w:pPr>
              <w:pStyle w:val="70"/>
              <w:snapToGrid w:val="0"/>
              <w:spacing w:line="440" w:lineRule="exact"/>
              <w:jc w:val="center"/>
              <w:rPr>
                <w:rFonts w:ascii="宋体" w:hAnsi="宋体" w:cs="宋体"/>
                <w:szCs w:val="21"/>
              </w:rPr>
            </w:pPr>
          </w:p>
        </w:tc>
      </w:tr>
      <w:tr w14:paraId="20E967B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59082ED">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E3FCA81">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64958E2">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9AF5F91">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EB684DD">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F38C29">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D4BBAF2">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2C1A45C">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2C879765">
            <w:pPr>
              <w:pStyle w:val="70"/>
              <w:snapToGrid w:val="0"/>
              <w:spacing w:line="440" w:lineRule="exact"/>
              <w:jc w:val="center"/>
              <w:rPr>
                <w:rFonts w:ascii="宋体" w:hAnsi="宋体" w:cs="宋体"/>
                <w:szCs w:val="21"/>
              </w:rPr>
            </w:pPr>
          </w:p>
        </w:tc>
      </w:tr>
      <w:tr w14:paraId="426F77AA">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EAD7937">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5C9135A6">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260FD8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01C8E03">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B396EAA">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75614952">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2FA2DA85">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065D41B">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0DD394B7">
            <w:pPr>
              <w:pStyle w:val="70"/>
              <w:snapToGrid w:val="0"/>
              <w:spacing w:line="440" w:lineRule="exact"/>
              <w:jc w:val="center"/>
              <w:rPr>
                <w:rFonts w:ascii="宋体" w:hAnsi="宋体" w:cs="宋体"/>
                <w:szCs w:val="21"/>
              </w:rPr>
            </w:pPr>
          </w:p>
        </w:tc>
      </w:tr>
      <w:tr w14:paraId="176D54E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663DB3E">
            <w:pPr>
              <w:pStyle w:val="70"/>
              <w:snapToGrid w:val="0"/>
              <w:spacing w:line="440" w:lineRule="exact"/>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AD9D7CE">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AE81052">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25544EF">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9132649">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35BCA70">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1E730FD6">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B33C36D">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7B3D36C">
            <w:pPr>
              <w:pStyle w:val="70"/>
              <w:snapToGrid w:val="0"/>
              <w:spacing w:line="440" w:lineRule="exact"/>
              <w:jc w:val="center"/>
              <w:rPr>
                <w:rFonts w:ascii="宋体" w:hAnsi="宋体" w:cs="宋体"/>
                <w:szCs w:val="21"/>
              </w:rPr>
            </w:pPr>
          </w:p>
        </w:tc>
      </w:tr>
      <w:tr w14:paraId="338EE9C0">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052CD2B7">
            <w:pPr>
              <w:pStyle w:val="70"/>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474D2811">
            <w:pPr>
              <w:pStyle w:val="70"/>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62DC2F6E">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85F6DDB">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580B0BA">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27A4DAE">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02014D36">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6F5EE150">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01E4B4">
            <w:pPr>
              <w:pStyle w:val="70"/>
              <w:snapToGrid w:val="0"/>
              <w:spacing w:line="440" w:lineRule="exact"/>
              <w:jc w:val="center"/>
              <w:rPr>
                <w:rFonts w:ascii="宋体" w:hAnsi="宋体" w:cs="宋体"/>
                <w:szCs w:val="21"/>
              </w:rPr>
            </w:pPr>
          </w:p>
        </w:tc>
      </w:tr>
      <w:tr w14:paraId="64E6CBFD">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481937D9">
            <w:pPr>
              <w:pStyle w:val="70"/>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53546F29">
            <w:pPr>
              <w:pStyle w:val="70"/>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40255982">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1C10214">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3D588D4">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4C73D061">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61F0E5B">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64EADA4">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1AE5B8A">
            <w:pPr>
              <w:pStyle w:val="70"/>
              <w:snapToGrid w:val="0"/>
              <w:spacing w:line="440" w:lineRule="exact"/>
              <w:jc w:val="center"/>
              <w:rPr>
                <w:rFonts w:ascii="宋体" w:hAnsi="宋体" w:cs="宋体"/>
                <w:szCs w:val="21"/>
              </w:rPr>
            </w:pPr>
          </w:p>
        </w:tc>
      </w:tr>
      <w:tr w14:paraId="7FAE2F73">
        <w:tblPrEx>
          <w:tblCellMar>
            <w:top w:w="0" w:type="dxa"/>
            <w:left w:w="108" w:type="dxa"/>
            <w:bottom w:w="0" w:type="dxa"/>
            <w:right w:w="108" w:type="dxa"/>
          </w:tblCellMar>
        </w:tblPrEx>
        <w:trPr>
          <w:trHeight w:val="418"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3557027B">
            <w:pPr>
              <w:pStyle w:val="70"/>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0DB787E5">
            <w:pPr>
              <w:pStyle w:val="70"/>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0FDFFF39">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69402B6">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520F68">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2AA21AC9">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5D84494A">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A3926C7">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5A1B123">
            <w:pPr>
              <w:pStyle w:val="70"/>
              <w:snapToGrid w:val="0"/>
              <w:spacing w:line="440" w:lineRule="exact"/>
              <w:jc w:val="center"/>
              <w:rPr>
                <w:rFonts w:ascii="宋体" w:hAnsi="宋体" w:cs="宋体"/>
                <w:szCs w:val="21"/>
              </w:rPr>
            </w:pPr>
          </w:p>
        </w:tc>
      </w:tr>
    </w:tbl>
    <w:p w14:paraId="2AA5B70D">
      <w:pPr>
        <w:pStyle w:val="17"/>
        <w:ind w:left="-628" w:right="0" w:firstLine="0"/>
        <w:jc w:val="left"/>
        <w:rPr>
          <w:rFonts w:ascii="宋体" w:hAnsi="宋体" w:cs="宋体"/>
          <w:sz w:val="24"/>
        </w:rPr>
      </w:pPr>
      <w:r>
        <w:rPr>
          <w:rFonts w:ascii="宋体" w:hAnsi="宋体" w:cs="宋体"/>
          <w:sz w:val="24"/>
        </w:rPr>
        <w:t>注：供应商应附本项目拟派</w:t>
      </w:r>
      <w:r>
        <w:rPr>
          <w:rFonts w:ascii="宋体" w:hAnsi="宋体" w:cs="宋体"/>
          <w:sz w:val="24"/>
          <w:lang w:val="en-US" w:eastAsia="zh-CN"/>
        </w:rPr>
        <w:t>人员</w:t>
      </w:r>
      <w:r>
        <w:rPr>
          <w:rFonts w:ascii="宋体" w:hAnsi="宋体" w:cs="宋体"/>
          <w:sz w:val="24"/>
        </w:rPr>
        <w:t>的身份证、</w:t>
      </w:r>
      <w:r>
        <w:rPr>
          <w:rFonts w:ascii="宋体" w:hAnsi="宋体" w:cs="宋体"/>
          <w:sz w:val="24"/>
          <w:lang w:val="en-US" w:eastAsia="zh-CN"/>
        </w:rPr>
        <w:t>及其相应</w:t>
      </w:r>
      <w:r>
        <w:rPr>
          <w:rFonts w:ascii="宋体" w:hAnsi="宋体" w:cs="宋体"/>
          <w:sz w:val="24"/>
        </w:rPr>
        <w:t>证书、</w:t>
      </w:r>
      <w:r>
        <w:rPr>
          <w:rFonts w:ascii="宋体" w:hAnsi="宋体" w:cs="宋体"/>
          <w:sz w:val="24"/>
          <w:lang w:val="en-US" w:eastAsia="zh-CN"/>
        </w:rPr>
        <w:t>近</w:t>
      </w:r>
      <w:r>
        <w:rPr>
          <w:rFonts w:cs="宋体"/>
          <w:sz w:val="24"/>
          <w:lang w:val="en-US" w:eastAsia="zh-CN"/>
        </w:rPr>
        <w:t>6</w:t>
      </w:r>
      <w:r>
        <w:rPr>
          <w:rFonts w:ascii="宋体" w:hAnsi="宋体" w:cs="宋体"/>
          <w:sz w:val="24"/>
          <w:lang w:val="en-US" w:eastAsia="zh-CN"/>
        </w:rPr>
        <w:t>个月内任意</w:t>
      </w:r>
      <w:r>
        <w:rPr>
          <w:rFonts w:cs="宋体"/>
          <w:sz w:val="24"/>
          <w:lang w:val="en-US" w:eastAsia="zh-CN"/>
        </w:rPr>
        <w:t>1</w:t>
      </w:r>
      <w:r>
        <w:rPr>
          <w:rFonts w:ascii="宋体" w:hAnsi="宋体" w:cs="宋体"/>
          <w:sz w:val="24"/>
          <w:lang w:val="en-US" w:eastAsia="zh-CN"/>
        </w:rPr>
        <w:t>个月社保缴纳证明</w:t>
      </w:r>
      <w:r>
        <w:rPr>
          <w:rFonts w:ascii="宋体" w:hAnsi="宋体" w:cs="宋体"/>
          <w:sz w:val="24"/>
        </w:rPr>
        <w:t>等资格证明文件原件的扫描件并加盖公章。</w:t>
      </w:r>
    </w:p>
    <w:p w14:paraId="30130D3C">
      <w:pPr>
        <w:pStyle w:val="17"/>
        <w:ind w:left="-628" w:right="0" w:firstLine="0"/>
        <w:jc w:val="left"/>
        <w:rPr>
          <w:rFonts w:ascii="宋体" w:hAnsi="宋体" w:cs="宋体"/>
          <w:sz w:val="24"/>
        </w:rPr>
      </w:pPr>
    </w:p>
    <w:p w14:paraId="3953E332">
      <w:pPr>
        <w:pStyle w:val="17"/>
        <w:ind w:left="-628" w:right="0" w:firstLine="0"/>
        <w:jc w:val="left"/>
        <w:rPr>
          <w:rFonts w:ascii="宋体" w:hAnsi="宋体" w:cs="宋体"/>
          <w:sz w:val="24"/>
        </w:rPr>
      </w:pPr>
    </w:p>
    <w:p w14:paraId="3A36DE54">
      <w:pPr>
        <w:pStyle w:val="69"/>
        <w:snapToGrid w:val="0"/>
        <w:spacing w:line="360" w:lineRule="auto"/>
        <w:rPr>
          <w:rFonts w:ascii="宋体" w:hAnsi="宋体" w:cs="宋体"/>
          <w:sz w:val="24"/>
          <w:szCs w:val="28"/>
        </w:rPr>
      </w:pPr>
    </w:p>
    <w:p w14:paraId="524E2E41">
      <w:pPr>
        <w:pStyle w:val="17"/>
        <w:ind w:left="426" w:right="0" w:hanging="426"/>
        <w:rPr>
          <w:rFonts w:ascii="宋体" w:hAnsi="宋体" w:cs="宋体"/>
          <w:u w:val="single"/>
        </w:rPr>
      </w:pPr>
      <w:r>
        <w:rPr>
          <w:rFonts w:ascii="宋体" w:hAnsi="宋体" w:cs="宋体"/>
        </w:rPr>
        <w:t>法定代表人或其委托人签字：</w:t>
      </w:r>
      <w:r>
        <w:rPr>
          <w:rFonts w:ascii="宋体" w:hAnsi="宋体" w:cs="宋体"/>
          <w:u w:val="single"/>
        </w:rPr>
        <w:t xml:space="preserve">                       </w:t>
      </w:r>
    </w:p>
    <w:p w14:paraId="6F6E2A1E">
      <w:pPr>
        <w:pStyle w:val="17"/>
        <w:ind w:left="426" w:right="0" w:hanging="426"/>
        <w:rPr>
          <w:rFonts w:ascii="宋体" w:hAnsi="宋体" w:cs="宋体"/>
          <w:u w:val="single"/>
        </w:rPr>
      </w:pPr>
      <w:r>
        <w:rPr>
          <w:rFonts w:ascii="宋体" w:hAnsi="宋体" w:cs="宋体"/>
        </w:rPr>
        <w:t>供应商名称（全称）：</w:t>
      </w:r>
      <w:r>
        <w:rPr>
          <w:rFonts w:ascii="宋体" w:hAnsi="宋体" w:cs="宋体"/>
          <w:u w:val="single"/>
        </w:rPr>
        <w:t xml:space="preserve">                                  </w:t>
      </w:r>
    </w:p>
    <w:p w14:paraId="26F58304">
      <w:pPr>
        <w:pStyle w:val="17"/>
        <w:ind w:left="426" w:right="0" w:hanging="426"/>
        <w:rPr>
          <w:rFonts w:ascii="宋体" w:hAnsi="宋体" w:cs="宋体"/>
          <w:u w:val="single"/>
        </w:rPr>
      </w:pPr>
      <w:r>
        <w:rPr>
          <w:rFonts w:ascii="宋体" w:hAnsi="宋体" w:cs="宋体"/>
        </w:rPr>
        <w:t>日期：</w:t>
      </w:r>
      <w:r>
        <w:rPr>
          <w:rFonts w:ascii="宋体" w:hAnsi="宋体" w:cs="宋体"/>
          <w:u w:val="single"/>
        </w:rPr>
        <w:t xml:space="preserve">                                  </w:t>
      </w:r>
    </w:p>
    <w:p w14:paraId="508F0BF2">
      <w:pPr>
        <w:pStyle w:val="69"/>
        <w:snapToGrid w:val="0"/>
        <w:spacing w:line="360" w:lineRule="auto"/>
        <w:jc w:val="left"/>
        <w:rPr>
          <w:rFonts w:ascii="宋体" w:hAnsi="宋体" w:cs="宋体"/>
          <w:sz w:val="24"/>
          <w:szCs w:val="24"/>
          <w:u w:val="single"/>
        </w:rPr>
      </w:pPr>
    </w:p>
    <w:p w14:paraId="33D7EB7A">
      <w:pPr>
        <w:pStyle w:val="69"/>
        <w:snapToGrid w:val="0"/>
        <w:spacing w:line="360" w:lineRule="auto"/>
        <w:jc w:val="center"/>
        <w:rPr>
          <w:rFonts w:ascii="宋体" w:hAnsi="宋体" w:cs="宋体"/>
          <w:sz w:val="24"/>
          <w:szCs w:val="24"/>
        </w:rPr>
      </w:pPr>
    </w:p>
    <w:p w14:paraId="27B7B7D4">
      <w:pPr>
        <w:pStyle w:val="69"/>
        <w:snapToGrid w:val="0"/>
        <w:spacing w:line="360" w:lineRule="auto"/>
        <w:jc w:val="left"/>
        <w:rPr>
          <w:rFonts w:ascii="宋体" w:hAnsi="宋体" w:cs="宋体"/>
          <w:sz w:val="24"/>
          <w:szCs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2</w:t>
      </w:r>
      <w:r>
        <w:rPr>
          <w:rFonts w:ascii="宋体" w:hAnsi="宋体" w:cs="宋体"/>
          <w:b/>
          <w:bCs/>
          <w:color w:val="000000"/>
          <w:w w:val="90"/>
          <w:sz w:val="24"/>
          <w:szCs w:val="24"/>
          <w:lang w:val="en-US" w:eastAsia="zh-CN"/>
        </w:rPr>
        <w:t>、</w:t>
      </w:r>
    </w:p>
    <w:p w14:paraId="19A82BF7">
      <w:pPr>
        <w:pStyle w:val="68"/>
        <w:numPr>
          <w:ilvl w:val="0"/>
          <w:numId w:val="0"/>
        </w:numPr>
        <w:ind w:firstLine="3113"/>
        <w:outlineLvl w:val="2"/>
        <w:rPr>
          <w:rFonts w:ascii="Times New Roman" w:hAnsi="Times New Roman" w:eastAsia="Times New Roman" w:cs="Times New Roman"/>
        </w:rPr>
      </w:pPr>
      <w:r>
        <w:rPr>
          <w:rFonts w:cs="黑体"/>
          <w:sz w:val="28"/>
          <w:lang w:val="en-US" w:eastAsia="zh-CN"/>
        </w:rPr>
        <w:t xml:space="preserve"> </w:t>
      </w:r>
      <w:r>
        <w:rPr>
          <w:rFonts w:cs="黑体"/>
          <w:sz w:val="28"/>
        </w:rPr>
        <w:t>项目经理简历表</w:t>
      </w:r>
    </w:p>
    <w:p w14:paraId="113A62DF">
      <w:pPr>
        <w:pStyle w:val="61"/>
        <w:jc w:val="center"/>
        <w:rPr>
          <w:rFonts w:ascii="Times New Roman" w:hAnsi="Times New Roman" w:eastAsia="Times New Roman" w:cs="Times New Roman"/>
        </w:rPr>
      </w:pPr>
    </w:p>
    <w:tbl>
      <w:tblPr>
        <w:tblStyle w:val="19"/>
        <w:tblW w:w="9675" w:type="dxa"/>
        <w:jc w:val="center"/>
        <w:tblLayout w:type="fixed"/>
        <w:tblCellMar>
          <w:top w:w="0" w:type="dxa"/>
          <w:left w:w="108" w:type="dxa"/>
          <w:bottom w:w="0" w:type="dxa"/>
          <w:right w:w="108" w:type="dxa"/>
        </w:tblCellMar>
      </w:tblPr>
      <w:tblGrid>
        <w:gridCol w:w="1701"/>
        <w:gridCol w:w="54"/>
        <w:gridCol w:w="1035"/>
        <w:gridCol w:w="507"/>
        <w:gridCol w:w="627"/>
        <w:gridCol w:w="507"/>
        <w:gridCol w:w="768"/>
        <w:gridCol w:w="507"/>
        <w:gridCol w:w="1336"/>
        <w:gridCol w:w="507"/>
        <w:gridCol w:w="2126"/>
      </w:tblGrid>
      <w:tr w14:paraId="3F386B1C">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5C072F83">
            <w:pPr>
              <w:pStyle w:val="61"/>
              <w:jc w:val="center"/>
              <w:rPr>
                <w:rFonts w:ascii="宋体" w:hAnsi="宋体" w:cs="宋体"/>
                <w:sz w:val="24"/>
              </w:rPr>
            </w:pPr>
            <w:r>
              <w:rPr>
                <w:rFonts w:ascii="宋体" w:hAnsi="宋体" w:cs="宋体"/>
                <w:sz w:val="24"/>
              </w:rPr>
              <w:t>姓  名</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23932CE9">
            <w:pPr>
              <w:pStyle w:val="61"/>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2B3EB29F">
            <w:pPr>
              <w:pStyle w:val="61"/>
              <w:jc w:val="center"/>
              <w:rPr>
                <w:rFonts w:ascii="宋体" w:hAnsi="宋体" w:cs="宋体"/>
                <w:sz w:val="24"/>
              </w:rPr>
            </w:pPr>
            <w:r>
              <w:rPr>
                <w:rFonts w:ascii="宋体" w:hAnsi="宋体" w:cs="宋体"/>
                <w:sz w:val="24"/>
              </w:rPr>
              <w:t>年  龄</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354E7444">
            <w:pPr>
              <w:pStyle w:val="61"/>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38FA284">
            <w:pPr>
              <w:pStyle w:val="61"/>
              <w:jc w:val="center"/>
              <w:rPr>
                <w:rFonts w:ascii="宋体" w:hAnsi="宋体" w:cs="宋体"/>
                <w:sz w:val="24"/>
              </w:rPr>
            </w:pPr>
            <w:r>
              <w:rPr>
                <w:rFonts w:ascii="宋体" w:hAnsi="宋体" w:cs="宋体"/>
                <w:sz w:val="24"/>
              </w:rPr>
              <w:t>学历</w:t>
            </w:r>
          </w:p>
        </w:tc>
        <w:tc>
          <w:tcPr>
            <w:tcW w:w="2126" w:type="dxa"/>
            <w:tcBorders>
              <w:top w:val="single" w:color="000000" w:sz="4" w:space="0"/>
              <w:left w:val="single" w:color="000000" w:sz="4" w:space="0"/>
              <w:bottom w:val="single" w:color="000000" w:sz="4" w:space="0"/>
              <w:right w:val="single" w:color="000000" w:sz="4" w:space="0"/>
            </w:tcBorders>
            <w:vAlign w:val="center"/>
          </w:tcPr>
          <w:p w14:paraId="22225DC5">
            <w:pPr>
              <w:pStyle w:val="61"/>
              <w:snapToGrid w:val="0"/>
              <w:jc w:val="center"/>
              <w:rPr>
                <w:rFonts w:ascii="宋体" w:hAnsi="宋体" w:cs="宋体"/>
                <w:sz w:val="24"/>
              </w:rPr>
            </w:pPr>
          </w:p>
        </w:tc>
      </w:tr>
      <w:tr w14:paraId="5E4D60DE">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0E38C599">
            <w:pPr>
              <w:pStyle w:val="61"/>
              <w:jc w:val="center"/>
              <w:rPr>
                <w:rFonts w:ascii="宋体" w:hAnsi="宋体" w:cs="宋体"/>
                <w:sz w:val="24"/>
              </w:rPr>
            </w:pPr>
            <w:r>
              <w:rPr>
                <w:rFonts w:ascii="宋体" w:hAnsi="宋体" w:cs="宋体"/>
                <w:sz w:val="24"/>
              </w:rPr>
              <w:t>职  称</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17AE30F9">
            <w:pPr>
              <w:pStyle w:val="61"/>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316412A">
            <w:pPr>
              <w:pStyle w:val="61"/>
              <w:jc w:val="center"/>
              <w:rPr>
                <w:rFonts w:ascii="宋体" w:hAnsi="宋体" w:cs="宋体"/>
                <w:sz w:val="24"/>
              </w:rPr>
            </w:pPr>
            <w:r>
              <w:rPr>
                <w:rFonts w:ascii="宋体" w:hAnsi="宋体" w:cs="宋体"/>
                <w:sz w:val="24"/>
              </w:rPr>
              <w:t>职  务</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3F6CCCD">
            <w:pPr>
              <w:pStyle w:val="61"/>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AA2F4CA">
            <w:pPr>
              <w:pStyle w:val="61"/>
              <w:jc w:val="center"/>
              <w:rPr>
                <w:rFonts w:ascii="宋体" w:hAnsi="宋体" w:cs="宋体"/>
                <w:sz w:val="24"/>
              </w:rPr>
            </w:pPr>
            <w:r>
              <w:rPr>
                <w:rFonts w:ascii="宋体" w:hAnsi="宋体" w:cs="宋体"/>
                <w:sz w:val="24"/>
              </w:rPr>
              <w:t>拟在本工程任职</w:t>
            </w:r>
          </w:p>
        </w:tc>
        <w:tc>
          <w:tcPr>
            <w:tcW w:w="2126" w:type="dxa"/>
            <w:tcBorders>
              <w:top w:val="single" w:color="000000" w:sz="4" w:space="0"/>
              <w:left w:val="single" w:color="000000" w:sz="4" w:space="0"/>
              <w:bottom w:val="single" w:color="000000" w:sz="4" w:space="0"/>
              <w:right w:val="single" w:color="000000" w:sz="4" w:space="0"/>
            </w:tcBorders>
            <w:vAlign w:val="center"/>
          </w:tcPr>
          <w:p w14:paraId="5683ABE7">
            <w:pPr>
              <w:pStyle w:val="61"/>
              <w:jc w:val="center"/>
              <w:rPr>
                <w:rFonts w:ascii="宋体" w:hAnsi="宋体" w:cs="宋体"/>
                <w:sz w:val="24"/>
              </w:rPr>
            </w:pPr>
            <w:r>
              <w:rPr>
                <w:rFonts w:ascii="宋体" w:hAnsi="宋体" w:cs="宋体"/>
                <w:sz w:val="24"/>
              </w:rPr>
              <w:t>项目经理</w:t>
            </w:r>
          </w:p>
        </w:tc>
      </w:tr>
      <w:tr w14:paraId="2D1BBFB1">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AA56F88">
            <w:pPr>
              <w:pStyle w:val="61"/>
              <w:jc w:val="center"/>
              <w:rPr>
                <w:rFonts w:ascii="宋体" w:hAnsi="宋体" w:cs="宋体"/>
                <w:sz w:val="24"/>
              </w:rPr>
            </w:pPr>
            <w:r>
              <w:rPr>
                <w:rFonts w:ascii="宋体" w:hAnsi="宋体" w:cs="宋体"/>
                <w:sz w:val="24"/>
              </w:rPr>
              <w:t>注册建造师执业资格等级</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CD68EB0">
            <w:pPr>
              <w:pStyle w:val="61"/>
              <w:jc w:val="center"/>
              <w:rPr>
                <w:rFonts w:ascii="宋体" w:hAnsi="宋体" w:cs="宋体"/>
                <w:sz w:val="24"/>
              </w:rPr>
            </w:pPr>
            <w:r>
              <w:rPr>
                <w:rFonts w:ascii="宋体" w:hAnsi="宋体" w:cs="宋体"/>
                <w:sz w:val="24"/>
              </w:rPr>
              <w:t>级</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59B7955">
            <w:pPr>
              <w:pStyle w:val="61"/>
              <w:jc w:val="center"/>
              <w:rPr>
                <w:rFonts w:ascii="宋体" w:hAnsi="宋体" w:cs="宋体"/>
                <w:sz w:val="24"/>
              </w:rPr>
            </w:pPr>
            <w:r>
              <w:rPr>
                <w:rFonts w:ascii="宋体" w:hAnsi="宋体" w:cs="宋体"/>
                <w:sz w:val="24"/>
              </w:rPr>
              <w:t>建造师专业</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BEE61E5">
            <w:pPr>
              <w:pStyle w:val="61"/>
              <w:snapToGrid w:val="0"/>
              <w:jc w:val="center"/>
              <w:rPr>
                <w:rFonts w:ascii="宋体" w:hAnsi="宋体" w:cs="宋体"/>
                <w:sz w:val="24"/>
              </w:rPr>
            </w:pPr>
          </w:p>
        </w:tc>
      </w:tr>
      <w:tr w14:paraId="0C74B509">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F1310BC">
            <w:pPr>
              <w:pStyle w:val="61"/>
              <w:jc w:val="center"/>
              <w:rPr>
                <w:rFonts w:ascii="宋体" w:hAnsi="宋体" w:cs="宋体"/>
                <w:sz w:val="24"/>
              </w:rPr>
            </w:pPr>
            <w:r>
              <w:rPr>
                <w:rFonts w:ascii="宋体" w:hAnsi="宋体" w:cs="宋体"/>
                <w:sz w:val="24"/>
              </w:rPr>
              <w:t>安全生产考核合格证书</w:t>
            </w:r>
          </w:p>
        </w:tc>
        <w:tc>
          <w:tcPr>
            <w:tcW w:w="5751" w:type="dxa"/>
            <w:gridSpan w:val="6"/>
            <w:tcBorders>
              <w:top w:val="single" w:color="000000" w:sz="4" w:space="0"/>
              <w:left w:val="single" w:color="000000" w:sz="4" w:space="0"/>
              <w:bottom w:val="single" w:color="000000" w:sz="4" w:space="0"/>
              <w:right w:val="single" w:color="000000" w:sz="4" w:space="0"/>
            </w:tcBorders>
            <w:vAlign w:val="center"/>
          </w:tcPr>
          <w:p w14:paraId="6FEAAA89">
            <w:pPr>
              <w:pStyle w:val="61"/>
              <w:snapToGrid w:val="0"/>
              <w:jc w:val="center"/>
              <w:rPr>
                <w:rFonts w:ascii="宋体" w:hAnsi="宋体" w:cs="宋体"/>
                <w:sz w:val="24"/>
              </w:rPr>
            </w:pPr>
          </w:p>
        </w:tc>
      </w:tr>
      <w:tr w14:paraId="516BA5E5">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619ED44">
            <w:pPr>
              <w:pStyle w:val="61"/>
              <w:jc w:val="center"/>
              <w:rPr>
                <w:rFonts w:ascii="宋体" w:hAnsi="宋体" w:cs="宋体"/>
                <w:sz w:val="24"/>
              </w:rPr>
            </w:pPr>
            <w:r>
              <w:rPr>
                <w:rFonts w:ascii="宋体" w:hAnsi="宋体" w:cs="宋体"/>
                <w:sz w:val="24"/>
              </w:rPr>
              <w:t>毕业学校</w:t>
            </w:r>
          </w:p>
        </w:tc>
        <w:tc>
          <w:tcPr>
            <w:tcW w:w="7920" w:type="dxa"/>
            <w:gridSpan w:val="9"/>
            <w:tcBorders>
              <w:top w:val="single" w:color="000000" w:sz="4" w:space="0"/>
              <w:left w:val="single" w:color="000000" w:sz="4" w:space="0"/>
              <w:bottom w:val="single" w:color="000000" w:sz="4" w:space="0"/>
              <w:right w:val="single" w:color="000000" w:sz="4" w:space="0"/>
            </w:tcBorders>
            <w:vAlign w:val="center"/>
          </w:tcPr>
          <w:p w14:paraId="560A563B">
            <w:pPr>
              <w:pStyle w:val="61"/>
              <w:jc w:val="center"/>
              <w:rPr>
                <w:rFonts w:ascii="宋体" w:hAnsi="宋体" w:cs="宋体"/>
                <w:sz w:val="24"/>
              </w:rPr>
            </w:pPr>
            <w:r>
              <w:rPr>
                <w:rFonts w:ascii="宋体" w:hAnsi="宋体" w:cs="宋体"/>
                <w:sz w:val="24"/>
              </w:rPr>
              <w:t>年毕业于                  学校            专业</w:t>
            </w:r>
          </w:p>
        </w:tc>
      </w:tr>
      <w:tr w14:paraId="47DCDA14">
        <w:tblPrEx>
          <w:tblCellMar>
            <w:top w:w="0" w:type="dxa"/>
            <w:left w:w="108" w:type="dxa"/>
            <w:bottom w:w="0" w:type="dxa"/>
            <w:right w:w="108" w:type="dxa"/>
          </w:tblCellMar>
        </w:tblPrEx>
        <w:trPr>
          <w:trHeight w:val="454" w:hRule="atLeast"/>
          <w:jc w:val="center"/>
        </w:trPr>
        <w:tc>
          <w:tcPr>
            <w:tcW w:w="9675" w:type="dxa"/>
            <w:gridSpan w:val="11"/>
            <w:tcBorders>
              <w:top w:val="single" w:color="000000" w:sz="4" w:space="0"/>
              <w:left w:val="single" w:color="000000" w:sz="4" w:space="0"/>
              <w:bottom w:val="single" w:color="000000" w:sz="4" w:space="0"/>
              <w:right w:val="single" w:color="000000" w:sz="4" w:space="0"/>
            </w:tcBorders>
            <w:vAlign w:val="center"/>
          </w:tcPr>
          <w:p w14:paraId="0AE27BDA">
            <w:pPr>
              <w:pStyle w:val="61"/>
              <w:jc w:val="center"/>
              <w:rPr>
                <w:rFonts w:ascii="宋体" w:hAnsi="宋体" w:cs="宋体"/>
                <w:sz w:val="24"/>
              </w:rPr>
            </w:pPr>
            <w:r>
              <w:rPr>
                <w:rFonts w:ascii="宋体" w:hAnsi="宋体" w:cs="宋体"/>
                <w:sz w:val="24"/>
              </w:rPr>
              <w:t>主要工作经历</w:t>
            </w:r>
          </w:p>
        </w:tc>
      </w:tr>
      <w:tr w14:paraId="42A9813D">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1E56E2C">
            <w:pPr>
              <w:pStyle w:val="61"/>
              <w:jc w:val="center"/>
              <w:rPr>
                <w:rFonts w:ascii="宋体" w:hAnsi="宋体" w:cs="宋体"/>
                <w:sz w:val="24"/>
              </w:rPr>
            </w:pPr>
            <w:r>
              <w:rPr>
                <w:rFonts w:ascii="宋体" w:hAnsi="宋体" w:cs="宋体"/>
                <w:sz w:val="24"/>
              </w:rPr>
              <w:t>时  间</w:t>
            </w:r>
          </w:p>
        </w:tc>
        <w:tc>
          <w:tcPr>
            <w:tcW w:w="3444" w:type="dxa"/>
            <w:gridSpan w:val="5"/>
            <w:tcBorders>
              <w:top w:val="single" w:color="000000" w:sz="4" w:space="0"/>
              <w:left w:val="single" w:color="000000" w:sz="4" w:space="0"/>
              <w:bottom w:val="single" w:color="000000" w:sz="4" w:space="0"/>
              <w:right w:val="single" w:color="000000" w:sz="4" w:space="0"/>
            </w:tcBorders>
            <w:vAlign w:val="center"/>
          </w:tcPr>
          <w:p w14:paraId="149BC48D">
            <w:pPr>
              <w:pStyle w:val="61"/>
              <w:jc w:val="center"/>
              <w:rPr>
                <w:rFonts w:ascii="宋体" w:hAnsi="宋体" w:cs="宋体"/>
                <w:sz w:val="24"/>
              </w:rPr>
            </w:pPr>
            <w:r>
              <w:rPr>
                <w:rFonts w:ascii="宋体" w:hAnsi="宋体" w:cs="宋体"/>
                <w:sz w:val="24"/>
              </w:rPr>
              <w:t>参加过的类似项目名称</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B99FEEE">
            <w:pPr>
              <w:pStyle w:val="61"/>
              <w:jc w:val="center"/>
              <w:rPr>
                <w:rFonts w:ascii="宋体" w:hAnsi="宋体" w:cs="宋体"/>
                <w:sz w:val="24"/>
              </w:rPr>
            </w:pPr>
            <w:r>
              <w:rPr>
                <w:rFonts w:ascii="宋体" w:hAnsi="宋体" w:cs="宋体"/>
                <w:sz w:val="24"/>
              </w:rPr>
              <w:t>工程概况说明</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8780F2D">
            <w:pPr>
              <w:pStyle w:val="61"/>
              <w:jc w:val="center"/>
              <w:rPr>
                <w:rFonts w:ascii="宋体" w:hAnsi="宋体" w:cs="宋体"/>
                <w:sz w:val="24"/>
              </w:rPr>
            </w:pPr>
            <w:r>
              <w:rPr>
                <w:rFonts w:ascii="宋体" w:hAnsi="宋体" w:cs="宋体"/>
                <w:sz w:val="24"/>
              </w:rPr>
              <w:t>发包人及联系电话</w:t>
            </w:r>
          </w:p>
        </w:tc>
      </w:tr>
      <w:tr w14:paraId="13072339">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DD6FCB1">
            <w:pPr>
              <w:pStyle w:val="61"/>
              <w:snapToGrid w:val="0"/>
              <w:jc w:val="center"/>
              <w:rPr>
                <w:rFonts w:ascii="宋体" w:hAnsi="宋体" w:cs="宋体"/>
                <w:sz w:val="24"/>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5ED5738">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19264846">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403D2C0">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FFDD5E7">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55346E1B">
            <w:pPr>
              <w:pStyle w:val="61"/>
              <w:snapToGrid w:val="0"/>
              <w:jc w:val="center"/>
              <w:rPr>
                <w:rFonts w:ascii="宋体" w:hAnsi="宋体" w:cs="宋体"/>
                <w:szCs w:val="21"/>
              </w:rPr>
            </w:pPr>
          </w:p>
        </w:tc>
      </w:tr>
      <w:tr w14:paraId="59123BB0">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B52235B">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09C9272">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E6F21CB">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C06B389">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7032F4D">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1373A919">
            <w:pPr>
              <w:pStyle w:val="61"/>
              <w:snapToGrid w:val="0"/>
              <w:jc w:val="center"/>
              <w:rPr>
                <w:rFonts w:ascii="宋体" w:hAnsi="宋体" w:cs="宋体"/>
                <w:szCs w:val="21"/>
              </w:rPr>
            </w:pPr>
          </w:p>
        </w:tc>
      </w:tr>
      <w:tr w14:paraId="69CE524C">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9BEC15C">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C9FF7A5">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3A59B060">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1DD30B6">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110F15F8">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FA45D23">
            <w:pPr>
              <w:pStyle w:val="61"/>
              <w:snapToGrid w:val="0"/>
              <w:jc w:val="center"/>
              <w:rPr>
                <w:rFonts w:ascii="宋体" w:hAnsi="宋体" w:cs="宋体"/>
                <w:szCs w:val="21"/>
              </w:rPr>
            </w:pPr>
          </w:p>
        </w:tc>
      </w:tr>
      <w:tr w14:paraId="1A3E69B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3E42AB59">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A162E5C">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70846B39">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A2C390D">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7E8AB338">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6D93310">
            <w:pPr>
              <w:pStyle w:val="61"/>
              <w:snapToGrid w:val="0"/>
              <w:jc w:val="center"/>
              <w:rPr>
                <w:rFonts w:ascii="宋体" w:hAnsi="宋体" w:cs="宋体"/>
                <w:szCs w:val="21"/>
              </w:rPr>
            </w:pPr>
          </w:p>
        </w:tc>
      </w:tr>
      <w:tr w14:paraId="20BAC87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CAAC76B">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1B135EC4">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4A3393EC">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0E52AC0">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7BD9A3B">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6361247F">
            <w:pPr>
              <w:pStyle w:val="61"/>
              <w:snapToGrid w:val="0"/>
              <w:jc w:val="center"/>
              <w:rPr>
                <w:rFonts w:ascii="宋体" w:hAnsi="宋体" w:cs="宋体"/>
                <w:szCs w:val="21"/>
              </w:rPr>
            </w:pPr>
          </w:p>
        </w:tc>
      </w:tr>
      <w:tr w14:paraId="34BA5201">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9363731">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E73B9DE">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D485377">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7C7F7BD4">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0241493">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610A279">
            <w:pPr>
              <w:pStyle w:val="61"/>
              <w:snapToGrid w:val="0"/>
              <w:jc w:val="center"/>
              <w:rPr>
                <w:rFonts w:ascii="宋体" w:hAnsi="宋体" w:cs="宋体"/>
                <w:szCs w:val="21"/>
              </w:rPr>
            </w:pPr>
          </w:p>
        </w:tc>
      </w:tr>
      <w:tr w14:paraId="59BC5F0F">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7E1940A8">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A4437D0">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74A0A76">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6E88B50">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65CD9334">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4B3D6AB8">
            <w:pPr>
              <w:pStyle w:val="61"/>
              <w:snapToGrid w:val="0"/>
              <w:jc w:val="center"/>
              <w:rPr>
                <w:rFonts w:ascii="宋体" w:hAnsi="宋体" w:cs="宋体"/>
                <w:szCs w:val="21"/>
              </w:rPr>
            </w:pPr>
          </w:p>
        </w:tc>
      </w:tr>
    </w:tbl>
    <w:p w14:paraId="10DA4C96">
      <w:pPr>
        <w:pStyle w:val="69"/>
        <w:snapToGrid w:val="0"/>
        <w:spacing w:line="360" w:lineRule="auto"/>
        <w:jc w:val="left"/>
        <w:rPr>
          <w:rFonts w:ascii="宋体" w:hAnsi="宋体" w:cs="宋体"/>
          <w:b/>
          <w:bCs/>
          <w:sz w:val="24"/>
          <w:szCs w:val="21"/>
        </w:rPr>
      </w:pPr>
    </w:p>
    <w:p w14:paraId="3CAA7061">
      <w:pPr>
        <w:pStyle w:val="69"/>
        <w:snapToGrid w:val="0"/>
        <w:spacing w:line="360" w:lineRule="auto"/>
        <w:jc w:val="left"/>
        <w:rPr>
          <w:rFonts w:ascii="宋体" w:hAnsi="宋体" w:cs="宋体"/>
          <w:b/>
          <w:bCs/>
          <w:sz w:val="24"/>
          <w:szCs w:val="24"/>
        </w:rPr>
      </w:pPr>
      <w:r>
        <w:rPr>
          <w:rFonts w:ascii="宋体" w:hAnsi="宋体" w:cs="宋体"/>
          <w:b/>
          <w:bCs/>
          <w:sz w:val="24"/>
          <w:szCs w:val="21"/>
        </w:rPr>
        <w:t>注：1.项目经理应附</w:t>
      </w:r>
      <w:r>
        <w:rPr>
          <w:rFonts w:ascii="宋体" w:hAnsi="宋体" w:cs="宋体"/>
          <w:b/>
          <w:bCs/>
          <w:sz w:val="24"/>
          <w:szCs w:val="21"/>
          <w:lang w:val="en-US" w:eastAsia="zh-CN"/>
        </w:rPr>
        <w:t>其</w:t>
      </w:r>
      <w:r>
        <w:rPr>
          <w:rFonts w:ascii="宋体" w:hAnsi="宋体" w:cs="宋体"/>
          <w:b/>
          <w:bCs/>
          <w:sz w:val="24"/>
          <w:szCs w:val="21"/>
        </w:rPr>
        <w:t>建造师执业资格证书、注册证书、安全生产考核合格证书、身份证</w:t>
      </w:r>
      <w:r>
        <w:rPr>
          <w:rFonts w:ascii="宋体" w:hAnsi="宋体" w:cs="宋体"/>
          <w:b/>
          <w:bCs/>
          <w:sz w:val="24"/>
          <w:szCs w:val="21"/>
          <w:lang w:val="en-US" w:eastAsia="zh-CN"/>
        </w:rPr>
        <w:t>等</w:t>
      </w:r>
      <w:r>
        <w:rPr>
          <w:rFonts w:ascii="宋体" w:hAnsi="宋体" w:cs="宋体"/>
          <w:b/>
          <w:bCs/>
          <w:sz w:val="24"/>
          <w:szCs w:val="21"/>
        </w:rPr>
        <w:t>复印件及未担任其他在施建设工程项目项目经理的承诺。</w:t>
      </w:r>
    </w:p>
    <w:p w14:paraId="19E99146">
      <w:pPr>
        <w:pStyle w:val="69"/>
        <w:snapToGrid w:val="0"/>
        <w:spacing w:line="360" w:lineRule="auto"/>
        <w:jc w:val="center"/>
        <w:rPr>
          <w:rFonts w:ascii="宋体" w:hAnsi="宋体" w:cs="宋体"/>
          <w:b/>
          <w:bCs/>
          <w:sz w:val="24"/>
          <w:szCs w:val="24"/>
        </w:rPr>
      </w:pPr>
    </w:p>
    <w:p w14:paraId="00C8F478">
      <w:pPr>
        <w:pStyle w:val="69"/>
        <w:snapToGrid w:val="0"/>
        <w:spacing w:line="360" w:lineRule="auto"/>
        <w:jc w:val="center"/>
        <w:rPr>
          <w:rFonts w:ascii="宋体" w:hAnsi="宋体" w:cs="宋体"/>
          <w:sz w:val="24"/>
          <w:szCs w:val="24"/>
        </w:rPr>
      </w:pPr>
    </w:p>
    <w:p w14:paraId="50EE41C2">
      <w:pPr>
        <w:pStyle w:val="69"/>
        <w:snapToGrid w:val="0"/>
        <w:spacing w:line="360" w:lineRule="auto"/>
        <w:jc w:val="center"/>
        <w:rPr>
          <w:rFonts w:ascii="宋体" w:hAnsi="宋体" w:cs="宋体"/>
          <w:sz w:val="24"/>
          <w:szCs w:val="24"/>
        </w:rPr>
      </w:pPr>
    </w:p>
    <w:p w14:paraId="6399862D">
      <w:pPr>
        <w:pStyle w:val="69"/>
        <w:snapToGrid w:val="0"/>
        <w:spacing w:line="360" w:lineRule="auto"/>
        <w:jc w:val="center"/>
        <w:rPr>
          <w:rFonts w:ascii="宋体" w:hAnsi="宋体" w:cs="宋体"/>
          <w:sz w:val="24"/>
          <w:szCs w:val="24"/>
        </w:rPr>
      </w:pPr>
    </w:p>
    <w:p w14:paraId="3293CC9A">
      <w:pPr>
        <w:pStyle w:val="69"/>
        <w:snapToGrid w:val="0"/>
        <w:spacing w:line="360" w:lineRule="auto"/>
        <w:jc w:val="center"/>
        <w:rPr>
          <w:rFonts w:ascii="宋体" w:hAnsi="宋体" w:cs="宋体"/>
          <w:sz w:val="24"/>
          <w:szCs w:val="24"/>
        </w:rPr>
      </w:pPr>
    </w:p>
    <w:p w14:paraId="4FC323B8">
      <w:pPr>
        <w:spacing w:before="162" w:after="162" w:line="440" w:lineRule="exact"/>
        <w:rPr>
          <w:rFonts w:ascii="宋体" w:hAnsi="宋体" w:cs="宋体"/>
          <w:b/>
          <w:sz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3</w:t>
      </w:r>
      <w:r>
        <w:rPr>
          <w:rFonts w:ascii="宋体" w:hAnsi="宋体" w:cs="宋体"/>
          <w:b/>
          <w:bCs/>
          <w:color w:val="000000"/>
          <w:w w:val="90"/>
          <w:sz w:val="24"/>
          <w:szCs w:val="24"/>
          <w:lang w:val="en-US" w:eastAsia="zh-CN"/>
        </w:rPr>
        <w:t>、</w:t>
      </w:r>
    </w:p>
    <w:p w14:paraId="530DAAF6">
      <w:pPr>
        <w:spacing w:before="162" w:after="162" w:line="440" w:lineRule="exact"/>
        <w:ind w:left="973" w:hanging="969"/>
        <w:jc w:val="center"/>
        <w:rPr>
          <w:rFonts w:ascii="宋体" w:hAnsi="宋体" w:cs="宋体"/>
          <w:b/>
          <w:sz w:val="32"/>
          <w:szCs w:val="32"/>
        </w:rPr>
      </w:pPr>
    </w:p>
    <w:p w14:paraId="5C814BEE">
      <w:pPr>
        <w:spacing w:before="162" w:after="162" w:line="440" w:lineRule="exact"/>
        <w:ind w:left="973" w:hanging="849"/>
        <w:jc w:val="center"/>
        <w:rPr>
          <w:rFonts w:ascii="宋体" w:hAnsi="宋体" w:cs="宋体"/>
          <w:b/>
          <w:sz w:val="28"/>
          <w:szCs w:val="28"/>
        </w:rPr>
      </w:pPr>
      <w:r>
        <w:rPr>
          <w:rFonts w:ascii="宋体" w:hAnsi="宋体" w:cs="宋体"/>
          <w:b/>
          <w:sz w:val="28"/>
          <w:szCs w:val="28"/>
        </w:rPr>
        <w:t>项目经理无在建项目承诺函</w:t>
      </w:r>
    </w:p>
    <w:p w14:paraId="73781E9F">
      <w:pPr>
        <w:jc w:val="left"/>
        <w:rPr>
          <w:rFonts w:ascii="宋体" w:hAnsi="宋体" w:cs="宋体"/>
          <w:b/>
          <w:sz w:val="24"/>
          <w:szCs w:val="28"/>
          <w:u w:val="single"/>
          <w:shd w:val="clear" w:fill="FFFFFF"/>
        </w:rPr>
      </w:pPr>
    </w:p>
    <w:p w14:paraId="7B86A69E">
      <w:pPr>
        <w:jc w:val="left"/>
        <w:rPr>
          <w:rFonts w:ascii="宋体" w:hAnsi="宋体" w:cs="宋体"/>
          <w:sz w:val="24"/>
          <w:u w:val="single"/>
          <w:shd w:val="clear" w:fill="FFFFFF"/>
        </w:rPr>
      </w:pPr>
    </w:p>
    <w:p w14:paraId="6E3A4894">
      <w:pPr>
        <w:spacing w:line="480" w:lineRule="auto"/>
        <w:jc w:val="left"/>
        <w:rPr>
          <w:rFonts w:ascii="宋体" w:hAnsi="宋体" w:cs="宋体"/>
          <w:sz w:val="24"/>
          <w:shd w:val="clear" w:fill="FFFFFF"/>
        </w:rPr>
      </w:pPr>
      <w:r>
        <w:rPr>
          <w:rFonts w:ascii="宋体" w:hAnsi="宋体" w:cs="宋体"/>
          <w:sz w:val="24"/>
          <w:u w:val="single"/>
          <w:shd w:val="clear" w:fill="FFFFFF"/>
        </w:rPr>
        <w:t xml:space="preserve">                  </w:t>
      </w:r>
      <w:r>
        <w:rPr>
          <w:rFonts w:ascii="宋体" w:hAnsi="宋体" w:cs="宋体"/>
          <w:sz w:val="24"/>
          <w:shd w:val="clear" w:fill="FFFFFF"/>
        </w:rPr>
        <w:t>（采购人名称）：</w:t>
      </w:r>
    </w:p>
    <w:p w14:paraId="746ACA4E">
      <w:pPr>
        <w:spacing w:line="480" w:lineRule="auto"/>
        <w:ind w:firstLine="486"/>
        <w:jc w:val="left"/>
        <w:rPr>
          <w:rFonts w:ascii="宋体" w:hAnsi="宋体" w:cs="宋体"/>
          <w:sz w:val="24"/>
          <w:shd w:val="clear" w:fill="FFFFFF"/>
        </w:rPr>
      </w:pPr>
      <w:r>
        <w:rPr>
          <w:rFonts w:ascii="宋体" w:hAnsi="宋体" w:cs="宋体"/>
          <w:sz w:val="24"/>
          <w:shd w:val="clear" w:fill="FFFFFF"/>
        </w:rPr>
        <w:t>我方在此声明，我方拟派往</w:t>
      </w:r>
      <w:r>
        <w:rPr>
          <w:rFonts w:ascii="宋体" w:hAnsi="宋体" w:cs="宋体"/>
          <w:sz w:val="24"/>
          <w:u w:val="single"/>
          <w:shd w:val="clear" w:fill="FFFFFF"/>
        </w:rPr>
        <w:t xml:space="preserve">            （</w:t>
      </w:r>
      <w:r>
        <w:fldChar w:fldCharType="begin"/>
      </w:r>
      <w:r>
        <w:instrText xml:space="preserve"> HYPERLINK "https://www.baidu.com/s?wd=项目名称&amp;tn=SE_PcZhidaonwhc_ngpagmjz&amp;rsv_dl=gh_pc_zhidao" \t "https://zhidao.baidu.com/question/_blank" \h </w:instrText>
      </w:r>
      <w:r>
        <w:fldChar w:fldCharType="separate"/>
      </w:r>
      <w:r>
        <w:rPr>
          <w:rStyle w:val="25"/>
          <w:rFonts w:ascii="宋体" w:hAnsi="宋体" w:cs="宋体"/>
          <w:color w:val="000000"/>
          <w:sz w:val="24"/>
          <w:u w:val="single"/>
          <w:shd w:val="clear" w:fill="FFFFFF"/>
        </w:rPr>
        <w:t>项目名称</w:t>
      </w:r>
      <w:r>
        <w:rPr>
          <w:rStyle w:val="25"/>
          <w:rFonts w:ascii="宋体" w:hAnsi="宋体" w:cs="宋体"/>
          <w:color w:val="000000"/>
          <w:sz w:val="24"/>
          <w:u w:val="single"/>
          <w:shd w:val="clear" w:fill="FFFFFF"/>
        </w:rPr>
        <w:fldChar w:fldCharType="end"/>
      </w:r>
      <w:r>
        <w:rPr>
          <w:rFonts w:ascii="宋体" w:hAnsi="宋体" w:cs="宋体"/>
          <w:sz w:val="24"/>
          <w:u w:val="single"/>
          <w:shd w:val="clear" w:fill="FFFFFF"/>
        </w:rPr>
        <w:t xml:space="preserve">）              </w:t>
      </w:r>
      <w:r>
        <w:rPr>
          <w:rFonts w:ascii="宋体" w:hAnsi="宋体" w:cs="宋体"/>
          <w:sz w:val="24"/>
          <w:shd w:val="clear" w:fill="FFFFFF"/>
        </w:rPr>
        <w:t>的项目经理</w:t>
      </w:r>
      <w:r>
        <w:rPr>
          <w:rFonts w:ascii="宋体" w:hAnsi="宋体" w:cs="宋体"/>
          <w:sz w:val="24"/>
          <w:u w:val="single"/>
          <w:shd w:val="clear" w:fill="FFFFFF"/>
        </w:rPr>
        <w:t xml:space="preserve">            </w:t>
      </w:r>
      <w:r>
        <w:rPr>
          <w:rFonts w:ascii="宋体" w:hAnsi="宋体" w:cs="宋体"/>
          <w:sz w:val="24"/>
          <w:shd w:val="clear" w:fill="FFFFFF"/>
        </w:rPr>
        <w:t>（项目经理姓名）现阶段没有担任任何在建项目的项目经理。</w:t>
      </w:r>
    </w:p>
    <w:p w14:paraId="22B1DEEC">
      <w:pPr>
        <w:spacing w:line="480" w:lineRule="auto"/>
        <w:ind w:firstLine="486"/>
        <w:jc w:val="left"/>
        <w:rPr>
          <w:rFonts w:ascii="宋体" w:hAnsi="宋体" w:cs="宋体"/>
          <w:sz w:val="24"/>
          <w:shd w:val="clear" w:fill="FFFFFF"/>
        </w:rPr>
      </w:pPr>
      <w:r>
        <w:rPr>
          <w:rFonts w:ascii="宋体" w:hAnsi="宋体" w:cs="宋体"/>
          <w:sz w:val="24"/>
          <w:shd w:val="clear" w:fill="FFFFFF"/>
        </w:rPr>
        <w:t>我方保证上述信息的真实和准确，如若违反自愿被没收磋商保证金，并愿意承担因我方就此弄虚作假所引起的一切法律后果。</w:t>
      </w:r>
    </w:p>
    <w:p w14:paraId="2641D04E">
      <w:pPr>
        <w:ind w:firstLine="486"/>
        <w:jc w:val="left"/>
        <w:rPr>
          <w:rFonts w:ascii="宋体" w:hAnsi="宋体" w:cs="宋体"/>
          <w:sz w:val="24"/>
          <w:shd w:val="clear" w:fill="FFFFFF"/>
        </w:rPr>
      </w:pPr>
    </w:p>
    <w:p w14:paraId="352B2877">
      <w:pPr>
        <w:ind w:firstLine="486"/>
        <w:jc w:val="left"/>
        <w:rPr>
          <w:rFonts w:ascii="宋体" w:hAnsi="宋体" w:cs="宋体"/>
          <w:sz w:val="24"/>
          <w:shd w:val="clear" w:fill="FFFFFF"/>
        </w:rPr>
      </w:pPr>
      <w:r>
        <w:rPr>
          <w:rFonts w:ascii="宋体" w:hAnsi="宋体" w:cs="宋体"/>
          <w:sz w:val="24"/>
          <w:shd w:val="clear" w:fill="FFFFFF"/>
        </w:rPr>
        <w:t>特此承诺！</w:t>
      </w:r>
    </w:p>
    <w:p w14:paraId="5D0936F9">
      <w:pPr>
        <w:ind w:firstLine="486"/>
        <w:jc w:val="left"/>
        <w:rPr>
          <w:rFonts w:ascii="宋体" w:hAnsi="宋体" w:cs="宋体"/>
          <w:sz w:val="24"/>
          <w:shd w:val="clear" w:fill="FFFFFF"/>
        </w:rPr>
      </w:pPr>
    </w:p>
    <w:p w14:paraId="277E817F">
      <w:pPr>
        <w:ind w:firstLine="486"/>
        <w:jc w:val="left"/>
        <w:rPr>
          <w:rFonts w:ascii="宋体" w:hAnsi="宋体" w:cs="宋体"/>
          <w:sz w:val="24"/>
          <w:shd w:val="clear" w:fill="FFFFFF"/>
        </w:rPr>
      </w:pPr>
    </w:p>
    <w:p w14:paraId="075B8E46">
      <w:pPr>
        <w:ind w:left="2913" w:firstLine="0"/>
        <w:jc w:val="left"/>
        <w:rPr>
          <w:rFonts w:ascii="宋体" w:hAnsi="宋体" w:cs="宋体"/>
          <w:sz w:val="24"/>
          <w:shd w:val="clear" w:fill="FFFFFF"/>
        </w:rPr>
      </w:pPr>
      <w:r>
        <w:rPr>
          <w:rFonts w:ascii="宋体" w:hAnsi="宋体" w:cs="宋体"/>
          <w:sz w:val="24"/>
          <w:shd w:val="clear" w:fill="FFFFFF"/>
        </w:rPr>
        <w:t>供应商：</w:t>
      </w:r>
      <w:r>
        <w:rPr>
          <w:rFonts w:ascii="宋体" w:hAnsi="宋体" w:cs="宋体"/>
          <w:sz w:val="24"/>
          <w:u w:val="single"/>
          <w:shd w:val="clear" w:fill="FFFFFF"/>
        </w:rPr>
        <w:t xml:space="preserve">                  </w:t>
      </w:r>
      <w:r>
        <w:rPr>
          <w:rFonts w:ascii="宋体" w:hAnsi="宋体" w:cs="宋体"/>
          <w:sz w:val="24"/>
          <w:shd w:val="clear" w:fill="FFFFFF"/>
        </w:rPr>
        <w:t>（盖单位章）</w:t>
      </w:r>
    </w:p>
    <w:p w14:paraId="556398B3">
      <w:pPr>
        <w:pStyle w:val="8"/>
        <w:rPr>
          <w:rFonts w:ascii="宋体" w:hAnsi="宋体" w:cs="宋体"/>
          <w:sz w:val="24"/>
          <w:szCs w:val="32"/>
          <w:shd w:val="clear" w:fill="FFFFFF"/>
        </w:rPr>
      </w:pPr>
    </w:p>
    <w:p w14:paraId="28707D9F">
      <w:pPr>
        <w:ind w:firstLine="2430"/>
        <w:jc w:val="left"/>
        <w:rPr>
          <w:rFonts w:ascii="宋体" w:hAnsi="宋体" w:cs="宋体"/>
          <w:sz w:val="24"/>
          <w:shd w:val="clear" w:fill="FFFFFF"/>
        </w:rPr>
      </w:pPr>
      <w:r>
        <w:rPr>
          <w:rFonts w:ascii="宋体" w:hAnsi="宋体" w:cs="宋体"/>
          <w:sz w:val="24"/>
          <w:shd w:val="clear" w:fill="FFFFFF"/>
        </w:rPr>
        <w:t>法定代表人或其</w:t>
      </w:r>
      <w:r>
        <w:fldChar w:fldCharType="begin"/>
      </w:r>
      <w:r>
        <w:instrText xml:space="preserve"> HYPERLINK "https://www.baidu.com/s?wd=委托代理人&amp;tn=SE_PcZhidaonwhc_ngpagmjz&amp;rsv_dl=gh_pc_zhidao" \t "https://zhidao.baidu.com/question/_blank" \h </w:instrText>
      </w:r>
      <w:r>
        <w:fldChar w:fldCharType="separate"/>
      </w:r>
      <w:r>
        <w:rPr>
          <w:rStyle w:val="25"/>
          <w:rFonts w:ascii="宋体" w:hAnsi="宋体" w:cs="宋体"/>
          <w:color w:val="000000"/>
          <w:sz w:val="24"/>
          <w:u w:val="none"/>
          <w:shd w:val="clear" w:fill="FFFFFF"/>
        </w:rPr>
        <w:t>委托代理人</w:t>
      </w:r>
      <w:r>
        <w:rPr>
          <w:rStyle w:val="25"/>
          <w:rFonts w:ascii="宋体" w:hAnsi="宋体" w:cs="宋体"/>
          <w:color w:val="000000"/>
          <w:sz w:val="24"/>
          <w:u w:val="none"/>
          <w:shd w:val="clear" w:fill="FFFFFF"/>
        </w:rPr>
        <w:fldChar w:fldCharType="end"/>
      </w:r>
      <w:r>
        <w:rPr>
          <w:rFonts w:ascii="宋体" w:hAnsi="宋体" w:cs="宋体"/>
          <w:sz w:val="24"/>
          <w:shd w:val="clear" w:fill="FFFFFF"/>
        </w:rPr>
        <w:t>：</w:t>
      </w:r>
      <w:r>
        <w:rPr>
          <w:rFonts w:ascii="宋体" w:hAnsi="宋体" w:cs="宋体"/>
          <w:sz w:val="24"/>
          <w:u w:val="single"/>
          <w:shd w:val="clear" w:fill="FFFFFF"/>
        </w:rPr>
        <w:t xml:space="preserve">              </w:t>
      </w:r>
      <w:r>
        <w:rPr>
          <w:rFonts w:ascii="宋体" w:hAnsi="宋体" w:cs="宋体"/>
          <w:sz w:val="24"/>
          <w:shd w:val="clear" w:fill="FFFFFF"/>
        </w:rPr>
        <w:t>（签字）</w:t>
      </w:r>
    </w:p>
    <w:p w14:paraId="5CDACEB5">
      <w:pPr>
        <w:pStyle w:val="63"/>
        <w:rPr>
          <w:rFonts w:cs="宋体"/>
          <w:sz w:val="32"/>
          <w:szCs w:val="32"/>
          <w:u w:val="single"/>
          <w:shd w:val="clear" w:fill="FFFFFF"/>
        </w:rPr>
      </w:pPr>
      <w:r>
        <w:rPr>
          <w:rFonts w:cs="宋体"/>
          <w:szCs w:val="24"/>
          <w:shd w:val="clear" w:fill="FFFFFF"/>
        </w:rPr>
        <w:t xml:space="preserve">                          </w:t>
      </w:r>
    </w:p>
    <w:p w14:paraId="10B8F03F">
      <w:pPr>
        <w:pStyle w:val="63"/>
        <w:jc w:val="right"/>
        <w:rPr>
          <w:rFonts w:cs="宋体"/>
          <w:sz w:val="32"/>
          <w:szCs w:val="32"/>
          <w:u w:val="single"/>
          <w:shd w:val="clear" w:fill="FFFFFF"/>
        </w:rPr>
      </w:pPr>
    </w:p>
    <w:p w14:paraId="317D6F5B">
      <w:pPr>
        <w:ind w:left="2913" w:firstLine="0"/>
        <w:jc w:val="right"/>
        <w:rPr>
          <w:rFonts w:ascii="宋体" w:hAnsi="宋体" w:eastAsia="宋体" w:cs="宋体"/>
          <w:sz w:val="24"/>
          <w:u w:val="single"/>
          <w:shd w:val="clear" w:fill="FFFFFF"/>
        </w:rPr>
      </w:pPr>
      <w:r>
        <w:rPr>
          <w:rFonts w:ascii="宋体" w:hAnsi="宋体" w:eastAsia="宋体" w:cs="宋体"/>
          <w:sz w:val="24"/>
          <w:u w:val="single"/>
          <w:shd w:val="clear" w:fill="FFFFFF"/>
          <w:lang w:val="en-US" w:eastAsia="zh-CN"/>
        </w:rPr>
        <w:t xml:space="preserve"> </w:t>
      </w:r>
      <w:r>
        <w:rPr>
          <w:rFonts w:ascii="宋体" w:hAnsi="宋体" w:eastAsia="宋体" w:cs="宋体"/>
          <w:sz w:val="24"/>
          <w:u w:val="single"/>
          <w:shd w:val="clear" w:fill="FFFFFF"/>
        </w:rPr>
        <w:t xml:space="preserve">    </w:t>
      </w:r>
      <w:r>
        <w:rPr>
          <w:rFonts w:ascii="宋体" w:hAnsi="宋体" w:cs="宋体"/>
          <w:sz w:val="24"/>
          <w:u w:val="single"/>
          <w:shd w:val="clear" w:fill="FFFFFF"/>
        </w:rPr>
        <w:t>年     月    日</w:t>
      </w:r>
    </w:p>
    <w:p w14:paraId="70725670">
      <w:pPr>
        <w:pStyle w:val="87"/>
        <w:rPr>
          <w:rFonts w:ascii="宋体" w:hAnsi="宋体" w:eastAsia="宋体" w:cs="宋体"/>
          <w:sz w:val="32"/>
          <w:szCs w:val="32"/>
          <w:u w:val="single"/>
          <w:shd w:val="clear" w:fill="FFFFFF"/>
        </w:rPr>
      </w:pPr>
    </w:p>
    <w:p w14:paraId="348ED056">
      <w:pPr>
        <w:pStyle w:val="87"/>
        <w:rPr>
          <w:rFonts w:ascii="宋体" w:hAnsi="宋体" w:cs="宋体"/>
          <w:sz w:val="32"/>
          <w:szCs w:val="32"/>
        </w:rPr>
      </w:pPr>
    </w:p>
    <w:p w14:paraId="3A2D21EF">
      <w:pPr>
        <w:pStyle w:val="87"/>
        <w:rPr>
          <w:rFonts w:ascii="宋体" w:hAnsi="宋体" w:cs="宋体"/>
          <w:sz w:val="32"/>
          <w:szCs w:val="32"/>
        </w:rPr>
      </w:pPr>
    </w:p>
    <w:p w14:paraId="445AFD0B">
      <w:pPr>
        <w:pStyle w:val="87"/>
        <w:rPr>
          <w:rFonts w:ascii="宋体" w:hAnsi="宋体" w:cs="宋体"/>
          <w:sz w:val="32"/>
          <w:szCs w:val="32"/>
        </w:rPr>
      </w:pPr>
    </w:p>
    <w:p w14:paraId="6FF30F2A">
      <w:pPr>
        <w:pStyle w:val="69"/>
        <w:snapToGrid w:val="0"/>
        <w:spacing w:line="360" w:lineRule="auto"/>
        <w:jc w:val="center"/>
        <w:rPr>
          <w:rFonts w:ascii="宋体" w:hAnsi="宋体" w:cs="宋体"/>
          <w:sz w:val="24"/>
          <w:szCs w:val="24"/>
        </w:rPr>
      </w:pPr>
    </w:p>
    <w:p w14:paraId="2216F1CF">
      <w:pPr>
        <w:pStyle w:val="69"/>
        <w:snapToGrid w:val="0"/>
        <w:spacing w:line="360" w:lineRule="auto"/>
        <w:jc w:val="center"/>
        <w:rPr>
          <w:rFonts w:ascii="宋体" w:hAnsi="宋体" w:cs="宋体"/>
          <w:sz w:val="24"/>
          <w:szCs w:val="24"/>
        </w:rPr>
      </w:pPr>
    </w:p>
    <w:p w14:paraId="10B7FDAD">
      <w:pPr>
        <w:pStyle w:val="69"/>
        <w:snapToGrid w:val="0"/>
        <w:spacing w:line="360" w:lineRule="auto"/>
        <w:jc w:val="both"/>
        <w:rPr>
          <w:rFonts w:ascii="宋体" w:hAnsi="宋体" w:cs="宋体"/>
          <w:sz w:val="24"/>
          <w:szCs w:val="24"/>
          <w:lang w:val="en-US" w:eastAsia="zh-CN"/>
        </w:rPr>
      </w:pPr>
    </w:p>
    <w:sectPr>
      <w:headerReference r:id="rId25" w:type="default"/>
      <w:footerReference r:id="rId26" w:type="default"/>
      <w:pgSz w:w="11906" w:h="16838" w:orient="landscape"/>
      <w:pgMar w:top="1440" w:right="1797" w:bottom="1440" w:left="1797" w:header="850" w:footer="992" w:gutter="0"/>
      <w:pgNumType w:fmt="decimal"/>
      <w:cols w:space="720" w:num="1"/>
      <w:formProt w:val="0"/>
      <w:docGrid w:type="linesAndChars" w:linePitch="325"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华文楷体;宋体">
    <w:altName w:val="宋体"/>
    <w:panose1 w:val="00000000000000000000"/>
    <w:charset w:val="00"/>
    <w:family w:val="auto"/>
    <w:pitch w:val="default"/>
    <w:sig w:usb0="00000000" w:usb1="00000000" w:usb2="00000000" w:usb3="00000000" w:csb0="00000000" w:csb1="00000000"/>
  </w:font>
  <w:font w:name="_x005F_x000B__x005F_x000C_;Cour">
    <w:altName w:val="Segoe Print"/>
    <w:panose1 w:val="00000000000000000000"/>
    <w:charset w:val="00"/>
    <w:family w:val="auto"/>
    <w:pitch w:val="default"/>
    <w:sig w:usb0="00000000" w:usb1="00000000" w:usb2="00000000" w:usb3="00000000" w:csb0="00000000" w:csb1="00000000"/>
  </w:font>
  <w:font w:name="Helvetica;Arial">
    <w:altName w:val="Segoe Print"/>
    <w:panose1 w:val="00000000000000000000"/>
    <w:charset w:val="00"/>
    <w:family w:val="auto"/>
    <w:pitch w:val="default"/>
    <w:sig w:usb0="00000000" w:usb1="00000000" w:usb2="00000000" w:usb3="00000000" w:csb0="00000000" w:csb1="00000000"/>
  </w:font>
  <w:font w:name="ヒラギノ角ゴ Pro W3;Yu Gothic">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叶根友毛笔行书2.0版;宋体">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ˎ̥;Times New Roman">
    <w:altName w:val="Segoe Print"/>
    <w:panose1 w:val="00000000000000000000"/>
    <w:charset w:val="00"/>
    <w:family w:val="auto"/>
    <w:pitch w:val="default"/>
    <w:sig w:usb0="00000000" w:usb1="00000000" w:usb2="00000000" w:usb3="00000000" w:csb0="00000000" w:csb1="00000000"/>
  </w:font>
  <w:font w:name="华文中宋;宋体">
    <w:altName w:val="宋体"/>
    <w:panose1 w:val="00000000000000000000"/>
    <w:charset w:val="00"/>
    <w:family w:val="auto"/>
    <w:pitch w:val="default"/>
    <w:sig w:usb0="00000000" w:usb1="00000000" w:usb2="00000000" w:usb3="00000000" w:csb0="00000000" w:csb1="00000000"/>
  </w:font>
  <w:font w:name="楷体_GB2312;楷体">
    <w:altName w:val="宋体"/>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FE12">
    <w:pPr>
      <w:pStyle w:val="13"/>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1" name="Frame2"/>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AC71088">
                          <w:pPr>
                            <w:pStyle w:val="13"/>
                          </w:pPr>
                          <w:r>
                            <w:fldChar w:fldCharType="begin"/>
                          </w:r>
                          <w:r>
                            <w:instrText xml:space="preserve"> PAGE </w:instrText>
                          </w:r>
                          <w:r>
                            <w:fldChar w:fldCharType="separate"/>
                          </w:r>
                          <w:r>
                            <w:t>35</w:t>
                          </w:r>
                          <w: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ZDXwScoBAAC7AwAADgAAAGRycy9lMm9Eb2MueG1srVNNb9swDL0P&#10;2H8QdF/seGg2GHGKtYGHAcM2oN0PkGU5FqAviErs/PtRkhcX3aWH+SBRJPXI9yjv72etyEV4kNY0&#10;dLspKRGG216aU0N/P7cfPlMCgZmeKWtEQ68C6P3h/bv95GpR2dGqXniCIAbqyTV0DMHVRQF8FJrB&#10;xjphMDhYr1nAoz8VvWcTomtVVGW5Kybre+ctFwDoPeYgXRD9WwDtMEgujpaftTAho3qhWEBKMEoH&#10;9JC6HQbBw89hABGIaigyDWnFImh3cS0Oe1afPHOj5EsL7C0tvOKkmTRY9AZ1ZIGRs5f/QGnJvQU7&#10;hA23ushEkiLIYlu+0uZpZE4kLig1uJvo8P9g+Y/LL09kjy+BEsM0Drz1uFVRmclBjQlPDlPC/GDn&#10;mLX4AZ2R8Dx4HXekQjCOul5vuoo5EB4vbXdVeUcJx9C2+rT7eBdRivWy8xC+CqtJNBrqcWxJTXb5&#10;DiGn/k2JtcAq2bdSqXTwp+5ReXJhOOI2ffmuciPL3jRmLAc5NZV+gVFEnplPtMLczQvJzvZX5K6+&#10;GZQ8tk3CavrV7FaTGT5afGCZALgv52BbmUhE8IyIHcQDzjT1sry/+GhenlPW+s8d/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ZDXwScoBAAC7AwAADgAAAAAAAAABACAAAAAhAQAAZHJzL2Uy&#10;b0RvYy54bWxQSwUGAAAAAAYABgBZAQAAXQUAAAAA&#10;">
              <v:fill on="t" opacity="0f" focussize="0,0"/>
              <v:stroke on="f"/>
              <v:imagedata o:title=""/>
              <o:lock v:ext="edit" aspectratio="f"/>
              <v:textbox inset="0.05pt,0.05pt,0.05pt,0.05pt" style="mso-fit-shape-to-text:t;">
                <w:txbxContent>
                  <w:p w14:paraId="0AC71088">
                    <w:pPr>
                      <w:pStyle w:val="13"/>
                    </w:pPr>
                    <w:r>
                      <w:fldChar w:fldCharType="begin"/>
                    </w:r>
                    <w:r>
                      <w:instrText xml:space="preserve"> PAGE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059C">
    <w:pPr>
      <w:pStyle w:val="13"/>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2" name="Frame7"/>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3E5A9F4D">
                          <w:pPr>
                            <w:pStyle w:val="13"/>
                          </w:pPr>
                          <w:r>
                            <w:fldChar w:fldCharType="begin"/>
                          </w:r>
                          <w:r>
                            <w:instrText xml:space="preserve"> PAGE </w:instrText>
                          </w:r>
                          <w:r>
                            <w:fldChar w:fldCharType="separate"/>
                          </w:r>
                          <w:r>
                            <w:t>39</w:t>
                          </w:r>
                          <w:r>
                            <w:fldChar w:fldCharType="end"/>
                          </w:r>
                        </w:p>
                      </w:txbxContent>
                    </wps:txbx>
                    <wps:bodyPr lIns="635" tIns="635" rIns="635" bIns="635" anchor="t">
                      <a:spAutoFit/>
                    </wps:bodyPr>
                  </wps:wsp>
                </a:graphicData>
              </a:graphic>
            </wp:anchor>
          </w:drawing>
        </mc:Choice>
        <mc:Fallback>
          <w:pict>
            <v:shape id="Frame7"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qDnuPMsBAAC7AwAADgAAAGRycy9lMm9Eb2MueG1srVNNb9swDL0P&#10;2H8QdF+ceGg6GHGKbYGHAcM2oN0PkGU5FqAvkErs/PtRchoX3aWH+SBRJPXI9yjvHiZr2FkBau9q&#10;vlmtOVNO+k67Y83/PDUfPnGGUbhOGO9UzS8K+cP+/bvdGCpV+sGbTgEjEIfVGGo+xBiqokA5KCtw&#10;5YNyFOw9WBHpCMeiAzESujVFuV5vi9FDF8BLhUjewxzkV0R4C6Dvey3VwcuTVS7OqKCMiEQJBx2Q&#10;73O3fa9k/NX3qCIzNSemMa9UhOw2rcV+J6ojiDBoeW1BvKWFV5ys0I6K3qAOIgp2Av0PlNUSPPo+&#10;rqS3xUwkK0IsNutX2jwOIqjMhaTGcBMd/x+s/Hn+DUx3NS85c8LSwBug7T4pMwasKOExUEqcvviJ&#10;3suzH8mZCE892LQTFUZx0vVy01VNkcl0abMt13ecSQptyvvtx7uEUiyXA2D8prxlyag50NiymuL8&#10;A+Oc+pySaqE3umu0MfkAx/arAXYWNOImf/NdEwYxe/OYqRzOqbn0C4wi8Zz5JCtO7XQl3/ruQtzN&#10;d0eSp7ZZXExYzHYxhZODpwc2E8Dw+RR9ozOJBD4jUgfpQDPNvVzfX3o0L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g57jzLAQAAuwMAAA4AAAAAAAAAAQAgAAAAIQEAAGRycy9l&#10;Mm9Eb2MueG1sUEsFBgAAAAAGAAYAWQEAAF4FAAAAAA==&#10;">
              <v:fill on="t" opacity="0f" focussize="0,0"/>
              <v:stroke on="f"/>
              <v:imagedata o:title=""/>
              <o:lock v:ext="edit" aspectratio="f"/>
              <v:textbox inset="0.05pt,0.05pt,0.05pt,0.05pt" style="mso-fit-shape-to-text:t;">
                <w:txbxContent>
                  <w:p w14:paraId="3E5A9F4D">
                    <w:pPr>
                      <w:pStyle w:val="13"/>
                    </w:pPr>
                    <w:r>
                      <w:fldChar w:fldCharType="begin"/>
                    </w:r>
                    <w:r>
                      <w:instrText xml:space="preserve"> PAGE </w:instrText>
                    </w:r>
                    <w:r>
                      <w:fldChar w:fldCharType="separate"/>
                    </w:r>
                    <w:r>
                      <w:t>39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DB43">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4" name="Frame3"/>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4DEE9C30">
                          <w:pPr>
                            <w:pStyle w:val="13"/>
                          </w:pPr>
                          <w:r>
                            <w:fldChar w:fldCharType="begin"/>
                          </w:r>
                          <w:r>
                            <w:instrText xml:space="preserve"> PAGE </w:instrText>
                          </w:r>
                          <w:r>
                            <w:fldChar w:fldCharType="separate"/>
                          </w:r>
                          <w:r>
                            <w:t>44</w:t>
                          </w:r>
                          <w: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h4pzB8sBAAC7AwAADgAAAGRycy9lMm9Eb2MueG1srVNNj9MwEL0j&#10;8R8s32nSLltQ1HQFVEFICJAWfoDjOI0lf2nGbdJ/z9jpNqvlsgdysMcz4zfz3ji7h8kadlaA2rua&#10;r1clZ8pJ32l3rPmf3827j5xhFK4TxjtV84tC/rB/+2Y3hkpt/OBNp4ARiMNqDDUfYgxVUaAclBW4&#10;8kE5CvYerIh0hGPRgRgJ3ZpiU5bbYvTQBfBSIZL3MAf5FRFeA+j7Xkt18PJklYszKigjIlHCQQfk&#10;+9xt3ysZf/Y9qshMzYlpzCsVIbtNa7HfieoIIgxaXlsQr2nhBScrtKOiN6iDiIKdQP8DZbUEj76P&#10;K+ltMRPJihCLdflCm8dBBJW5kNQYbqLj/4OVP86/gOmu5u85c8LSwBug7S4pMwasKOExUEqcPvuJ&#10;3suTH8mZCE892LQTFUZx0vVy01VNkcl0ab3dlPecSQqtNx+2d/cJpVguB8D4VXnLklFzoLFlNcX5&#10;O8Y59Skl1UJvdNdoY/IBju0XA+wsaMRN/ua7Jgxi9uYxUzmcU3PpZxhF4jnzSVac2ulKvvXdhbib&#10;b44kT22zuJiwmO1iCicHTw9sJoDh0yn6RmcSCXxGpA7SgWaae7m+v/Ronp9z1vLP7f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IeKcwfLAQAAuwMAAA4AAAAAAAAAAQAgAAAAIQEAAGRycy9l&#10;Mm9Eb2MueG1sUEsFBgAAAAAGAAYAWQEAAF4FAAAAAA==&#10;">
              <v:fill on="t" opacity="0f" focussize="0,0"/>
              <v:stroke on="f"/>
              <v:imagedata o:title=""/>
              <o:lock v:ext="edit" aspectratio="f"/>
              <v:textbox inset="0.05pt,0.05pt,0.05pt,0.05pt" style="mso-fit-shape-to-text:t;">
                <w:txbxContent>
                  <w:p w14:paraId="4DEE9C30">
                    <w:pPr>
                      <w:pStyle w:val="13"/>
                    </w:pPr>
                    <w:r>
                      <w:fldChar w:fldCharType="begin"/>
                    </w:r>
                    <w:r>
                      <w:instrText xml:space="preserve"> PAGE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328D4">
    <w:pPr>
      <w:pStyle w:val="13"/>
      <w:jc w:val="center"/>
      <w:rPr>
        <w:lang w:val="en-US" w:eastAsia="zh-CN"/>
      </w:rPr>
    </w:pPr>
    <w:r>
      <w:rPr>
        <w:lang w:val="en-US" w:eastAsia="zh-CN"/>
      </w:rPr>
      <w:t>43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E601">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5" name="Frame8"/>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BDB4B3F">
                          <w:pPr>
                            <w:pStyle w:val="13"/>
                          </w:pPr>
                          <w:r>
                            <w:fldChar w:fldCharType="begin"/>
                          </w:r>
                          <w:r>
                            <w:instrText xml:space="preserve"> PAGE </w:instrText>
                          </w:r>
                          <w:r>
                            <w:fldChar w:fldCharType="separate"/>
                          </w:r>
                          <w:r>
                            <w:t>52</w:t>
                          </w:r>
                          <w:r>
                            <w:fldChar w:fldCharType="end"/>
                          </w:r>
                        </w:p>
                      </w:txbxContent>
                    </wps:txbx>
                    <wps:bodyPr lIns="635" tIns="635" rIns="635" bIns="635" anchor="t">
                      <a:spAutoFit/>
                    </wps:bodyPr>
                  </wps:wsp>
                </a:graphicData>
              </a:graphic>
            </wp:anchor>
          </w:drawing>
        </mc:Choice>
        <mc:Fallback>
          <w:pict>
            <v:shape id="Frame8"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wOqdMoBAAC7AwAADgAAAGRycy9lMm9Eb2MueG1srVNNb9swDL0P&#10;2H8QdF/sZGhWGHGKbYGHAcM2oN0PkGU5FqAvkErs/PtRchoX3aWH+SBRJPXI9yjvHiZr2FkBau9q&#10;vl6VnCknfafdseZ/npoP95xhFK4TxjtV84tC/rB//243hkpt/OBNp4ARiMNqDDUfYgxVUaAclBW4&#10;8kE5CvYerIh0hGPRgRgJ3ZpiU5bbYvTQBfBSIZL3MAf5FRHeAuj7Xkt18PJklYszKigjIlHCQQfk&#10;+9xt3ysZf/U9qshMzYlpzCsVIbtNa7HfieoIIgxaXlsQb2nhFScrtKOiN6iDiIKdQP8DZbUEj76P&#10;K+ltMRPJihCLdflKm8dBBJW5kNQYbqLj/4OVP8+/gemu5necOWFp4A3Qdp+UGQNWlPAYKCVOX/xE&#10;7+XZj+RMhKcebNqJCqM46Xq56aqmyGS6tN5uSsKXFFpvPm0/3iWUYrkcAOM35S1LRs2BxpbVFOcf&#10;GOfU55RUC73RXaONyQc4tl8NsLOgETf5m++aMIjZm8dM5XBOzaVfYBSJ58wnWXFqpyv51ncX4m6+&#10;O5I8tc3iYsJitospnBw8PbCZAIbPp+gbnUkk8BmROkgHmmnu5fr+0qN5ec5Zyz+3/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owOqdMoBAAC7AwAADgAAAAAAAAABACAAAAAhAQAAZHJzL2Uy&#10;b0RvYy54bWxQSwUGAAAAAAYABgBZAQAAXQUAAAAA&#10;">
              <v:fill on="t" opacity="0f" focussize="0,0"/>
              <v:stroke on="f"/>
              <v:imagedata o:title=""/>
              <o:lock v:ext="edit" aspectratio="f"/>
              <v:textbox inset="0.05pt,0.05pt,0.05pt,0.05pt" style="mso-fit-shape-to-text:t;">
                <w:txbxContent>
                  <w:p w14:paraId="0BDB4B3F">
                    <w:pPr>
                      <w:pStyle w:val="13"/>
                    </w:pPr>
                    <w:r>
                      <w:fldChar w:fldCharType="begin"/>
                    </w:r>
                    <w:r>
                      <w:instrText xml:space="preserve"> PAGE </w:instrText>
                    </w:r>
                    <w:r>
                      <w:fldChar w:fldCharType="separate"/>
                    </w:r>
                    <w:r>
                      <w:t>52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0B4E">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6" name="Frame4"/>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70FC0013">
                          <w:pPr>
                            <w:pStyle w:val="13"/>
                          </w:pPr>
                          <w:r>
                            <w:fldChar w:fldCharType="begin"/>
                          </w:r>
                          <w:r>
                            <w:instrText xml:space="preserve"> PAGE </w:instrText>
                          </w:r>
                          <w:r>
                            <w:fldChar w:fldCharType="separate"/>
                          </w:r>
                          <w:r>
                            <w:t>45</w:t>
                          </w:r>
                          <w: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N9VcsBAAC7AwAADgAAAGRycy9lMm9Eb2MueG1srVNNj9MwEL0j&#10;8R8s32nSwhYUNV0BVRASgpUWfoDjOI0lf2nGbdJ/z9jpNqvlsgdysMcz4zfz3ji7+8kadlaA2rua&#10;r1clZ8pJ32l3rPmf3827T5xhFK4TxjtV84tCfr9/+2Y3hkpt/OBNp4ARiMNqDDUfYgxVUaAclBW4&#10;8kE5CvYerIh0hGPRgRgJ3ZpiU5bbYvTQBfBSIZL3MAf5FRFeA+j7Xkt18PJklYszKigjIlHCQQfk&#10;+9xt3ysZf/U9qshMzYlpzCsVIbtNa7HfieoIIgxaXlsQr2nhBScrtKOiN6iDiIKdQP8DZbUEj76P&#10;K+ltMRPJihCLdflCm8dBBJW5kNQYbqLj/4OVP88PwHRX8y1nTlgaeAO0fUjKjAErSngMlBKnL36i&#10;9/LkR3ImwlMPNu1EhVGcdL3cdFVTZDJdWm835R1nkkLrzcft+7uEUiyXA2D8prxlyag50NiymuL8&#10;A+Oc+pSSaqE3umu0MfkAx/arAXYWNOImf/NdEwYxe/OYqRzOqbn0M4wi8Zz5JCtO7XQl3/ruQtzN&#10;d0eSp7ZZXExYzHYxhZODpwc2E8Dw+RR9ozOJBD4jUgfpQDPNvVzfX3o0z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PzfVXLAQAAuwMAAA4AAAAAAAAAAQAgAAAAIQEAAGRycy9l&#10;Mm9Eb2MueG1sUEsFBgAAAAAGAAYAWQEAAF4FAAAAAA==&#10;">
              <v:fill on="t" opacity="0f" focussize="0,0"/>
              <v:stroke on="f"/>
              <v:imagedata o:title=""/>
              <o:lock v:ext="edit" aspectratio="f"/>
              <v:textbox inset="0.05pt,0.05pt,0.05pt,0.05pt" style="mso-fit-shape-to-text:t;">
                <w:txbxContent>
                  <w:p w14:paraId="70FC0013">
                    <w:pPr>
                      <w:pStyle w:val="13"/>
                    </w:pPr>
                    <w:r>
                      <w:fldChar w:fldCharType="begin"/>
                    </w:r>
                    <w:r>
                      <w:instrText xml:space="preserve"> PAGE </w:instrText>
                    </w:r>
                    <w:r>
                      <w:fldChar w:fldCharType="separate"/>
                    </w:r>
                    <w:r>
                      <w:t>45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4B07">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7" name="Frame10"/>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6B085ADA">
                          <w:pPr>
                            <w:pStyle w:val="13"/>
                          </w:pPr>
                          <w:r>
                            <w:fldChar w:fldCharType="begin"/>
                          </w:r>
                          <w:r>
                            <w:instrText xml:space="preserve"> PAGE </w:instrText>
                          </w:r>
                          <w:r>
                            <w:fldChar w:fldCharType="separate"/>
                          </w:r>
                          <w:r>
                            <w:t>205</w:t>
                          </w:r>
                          <w:r>
                            <w:fldChar w:fldCharType="end"/>
                          </w:r>
                        </w:p>
                      </w:txbxContent>
                    </wps:txbx>
                    <wps:bodyPr lIns="635" tIns="635" rIns="635" bIns="635" anchor="t">
                      <a:spAutoFit/>
                    </wps:bodyPr>
                  </wps:wsp>
                </a:graphicData>
              </a:graphic>
            </wp:anchor>
          </w:drawing>
        </mc:Choice>
        <mc:Fallback>
          <w:pict>
            <v:shape id="Frame10"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MpXscbKAQAAvAMAAA4AAABkcnMvZTJvRG9jLnhtbK1Ty47bMAy8&#10;F+g/CLo3zgPZFEacRdvARYGiLbDbD5BlORagF0gldv6+lJzGi+1lD/VBIilqyBnR+8fRGnZRgNq7&#10;iq8WS86Uk77V7lTx38/1h4+cYRSuFcY7VfGrQv54eP9uP4RSrX3vTauAEYjDcggV72MMZVGg7JUV&#10;uPBBOTrsPFgRyYVT0YIYCN2aYr1cPhSDhzaAlwqRosfpkN8Q4S2Avuu0VEcvz1a5OKGCMiISJex1&#10;QH7I3XadkvFn16GKzFScmMa8UhGym7QWh70oTyBCr+WtBfGWFl5xskI7KnqHOooo2Bn0P1BWS/Do&#10;u7iQ3hYTkawIsVgtX2nz1IugMheSGsNddPx/sPLH5Rcw3VZ8x5kTlh68BtpWWZohYEkZT4Fy4vjZ&#10;jzQwSbIURwomxmMHNu3EhdE5CXu9C6vGyGS6tNtstlvOJB2t1ruHzTahFPPlABi/Km9ZMioO9G5Z&#10;TnH5jnFK/ZuSaqE3uq21MdmBU/PFALsIeuM6f9NdE3oxRTMZKodTai79AqOY+SQrjs14I9n49krc&#10;zTdHmqe2WZxNmM1mNoWTvacJmwhg+HSOvtaZRAKfEKmD5NCj5l5uA5im5qWfs+af7vA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MpXscbKAQAAvAMAAA4AAAAAAAAAAQAgAAAAIgEAAGRycy9l&#10;Mm9Eb2MueG1sUEsFBgAAAAAGAAYAWQEAAF4FAAAAAA==&#10;">
              <v:fill on="t" opacity="0f" focussize="0,0"/>
              <v:stroke on="f"/>
              <v:imagedata o:title=""/>
              <o:lock v:ext="edit" aspectratio="f"/>
              <v:textbox inset="0.05pt,0.05pt,0.05pt,0.05pt" style="mso-fit-shape-to-text:t;">
                <w:txbxContent>
                  <w:p w14:paraId="6B085ADA">
                    <w:pPr>
                      <w:pStyle w:val="13"/>
                    </w:pPr>
                    <w:r>
                      <w:fldChar w:fldCharType="begin"/>
                    </w:r>
                    <w:r>
                      <w:instrText xml:space="preserve"> PAGE </w:instrText>
                    </w:r>
                    <w:r>
                      <w:fldChar w:fldCharType="separate"/>
                    </w:r>
                    <w:r>
                      <w:t>205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7558B">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8" name="Frame9"/>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F9966CD">
                          <w:pPr>
                            <w:pStyle w:val="13"/>
                          </w:pPr>
                          <w:r>
                            <w:fldChar w:fldCharType="begin"/>
                          </w:r>
                          <w:r>
                            <w:instrText xml:space="preserve"> PAGE </w:instrText>
                          </w:r>
                          <w:r>
                            <w:fldChar w:fldCharType="separate"/>
                          </w:r>
                          <w:r>
                            <w:t>53</w:t>
                          </w:r>
                          <w:r>
                            <w:fldChar w:fldCharType="end"/>
                          </w:r>
                        </w:p>
                      </w:txbxContent>
                    </wps:txbx>
                    <wps:bodyPr lIns="635" tIns="635" rIns="635" bIns="635" anchor="t">
                      <a:spAutoFit/>
                    </wps:bodyPr>
                  </wps:wsp>
                </a:graphicData>
              </a:graphic>
            </wp:anchor>
          </w:drawing>
        </mc:Choice>
        <mc:Fallback>
          <w:pict>
            <v:shape id="Frame9"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vg1T0coBAAC7AwAADgAAAGRycy9lMm9Eb2MueG1srVPBjtMwEL0j&#10;8Q+W7zRp0RaImq6AKggJwUoLH+A4TmPJ9lget0n/nrHTbVbLZQ/kYI9nxm/mvXF295M17KwCanA1&#10;X69KzpST0Gl3rPmf3827j5xhFK4TBpyq+UUhv9+/fbMbfaU2MIDpVGAE4rAafc2HGH1VFCgHZQWu&#10;wCtHwR6CFZGO4Vh0QYyEbk2xKcttMULofACpEMl7mIP8ihheAwh9r6U6gDxZ5eKMGpQRkSjhoD3y&#10;fe6275WMv/oeVWSm5sQ05pWKkN2mtdjvRHUMwg9aXlsQr2nhBScrtKOiN6iDiIKdgv4HymoZAKGP&#10;Kwm2mIlkRYjFunyhzeMgvMpcSGr0N9Hx/8HKn+eHwHRXcxq7E5YG3gTaPiVlRo8VJTx6SonTF5jo&#10;vTz5kZyJ8NQHm3aiwihOul5uuqopMpkurbeb8o4zSaH15sP2/V1CKZbLPmD8psCyZNQ80NiymuL8&#10;A+Oc+pSSaiEY3TXamHwIx/arCewsaMRN/ua7xg9i9uYxUzmcU3PpZxhF4jnzSVac2ulKvoXuQtzN&#10;d0eSp7ZZXMywmO1iCicHoAc2E0D/+RSh0ZlEAp8RqYN0oJnmXq7vLz2a5+ectfxz+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vg1T0coBAAC7AwAADgAAAAAAAAABACAAAAAhAQAAZHJzL2Uy&#10;b0RvYy54bWxQSwUGAAAAAAYABgBZAQAAXQUAAAAA&#10;">
              <v:fill on="t" opacity="0f" focussize="0,0"/>
              <v:stroke on="f"/>
              <v:imagedata o:title=""/>
              <o:lock v:ext="edit" aspectratio="f"/>
              <v:textbox inset="0.05pt,0.05pt,0.05pt,0.05pt" style="mso-fit-shape-to-text:t;">
                <w:txbxContent>
                  <w:p w14:paraId="0F9966CD">
                    <w:pPr>
                      <w:pStyle w:val="13"/>
                    </w:pPr>
                    <w:r>
                      <w:fldChar w:fldCharType="begin"/>
                    </w:r>
                    <w:r>
                      <w:instrText xml:space="preserve"> PAGE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6B676">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59264" behindDoc="1" locked="0" layoutInCell="1" allowOverlap="1">
              <wp:simplePos x="0" y="0"/>
              <wp:positionH relativeFrom="margin">
                <wp:align>center</wp:align>
              </wp:positionH>
              <wp:positionV relativeFrom="paragraph">
                <wp:posOffset>635</wp:posOffset>
              </wp:positionV>
              <wp:extent cx="1828800" cy="1828800"/>
              <wp:effectExtent l="0" t="0" r="0" b="0"/>
              <wp:wrapNone/>
              <wp:docPr id="9" name="Frame1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FFFFFF">
                          <a:alpha val="0"/>
                        </a:srgbClr>
                      </a:solidFill>
                    </wps:spPr>
                    <wps:txbx>
                      <w:txbxContent>
                        <w:p w14:paraId="6D4BFD69">
                          <w:pPr>
                            <w:pStyle w:val="13"/>
                          </w:pPr>
                          <w:r>
                            <w:fldChar w:fldCharType="begin"/>
                          </w:r>
                          <w:r>
                            <w:instrText xml:space="preserve"> PAGE </w:instrText>
                          </w:r>
                          <w:r>
                            <w:fldChar w:fldCharType="separate"/>
                          </w:r>
                          <w:r>
                            <w:t>0</w:t>
                          </w:r>
                          <w:r>
                            <w:fldChar w:fldCharType="end"/>
                          </w:r>
                        </w:p>
                      </w:txbxContent>
                    </wps:txbx>
                    <wps:bodyPr lIns="635" tIns="635" rIns="635" bIns="635" anchor="t">
                      <a:spAutoFit/>
                    </wps:bodyPr>
                  </wps:wsp>
                </a:graphicData>
              </a:graphic>
            </wp:anchor>
          </w:drawing>
        </mc:Choice>
        <mc:Fallback>
          <w:pict>
            <v:shape id="Frame12" o:spid="_x0000_s1026" o:spt="202" type="#_x0000_t202" style="position:absolute;left:0pt;margin-top:0.05pt;height:144pt;width:144pt;mso-position-horizontal:center;mso-position-horizontal-relative:margin;z-index:-251657216;mso-width-relative:page;mso-height-relative:page;" fillcolor="#FFFFFF" filled="t" stroked="f" coordsize="21600,21600" o:gfxdata="UEsDBAoAAAAAAIdO4kAAAAAAAAAAAAAAAAAEAAAAZHJzL1BLAwQUAAAACACHTuJAWigm7tIAAAAF&#10;AQAADwAAAGRycy9kb3ducmV2LnhtbE2PQU/DMAyF70j8h8hI3FjawVDpmu5QaTcQYoDE0Wu8tqJx&#10;qibd1n+PxwVufn7W8/eKzdn16khj6DwbSBcJKOLa244bAx/v27sMVIjIFnvPZGCmAJvy+qrA3PoT&#10;v9FxFxslIRxyNNDGOORah7olh2HhB2LxDn50GEWOjbYjniTc9XqZJI/aYcfyocWBqpbq793kDGCi&#10;56+senmetq/3T6vVw9zhZ2XM7U2arEFFOse/Y7jgCzqUwrT3E9ugegNSJF62Srxllonc/w4p6LLQ&#10;/+nLH1BLAwQUAAAACACHTuJAehq56ckBAAC+AwAADgAAAGRycy9lMm9Eb2MueG1srVPBjtMwEL0j&#10;8Q+W7zRpEasSNV0BVRASAqSFD3Acp7FkeyyP26R/z9hpm9Vy2QM5JDOe8Zt5bya7x8kadlYBNbia&#10;r1clZ8pJ6LQ71vzP7+bdljOMwnXCgFM1vyjkj/u3b3ajr9QGBjCdCoxAHFajr/kQo6+KAuWgrMAV&#10;eOUo2EOwIpIbjkUXxEjo1hSbsnwoRgidDyAVIp0e5iC/IobXAELfa6kOIE9WuTijBmVEJEo4aI98&#10;n7vteyXjz75HFZmpOTGN+U1FyG7Tu9jvRHUMwg9aXlsQr2nhBScrtKOid6iDiIKdgv4HymoZAKGP&#10;Kwm2mIlkRYjFunyhzdMgvMpcSGr0d9Hx/8HKH+dfgemu5h85c8LSwJtAn/UmSTN6rCjjyVNOnD7D&#10;RAtzO0c6TIynPtj0JS6M4iTs5S6smiKT6dJ2s92WFJIUuzmEXyzXfcD4VYFlyah5oMllQcX5O8Y5&#10;9ZaSqiEY3TXamOyEY/vFBHYWNOUmP/Nd4wcxn+ZJUzmcU3PpZxhFYjozSlac2ulKv4XuQuzNN0eq&#10;P7z/QDu0mGEx28UUTg5AOzYTQP/pFKHRmUQCnxGpg+TQWHMv1xVMe/Pcz1nLb7f/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ooJu7SAAAABQEAAA8AAAAAAAAAAQAgAAAAIgAAAGRycy9kb3ducmV2&#10;LnhtbFBLAQIUABQAAAAIAIdO4kB6GrnpyQEAAL4DAAAOAAAAAAAAAAEAIAAAACEBAABkcnMvZTJv&#10;RG9jLnhtbFBLBQYAAAAABgAGAFkBAABcBQAAAAA=&#10;">
              <v:fill on="t" opacity="0f" focussize="0,0"/>
              <v:stroke on="f"/>
              <v:imagedata o:title=""/>
              <o:lock v:ext="edit" aspectratio="f"/>
              <v:textbox inset="0.05pt,0.05pt,0.05pt,0.05pt" style="mso-fit-shape-to-text:t;">
                <w:txbxContent>
                  <w:p w14:paraId="6D4BFD69">
                    <w:pPr>
                      <w:pStyle w:val="13"/>
                    </w:pPr>
                    <w:r>
                      <w:fldChar w:fldCharType="begin"/>
                    </w:r>
                    <w:r>
                      <w:instrText xml:space="preserve"> PAGE </w:instrText>
                    </w:r>
                    <w:r>
                      <w:fldChar w:fldCharType="separate"/>
                    </w:r>
                    <w:r>
                      <w:t>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12FE2">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0" name="Frame11"/>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79C589E3">
                          <w:pPr>
                            <w:pStyle w:val="13"/>
                          </w:pPr>
                          <w:r>
                            <w:fldChar w:fldCharType="begin"/>
                          </w:r>
                          <w:r>
                            <w:instrText xml:space="preserve"> PAGE </w:instrText>
                          </w:r>
                          <w:r>
                            <w:fldChar w:fldCharType="separate"/>
                          </w:r>
                          <w:r>
                            <w:t>206</w:t>
                          </w:r>
                          <w:r>
                            <w:fldChar w:fldCharType="end"/>
                          </w:r>
                        </w:p>
                      </w:txbxContent>
                    </wps:txbx>
                    <wps:bodyPr lIns="635" tIns="635" rIns="635" bIns="635" anchor="t">
                      <a:spAutoFit/>
                    </wps:bodyPr>
                  </wps:wsp>
                </a:graphicData>
              </a:graphic>
            </wp:anchor>
          </w:drawing>
        </mc:Choice>
        <mc:Fallback>
          <w:pict>
            <v:shape id="Frame11"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LGaqbnLAQAAvQMAAA4AAABkcnMvZTJvRG9jLnhtbK1TwW7bMAy9&#10;D9g/CLovjhOkHYI4xbbAw4BhG9D1A2RZjgVIoiAqsfP3o+Q0LrpLD/VBokjqke9R3j2M1rCzCqjB&#10;VbxcLDlTTkKr3bHiT3/rT585wyhcKww4VfGLQv6w//hhN/itWkEPplWBEYjD7eAr3sfot0WBsldW&#10;4AK8chTsIFgR6RiORRvEQOjWFKvl8q4YILQ+gFSI5D1MQX5FDG8BhK7TUh1AnqxycUINyohIlLDX&#10;Hvk+d9t1SsbfXYcqMlNxYhrzSkXIbtJa7HdiewzC91peWxBvaeEVJyu0o6I3qIOIgp2C/g/KahkA&#10;oYsLCbaYiGRFiEW5fKXNYy+8ylxIavQ30fH9YOWv85/AdEsvgSRxwtLE60BbWSZtBo9bSnn0lBTH&#10;rzBS3rMfyZkoj12waScyjOIEc7kpq8bIZLp0v15vNpxJCpWr+7v1JqEU82UfMH5XYFkyKh5ocFlP&#10;cf6JcUp9Tkm1EIxua21MPoRj880EdhY05Dp/013jezF586CpHE6pufQLjCLxnPgkK47NeCXfQHsh&#10;7uaHI9FT2yzOZpjNZjaFkz3QE5sIoP9yilDrTCKBT4jUQTrQVHMv1xeYns3Lc86a/7r9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Cxmqm5ywEAAL0DAAAOAAAAAAAAAAEAIAAAACIBAABkcnMv&#10;ZTJvRG9jLnhtbFBLBQYAAAAABgAGAFkBAABfBQAAAAA=&#10;">
              <v:fill on="t" opacity="0f" focussize="0,0"/>
              <v:stroke on="f"/>
              <v:imagedata o:title=""/>
              <o:lock v:ext="edit" aspectratio="f"/>
              <v:textbox inset="0.05pt,0.05pt,0.05pt,0.05pt" style="mso-fit-shape-to-text:t;">
                <w:txbxContent>
                  <w:p w14:paraId="79C589E3">
                    <w:pPr>
                      <w:pStyle w:val="13"/>
                    </w:pPr>
                    <w:r>
                      <w:fldChar w:fldCharType="begin"/>
                    </w:r>
                    <w:r>
                      <w:instrText xml:space="preserve"> PAGE </w:instrText>
                    </w:r>
                    <w:r>
                      <w:fldChar w:fldCharType="separate"/>
                    </w:r>
                    <w:r>
                      <w:t>206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CD5C7">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7" name="Frame5"/>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119AC84F">
                          <w:pPr>
                            <w:pStyle w:val="13"/>
                          </w:pPr>
                          <w:r>
                            <w:fldChar w:fldCharType="begin"/>
                          </w:r>
                          <w:r>
                            <w:instrText xml:space="preserve"> PAGE </w:instrText>
                          </w:r>
                          <w:r>
                            <w:fldChar w:fldCharType="separate"/>
                          </w:r>
                          <w:r>
                            <w:t>227</w:t>
                          </w:r>
                          <w: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DOU/vXLAQAAvAMAAA4AAABkcnMvZTJvRG9jLnhtbK1Ty47bMAy8&#10;F+g/CLo3zgPZFEacRdvARYGiLbDtB8iyHAvQC6QSO39fSs7Gi+1lD/VBIilqxBnS+8fRGnZRgNq7&#10;iq8WS86Uk77V7lTxP7/rDx85wyhcK4x3quJXhfzx8P7dfgilWvvem1YBIxCH5RAq3scYyqJA2Ssr&#10;cOGDcnTYebAikgunogUxELo1xXq5fCgGD20ALxUiRY/TIb8hwlsAfddpqY5enq1ycUIFZUQkStjr&#10;gPyQq+06JePPrkMVmak4MY15pUfIbtJaHPaiPIEIvZa3EsRbSnjFyQrt6NE71FFEwc6g/4GyWoJH&#10;38WF9LaYiGRFiMVq+Uqbp14ElbmQ1BjuouP/g5U/Lr+A6ZYmYceZE5Y6XgNt2yTNELCkjKdAOXH8&#10;7EdKe44jBRPjsQObduLC6JyEvd6FVWNkMl3abTbbLWeSjlbr3cMmoxfz5QAYvypvWTIqDtS3LKe4&#10;fMdIhVDqc0p6C73Rba2NyQ6cmi8G2EVQj+v8TXdN6MUUzX0mDJxSM94LjCLxnPgkK47NeCPf+PZK&#10;3M03R5qnslmcTZjNZjaFk72nCZsIYPh0jr7WmUQCnxCpguRQU3MttwFMU/PSz1nzT3f4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AzlP71ywEAALwDAAAOAAAAAAAAAAEAIAAAACIBAABkcnMv&#10;ZTJvRG9jLnhtbFBLBQYAAAAABgAGAFkBAABfBQAAAAA=&#10;">
              <v:fill on="t" opacity="0f" focussize="0,0"/>
              <v:stroke on="f"/>
              <v:imagedata o:title=""/>
              <o:lock v:ext="edit" aspectratio="f"/>
              <v:textbox inset="0.05pt,0.05pt,0.05pt,0.05pt" style="mso-fit-shape-to-text:t;">
                <w:txbxContent>
                  <w:p w14:paraId="119AC84F">
                    <w:pPr>
                      <w:pStyle w:val="13"/>
                    </w:pPr>
                    <w:r>
                      <w:fldChar w:fldCharType="begin"/>
                    </w:r>
                    <w:r>
                      <w:instrText xml:space="preserve"> PAGE </w:instrText>
                    </w:r>
                    <w:r>
                      <w:fldChar w:fldCharType="separate"/>
                    </w:r>
                    <w:r>
                      <w:t>227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E8D0F">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8" name="Frame6"/>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338061F8">
                          <w:pPr>
                            <w:pStyle w:val="13"/>
                          </w:pPr>
                          <w:r>
                            <w:fldChar w:fldCharType="begin"/>
                          </w:r>
                          <w:r>
                            <w:instrText xml:space="preserve"> PAGE </w:instrText>
                          </w:r>
                          <w:r>
                            <w:fldChar w:fldCharType="separate"/>
                          </w:r>
                          <w:r>
                            <w:t>246</w:t>
                          </w:r>
                          <w:r>
                            <w:fldChar w:fldCharType="end"/>
                          </w:r>
                        </w:p>
                      </w:txbxContent>
                    </wps:txbx>
                    <wps:bodyPr lIns="635" tIns="635" rIns="635" bIns="635" anchor="t">
                      <a:spAutoFit/>
                    </wps:bodyPr>
                  </wps:wsp>
                </a:graphicData>
              </a:graphic>
            </wp:anchor>
          </w:drawing>
        </mc:Choice>
        <mc:Fallback>
          <w:pict>
            <v:shape id="Frame6"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BZUeibKAQAAvAMAAA4AAABkcnMvZTJvRG9jLnhtbK1Ty47bMAy8&#10;F+g/CLo3zgPJFkacRdvARYGiLbDtB8iyHAvQC6QSO39fSs7Gi+1lD/VBokhqyBnK+8fRGnZRgNq7&#10;iq8WS86Uk77V7lTxP7/rDx85wyhcK4x3quJXhfzx8P7dfgilWvvem1YBIxCH5RAq3scYyqJA2Ssr&#10;cOGDchTsPFgR6QinogUxELo1xXq53BWDhzaAlwqRvMcpyG+I8BZA33VaqqOXZ6tcnFBBGRGJEvY6&#10;ID/kbrtOyfiz61BFZipOTGNeqQjZTVqLw16UJxCh1/LWgnhLC684WaEdFb1DHUUU7Az6HyirJXj0&#10;XVxIb4uJSFaEWKyWr7R56kVQmQtJjeEuOv4/WPnj8guYbukl0NydsDTxGmjbJWmGgCVlPAXKieNn&#10;P1Lasx/JmRiPHdi0ExdGcRL2ehdWjZHJdOlhs9luOZMUWq0fdpttQinmywEwflXesmRUHGhuWU5x&#10;+Y5xSn1OSbXQG93W2ph8gFPzxQC7CJpxnb/prgm9mLx5zlQOp9Rc+gVGkXhOfJIVx2a8kW98eyXu&#10;5psjzVPbLM4mzGYzm8LJ3tMLmwhg+HSOvtaZRAKfEKmDdKCh5l5uDzC9mpfnnDX/dI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BZUeibKAQAAvAMAAA4AAAAAAAAAAQAgAAAAIgEAAGRycy9l&#10;Mm9Eb2MueG1sUEsFBgAAAAAGAAYAWQEAAF4FAAAAAA==&#10;">
              <v:fill on="t" opacity="0f" focussize="0,0"/>
              <v:stroke on="f"/>
              <v:imagedata o:title=""/>
              <o:lock v:ext="edit" aspectratio="f"/>
              <v:textbox inset="0.05pt,0.05pt,0.05pt,0.05pt" style="mso-fit-shape-to-text:t;">
                <w:txbxContent>
                  <w:p w14:paraId="338061F8">
                    <w:pPr>
                      <w:pStyle w:val="13"/>
                    </w:pPr>
                    <w:r>
                      <w:fldChar w:fldCharType="begin"/>
                    </w:r>
                    <w:r>
                      <w:instrText xml:space="preserve"> PAGE </w:instrText>
                    </w:r>
                    <w:r>
                      <w:fldChar w:fldCharType="separate"/>
                    </w:r>
                    <w:r>
                      <w:t>246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34D47">
    <w:pPr>
      <w:pStyle w:val="14"/>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5E5C828A">
    <w:pPr>
      <w:pStyle w:val="14"/>
      <w:pBdr>
        <w:bottom w:val="none" w:color="auto" w:sz="0" w:space="0"/>
      </w:pBdr>
      <w:tabs>
        <w:tab w:val="clear" w:pos="4153"/>
        <w:tab w:val="clear" w:pos="8306"/>
      </w:tabs>
      <w:rPr>
        <w:rFonts w:eastAsia="宋体"/>
        <w:u w:val="none"/>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1C3A">
    <w:pPr>
      <w:pStyle w:val="14"/>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0E3C9413">
    <w:pPr>
      <w:pStyle w:val="14"/>
      <w:pBdr>
        <w:bottom w:val="none" w:color="auto" w:sz="0" w:space="0"/>
      </w:pBdr>
      <w:tabs>
        <w:tab w:val="clear" w:pos="4153"/>
        <w:tab w:val="clear" w:pos="8306"/>
      </w:tabs>
      <w:rPr>
        <w:rFonts w:eastAsia="宋体"/>
        <w:u w:val="none"/>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5A47">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3272C8EA">
    <w:pPr>
      <w:pStyle w:val="14"/>
      <w:pBdr>
        <w:bottom w:val="none" w:color="auto" w:sz="0" w:space="0"/>
      </w:pBdr>
      <w:tabs>
        <w:tab w:val="clear" w:pos="4153"/>
        <w:tab w:val="clear" w:pos="8306"/>
      </w:tabs>
      <w:rPr>
        <w:rFonts w:eastAsia="宋体"/>
        <w:u w:val="none"/>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AF75">
    <w:pPr>
      <w:pStyle w:val="9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BD1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22A6307A">
    <w:pPr>
      <w:pStyle w:val="14"/>
      <w:pBdr>
        <w:bottom w:val="none" w:color="auto" w:sz="0" w:space="0"/>
      </w:pBdr>
      <w:tabs>
        <w:tab w:val="clear" w:pos="4153"/>
        <w:tab w:val="clear" w:pos="8306"/>
      </w:tabs>
      <w:rPr>
        <w:rFonts w:eastAsia="宋体"/>
        <w:u w:val="none"/>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FCD34">
    <w:pPr>
      <w:pStyle w:val="9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F786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7114D027">
    <w:pPr>
      <w:pStyle w:val="14"/>
      <w:pBdr>
        <w:bottom w:val="none" w:color="auto" w:sz="0" w:space="0"/>
      </w:pBdr>
      <w:tabs>
        <w:tab w:val="clear" w:pos="4153"/>
        <w:tab w:val="clear" w:pos="8306"/>
      </w:tabs>
      <w:rPr>
        <w:rFonts w:eastAsia="宋体"/>
        <w:u w:val="none"/>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CF27D">
    <w:pPr>
      <w:pStyle w:val="9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DD8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168BB047">
    <w:pPr>
      <w:pStyle w:val="14"/>
      <w:pBdr>
        <w:bottom w:val="none" w:color="auto" w:sz="0" w:space="0"/>
      </w:pBdr>
      <w:tabs>
        <w:tab w:val="clear" w:pos="4153"/>
        <w:tab w:val="clear" w:pos="8306"/>
      </w:tabs>
      <w:rPr>
        <w:rFonts w:eastAsia="宋体"/>
        <w:u w:val="none"/>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07AF">
    <w:pPr>
      <w:pStyle w:val="92"/>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27D84">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5B0C6A27">
    <w:pPr>
      <w:pStyle w:val="14"/>
      <w:pBdr>
        <w:bottom w:val="none" w:color="auto" w:sz="0" w:space="0"/>
      </w:pBdr>
      <w:tabs>
        <w:tab w:val="clear" w:pos="4153"/>
        <w:tab w:val="clear" w:pos="8306"/>
      </w:tabs>
      <w:rPr>
        <w:rFonts w:eastAsia="宋体"/>
        <w:u w:val="none"/>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A52F0">
    <w:pPr>
      <w:pStyle w:val="14"/>
      <w:rPr>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EA713"/>
    <w:multiLevelType w:val="singleLevel"/>
    <w:tmpl w:val="805EA713"/>
    <w:lvl w:ilvl="0" w:tentative="0">
      <w:start w:val="1"/>
      <w:numFmt w:val="chineseCountingThousand"/>
      <w:suff w:val="nothing"/>
      <w:lvlText w:val="（%1）"/>
      <w:lvlJc w:val="left"/>
      <w:pPr>
        <w:tabs>
          <w:tab w:val="left" w:pos="0"/>
        </w:tabs>
        <w:ind w:left="0" w:firstLine="0"/>
      </w:pPr>
    </w:lvl>
  </w:abstractNum>
  <w:abstractNum w:abstractNumId="1">
    <w:nsid w:val="81BCDDB8"/>
    <w:multiLevelType w:val="singleLevel"/>
    <w:tmpl w:val="81BCDDB8"/>
    <w:lvl w:ilvl="0" w:tentative="0">
      <w:start w:val="5"/>
      <w:numFmt w:val="decimal"/>
      <w:suff w:val="nothing"/>
      <w:lvlText w:val="（%1）"/>
      <w:lvlJc w:val="left"/>
      <w:pPr>
        <w:tabs>
          <w:tab w:val="left" w:pos="0"/>
        </w:tabs>
        <w:ind w:left="0" w:firstLine="0"/>
      </w:pPr>
    </w:lvl>
  </w:abstractNum>
  <w:abstractNum w:abstractNumId="2">
    <w:nsid w:val="88E74945"/>
    <w:multiLevelType w:val="singleLevel"/>
    <w:tmpl w:val="88E74945"/>
    <w:lvl w:ilvl="0" w:tentative="0">
      <w:start w:val="1"/>
      <w:numFmt w:val="decimal"/>
      <w:suff w:val="nothing"/>
      <w:lvlText w:val="%1、"/>
      <w:lvlJc w:val="left"/>
      <w:pPr>
        <w:tabs>
          <w:tab w:val="left" w:pos="0"/>
        </w:tabs>
        <w:ind w:left="0" w:firstLine="0"/>
      </w:pPr>
    </w:lvl>
  </w:abstractNum>
  <w:abstractNum w:abstractNumId="3">
    <w:nsid w:val="9FD4E7DC"/>
    <w:multiLevelType w:val="singleLevel"/>
    <w:tmpl w:val="9FD4E7DC"/>
    <w:lvl w:ilvl="0" w:tentative="0">
      <w:start w:val="4"/>
      <w:numFmt w:val="chineseCountingThousand"/>
      <w:suff w:val="space"/>
      <w:lvlText w:val="第%1章"/>
      <w:lvlJc w:val="left"/>
      <w:pPr>
        <w:tabs>
          <w:tab w:val="left" w:pos="0"/>
        </w:tabs>
        <w:ind w:left="0" w:firstLine="0"/>
      </w:pPr>
    </w:lvl>
  </w:abstractNum>
  <w:abstractNum w:abstractNumId="4">
    <w:nsid w:val="CF092B84"/>
    <w:multiLevelType w:val="multilevel"/>
    <w:tmpl w:val="CF092B84"/>
    <w:lvl w:ilvl="0" w:tentative="0">
      <w:start w:val="1"/>
      <w:numFmt w:val="chineseCountingThousand"/>
      <w:pStyle w:val="66"/>
      <w:suff w:val="space"/>
      <w:lvlText w:val="%1. "/>
      <w:lvlJc w:val="left"/>
      <w:pPr>
        <w:tabs>
          <w:tab w:val="left" w:pos="0"/>
        </w:tabs>
        <w:ind w:left="907" w:hanging="907"/>
      </w:pPr>
    </w:lvl>
    <w:lvl w:ilvl="1" w:tentative="0">
      <w:start w:val="1"/>
      <w:numFmt w:val="decimal"/>
      <w:suff w:val="space"/>
      <w:lvlText w:val="%1.%2 "/>
      <w:lvlJc w:val="left"/>
      <w:pPr>
        <w:tabs>
          <w:tab w:val="left" w:pos="0"/>
        </w:tabs>
        <w:ind w:left="794" w:hanging="794"/>
      </w:pPr>
    </w:lvl>
    <w:lvl w:ilvl="2" w:tentative="0">
      <w:start w:val="0"/>
      <w:numFmt w:val="none"/>
      <w:suff w:val="nothing"/>
      <w:lvlText w:val=""/>
      <w:lvlJc w:val="left"/>
      <w:pPr>
        <w:tabs>
          <w:tab w:val="left" w:pos="0"/>
        </w:tabs>
        <w:ind w:left="0" w:firstLine="0"/>
      </w:pPr>
      <w:rPr>
        <w:rFonts w:cs="Times New Roman"/>
      </w:rPr>
    </w:lvl>
    <w:lvl w:ilvl="3" w:tentative="0">
      <w:start w:val="0"/>
      <w:numFmt w:val="none"/>
      <w:suff w:val="nothing"/>
      <w:lvlText w:val=""/>
      <w:lvlJc w:val="left"/>
      <w:pPr>
        <w:tabs>
          <w:tab w:val="left" w:pos="0"/>
        </w:tabs>
        <w:ind w:left="0" w:firstLine="0"/>
      </w:pPr>
      <w:rPr>
        <w:rFonts w:cs="Times New Roman"/>
      </w:rPr>
    </w:lvl>
    <w:lvl w:ilvl="4" w:tentative="0">
      <w:start w:val="0"/>
      <w:numFmt w:val="decimal"/>
      <w:lvlText w:val=""/>
      <w:lvlJc w:val="left"/>
      <w:pPr>
        <w:tabs>
          <w:tab w:val="left" w:pos="0"/>
        </w:tabs>
        <w:ind w:left="0" w:firstLine="0"/>
      </w:pPr>
      <w:rPr>
        <w:rFonts w:cs="Times New Roman"/>
      </w:rPr>
    </w:lvl>
    <w:lvl w:ilvl="5" w:tentative="0">
      <w:start w:val="0"/>
      <w:numFmt w:val="decimal"/>
      <w:lvlText w:val=""/>
      <w:lvlJc w:val="left"/>
      <w:pPr>
        <w:tabs>
          <w:tab w:val="left" w:pos="0"/>
        </w:tabs>
        <w:ind w:left="0" w:firstLine="0"/>
      </w:pPr>
      <w:rPr>
        <w:rFonts w:cs="Times New Roman"/>
      </w:rPr>
    </w:lvl>
    <w:lvl w:ilvl="6" w:tentative="0">
      <w:start w:val="0"/>
      <w:numFmt w:val="decimal"/>
      <w:lvlText w:val=""/>
      <w:lvlJc w:val="left"/>
      <w:pPr>
        <w:tabs>
          <w:tab w:val="left" w:pos="0"/>
        </w:tabs>
        <w:ind w:left="0" w:firstLine="0"/>
      </w:pPr>
      <w:rPr>
        <w:rFonts w:cs="Times New Roman"/>
      </w:rPr>
    </w:lvl>
    <w:lvl w:ilvl="7" w:tentative="0">
      <w:start w:val="0"/>
      <w:numFmt w:val="decimal"/>
      <w:lvlText w:val=""/>
      <w:lvlJc w:val="left"/>
      <w:pPr>
        <w:tabs>
          <w:tab w:val="left" w:pos="0"/>
        </w:tabs>
        <w:ind w:left="0" w:firstLine="0"/>
      </w:pPr>
      <w:rPr>
        <w:rFonts w:cs="Times New Roman"/>
      </w:rPr>
    </w:lvl>
    <w:lvl w:ilvl="8" w:tentative="0">
      <w:start w:val="0"/>
      <w:numFmt w:val="decimal"/>
      <w:lvlText w:val=""/>
      <w:lvlJc w:val="left"/>
      <w:pPr>
        <w:tabs>
          <w:tab w:val="left" w:pos="0"/>
        </w:tabs>
        <w:ind w:left="0" w:firstLine="0"/>
      </w:pPr>
      <w:rPr>
        <w:rFonts w:cs="Times New Roman"/>
      </w:rPr>
    </w:lvl>
  </w:abstractNum>
  <w:abstractNum w:abstractNumId="5">
    <w:nsid w:val="D0EF5EA8"/>
    <w:multiLevelType w:val="singleLevel"/>
    <w:tmpl w:val="D0EF5EA8"/>
    <w:lvl w:ilvl="0" w:tentative="0">
      <w:start w:val="5"/>
      <w:numFmt w:val="chineseCountingThousand"/>
      <w:suff w:val="space"/>
      <w:lvlText w:val="第%1章"/>
      <w:lvlJc w:val="left"/>
      <w:pPr>
        <w:tabs>
          <w:tab w:val="left" w:pos="0"/>
        </w:tabs>
        <w:ind w:left="0" w:firstLine="0"/>
      </w:pPr>
    </w:lvl>
  </w:abstractNum>
  <w:abstractNum w:abstractNumId="6">
    <w:nsid w:val="FD8978B6"/>
    <w:multiLevelType w:val="multilevel"/>
    <w:tmpl w:val="FD8978B6"/>
    <w:lvl w:ilvl="0" w:tentative="0">
      <w:start w:val="1"/>
      <w:numFmt w:val="chineseCountingThousand"/>
      <w:lvlText w:val="第%1章"/>
      <w:lvlJc w:val="left"/>
      <w:pPr>
        <w:tabs>
          <w:tab w:val="left" w:pos="0"/>
        </w:tabs>
        <w:ind w:left="1125" w:hanging="1125"/>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7">
    <w:nsid w:val="0053208E"/>
    <w:multiLevelType w:val="multilevel"/>
    <w:tmpl w:val="0053208E"/>
    <w:lvl w:ilvl="0" w:tentative="0">
      <w:start w:val="1"/>
      <w:numFmt w:val="decimal"/>
      <w:lvlText w:val="%1、"/>
      <w:lvlJc w:val="left"/>
      <w:pPr>
        <w:tabs>
          <w:tab w:val="left" w:pos="0"/>
        </w:tabs>
        <w:ind w:left="371" w:hanging="360"/>
      </w:pPr>
    </w:lvl>
    <w:lvl w:ilvl="1" w:tentative="0">
      <w:start w:val="1"/>
      <w:numFmt w:val="lowerLetter"/>
      <w:pStyle w:val="3"/>
      <w:lvlText w:val="%2)"/>
      <w:lvlJc w:val="left"/>
      <w:pPr>
        <w:tabs>
          <w:tab w:val="left" w:pos="0"/>
        </w:tabs>
        <w:ind w:left="851" w:hanging="420"/>
      </w:pPr>
    </w:lvl>
    <w:lvl w:ilvl="2" w:tentative="0">
      <w:start w:val="1"/>
      <w:numFmt w:val="lowerRoman"/>
      <w:lvlText w:val="%3."/>
      <w:lvlJc w:val="right"/>
      <w:pPr>
        <w:tabs>
          <w:tab w:val="left" w:pos="0"/>
        </w:tabs>
        <w:ind w:left="1271" w:hanging="420"/>
      </w:pPr>
    </w:lvl>
    <w:lvl w:ilvl="3" w:tentative="0">
      <w:start w:val="1"/>
      <w:numFmt w:val="decimal"/>
      <w:lvlText w:val="%4."/>
      <w:lvlJc w:val="left"/>
      <w:pPr>
        <w:tabs>
          <w:tab w:val="left" w:pos="0"/>
        </w:tabs>
        <w:ind w:left="1691" w:hanging="420"/>
      </w:pPr>
    </w:lvl>
    <w:lvl w:ilvl="4" w:tentative="0">
      <w:start w:val="1"/>
      <w:numFmt w:val="lowerLetter"/>
      <w:lvlText w:val="%5)"/>
      <w:lvlJc w:val="left"/>
      <w:pPr>
        <w:tabs>
          <w:tab w:val="left" w:pos="0"/>
        </w:tabs>
        <w:ind w:left="2111" w:hanging="420"/>
      </w:pPr>
    </w:lvl>
    <w:lvl w:ilvl="5" w:tentative="0">
      <w:start w:val="1"/>
      <w:numFmt w:val="lowerRoman"/>
      <w:lvlText w:val="%6."/>
      <w:lvlJc w:val="right"/>
      <w:pPr>
        <w:tabs>
          <w:tab w:val="left" w:pos="0"/>
        </w:tabs>
        <w:ind w:left="2531" w:hanging="420"/>
      </w:pPr>
    </w:lvl>
    <w:lvl w:ilvl="6" w:tentative="0">
      <w:start w:val="1"/>
      <w:numFmt w:val="decimal"/>
      <w:lvlText w:val="%7."/>
      <w:lvlJc w:val="left"/>
      <w:pPr>
        <w:tabs>
          <w:tab w:val="left" w:pos="0"/>
        </w:tabs>
        <w:ind w:left="2951" w:hanging="420"/>
      </w:pPr>
    </w:lvl>
    <w:lvl w:ilvl="7" w:tentative="0">
      <w:start w:val="1"/>
      <w:numFmt w:val="lowerLetter"/>
      <w:lvlText w:val="%8)"/>
      <w:lvlJc w:val="left"/>
      <w:pPr>
        <w:tabs>
          <w:tab w:val="left" w:pos="0"/>
        </w:tabs>
        <w:ind w:left="3371" w:hanging="420"/>
      </w:pPr>
    </w:lvl>
    <w:lvl w:ilvl="8" w:tentative="0">
      <w:start w:val="1"/>
      <w:numFmt w:val="lowerRoman"/>
      <w:lvlText w:val="%9."/>
      <w:lvlJc w:val="right"/>
      <w:pPr>
        <w:tabs>
          <w:tab w:val="left" w:pos="0"/>
        </w:tabs>
        <w:ind w:left="3791" w:hanging="420"/>
      </w:pPr>
    </w:lvl>
  </w:abstractNum>
  <w:abstractNum w:abstractNumId="8">
    <w:nsid w:val="124EFEF3"/>
    <w:multiLevelType w:val="singleLevel"/>
    <w:tmpl w:val="124EFEF3"/>
    <w:lvl w:ilvl="0" w:tentative="0">
      <w:start w:val="2"/>
      <w:numFmt w:val="decimal"/>
      <w:suff w:val="nothing"/>
      <w:lvlText w:val="（%1）"/>
      <w:lvlJc w:val="left"/>
      <w:pPr>
        <w:tabs>
          <w:tab w:val="left" w:pos="0"/>
        </w:tabs>
        <w:ind w:left="0" w:firstLine="0"/>
      </w:pPr>
    </w:lvl>
  </w:abstractNum>
  <w:abstractNum w:abstractNumId="9">
    <w:nsid w:val="236EC7F0"/>
    <w:multiLevelType w:val="multilevel"/>
    <w:tmpl w:val="236EC7F0"/>
    <w:lvl w:ilvl="0" w:tentative="0">
      <w:start w:val="1"/>
      <w:numFmt w:val="chineseCountingThousand"/>
      <w:lvlText w:val="（%1）"/>
      <w:lvlJc w:val="left"/>
      <w:pPr>
        <w:tabs>
          <w:tab w:val="left" w:pos="0"/>
        </w:tabs>
        <w:ind w:left="1725" w:hanging="1080"/>
      </w:pPr>
      <w:rPr>
        <w:lang w:val="en-US"/>
      </w:r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10">
    <w:nsid w:val="249A2C6E"/>
    <w:multiLevelType w:val="singleLevel"/>
    <w:tmpl w:val="249A2C6E"/>
    <w:lvl w:ilvl="0" w:tentative="0">
      <w:start w:val="1"/>
      <w:numFmt w:val="decimal"/>
      <w:suff w:val="nothing"/>
      <w:lvlText w:val="%1、"/>
      <w:lvlJc w:val="left"/>
      <w:pPr>
        <w:tabs>
          <w:tab w:val="left" w:pos="0"/>
        </w:tabs>
        <w:ind w:left="0" w:firstLine="0"/>
      </w:pPr>
    </w:lvl>
  </w:abstractNum>
  <w:abstractNum w:abstractNumId="11">
    <w:nsid w:val="29720B70"/>
    <w:multiLevelType w:val="multilevel"/>
    <w:tmpl w:val="29720B70"/>
    <w:lvl w:ilvl="0" w:tentative="0">
      <w:start w:val="1"/>
      <w:numFmt w:val="chineseCountingThousand"/>
      <w:lvlText w:val="（%1）"/>
      <w:lvlJc w:val="left"/>
      <w:pPr>
        <w:tabs>
          <w:tab w:val="left" w:pos="0"/>
        </w:tabs>
        <w:ind w:left="1725" w:hanging="1080"/>
      </w:p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12">
    <w:nsid w:val="2BCE5299"/>
    <w:multiLevelType w:val="singleLevel"/>
    <w:tmpl w:val="2BCE5299"/>
    <w:lvl w:ilvl="0" w:tentative="0">
      <w:start w:val="1"/>
      <w:numFmt w:val="decimal"/>
      <w:suff w:val="nothing"/>
      <w:lvlText w:val="（%1）"/>
      <w:lvlJc w:val="left"/>
      <w:pPr>
        <w:tabs>
          <w:tab w:val="left" w:pos="0"/>
        </w:tabs>
        <w:ind w:left="0" w:firstLine="0"/>
      </w:pPr>
    </w:lvl>
  </w:abstractNum>
  <w:abstractNum w:abstractNumId="13">
    <w:nsid w:val="3AED927E"/>
    <w:multiLevelType w:val="singleLevel"/>
    <w:tmpl w:val="3AED927E"/>
    <w:lvl w:ilvl="0" w:tentative="0">
      <w:start w:val="1"/>
      <w:numFmt w:val="taiwaneseCountingThousand"/>
      <w:suff w:val="nothing"/>
      <w:lvlText w:val="%1、"/>
      <w:lvlJc w:val="left"/>
      <w:pPr>
        <w:tabs>
          <w:tab w:val="left" w:pos="0"/>
        </w:tabs>
        <w:ind w:left="0" w:firstLine="0"/>
      </w:pPr>
    </w:lvl>
  </w:abstractNum>
  <w:abstractNum w:abstractNumId="14">
    <w:nsid w:val="43FFD817"/>
    <w:multiLevelType w:val="singleLevel"/>
    <w:tmpl w:val="43FFD817"/>
    <w:lvl w:ilvl="0" w:tentative="0">
      <w:start w:val="2"/>
      <w:numFmt w:val="decimal"/>
      <w:lvlText w:val="%1."/>
      <w:lvlJc w:val="left"/>
      <w:pPr>
        <w:tabs>
          <w:tab w:val="left" w:pos="420"/>
        </w:tabs>
        <w:ind w:left="0" w:firstLine="0"/>
      </w:pPr>
    </w:lvl>
  </w:abstractNum>
  <w:abstractNum w:abstractNumId="15">
    <w:nsid w:val="72B8E692"/>
    <w:multiLevelType w:val="singleLevel"/>
    <w:tmpl w:val="72B8E692"/>
    <w:lvl w:ilvl="0" w:tentative="0">
      <w:start w:val="11"/>
      <w:numFmt w:val="chineseCountingThousand"/>
      <w:suff w:val="nothing"/>
      <w:lvlText w:val="（%1）"/>
      <w:lvlJc w:val="left"/>
      <w:pPr>
        <w:tabs>
          <w:tab w:val="left" w:pos="0"/>
        </w:tabs>
        <w:ind w:left="0" w:firstLine="0"/>
      </w:pPr>
    </w:lvl>
  </w:abstractNum>
  <w:num w:numId="1">
    <w:abstractNumId w:val="7"/>
  </w:num>
  <w:num w:numId="2">
    <w:abstractNumId w:val="4"/>
  </w:num>
  <w:num w:numId="3">
    <w:abstractNumId w:val="6"/>
  </w:num>
  <w:num w:numId="4">
    <w:abstractNumId w:val="2"/>
  </w:num>
  <w:num w:numId="5">
    <w:abstractNumId w:val="10"/>
  </w:num>
  <w:num w:numId="6">
    <w:abstractNumId w:val="13"/>
  </w:num>
  <w:num w:numId="7">
    <w:abstractNumId w:val="11"/>
  </w:num>
  <w:num w:numId="8">
    <w:abstractNumId w:val="9"/>
  </w:num>
  <w:num w:numId="9">
    <w:abstractNumId w:val="3"/>
  </w:num>
  <w:num w:numId="10">
    <w:abstractNumId w:val="8"/>
  </w:num>
  <w:num w:numId="11">
    <w:abstractNumId w:val="5"/>
  </w:num>
  <w:num w:numId="12">
    <w:abstractNumId w:val="12"/>
  </w:num>
  <w:num w:numId="13">
    <w:abstractNumId w:val="1"/>
  </w:num>
  <w:num w:numId="14">
    <w:abstractNumId w:val="0"/>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709"/>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1F275D4"/>
    <w:rsid w:val="02DB1785"/>
    <w:rsid w:val="05BF3F2F"/>
    <w:rsid w:val="09CB6A81"/>
    <w:rsid w:val="09F506BC"/>
    <w:rsid w:val="162C57E5"/>
    <w:rsid w:val="289E5635"/>
    <w:rsid w:val="290216B2"/>
    <w:rsid w:val="2FA96499"/>
    <w:rsid w:val="34F767F8"/>
    <w:rsid w:val="37DE08EF"/>
    <w:rsid w:val="3A540249"/>
    <w:rsid w:val="556F1F83"/>
    <w:rsid w:val="55A94F13"/>
    <w:rsid w:val="57B82610"/>
    <w:rsid w:val="6C6C4257"/>
    <w:rsid w:val="6CC52A71"/>
    <w:rsid w:val="74687E72"/>
    <w:rsid w:val="7AD85D51"/>
    <w:rsid w:val="7C7D68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2"/>
      <w:sz w:val="44"/>
      <w:szCs w:val="44"/>
    </w:rPr>
  </w:style>
  <w:style w:type="paragraph" w:styleId="3">
    <w:name w:val="heading 2"/>
    <w:basedOn w:val="1"/>
    <w:next w:val="1"/>
    <w:qFormat/>
    <w:uiPriority w:val="0"/>
    <w:pPr>
      <w:keepNext/>
      <w:keepLines/>
      <w:numPr>
        <w:ilvl w:val="1"/>
        <w:numId w:val="1"/>
      </w:numPr>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lang w:val="en-US" w:eastAsia="zh-CN" w:bidi="ar-SA"/>
    </w:rPr>
  </w:style>
  <w:style w:type="paragraph" w:styleId="5">
    <w:name w:val="heading 4"/>
    <w:basedOn w:val="1"/>
    <w:next w:val="1"/>
    <w:qFormat/>
    <w:uiPriority w:val="0"/>
    <w:pPr>
      <w:keepNext/>
      <w:keepLines/>
      <w:spacing w:before="280" w:after="290" w:line="374" w:lineRule="auto"/>
      <w:outlineLvl w:val="3"/>
    </w:pPr>
    <w:rPr>
      <w:rFonts w:ascii="Arial" w:hAnsi="Arial" w:eastAsia="黑体" w:cs="Arial"/>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character" w:default="1" w:styleId="20">
    <w:name w:val="Default Paragraph Font"/>
    <w:semiHidden/>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7">
    <w:name w:val="caption"/>
    <w:basedOn w:val="1"/>
    <w:qFormat/>
    <w:uiPriority w:val="0"/>
    <w:pPr>
      <w:suppressLineNumbers/>
      <w:spacing w:before="120" w:after="120"/>
    </w:pPr>
    <w:rPr>
      <w:rFonts w:cs="Lohit Devanagari"/>
      <w:i/>
      <w:iCs/>
      <w:sz w:val="24"/>
      <w:szCs w:val="24"/>
    </w:rPr>
  </w:style>
  <w:style w:type="paragraph" w:styleId="8">
    <w:name w:val="Body Text"/>
    <w:basedOn w:val="1"/>
    <w:next w:val="1"/>
    <w:qFormat/>
    <w:uiPriority w:val="0"/>
    <w:pPr>
      <w:spacing w:before="0" w:after="120"/>
    </w:pPr>
  </w:style>
  <w:style w:type="paragraph" w:styleId="9">
    <w:name w:val="Body Text Indent"/>
    <w:basedOn w:val="1"/>
    <w:next w:val="10"/>
    <w:qFormat/>
    <w:uiPriority w:val="0"/>
    <w:pPr>
      <w:spacing w:before="0" w:after="120"/>
      <w:ind w:left="200" w:firstLine="0"/>
    </w:pPr>
  </w:style>
  <w:style w:type="paragraph" w:customStyle="1" w:styleId="10">
    <w:name w:val="普通(网站)1"/>
    <w:basedOn w:val="1"/>
    <w:qFormat/>
    <w:uiPriority w:val="0"/>
    <w:pPr>
      <w:widowControl/>
      <w:spacing w:before="100" w:after="100"/>
      <w:jc w:val="left"/>
    </w:pPr>
    <w:rPr>
      <w:rFonts w:ascii="宋体" w:hAnsi="宋体" w:cs="宋体"/>
      <w:kern w:val="0"/>
      <w:sz w:val="24"/>
    </w:rPr>
  </w:style>
  <w:style w:type="paragraph" w:styleId="11">
    <w:name w:val="toc 5"/>
    <w:basedOn w:val="1"/>
    <w:next w:val="1"/>
    <w:qFormat/>
    <w:uiPriority w:val="0"/>
    <w:pPr>
      <w:ind w:left="1680" w:firstLine="0"/>
    </w:pPr>
  </w:style>
  <w:style w:type="paragraph" w:styleId="12">
    <w:name w:val="toc 3"/>
    <w:basedOn w:val="1"/>
    <w:next w:val="1"/>
    <w:qFormat/>
    <w:uiPriority w:val="0"/>
    <w:pPr>
      <w:tabs>
        <w:tab w:val="right" w:leader="dot" w:pos="9288"/>
      </w:tabs>
      <w:ind w:left="400" w:firstLine="0"/>
    </w:pPr>
    <w:rPr>
      <w:rFonts w:ascii="宋体" w:hAnsi="宋体"/>
      <w:lang w:val="en-US" w:eastAsia="en-US"/>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toc 4"/>
    <w:basedOn w:val="1"/>
    <w:next w:val="1"/>
    <w:qFormat/>
    <w:uiPriority w:val="0"/>
    <w:pPr>
      <w:ind w:left="1260" w:firstLine="0"/>
    </w:pPr>
  </w:style>
  <w:style w:type="paragraph" w:styleId="17">
    <w:name w:val="List"/>
    <w:basedOn w:val="1"/>
    <w:qFormat/>
    <w:uiPriority w:val="0"/>
    <w:pPr>
      <w:keepNext w:val="0"/>
      <w:keepLines w:val="0"/>
      <w:widowControl w:val="0"/>
      <w:snapToGrid w:val="0"/>
      <w:spacing w:before="0" w:after="0" w:line="360" w:lineRule="auto"/>
      <w:ind w:left="200" w:right="0" w:hanging="200"/>
      <w:contextualSpacing/>
      <w:jc w:val="both"/>
    </w:pPr>
    <w:rPr>
      <w:rFonts w:ascii="宋体" w:hAnsi="宋体" w:eastAsia="宋体" w:cs="Times New Roman"/>
      <w:kern w:val="0"/>
      <w:sz w:val="24"/>
      <w:szCs w:val="20"/>
      <w:lang w:val="en-US" w:eastAsia="zh-CN" w:bidi="ar"/>
    </w:rPr>
  </w:style>
  <w:style w:type="paragraph" w:styleId="18">
    <w:name w:val="toc 2"/>
    <w:basedOn w:val="1"/>
    <w:next w:val="1"/>
    <w:qFormat/>
    <w:uiPriority w:val="0"/>
    <w:pPr>
      <w:ind w:left="200" w:firstLine="0"/>
    </w:pPr>
  </w:style>
  <w:style w:type="character" w:styleId="21">
    <w:name w:val="Strong"/>
    <w:basedOn w:val="20"/>
    <w:qFormat/>
    <w:uiPriority w:val="0"/>
    <w:rPr>
      <w:b/>
    </w:rPr>
  </w:style>
  <w:style w:type="character" w:styleId="22">
    <w:name w:val="page number"/>
    <w:basedOn w:val="23"/>
    <w:qFormat/>
    <w:uiPriority w:val="0"/>
  </w:style>
  <w:style w:type="character" w:customStyle="1" w:styleId="23">
    <w:name w:val="默认段落字体1"/>
    <w:qFormat/>
    <w:uiPriority w:val="0"/>
  </w:style>
  <w:style w:type="character" w:styleId="24">
    <w:name w:val="FollowedHyperlink"/>
    <w:qFormat/>
    <w:uiPriority w:val="0"/>
    <w:rPr>
      <w:color w:val="333333"/>
      <w:u w:val="none"/>
    </w:rPr>
  </w:style>
  <w:style w:type="character" w:styleId="25">
    <w:name w:val="Hyperlink"/>
    <w:basedOn w:val="23"/>
    <w:qFormat/>
    <w:uiPriority w:val="0"/>
    <w:rPr>
      <w:color w:val="0000FF"/>
      <w:u w:val="single"/>
    </w:rPr>
  </w:style>
  <w:style w:type="character" w:customStyle="1" w:styleId="26">
    <w:name w:val="WW8Num2z0"/>
    <w:qFormat/>
    <w:uiPriority w:val="0"/>
  </w:style>
  <w:style w:type="character" w:customStyle="1" w:styleId="27">
    <w:name w:val="WW8Num4z0"/>
    <w:qFormat/>
    <w:uiPriority w:val="0"/>
  </w:style>
  <w:style w:type="character" w:customStyle="1" w:styleId="28">
    <w:name w:val="WW8Num5z0"/>
    <w:qFormat/>
    <w:uiPriority w:val="0"/>
  </w:style>
  <w:style w:type="character" w:customStyle="1" w:styleId="29">
    <w:name w:val="WW8Num8z0"/>
    <w:qFormat/>
    <w:uiPriority w:val="0"/>
  </w:style>
  <w:style w:type="character" w:customStyle="1" w:styleId="30">
    <w:name w:val="WW8Num9z0"/>
    <w:qFormat/>
    <w:uiPriority w:val="0"/>
  </w:style>
  <w:style w:type="character" w:customStyle="1" w:styleId="31">
    <w:name w:val="WW8Num10z0"/>
    <w:qFormat/>
    <w:uiPriority w:val="0"/>
  </w:style>
  <w:style w:type="character" w:customStyle="1" w:styleId="32">
    <w:name w:val="WW8Num11z0"/>
    <w:qFormat/>
    <w:uiPriority w:val="0"/>
  </w:style>
  <w:style w:type="character" w:customStyle="1" w:styleId="33">
    <w:name w:val="WW8Num13z0"/>
    <w:qFormat/>
    <w:uiPriority w:val="0"/>
  </w:style>
  <w:style w:type="character" w:customStyle="1" w:styleId="34">
    <w:name w:val="WW8Num13z2"/>
    <w:qFormat/>
    <w:uiPriority w:val="0"/>
    <w:rPr>
      <w:rFonts w:cs="Times New Roman"/>
    </w:rPr>
  </w:style>
  <w:style w:type="character" w:customStyle="1" w:styleId="35">
    <w:name w:val="WW8Num16z0"/>
    <w:qFormat/>
    <w:uiPriority w:val="0"/>
    <w:rPr>
      <w:lang w:val="en-US"/>
    </w:rPr>
  </w:style>
  <w:style w:type="character" w:customStyle="1" w:styleId="36">
    <w:name w:val="正文文本 Char"/>
    <w:qFormat/>
    <w:uiPriority w:val="0"/>
    <w:rPr>
      <w:rFonts w:eastAsia="宋体"/>
      <w:kern w:val="2"/>
      <w:sz w:val="21"/>
      <w:szCs w:val="24"/>
      <w:lang w:val="en-US" w:eastAsia="zh-CN" w:bidi="ar-SA"/>
    </w:rPr>
  </w:style>
  <w:style w:type="character" w:customStyle="1" w:styleId="37">
    <w:name w:val="纯文本 Char"/>
    <w:qFormat/>
    <w:uiPriority w:val="0"/>
    <w:rPr>
      <w:rFonts w:ascii="宋体" w:hAnsi="宋体"/>
      <w:color w:val="000000"/>
      <w:kern w:val="2"/>
      <w:sz w:val="21"/>
    </w:rPr>
  </w:style>
  <w:style w:type="character" w:customStyle="1" w:styleId="38">
    <w:name w:val="日期 Char"/>
    <w:qFormat/>
    <w:uiPriority w:val="0"/>
    <w:rPr>
      <w:rFonts w:ascii="Arial" w:hAnsi="Arial" w:eastAsia="仿宋_GB2312;仿宋" w:cs="Arial"/>
      <w:color w:val="000000"/>
      <w:kern w:val="2"/>
      <w:sz w:val="32"/>
      <w:lang w:val="en-US" w:eastAsia="zh-CN" w:bidi="ar-SA"/>
    </w:rPr>
  </w:style>
  <w:style w:type="character" w:customStyle="1" w:styleId="39">
    <w:name w:val="页脚 Char"/>
    <w:qFormat/>
    <w:uiPriority w:val="0"/>
    <w:rPr>
      <w:rFonts w:eastAsia="宋体"/>
      <w:kern w:val="2"/>
      <w:sz w:val="18"/>
      <w:szCs w:val="18"/>
      <w:lang w:val="en-US" w:eastAsia="zh-CN" w:bidi="ar-SA"/>
    </w:rPr>
  </w:style>
  <w:style w:type="character" w:customStyle="1" w:styleId="40">
    <w:name w:val="页眉 Char"/>
    <w:qFormat/>
    <w:uiPriority w:val="0"/>
    <w:rPr>
      <w:rFonts w:eastAsia="宋体"/>
      <w:kern w:val="2"/>
      <w:sz w:val="18"/>
      <w:szCs w:val="18"/>
      <w:lang w:val="en-US" w:eastAsia="zh-CN" w:bidi="ar-SA"/>
    </w:rPr>
  </w:style>
  <w:style w:type="character" w:customStyle="1" w:styleId="41">
    <w:name w:val="Strong Emphasis"/>
    <w:basedOn w:val="23"/>
    <w:qFormat/>
    <w:uiPriority w:val="0"/>
    <w:rPr>
      <w:b/>
    </w:rPr>
  </w:style>
  <w:style w:type="character" w:customStyle="1" w:styleId="42">
    <w:name w:val="HTML 样本1"/>
    <w:basedOn w:val="23"/>
    <w:qFormat/>
    <w:uiPriority w:val="0"/>
    <w:rPr>
      <w:rFonts w:ascii="Courier New" w:hAnsi="Courier New" w:cs="Courier New"/>
    </w:rPr>
  </w:style>
  <w:style w:type="character" w:customStyle="1" w:styleId="43">
    <w:name w:val="Body Text Char"/>
    <w:qFormat/>
    <w:uiPriority w:val="0"/>
    <w:rPr>
      <w:rFonts w:ascii="宋体" w:hAnsi="宋体" w:cs="Arial"/>
      <w:sz w:val="28"/>
    </w:rPr>
  </w:style>
  <w:style w:type="character" w:customStyle="1" w:styleId="44">
    <w:name w:val="Index Link"/>
    <w:qFormat/>
    <w:uiPriority w:val="0"/>
  </w:style>
  <w:style w:type="paragraph" w:customStyle="1" w:styleId="45">
    <w:name w:val="Heading"/>
    <w:basedOn w:val="1"/>
    <w:next w:val="8"/>
    <w:qFormat/>
    <w:uiPriority w:val="0"/>
    <w:pPr>
      <w:keepNext/>
      <w:spacing w:before="240" w:after="120"/>
    </w:pPr>
    <w:rPr>
      <w:rFonts w:ascii="Liberation Sans" w:hAnsi="Liberation Sans" w:eastAsia="Noto Sans CJK SC" w:cs="Lohit Devanagari"/>
      <w:sz w:val="28"/>
      <w:szCs w:val="28"/>
    </w:rPr>
  </w:style>
  <w:style w:type="paragraph" w:customStyle="1" w:styleId="46">
    <w:name w:val="Index"/>
    <w:basedOn w:val="1"/>
    <w:qFormat/>
    <w:uiPriority w:val="0"/>
    <w:pPr>
      <w:suppressLineNumbers/>
    </w:pPr>
    <w:rPr>
      <w:rFonts w:cs="Lohit Devanagari"/>
    </w:rPr>
  </w:style>
  <w:style w:type="paragraph" w:customStyle="1" w:styleId="47">
    <w:name w:val="正文缩进1"/>
    <w:basedOn w:val="1"/>
    <w:qFormat/>
    <w:uiPriority w:val="0"/>
    <w:pPr>
      <w:spacing w:line="360" w:lineRule="atLeast"/>
      <w:ind w:firstLine="482"/>
      <w:textAlignment w:val="baseline"/>
    </w:pPr>
    <w:rPr>
      <w:kern w:val="0"/>
      <w:sz w:val="24"/>
      <w:szCs w:val="20"/>
    </w:rPr>
  </w:style>
  <w:style w:type="paragraph" w:customStyle="1" w:styleId="48">
    <w:name w:val="引文目录标题1"/>
    <w:basedOn w:val="1"/>
    <w:next w:val="1"/>
    <w:qFormat/>
    <w:uiPriority w:val="0"/>
    <w:pPr>
      <w:autoSpaceDE w:val="0"/>
      <w:snapToGrid w:val="0"/>
      <w:spacing w:before="120" w:after="0" w:line="360" w:lineRule="auto"/>
    </w:pPr>
    <w:rPr>
      <w:rFonts w:ascii="Arial" w:hAnsi="Arial" w:cs="Arial"/>
      <w:color w:val="000000"/>
      <w:kern w:val="0"/>
      <w:szCs w:val="20"/>
    </w:rPr>
  </w:style>
  <w:style w:type="paragraph" w:customStyle="1" w:styleId="49">
    <w:name w:val="批注文字1"/>
    <w:basedOn w:val="1"/>
    <w:qFormat/>
    <w:uiPriority w:val="0"/>
    <w:pPr>
      <w:jc w:val="left"/>
    </w:pPr>
  </w:style>
  <w:style w:type="paragraph" w:customStyle="1" w:styleId="50">
    <w:name w:val="纯文本1"/>
    <w:basedOn w:val="1"/>
    <w:qFormat/>
    <w:uiPriority w:val="0"/>
    <w:rPr>
      <w:rFonts w:ascii="宋体" w:hAnsi="宋体"/>
      <w:color w:val="000000"/>
      <w:szCs w:val="20"/>
    </w:rPr>
  </w:style>
  <w:style w:type="paragraph" w:customStyle="1" w:styleId="51">
    <w:name w:val="日期1"/>
    <w:basedOn w:val="1"/>
    <w:next w:val="1"/>
    <w:qFormat/>
    <w:uiPriority w:val="0"/>
    <w:rPr>
      <w:rFonts w:ascii="Arial" w:hAnsi="Arial" w:eastAsia="仿宋_GB2312;仿宋" w:cs="Arial"/>
      <w:color w:val="000000"/>
      <w:sz w:val="32"/>
      <w:szCs w:val="20"/>
    </w:rPr>
  </w:style>
  <w:style w:type="paragraph" w:customStyle="1" w:styleId="52">
    <w:name w:val="Header and Footer"/>
    <w:basedOn w:val="1"/>
    <w:qFormat/>
    <w:uiPriority w:val="0"/>
    <w:pPr>
      <w:suppressLineNumbers/>
      <w:tabs>
        <w:tab w:val="center" w:pos="4986"/>
        <w:tab w:val="right" w:pos="9972"/>
      </w:tabs>
    </w:pPr>
  </w:style>
  <w:style w:type="paragraph" w:customStyle="1" w:styleId="53">
    <w:name w:val="索引 71"/>
    <w:basedOn w:val="1"/>
    <w:next w:val="1"/>
    <w:qFormat/>
    <w:uiPriority w:val="0"/>
    <w:pPr>
      <w:autoSpaceDE/>
      <w:ind w:left="1200" w:firstLine="0"/>
    </w:pPr>
    <w:rPr>
      <w:color w:val="000000"/>
      <w:kern w:val="2"/>
      <w:szCs w:val="24"/>
    </w:rPr>
  </w:style>
  <w:style w:type="paragraph" w:customStyle="1" w:styleId="54">
    <w:name w:val="正文文本 21"/>
    <w:basedOn w:val="1"/>
    <w:qFormat/>
    <w:uiPriority w:val="0"/>
    <w:pPr>
      <w:tabs>
        <w:tab w:val="left" w:pos="0"/>
      </w:tabs>
      <w:spacing w:line="400" w:lineRule="atLeast"/>
    </w:pPr>
    <w:rPr>
      <w:rFonts w:ascii="Arial" w:hAnsi="Arial" w:cs="Arial"/>
      <w:color w:val="000000"/>
    </w:rPr>
  </w:style>
  <w:style w:type="paragraph" w:customStyle="1" w:styleId="55">
    <w:name w:val="正文首行缩进1"/>
    <w:basedOn w:val="8"/>
    <w:next w:val="1"/>
    <w:qFormat/>
    <w:uiPriority w:val="0"/>
    <w:pPr>
      <w:spacing w:before="0" w:after="120" w:line="240" w:lineRule="auto"/>
      <w:ind w:firstLine="420"/>
      <w:jc w:val="both"/>
    </w:pPr>
    <w:rPr>
      <w:rFonts w:ascii="Times New Roman" w:hAnsi="Times New Roman"/>
      <w:kern w:val="2"/>
      <w:sz w:val="21"/>
      <w:szCs w:val="24"/>
    </w:rPr>
  </w:style>
  <w:style w:type="paragraph" w:customStyle="1" w:styleId="56">
    <w:name w:val="正文首行缩进 21"/>
    <w:basedOn w:val="9"/>
    <w:next w:val="47"/>
    <w:qFormat/>
    <w:uiPriority w:val="0"/>
    <w:pPr>
      <w:spacing w:before="0" w:after="120" w:line="240" w:lineRule="auto"/>
      <w:ind w:left="420" w:firstLine="420"/>
    </w:pPr>
    <w:rPr>
      <w:rFonts w:cs="宋体"/>
      <w:sz w:val="21"/>
      <w:szCs w:val="21"/>
    </w:rPr>
  </w:style>
  <w:style w:type="paragraph" w:customStyle="1" w:styleId="57">
    <w:name w:val="_Style 2"/>
    <w:basedOn w:val="1"/>
    <w:next w:val="1"/>
    <w:qFormat/>
    <w:uiPriority w:val="0"/>
    <w:pPr>
      <w:ind w:firstLine="200"/>
    </w:pPr>
    <w:rPr>
      <w:rFonts w:ascii="Calibri" w:hAnsi="Calibri" w:cs="Calibri"/>
      <w:sz w:val="28"/>
      <w:szCs w:val="22"/>
    </w:rPr>
  </w:style>
  <w:style w:type="paragraph" w:customStyle="1" w:styleId="58">
    <w:name w:val="样式 样式 样式 左侧:  2 字符1 + 首行缩进:  2 字符1 + 首行缩进:  2 字符"/>
    <w:basedOn w:val="1"/>
    <w:qFormat/>
    <w:uiPriority w:val="0"/>
    <w:pPr>
      <w:widowControl/>
      <w:spacing w:before="60" w:after="120" w:line="440" w:lineRule="atLeast"/>
      <w:ind w:firstLine="480"/>
    </w:pPr>
    <w:rPr>
      <w:sz w:val="24"/>
    </w:rPr>
  </w:style>
  <w:style w:type="paragraph" w:customStyle="1" w:styleId="59">
    <w:name w:val="Body text|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60">
    <w:name w:val="WPS Plain"/>
    <w:qFormat/>
    <w:uiPriority w:val="0"/>
    <w:pPr>
      <w:widowControl/>
      <w:suppressAutoHyphens/>
      <w:bidi w:val="0"/>
    </w:pPr>
    <w:rPr>
      <w:rFonts w:ascii="Times New Roman" w:hAnsi="Times New Roman" w:eastAsia="宋体" w:cs="Times New Roman"/>
      <w:color w:val="auto"/>
      <w:sz w:val="20"/>
      <w:szCs w:val="20"/>
      <w:lang w:val="en-US" w:eastAsia="zh-CN" w:bidi="ar-SA"/>
    </w:rPr>
  </w:style>
  <w:style w:type="paragraph" w:customStyle="1" w:styleId="61">
    <w:name w:val="正文_7"/>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62">
    <w:name w:val="标书正文"/>
    <w:basedOn w:val="1"/>
    <w:qFormat/>
    <w:uiPriority w:val="0"/>
    <w:pPr>
      <w:spacing w:line="560" w:lineRule="exact"/>
      <w:ind w:firstLine="723"/>
      <w:jc w:val="center"/>
    </w:pPr>
    <w:rPr>
      <w:rFonts w:ascii="仿宋_GB2312;仿宋" w:hAnsi="仿宋_GB2312;仿宋" w:eastAsia="仿宋_GB2312;仿宋"/>
      <w:b/>
      <w:sz w:val="36"/>
    </w:rPr>
  </w:style>
  <w:style w:type="paragraph" w:customStyle="1" w:styleId="63">
    <w:name w:val="无间隔1"/>
    <w:qFormat/>
    <w:uiPriority w:val="0"/>
    <w:pPr>
      <w:widowControl w:val="0"/>
      <w:suppressAutoHyphens/>
      <w:bidi w:val="0"/>
      <w:jc w:val="center"/>
    </w:pPr>
    <w:rPr>
      <w:rFonts w:ascii="宋体" w:hAnsi="宋体" w:eastAsia="宋体" w:cs="Times New Roman"/>
      <w:color w:val="auto"/>
      <w:kern w:val="2"/>
      <w:sz w:val="24"/>
      <w:szCs w:val="22"/>
      <w:lang w:val="en-US" w:eastAsia="zh-CN" w:bidi="ar-SA"/>
    </w:rPr>
  </w:style>
  <w:style w:type="paragraph" w:customStyle="1" w:styleId="64">
    <w:name w:val="AONormal"/>
    <w:qFormat/>
    <w:uiPriority w:val="0"/>
    <w:pPr>
      <w:widowControl/>
      <w:suppressAutoHyphens/>
      <w:autoSpaceDE w:val="0"/>
      <w:bidi w:val="0"/>
      <w:spacing w:line="400" w:lineRule="exact"/>
      <w:ind w:firstLine="440"/>
    </w:pPr>
    <w:rPr>
      <w:rFonts w:ascii="华文楷体;宋体" w:hAnsi="华文楷体;宋体" w:eastAsia="华文楷体;宋体" w:cs="华文楷体;宋体"/>
      <w:color w:val="auto"/>
      <w:sz w:val="22"/>
      <w:szCs w:val="21"/>
      <w:lang w:val="en-US" w:eastAsia="zh-CN" w:bidi="ar-SA"/>
    </w:rPr>
  </w:style>
  <w:style w:type="paragraph" w:customStyle="1" w:styleId="65">
    <w:name w:val="正文（绿盟科技）"/>
    <w:qFormat/>
    <w:uiPriority w:val="0"/>
    <w:pPr>
      <w:widowControl/>
      <w:suppressAutoHyphens/>
      <w:bidi w:val="0"/>
      <w:spacing w:line="300" w:lineRule="auto"/>
    </w:pPr>
    <w:rPr>
      <w:rFonts w:ascii="Arial" w:hAnsi="Arial" w:eastAsia="宋体" w:cs="黑体"/>
      <w:color w:val="auto"/>
      <w:sz w:val="21"/>
      <w:szCs w:val="21"/>
      <w:lang w:val="en-US" w:eastAsia="zh-CN" w:bidi="ar-SA"/>
    </w:rPr>
  </w:style>
  <w:style w:type="paragraph" w:customStyle="1" w:styleId="66">
    <w:name w:val="标题 5（有编号）（绿盟科技）"/>
    <w:basedOn w:val="1"/>
    <w:next w:val="65"/>
    <w:qFormat/>
    <w:uiPriority w:val="0"/>
    <w:pPr>
      <w:keepNext/>
      <w:keepLines/>
      <w:numPr>
        <w:ilvl w:val="0"/>
        <w:numId w:val="2"/>
      </w:numPr>
      <w:spacing w:before="280" w:after="156" w:line="376" w:lineRule="auto"/>
      <w:jc w:val="left"/>
      <w:outlineLvl w:val="4"/>
    </w:pPr>
    <w:rPr>
      <w:rFonts w:ascii="Arial" w:hAnsi="Arial" w:eastAsia="黑体" w:cs="Arial"/>
      <w:b/>
      <w:sz w:val="24"/>
      <w:szCs w:val="28"/>
    </w:rPr>
  </w:style>
  <w:style w:type="paragraph" w:styleId="67">
    <w:name w:val="No Spacing"/>
    <w:basedOn w:val="1"/>
    <w:qFormat/>
    <w:uiPriority w:val="0"/>
    <w:pPr>
      <w:widowControl w:val="0"/>
      <w:jc w:val="both"/>
    </w:pPr>
    <w:rPr>
      <w:rFonts w:ascii="Times New Roman" w:hAnsi="Times New Roman" w:eastAsia="Times New Roman" w:cs="Times New Roman"/>
      <w:kern w:val="2"/>
      <w:sz w:val="21"/>
      <w:lang w:val="en-US" w:eastAsia="zh-CN" w:bidi="ar-SA"/>
    </w:rPr>
  </w:style>
  <w:style w:type="paragraph" w:customStyle="1" w:styleId="68">
    <w:name w:val="Normal_9"/>
    <w:qFormat/>
    <w:uiPriority w:val="0"/>
    <w:pPr>
      <w:widowControl/>
      <w:suppressAutoHyphens/>
      <w:bidi w:val="0"/>
    </w:pPr>
    <w:rPr>
      <w:rFonts w:ascii="黑体" w:hAnsi="黑体" w:eastAsia="黑体" w:cs="Times New Roman"/>
      <w:b/>
      <w:color w:val="auto"/>
      <w:sz w:val="32"/>
      <w:szCs w:val="24"/>
      <w:lang w:val="en-US" w:eastAsia="zh-CN" w:bidi="ar-SA"/>
    </w:rPr>
  </w:style>
  <w:style w:type="paragraph" w:customStyle="1" w:styleId="69">
    <w:name w:val="正文_17"/>
    <w:qFormat/>
    <w:uiPriority w:val="0"/>
    <w:pPr>
      <w:widowControl w:val="0"/>
      <w:suppressAutoHyphens/>
      <w:bidi w:val="0"/>
      <w:jc w:val="both"/>
    </w:pPr>
    <w:rPr>
      <w:rFonts w:ascii="Calibri" w:hAnsi="Calibri" w:eastAsia="宋体" w:cs="Times New Roman"/>
      <w:color w:val="auto"/>
      <w:kern w:val="2"/>
      <w:sz w:val="21"/>
      <w:szCs w:val="22"/>
      <w:lang w:val="en-US" w:eastAsia="zh-CN" w:bidi="ar-SA"/>
    </w:rPr>
  </w:style>
  <w:style w:type="paragraph" w:customStyle="1" w:styleId="70">
    <w:name w:val="正文_6"/>
    <w:qFormat/>
    <w:uiPriority w:val="0"/>
    <w:pPr>
      <w:widowControl w:val="0"/>
      <w:suppressAutoHyphens/>
      <w:bidi w:val="0"/>
      <w:jc w:val="both"/>
    </w:pPr>
    <w:rPr>
      <w:rFonts w:ascii="Times New Roman" w:hAnsi="Times New Roman" w:eastAsia="宋体" w:cs="Times New Roman"/>
      <w:color w:val="auto"/>
      <w:kern w:val="2"/>
      <w:sz w:val="21"/>
      <w:szCs w:val="22"/>
      <w:lang w:val="en-US" w:eastAsia="zh-CN" w:bidi="ar-SA"/>
    </w:rPr>
  </w:style>
  <w:style w:type="paragraph" w:customStyle="1" w:styleId="71">
    <w:name w:val="Other|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72">
    <w:name w:val="Char"/>
    <w:basedOn w:val="1"/>
    <w:next w:val="1"/>
    <w:qFormat/>
    <w:uiPriority w:val="0"/>
    <w:pPr>
      <w:widowControl/>
      <w:spacing w:line="360" w:lineRule="auto"/>
      <w:jc w:val="left"/>
    </w:pPr>
    <w:rPr>
      <w:kern w:val="0"/>
      <w:szCs w:val="20"/>
      <w:lang w:eastAsia="en-US"/>
    </w:rPr>
  </w:style>
  <w:style w:type="paragraph" w:customStyle="1" w:styleId="73">
    <w:name w:val="Table Text"/>
    <w:basedOn w:val="1"/>
    <w:qFormat/>
    <w:uiPriority w:val="0"/>
    <w:rPr>
      <w:rFonts w:ascii="宋体" w:hAnsi="宋体" w:eastAsia="宋体" w:cs="宋体"/>
      <w:sz w:val="24"/>
      <w:szCs w:val="24"/>
      <w:lang w:val="en-US" w:eastAsia="en-US" w:bidi="ar-SA"/>
    </w:rPr>
  </w:style>
  <w:style w:type="paragraph" w:customStyle="1" w:styleId="74">
    <w:name w:val="列出段落1"/>
    <w:basedOn w:val="1"/>
    <w:qFormat/>
    <w:uiPriority w:val="0"/>
    <w:pPr>
      <w:ind w:firstLine="420"/>
    </w:pPr>
    <w:rPr>
      <w:rFonts w:ascii="Calibri" w:hAnsi="Calibri" w:cs="Calibri"/>
      <w:szCs w:val="22"/>
    </w:rPr>
  </w:style>
  <w:style w:type="paragraph" w:customStyle="1" w:styleId="75">
    <w:name w:val="black1"/>
    <w:basedOn w:val="1"/>
    <w:qFormat/>
    <w:uiPriority w:val="0"/>
    <w:pPr>
      <w:widowControl/>
      <w:spacing w:before="100" w:after="100" w:line="280" w:lineRule="atLeast"/>
      <w:jc w:val="left"/>
    </w:pPr>
    <w:rPr>
      <w:rFonts w:ascii="_x005F_x000B__x005F_x000C_;Cour" w:hAnsi="_x005F_x000B__x005F_x000C_;Cour" w:cs="_x005F_x000B__x005F_x000C_;Cour"/>
      <w:color w:val="000000"/>
      <w:kern w:val="0"/>
      <w:sz w:val="18"/>
      <w:szCs w:val="18"/>
    </w:rPr>
  </w:style>
  <w:style w:type="paragraph" w:customStyle="1" w:styleId="76">
    <w:name w:val="图例"/>
    <w:basedOn w:val="1"/>
    <w:qFormat/>
    <w:uiPriority w:val="0"/>
    <w:pPr>
      <w:spacing w:before="120" w:after="120" w:line="360" w:lineRule="auto"/>
      <w:jc w:val="center"/>
    </w:pPr>
    <w:rPr>
      <w:rFonts w:eastAsia="仿宋_GB2312;仿宋"/>
      <w:b/>
      <w:sz w:val="24"/>
    </w:rPr>
  </w:style>
  <w:style w:type="paragraph" w:customStyle="1" w:styleId="77">
    <w:name w:val="p0"/>
    <w:basedOn w:val="1"/>
    <w:qFormat/>
    <w:uiPriority w:val="0"/>
    <w:pPr>
      <w:widowControl/>
      <w:jc w:val="left"/>
    </w:pPr>
    <w:rPr>
      <w:rFonts w:ascii="宋体" w:hAnsi="宋体" w:cs="宋体"/>
      <w:kern w:val="0"/>
      <w:sz w:val="18"/>
      <w:szCs w:val="18"/>
    </w:rPr>
  </w:style>
  <w:style w:type="paragraph" w:customStyle="1" w:styleId="78">
    <w:name w:val="Table Paragraph"/>
    <w:basedOn w:val="1"/>
    <w:qFormat/>
    <w:uiPriority w:val="0"/>
  </w:style>
  <w:style w:type="paragraph" w:customStyle="1" w:styleId="79">
    <w:name w:val="节标题"/>
    <w:basedOn w:val="1"/>
    <w:next w:val="1"/>
    <w:qFormat/>
    <w:uiPriority w:val="0"/>
    <w:pPr>
      <w:widowControl/>
      <w:spacing w:line="289" w:lineRule="atLeast"/>
      <w:jc w:val="center"/>
      <w:textAlignment w:val="baseline"/>
    </w:pPr>
    <w:rPr>
      <w:color w:val="000000"/>
      <w:kern w:val="0"/>
      <w:sz w:val="28"/>
      <w:szCs w:val="20"/>
    </w:rPr>
  </w:style>
  <w:style w:type="paragraph" w:customStyle="1" w:styleId="80">
    <w:name w:val="Default"/>
    <w:qFormat/>
    <w:uiPriority w:val="0"/>
    <w:pPr>
      <w:widowControl w:val="0"/>
      <w:suppressAutoHyphens/>
      <w:autoSpaceDE w:val="0"/>
      <w:bidi w:val="0"/>
    </w:pPr>
    <w:rPr>
      <w:rFonts w:ascii="宋体" w:hAnsi="宋体" w:eastAsia="宋体" w:cs="宋体"/>
      <w:color w:val="000000"/>
      <w:sz w:val="24"/>
      <w:szCs w:val="24"/>
      <w:lang w:val="en-US" w:eastAsia="zh-CN" w:bidi="ar-SA"/>
    </w:rPr>
  </w:style>
  <w:style w:type="paragraph" w:customStyle="1" w:styleId="81">
    <w:name w:val="_Style 6"/>
    <w:basedOn w:val="2"/>
    <w:next w:val="1"/>
    <w:qFormat/>
    <w:uiPriority w:val="0"/>
    <w:pPr>
      <w:tabs>
        <w:tab w:val="left" w:pos="540"/>
      </w:tabs>
      <w:outlineLvl w:val="9"/>
    </w:pPr>
  </w:style>
  <w:style w:type="paragraph" w:customStyle="1" w:styleId="82">
    <w:name w:val="样式 左侧:  0 厘米 悬挂缩进: 2.5 字符"/>
    <w:basedOn w:val="1"/>
    <w:qFormat/>
    <w:uiPriority w:val="0"/>
    <w:pPr>
      <w:ind w:left="525" w:hanging="525"/>
    </w:pPr>
    <w:rPr>
      <w:szCs w:val="20"/>
    </w:rPr>
  </w:style>
  <w:style w:type="paragraph" w:customStyle="1" w:styleId="83">
    <w:name w:val="无间隔2"/>
    <w:qFormat/>
    <w:uiPriority w:val="0"/>
    <w:pPr>
      <w:widowControl w:val="0"/>
      <w:suppressAutoHyphens/>
      <w:bidi w:val="0"/>
      <w:jc w:val="both"/>
    </w:pPr>
    <w:rPr>
      <w:rFonts w:ascii="Calibri" w:hAnsi="Calibri" w:eastAsia="Times New Roman" w:cs="Times New Roman"/>
      <w:color w:val="auto"/>
      <w:kern w:val="2"/>
      <w:sz w:val="21"/>
      <w:szCs w:val="20"/>
      <w:lang w:val="en-US" w:eastAsia="zh-CN" w:bidi="ar-SA"/>
    </w:rPr>
  </w:style>
  <w:style w:type="paragraph" w:customStyle="1" w:styleId="84">
    <w:name w:val="列出段落"/>
    <w:basedOn w:val="1"/>
    <w:qFormat/>
    <w:uiPriority w:val="0"/>
    <w:pPr>
      <w:spacing w:line="360" w:lineRule="auto"/>
      <w:ind w:firstLine="420"/>
    </w:pPr>
    <w:rPr>
      <w:rFonts w:ascii="宋体" w:hAnsi="宋体" w:cs="宋体"/>
      <w:sz w:val="24"/>
    </w:rPr>
  </w:style>
  <w:style w:type="paragraph" w:customStyle="1" w:styleId="85">
    <w:name w:val="Body 1"/>
    <w:qFormat/>
    <w:uiPriority w:val="0"/>
    <w:pPr>
      <w:widowControl/>
      <w:suppressAutoHyphens/>
      <w:bidi w:val="0"/>
      <w:outlineLvl w:val="0"/>
    </w:pPr>
    <w:rPr>
      <w:rFonts w:ascii="Helvetica;Arial" w:hAnsi="Helvetica;Arial" w:eastAsia="ヒラギノ角ゴ Pro W3;Yu Gothic" w:cs="Helvetica;Arial"/>
      <w:color w:val="000000"/>
      <w:sz w:val="22"/>
      <w:szCs w:val="20"/>
      <w:lang w:val="en-US" w:eastAsia="zh-CN" w:bidi="ar-SA"/>
    </w:rPr>
  </w:style>
  <w:style w:type="paragraph" w:customStyle="1" w:styleId="86">
    <w:name w:val="正文1"/>
    <w:qFormat/>
    <w:uiPriority w:val="0"/>
    <w:pPr>
      <w:widowControl/>
      <w:suppressAutoHyphens/>
      <w:bidi w:val="0"/>
    </w:pPr>
    <w:rPr>
      <w:rFonts w:ascii="Calibri" w:hAnsi="Calibri" w:eastAsia="Times New Roman" w:cs="Times New Roman"/>
      <w:color w:val="auto"/>
      <w:sz w:val="24"/>
      <w:szCs w:val="24"/>
      <w:lang w:val="en-US" w:eastAsia="zh-CN" w:bidi="ar-SA"/>
    </w:rPr>
  </w:style>
  <w:style w:type="paragraph" w:customStyle="1" w:styleId="87">
    <w:name w:val="正文格式"/>
    <w:basedOn w:val="1"/>
    <w:qFormat/>
    <w:uiPriority w:val="0"/>
    <w:pPr>
      <w:widowControl/>
      <w:snapToGrid w:val="0"/>
      <w:spacing w:line="400" w:lineRule="atLeast"/>
      <w:ind w:firstLine="482"/>
      <w:textAlignment w:val="baseline"/>
    </w:pPr>
    <w:rPr>
      <w:rFonts w:ascii="Times New Roman" w:hAnsi="Times New Roman" w:cs="Times New Roman"/>
      <w:kern w:val="0"/>
      <w:sz w:val="24"/>
    </w:rPr>
  </w:style>
  <w:style w:type="paragraph" w:customStyle="1" w:styleId="88">
    <w:name w:val="Body text|2"/>
    <w:basedOn w:val="1"/>
    <w:qFormat/>
    <w:uiPriority w:val="0"/>
    <w:pPr>
      <w:widowControl w:val="0"/>
      <w:spacing w:before="0" w:after="260"/>
      <w:ind w:firstLine="140"/>
    </w:pPr>
    <w:rPr>
      <w:rFonts w:ascii="宋体" w:hAnsi="宋体" w:eastAsia="宋体" w:cs="宋体"/>
      <w:sz w:val="30"/>
      <w:szCs w:val="30"/>
      <w:u w:val="none"/>
      <w:shd w:val="clear" w:fill="auto"/>
      <w:lang w:val="zh-TW" w:eastAsia="zh-TW" w:bidi="zh-TW"/>
    </w:rPr>
  </w:style>
  <w:style w:type="paragraph" w:customStyle="1" w:styleId="89">
    <w:name w:val="Table Contents"/>
    <w:basedOn w:val="1"/>
    <w:qFormat/>
    <w:uiPriority w:val="0"/>
    <w:pPr>
      <w:widowControl w:val="0"/>
      <w:suppressLineNumbers/>
    </w:pPr>
  </w:style>
  <w:style w:type="paragraph" w:customStyle="1" w:styleId="90">
    <w:name w:val="Table Heading"/>
    <w:basedOn w:val="89"/>
    <w:qFormat/>
    <w:uiPriority w:val="0"/>
    <w:pPr>
      <w:suppressLineNumbers/>
      <w:jc w:val="center"/>
    </w:pPr>
    <w:rPr>
      <w:b/>
      <w:bCs/>
    </w:rPr>
  </w:style>
  <w:style w:type="paragraph" w:customStyle="1" w:styleId="91">
    <w:name w:val="Frame Contents"/>
    <w:basedOn w:val="1"/>
    <w:qFormat/>
    <w:uiPriority w:val="0"/>
  </w:style>
  <w:style w:type="paragraph" w:customStyle="1" w:styleId="92">
    <w:name w:val="Header Left"/>
    <w:basedOn w:val="14"/>
    <w:qFormat/>
    <w:uiPriority w:val="0"/>
    <w:pPr>
      <w:suppressLineNumbers/>
      <w:tabs>
        <w:tab w:val="center" w:pos="4927"/>
        <w:tab w:val="right" w:pos="9854"/>
        <w:tab w:val="clear" w:pos="4153"/>
        <w:tab w:val="clear" w:pos="8306"/>
      </w:tabs>
    </w:pPr>
  </w:style>
  <w:style w:type="table" w:customStyle="1" w:styleId="93">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171</Pages>
  <Words>28976</Words>
  <Characters>30489</Characters>
  <TotalTime>10</TotalTime>
  <ScaleCrop>false</ScaleCrop>
  <LinksUpToDate>false</LinksUpToDate>
  <CharactersWithSpaces>32273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2014-07-12T08:56:00Z</dcterms:created>
  <dc:creator>陈倩倩</dc:creator>
  <cp:lastModifiedBy>雯姐 </cp:lastModifiedBy>
  <cp:lastPrinted>2026-09-23T19:06:00Z</cp:lastPrinted>
  <dcterms:modified xsi:type="dcterms:W3CDTF">2026-09-24T10:50:58Z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BC71388A9F2C4CCB8539290CE00A888B_13</vt:lpwstr>
  </property>
  <property fmtid="{D5CDD505-2E9C-101B-9397-08002B2CF9AE}" pid="3" name="KSOProductBuildVer">
    <vt:lpwstr>2052-12.1.0.28505</vt:lpwstr>
  </property>
  <property fmtid="{D5CDD505-2E9C-101B-9397-08002B2CF9AE}" pid="4" name="KSOTemplateDocerSaveRecord">
    <vt:lpwstr>eyJoZGlkIjoiMjBmOGVlOTE4NGJlZWU2NDQ1NDljNDZkZTNiZTNlMjIiLCJ1c2VySWQiOiIzNDIxNDk0ODMifQ==</vt:lpwstr>
  </property>
  <property fmtid="{D5CDD505-2E9C-101B-9397-08002B2CF9AE}" pid="5" name="commondata">
    <vt:lpwstr>commondata</vt:lpwstr>
  </property>
</Properties>
</file>