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27A3CE2">
      <w:pPr>
        <w:jc w:val="center"/>
        <w:rPr>
          <w:rFonts w:ascii="新宋体" w:hAnsi="新宋体" w:eastAsia="新宋体" w:cs="Times New Roman"/>
          <w:b/>
          <w:color w:val="000000"/>
          <w:sz w:val="72"/>
          <w:szCs w:val="72"/>
          <w:highlight w:val="none"/>
          <w:u w:val="none"/>
          <w:lang w:eastAsia="zh-CN"/>
        </w:rPr>
      </w:pPr>
    </w:p>
    <w:p w14:paraId="52962B25">
      <w:pPr>
        <w:jc w:val="center"/>
        <w:rPr>
          <w:rFonts w:ascii="新宋体" w:hAnsi="新宋体" w:eastAsia="新宋体" w:cs="Times New Roman"/>
          <w:b/>
          <w:color w:val="000000"/>
          <w:sz w:val="72"/>
          <w:szCs w:val="72"/>
          <w:highlight w:val="none"/>
          <w:u w:val="none"/>
          <w:lang w:eastAsia="zh-CN"/>
        </w:rPr>
      </w:pPr>
      <w:r>
        <w:rPr>
          <w:rFonts w:hint="eastAsia" w:ascii="新宋体" w:hAnsi="新宋体" w:eastAsia="新宋体" w:cs="Times New Roman"/>
          <w:b/>
          <w:color w:val="000000"/>
          <w:sz w:val="60"/>
          <w:szCs w:val="60"/>
          <w:u w:val="none"/>
          <w:lang w:eastAsia="zh-CN"/>
        </w:rPr>
        <w:t>阿图什市人民医院老院区新生儿科病房改造提升项目</w:t>
      </w:r>
    </w:p>
    <w:p w14:paraId="1DE27A5B">
      <w:pPr>
        <w:jc w:val="both"/>
        <w:rPr>
          <w:rFonts w:ascii="叶根友毛笔行书2.0版;宋体" w:hAnsi="叶根友毛笔行书2.0版;宋体" w:eastAsia="叶根友毛笔行书2.0版;宋体" w:cs="叶根友毛笔行书2.0版;宋体"/>
          <w:b/>
          <w:color w:val="000000"/>
          <w:sz w:val="72"/>
          <w:szCs w:val="72"/>
          <w:highlight w:val="none"/>
          <w:u w:val="none"/>
          <w:lang w:eastAsia="zh-CN"/>
        </w:rPr>
      </w:pPr>
    </w:p>
    <w:p w14:paraId="0320A475">
      <w:pPr>
        <w:jc w:val="center"/>
        <w:rPr>
          <w:rFonts w:ascii="叶根友毛笔行书2.0版;宋体" w:hAnsi="叶根友毛笔行书2.0版;宋体" w:eastAsia="叶根友毛笔行书2.0版;宋体" w:cs="叶根友毛笔行书2.0版;宋体"/>
          <w:b/>
          <w:color w:val="000000"/>
          <w:sz w:val="72"/>
          <w:szCs w:val="72"/>
          <w:highlight w:val="none"/>
          <w:lang w:eastAsia="zh-CN"/>
        </w:rPr>
      </w:pPr>
      <w:r>
        <w:rPr>
          <w:rFonts w:ascii="叶根友毛笔行书2.0版;宋体" w:hAnsi="叶根友毛笔行书2.0版;宋体" w:eastAsia="叶根友毛笔行书2.0版;宋体" w:cs="叶根友毛笔行书2.0版;宋体"/>
          <w:b/>
          <w:color w:val="000000"/>
          <w:sz w:val="72"/>
          <w:szCs w:val="72"/>
          <w:lang w:eastAsia="zh-CN"/>
        </w:rPr>
        <w:t>磋</w:t>
      </w:r>
    </w:p>
    <w:p w14:paraId="06632EC1">
      <w:pPr>
        <w:jc w:val="center"/>
        <w:rPr>
          <w:rFonts w:ascii="叶根友毛笔行书2.0版;宋体" w:hAnsi="叶根友毛笔行书2.0版;宋体" w:eastAsia="叶根友毛笔行书2.0版;宋体" w:cs="叶根友毛笔行书2.0版;宋体"/>
          <w:b/>
          <w:color w:val="000000"/>
          <w:sz w:val="72"/>
          <w:szCs w:val="72"/>
          <w:highlight w:val="none"/>
          <w:lang w:eastAsia="zh-CN"/>
        </w:rPr>
      </w:pPr>
      <w:r>
        <w:rPr>
          <w:rFonts w:ascii="叶根友毛笔行书2.0版;宋体" w:hAnsi="叶根友毛笔行书2.0版;宋体" w:eastAsia="叶根友毛笔行书2.0版;宋体" w:cs="叶根友毛笔行书2.0版;宋体"/>
          <w:b/>
          <w:color w:val="000000"/>
          <w:sz w:val="72"/>
          <w:szCs w:val="72"/>
          <w:lang w:eastAsia="zh-CN"/>
        </w:rPr>
        <w:t>商</w:t>
      </w:r>
    </w:p>
    <w:p w14:paraId="5E4451AB">
      <w:pPr>
        <w:jc w:val="center"/>
        <w:rPr>
          <w:rFonts w:ascii="叶根友毛笔行书2.0版;宋体" w:hAnsi="叶根友毛笔行书2.0版;宋体" w:eastAsia="叶根友毛笔行书2.0版;宋体" w:cs="叶根友毛笔行书2.0版;宋体"/>
          <w:b/>
          <w:color w:val="000000"/>
          <w:sz w:val="72"/>
          <w:szCs w:val="72"/>
          <w:highlight w:val="none"/>
        </w:rPr>
      </w:pPr>
      <w:r>
        <w:rPr>
          <w:rFonts w:ascii="叶根友毛笔行书2.0版;宋体" w:hAnsi="叶根友毛笔行书2.0版;宋体" w:eastAsia="叶根友毛笔行书2.0版;宋体" w:cs="叶根友毛笔行书2.0版;宋体"/>
          <w:b/>
          <w:color w:val="000000"/>
          <w:sz w:val="72"/>
          <w:szCs w:val="72"/>
        </w:rPr>
        <w:t>文</w:t>
      </w:r>
    </w:p>
    <w:p w14:paraId="10EF4A94">
      <w:pPr>
        <w:jc w:val="center"/>
        <w:rPr>
          <w:rFonts w:ascii="叶根友毛笔行书2.0版;宋体" w:hAnsi="叶根友毛笔行书2.0版;宋体" w:eastAsia="叶根友毛笔行书2.0版;宋体" w:cs="叶根友毛笔行书2.0版;宋体"/>
          <w:b/>
          <w:color w:val="000000"/>
          <w:sz w:val="72"/>
          <w:szCs w:val="72"/>
          <w:highlight w:val="none"/>
        </w:rPr>
      </w:pPr>
      <w:r>
        <w:rPr>
          <w:rFonts w:ascii="叶根友毛笔行书2.0版;宋体" w:hAnsi="叶根友毛笔行书2.0版;宋体" w:eastAsia="叶根友毛笔行书2.0版;宋体" w:cs="叶根友毛笔行书2.0版;宋体"/>
          <w:b/>
          <w:color w:val="000000"/>
          <w:sz w:val="72"/>
          <w:szCs w:val="72"/>
        </w:rPr>
        <w:t>件</w:t>
      </w:r>
    </w:p>
    <w:p w14:paraId="3647B516">
      <w:pPr>
        <w:pStyle w:val="58"/>
        <w:rPr>
          <w:rFonts w:ascii="叶根友毛笔行书2.0版;宋体" w:hAnsi="叶根友毛笔行书2.0版;宋体" w:eastAsia="叶根友毛笔行书2.0版;宋体" w:cs="叶根友毛笔行书2.0版;宋体"/>
          <w:b/>
          <w:color w:val="000000"/>
          <w:sz w:val="72"/>
          <w:szCs w:val="72"/>
          <w:highlight w:val="none"/>
        </w:rPr>
      </w:pPr>
    </w:p>
    <w:p w14:paraId="263D4F41">
      <w:pPr>
        <w:widowControl/>
        <w:autoSpaceDE w:val="0"/>
        <w:spacing w:line="600" w:lineRule="auto"/>
        <w:ind w:right="-28" w:firstLine="840"/>
        <w:textAlignment w:val="bottom"/>
        <w:rPr>
          <w:rFonts w:ascii="宋体" w:hAnsi="宋体" w:cs="宋体"/>
          <w:b/>
          <w:sz w:val="28"/>
          <w:szCs w:val="22"/>
        </w:rPr>
      </w:pPr>
    </w:p>
    <w:p w14:paraId="4D69C575">
      <w:pPr>
        <w:widowControl/>
        <w:autoSpaceDE w:val="0"/>
        <w:spacing w:line="600" w:lineRule="auto"/>
        <w:ind w:right="-28" w:firstLine="840"/>
        <w:textAlignment w:val="bottom"/>
        <w:rPr>
          <w:rFonts w:ascii="宋体" w:hAnsi="宋体" w:cs="宋体"/>
          <w:b/>
          <w:sz w:val="28"/>
          <w:szCs w:val="22"/>
          <w:lang w:eastAsia="zh-CN"/>
        </w:rPr>
      </w:pPr>
      <w:r>
        <w:rPr>
          <w:rFonts w:ascii="宋体" w:hAnsi="宋体" w:cs="宋体"/>
          <w:b/>
          <w:sz w:val="28"/>
          <w:szCs w:val="22"/>
        </w:rPr>
        <w:t>采 购 人：</w:t>
      </w:r>
      <w:r>
        <w:rPr>
          <w:rFonts w:hint="eastAsia" w:ascii="宋体" w:hAnsi="宋体" w:cs="宋体"/>
          <w:b/>
          <w:sz w:val="28"/>
          <w:szCs w:val="22"/>
          <w:lang w:eastAsia="zh-CN"/>
        </w:rPr>
        <w:t>阿图什市人民医院</w:t>
      </w:r>
    </w:p>
    <w:p w14:paraId="3909CCCB">
      <w:pPr>
        <w:widowControl/>
        <w:autoSpaceDE w:val="0"/>
        <w:spacing w:line="600" w:lineRule="auto"/>
        <w:ind w:right="-28" w:firstLine="840"/>
        <w:textAlignment w:val="bottom"/>
        <w:rPr>
          <w:rFonts w:eastAsia="宋体"/>
          <w:lang w:val="en-US" w:eastAsia="zh-CN"/>
        </w:rPr>
      </w:pPr>
      <w:r>
        <w:rPr>
          <w:rFonts w:ascii="宋体" w:hAnsi="宋体" w:cs="宋体"/>
          <w:b/>
          <w:sz w:val="28"/>
          <w:szCs w:val="22"/>
        </w:rPr>
        <w:t>联系人及电话：</w:t>
      </w:r>
      <w:r>
        <w:rPr>
          <w:rFonts w:hint="eastAsia" w:ascii="宋体" w:hAnsi="宋体" w:cs="宋体"/>
          <w:b/>
          <w:sz w:val="28"/>
          <w:szCs w:val="22"/>
          <w:u w:val="single"/>
          <w:lang w:val="en-US" w:eastAsia="zh-CN"/>
        </w:rPr>
        <w:t>齐先生</w:t>
      </w:r>
      <w:r>
        <w:rPr>
          <w:rFonts w:ascii="宋体" w:hAnsi="宋体" w:cs="宋体"/>
          <w:b/>
          <w:sz w:val="28"/>
          <w:szCs w:val="22"/>
          <w:u w:val="single"/>
          <w:lang w:val="en-US" w:eastAsia="zh-CN"/>
        </w:rPr>
        <w:t>/</w:t>
      </w:r>
      <w:r>
        <w:rPr>
          <w:rFonts w:hint="eastAsia" w:ascii="宋体" w:hAnsi="宋体" w:cs="宋体"/>
          <w:b/>
          <w:sz w:val="28"/>
          <w:szCs w:val="22"/>
          <w:u w:val="single"/>
          <w:lang w:val="en-US" w:eastAsia="zh-CN"/>
        </w:rPr>
        <w:t>13209088390</w:t>
      </w:r>
    </w:p>
    <w:p w14:paraId="26855F6B">
      <w:pPr>
        <w:widowControl/>
        <w:autoSpaceDE w:val="0"/>
        <w:spacing w:line="600" w:lineRule="auto"/>
        <w:ind w:right="-28" w:firstLine="840"/>
        <w:textAlignment w:val="bottom"/>
        <w:rPr>
          <w:rFonts w:ascii="宋体" w:hAnsi="宋体" w:eastAsia="宋体" w:cs="宋体"/>
          <w:b/>
          <w:sz w:val="28"/>
          <w:szCs w:val="22"/>
          <w:lang w:eastAsia="zh-CN"/>
        </w:rPr>
      </w:pPr>
      <w:r>
        <w:rPr>
          <w:rFonts w:ascii="宋体" w:hAnsi="宋体" w:cs="宋体"/>
          <w:b/>
          <w:sz w:val="28"/>
          <w:szCs w:val="22"/>
        </w:rPr>
        <w:t>代理机构：</w:t>
      </w:r>
      <w:r>
        <w:rPr>
          <w:rFonts w:ascii="宋体" w:hAnsi="宋体" w:cs="宋体"/>
          <w:b/>
          <w:sz w:val="28"/>
          <w:szCs w:val="22"/>
          <w:lang w:eastAsia="zh-CN"/>
        </w:rPr>
        <w:t>新疆大成瑞祥建设项目管理咨询有限公司</w:t>
      </w:r>
    </w:p>
    <w:p w14:paraId="2E49B1C2">
      <w:pPr>
        <w:widowControl/>
        <w:autoSpaceDE w:val="0"/>
        <w:spacing w:line="600" w:lineRule="auto"/>
        <w:ind w:right="-28" w:firstLine="840"/>
        <w:textAlignment w:val="bottom"/>
        <w:rPr>
          <w:rFonts w:ascii="新宋体" w:hAnsi="新宋体" w:eastAsia="宋体" w:cs="新宋体"/>
          <w:b/>
          <w:bCs/>
          <w:color w:val="000000"/>
          <w:sz w:val="30"/>
          <w:szCs w:val="30"/>
          <w:lang w:val="en-US" w:eastAsia="zh-CN"/>
        </w:rPr>
      </w:pPr>
      <w:r>
        <w:rPr>
          <w:rFonts w:ascii="宋体" w:hAnsi="宋体" w:cs="宋体"/>
          <w:b/>
          <w:sz w:val="28"/>
          <w:szCs w:val="22"/>
        </w:rPr>
        <w:t>联系人及电话：</w:t>
      </w:r>
      <w:r>
        <w:rPr>
          <w:rFonts w:ascii="宋体" w:hAnsi="宋体" w:cs="宋体"/>
          <w:b/>
          <w:i w:val="0"/>
          <w:iCs w:val="0"/>
          <w:sz w:val="28"/>
          <w:szCs w:val="22"/>
          <w:u w:val="single"/>
          <w:lang w:val="en-US" w:eastAsia="zh-CN"/>
        </w:rPr>
        <w:t>施女士</w:t>
      </w:r>
      <w:r>
        <w:rPr>
          <w:rFonts w:ascii="宋体" w:hAnsi="宋体" w:cs="宋体"/>
          <w:b/>
          <w:sz w:val="28"/>
          <w:szCs w:val="22"/>
          <w:u w:val="single"/>
          <w:lang w:val="en-US" w:eastAsia="zh-CN"/>
        </w:rPr>
        <w:t>/19990496023</w:t>
      </w:r>
    </w:p>
    <w:p w14:paraId="3CA5777E">
      <w:pPr>
        <w:overflowPunct w:val="0"/>
        <w:spacing w:line="600" w:lineRule="auto"/>
        <w:ind w:firstLine="900"/>
        <w:rPr>
          <w:rFonts w:ascii="新宋体" w:hAnsi="新宋体" w:eastAsia="新宋体" w:cs="新宋体"/>
          <w:b/>
          <w:bCs/>
          <w:color w:val="000000"/>
          <w:sz w:val="30"/>
          <w:szCs w:val="30"/>
          <w:lang w:eastAsia="zh-CN"/>
        </w:rPr>
      </w:pPr>
      <w:r>
        <w:rPr>
          <w:rFonts w:ascii="新宋体" w:hAnsi="新宋体" w:eastAsia="新宋体" w:cs="新宋体"/>
          <w:b/>
          <w:bCs/>
          <w:color w:val="000000"/>
          <w:sz w:val="30"/>
          <w:szCs w:val="30"/>
        </w:rPr>
        <w:t>日    期：</w:t>
      </w:r>
      <w:r>
        <w:rPr>
          <w:rFonts w:ascii="新宋体" w:hAnsi="新宋体" w:eastAsia="新宋体" w:cs="新宋体"/>
          <w:b/>
          <w:bCs/>
          <w:color w:val="000000"/>
          <w:sz w:val="30"/>
          <w:szCs w:val="30"/>
          <w:lang w:eastAsia="zh-CN"/>
        </w:rPr>
        <w:t>202</w:t>
      </w:r>
      <w:r>
        <w:rPr>
          <w:rFonts w:ascii="新宋体" w:hAnsi="新宋体" w:eastAsia="新宋体" w:cs="新宋体"/>
          <w:b/>
          <w:bCs/>
          <w:color w:val="000000"/>
          <w:sz w:val="30"/>
          <w:szCs w:val="30"/>
          <w:lang w:val="en-US" w:eastAsia="zh-CN"/>
        </w:rPr>
        <w:t>6</w:t>
      </w:r>
      <w:r>
        <w:rPr>
          <w:rFonts w:ascii="新宋体" w:hAnsi="新宋体" w:eastAsia="新宋体" w:cs="新宋体"/>
          <w:b/>
          <w:bCs/>
          <w:color w:val="000000"/>
          <w:sz w:val="30"/>
          <w:szCs w:val="30"/>
          <w:lang w:eastAsia="zh-CN"/>
        </w:rPr>
        <w:t>年</w:t>
      </w:r>
      <w:r>
        <w:rPr>
          <w:rFonts w:hint="eastAsia" w:ascii="新宋体" w:hAnsi="新宋体" w:eastAsia="新宋体" w:cs="新宋体"/>
          <w:b/>
          <w:bCs/>
          <w:color w:val="000000"/>
          <w:sz w:val="30"/>
          <w:szCs w:val="30"/>
          <w:lang w:val="en-US" w:eastAsia="zh-CN"/>
        </w:rPr>
        <w:t>10</w:t>
      </w:r>
      <w:r>
        <w:rPr>
          <w:rFonts w:ascii="新宋体" w:hAnsi="新宋体" w:eastAsia="新宋体" w:cs="新宋体"/>
          <w:b/>
          <w:bCs/>
          <w:color w:val="000000"/>
          <w:sz w:val="30"/>
          <w:szCs w:val="30"/>
          <w:lang w:eastAsia="zh-CN"/>
        </w:rPr>
        <w:t>月</w:t>
      </w:r>
    </w:p>
    <w:p w14:paraId="492859ED">
      <w:pPr>
        <w:overflowPunct w:val="0"/>
        <w:spacing w:line="600" w:lineRule="auto"/>
        <w:ind w:firstLine="900"/>
        <w:rPr>
          <w:rFonts w:ascii="新宋体" w:hAnsi="新宋体" w:eastAsia="新宋体" w:cs="新宋体"/>
          <w:b/>
          <w:bCs/>
          <w:color w:val="000000"/>
          <w:sz w:val="30"/>
          <w:szCs w:val="30"/>
          <w:lang w:eastAsia="zh-CN"/>
        </w:rPr>
      </w:pPr>
    </w:p>
    <w:p w14:paraId="3E7FEA53">
      <w:pPr>
        <w:overflowPunct w:val="0"/>
        <w:spacing w:line="600" w:lineRule="auto"/>
        <w:ind w:firstLine="900"/>
        <w:rPr>
          <w:rFonts w:ascii="新宋体" w:hAnsi="新宋体" w:eastAsia="新宋体" w:cs="新宋体"/>
          <w:b/>
          <w:bCs/>
          <w:color w:val="000000"/>
          <w:sz w:val="30"/>
          <w:szCs w:val="30"/>
          <w:lang w:eastAsia="zh-CN"/>
        </w:rPr>
      </w:pPr>
    </w:p>
    <w:p w14:paraId="1DD2C212">
      <w:pPr>
        <w:jc w:val="center"/>
        <w:rPr>
          <w:b/>
          <w:color w:val="000000"/>
          <w:sz w:val="36"/>
          <w:highlight w:val="none"/>
        </w:rPr>
      </w:pPr>
      <w:r>
        <w:rPr>
          <w:b/>
          <w:color w:val="000000"/>
          <w:sz w:val="36"/>
        </w:rPr>
        <w:t>目</w:t>
      </w:r>
      <w:r>
        <w:rPr>
          <w:rFonts w:eastAsia="Times New Roman"/>
          <w:b/>
          <w:color w:val="000000"/>
          <w:sz w:val="36"/>
        </w:rPr>
        <w:t xml:space="preserve">  </w:t>
      </w:r>
      <w:r>
        <w:rPr>
          <w:b/>
          <w:color w:val="000000"/>
          <w:sz w:val="36"/>
        </w:rPr>
        <w:t>录</w:t>
      </w:r>
    </w:p>
    <w:p w14:paraId="168032F3">
      <w:pPr>
        <w:spacing w:line="360" w:lineRule="exact"/>
        <w:jc w:val="center"/>
        <w:rPr>
          <w:b/>
          <w:color w:val="000000"/>
          <w:sz w:val="36"/>
          <w:highlight w:val="none"/>
        </w:rPr>
      </w:pPr>
    </w:p>
    <w:sdt>
      <w:sdtPr>
        <w:id w:val="147478013"/>
        <w:docPartObj>
          <w:docPartGallery w:val="Table of Contents"/>
          <w:docPartUnique/>
        </w:docPartObj>
      </w:sdtPr>
      <w:sdtContent>
        <w:p w14:paraId="544909E0">
          <w:pPr>
            <w:pStyle w:val="15"/>
            <w:keepNext w:val="0"/>
            <w:keepLines w:val="0"/>
            <w:pageBreakBefore w:val="0"/>
            <w:widowControl w:val="0"/>
            <w:tabs>
              <w:tab w:val="left" w:pos="1050"/>
              <w:tab w:val="right" w:leader="dot" w:pos="8296"/>
            </w:tabs>
            <w:kinsoku/>
            <w:overflowPunct/>
            <w:autoSpaceDE/>
            <w:bidi w:val="0"/>
            <w:snapToGrid/>
            <w:spacing w:line="440" w:lineRule="exact"/>
            <w:ind w:firstLine="480"/>
            <w:textAlignment w:val="auto"/>
            <w:rPr>
              <w:rFonts w:ascii="宋体" w:hAnsi="宋体" w:cs="宋体"/>
              <w:color w:val="000000"/>
              <w:szCs w:val="22"/>
              <w:highlight w:val="none"/>
            </w:rPr>
          </w:pPr>
          <w:r>
            <w:fldChar w:fldCharType="begin"/>
          </w:r>
          <w:r>
            <w:rPr>
              <w:rStyle w:val="46"/>
              <w:rFonts w:ascii="宋体" w:hAnsi="宋体" w:cs="宋体"/>
              <w:bCs/>
              <w:color w:val="000000"/>
            </w:rPr>
            <w:instrText xml:space="preserve"> TOC \o "1-3" \h \z \u </w:instrText>
          </w:r>
          <w:r>
            <w:rPr>
              <w:rStyle w:val="46"/>
              <w:rFonts w:ascii="宋体" w:hAnsi="宋体" w:cs="宋体"/>
              <w:bCs/>
              <w:color w:val="000000"/>
            </w:rPr>
            <w:fldChar w:fldCharType="separate"/>
          </w:r>
          <w:r>
            <w:fldChar w:fldCharType="begin"/>
          </w:r>
          <w:r>
            <w:instrText xml:space="preserve"> HYPERLINK \l "__RefHeading___Toc469495720" \h </w:instrText>
          </w:r>
          <w:r>
            <w:fldChar w:fldCharType="separate"/>
          </w:r>
          <w:r>
            <w:rPr>
              <w:rStyle w:val="46"/>
              <w:rFonts w:ascii="宋体" w:hAnsi="宋体" w:cs="宋体"/>
              <w:bCs/>
              <w:color w:val="000000"/>
            </w:rPr>
            <w:t>第一章</w:t>
          </w:r>
          <w:r>
            <w:rPr>
              <w:rStyle w:val="46"/>
              <w:rFonts w:ascii="宋体" w:hAnsi="宋体" w:cs="宋体"/>
              <w:bCs/>
              <w:color w:val="000000"/>
              <w:lang w:val="en-US" w:eastAsia="zh-CN"/>
            </w:rPr>
            <w:t xml:space="preserve"> </w:t>
          </w:r>
          <w:r>
            <w:rPr>
              <w:rStyle w:val="46"/>
              <w:rFonts w:ascii="宋体" w:hAnsi="宋体" w:cs="宋体"/>
              <w:bCs/>
              <w:color w:val="000000"/>
            </w:rPr>
            <w:t>磋商公告</w:t>
          </w:r>
          <w:r>
            <w:rPr>
              <w:rStyle w:val="46"/>
              <w:rFonts w:ascii="宋体" w:hAnsi="宋体" w:cs="宋体"/>
              <w:color w:val="000000"/>
              <w:szCs w:val="22"/>
            </w:rPr>
            <w:tab/>
          </w:r>
          <w:r>
            <w:rPr>
              <w:rStyle w:val="46"/>
              <w:rFonts w:ascii="宋体" w:hAnsi="宋体" w:cs="宋体"/>
              <w:color w:val="000000"/>
              <w:szCs w:val="22"/>
              <w:lang w:val="en-US" w:eastAsia="zh-CN"/>
            </w:rPr>
            <w:t>4</w:t>
          </w:r>
          <w:r>
            <w:rPr>
              <w:rStyle w:val="46"/>
              <w:rFonts w:ascii="宋体" w:hAnsi="宋体" w:cs="宋体"/>
              <w:color w:val="000000"/>
              <w:szCs w:val="22"/>
              <w:lang w:val="en-US" w:eastAsia="zh-CN"/>
            </w:rPr>
            <w:fldChar w:fldCharType="end"/>
          </w:r>
        </w:p>
        <w:p w14:paraId="57674A9A">
          <w:pPr>
            <w:pStyle w:val="15"/>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cs="宋体"/>
              <w:color w:val="000000"/>
              <w:szCs w:val="22"/>
              <w:highlight w:val="none"/>
            </w:rPr>
          </w:pPr>
          <w:r>
            <w:fldChar w:fldCharType="begin"/>
          </w:r>
          <w:r>
            <w:instrText xml:space="preserve"> HYPERLINK \l "__RefHeading___Toc469495721" \h </w:instrText>
          </w:r>
          <w:r>
            <w:fldChar w:fldCharType="separate"/>
          </w:r>
          <w:r>
            <w:rPr>
              <w:rStyle w:val="46"/>
              <w:rFonts w:ascii="宋体" w:hAnsi="宋体" w:cs="宋体"/>
              <w:color w:val="000000"/>
            </w:rPr>
            <w:t>第二章 供应商须知</w:t>
          </w:r>
          <w:r>
            <w:rPr>
              <w:rStyle w:val="46"/>
              <w:rFonts w:ascii="宋体" w:hAnsi="宋体" w:cs="宋体"/>
              <w:color w:val="000000"/>
            </w:rPr>
            <w:tab/>
          </w:r>
          <w:r>
            <w:rPr>
              <w:rStyle w:val="46"/>
              <w:rFonts w:ascii="宋体" w:hAnsi="宋体" w:cs="宋体"/>
              <w:color w:val="000000"/>
              <w:lang w:val="en-US" w:eastAsia="zh-CN"/>
            </w:rPr>
            <w:t>8</w:t>
          </w:r>
          <w:r>
            <w:rPr>
              <w:rStyle w:val="46"/>
              <w:rFonts w:ascii="宋体" w:hAnsi="宋体" w:cs="宋体"/>
              <w:color w:val="000000"/>
              <w:lang w:val="en-US" w:eastAsia="zh-CN"/>
            </w:rPr>
            <w:fldChar w:fldCharType="end"/>
          </w:r>
        </w:p>
        <w:p w14:paraId="08C92331">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cs="宋体"/>
              <w:color w:val="000000"/>
              <w:szCs w:val="22"/>
              <w:highlight w:val="none"/>
            </w:rPr>
          </w:pPr>
          <w:r>
            <w:fldChar w:fldCharType="begin"/>
          </w:r>
          <w:r>
            <w:instrText xml:space="preserve"> HYPERLINK \l "__RefHeading___Toc469495722" \h </w:instrText>
          </w:r>
          <w:r>
            <w:fldChar w:fldCharType="separate"/>
          </w:r>
          <w:r>
            <w:rPr>
              <w:rStyle w:val="46"/>
              <w:rFonts w:ascii="宋体" w:hAnsi="宋体" w:cs="宋体"/>
              <w:color w:val="000000"/>
            </w:rPr>
            <w:t>一、供应商须知前附表</w:t>
          </w:r>
          <w:r>
            <w:rPr>
              <w:rStyle w:val="46"/>
              <w:rFonts w:ascii="宋体" w:hAnsi="宋体" w:cs="宋体"/>
              <w:color w:val="000000"/>
            </w:rPr>
            <w:tab/>
          </w:r>
          <w:r>
            <w:rPr>
              <w:rStyle w:val="46"/>
              <w:rFonts w:ascii="宋体" w:hAnsi="宋体" w:cs="宋体"/>
              <w:color w:val="000000"/>
              <w:lang w:val="en-US" w:eastAsia="zh-CN"/>
            </w:rPr>
            <w:t>8</w:t>
          </w:r>
          <w:r>
            <w:rPr>
              <w:rStyle w:val="46"/>
              <w:rFonts w:ascii="宋体" w:hAnsi="宋体" w:cs="宋体"/>
              <w:color w:val="000000"/>
              <w:lang w:val="en-US" w:eastAsia="zh-CN"/>
            </w:rPr>
            <w:fldChar w:fldCharType="end"/>
          </w:r>
        </w:p>
        <w:p w14:paraId="31E1B0F0">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"__RefHeading___Toc469495723" \h </w:instrText>
          </w:r>
          <w:r>
            <w:fldChar w:fldCharType="separate"/>
          </w:r>
          <w:r>
            <w:rPr>
              <w:rStyle w:val="46"/>
              <w:rFonts w:ascii="宋体" w:hAnsi="宋体" w:cs="宋体"/>
              <w:color w:val="000000"/>
            </w:rPr>
            <w:t>二、供应商须知</w:t>
          </w:r>
          <w:r>
            <w:rPr>
              <w:rStyle w:val="46"/>
              <w:rFonts w:ascii="宋体" w:hAnsi="宋体" w:cs="宋体"/>
              <w:color w:val="000000"/>
            </w:rPr>
            <w:tab/>
          </w:r>
          <w:r>
            <w:rPr>
              <w:rStyle w:val="46"/>
              <w:rFonts w:ascii="宋体" w:hAnsi="宋体" w:cs="宋体"/>
              <w:color w:val="000000"/>
              <w:lang w:val="en-US" w:eastAsia="zh-CN"/>
            </w:rPr>
            <w:t>1</w:t>
          </w:r>
          <w:r>
            <w:rPr>
              <w:rStyle w:val="46"/>
              <w:rFonts w:ascii="宋体" w:hAnsi="宋体" w:cs="宋体"/>
              <w:color w:val="000000"/>
              <w:lang w:val="en-US" w:eastAsia="zh-CN"/>
            </w:rPr>
            <w:fldChar w:fldCharType="end"/>
          </w:r>
          <w:r>
            <w:rPr>
              <w:rFonts w:ascii="宋体" w:hAnsi="宋体" w:cs="宋体"/>
              <w:color w:val="000000"/>
              <w:lang w:val="en-US" w:eastAsia="zh-CN"/>
            </w:rPr>
            <w:t>4</w:t>
          </w:r>
        </w:p>
        <w:p w14:paraId="0BB49300">
          <w:pPr>
            <w:pStyle w:val="15"/>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"__RefHeading___Toc469495731" \h </w:instrText>
          </w:r>
          <w:r>
            <w:fldChar w:fldCharType="separate"/>
          </w:r>
          <w:r>
            <w:rPr>
              <w:rStyle w:val="46"/>
              <w:rFonts w:ascii="宋体" w:hAnsi="宋体" w:cs="宋体"/>
              <w:color w:val="000000"/>
            </w:rPr>
            <w:t>第三章  评审办法</w:t>
          </w:r>
          <w:r>
            <w:rPr>
              <w:rStyle w:val="46"/>
              <w:rFonts w:ascii="宋体" w:hAnsi="宋体" w:cs="宋体"/>
              <w:color w:val="000000"/>
            </w:rPr>
            <w:tab/>
          </w:r>
          <w:r>
            <w:rPr>
              <w:rStyle w:val="46"/>
              <w:rFonts w:ascii="宋体" w:hAnsi="宋体" w:cs="宋体"/>
              <w:color w:val="000000"/>
              <w:lang w:val="en-US" w:eastAsia="zh-CN"/>
            </w:rPr>
            <w:t>3</w:t>
          </w:r>
          <w:r>
            <w:rPr>
              <w:rStyle w:val="46"/>
              <w:rFonts w:ascii="宋体" w:hAnsi="宋体" w:cs="宋体"/>
              <w:color w:val="000000"/>
              <w:lang w:val="en-US" w:eastAsia="zh-CN"/>
            </w:rPr>
            <w:fldChar w:fldCharType="end"/>
          </w:r>
          <w:r>
            <w:rPr>
              <w:rFonts w:ascii="宋体" w:hAnsi="宋体" w:cs="宋体"/>
              <w:color w:val="000000"/>
              <w:lang w:val="en-US" w:eastAsia="zh-CN"/>
            </w:rPr>
            <w:t>5</w:t>
          </w:r>
        </w:p>
        <w:p w14:paraId="2CF36F28">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"__RefHeading___Toc469495732" \h </w:instrText>
          </w:r>
          <w:r>
            <w:fldChar w:fldCharType="separate"/>
          </w:r>
          <w:r>
            <w:rPr>
              <w:rStyle w:val="46"/>
              <w:rFonts w:ascii="宋体" w:hAnsi="宋体" w:cs="宋体"/>
              <w:color w:val="000000"/>
            </w:rPr>
            <w:t>一  总则</w:t>
          </w:r>
          <w:r>
            <w:rPr>
              <w:rStyle w:val="46"/>
              <w:rFonts w:ascii="宋体" w:hAnsi="宋体" w:cs="宋体"/>
              <w:color w:val="000000"/>
            </w:rPr>
            <w:tab/>
          </w:r>
          <w:r>
            <w:rPr>
              <w:rStyle w:val="46"/>
              <w:rFonts w:ascii="宋体" w:hAnsi="宋体" w:cs="宋体"/>
              <w:color w:val="000000"/>
            </w:rPr>
            <w:fldChar w:fldCharType="end"/>
          </w:r>
          <w:r>
            <w:rPr>
              <w:rFonts w:ascii="宋体" w:hAnsi="宋体" w:cs="宋体"/>
              <w:color w:val="000000"/>
              <w:lang w:val="en-US" w:eastAsia="zh-CN"/>
            </w:rPr>
            <w:t>35</w:t>
          </w:r>
        </w:p>
        <w:p w14:paraId="2F948E3F">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"__RefHeading___Toc469495733" \h </w:instrText>
          </w:r>
          <w:r>
            <w:fldChar w:fldCharType="separate"/>
          </w:r>
          <w:r>
            <w:rPr>
              <w:rStyle w:val="46"/>
              <w:rFonts w:ascii="宋体" w:hAnsi="宋体" w:cs="宋体"/>
              <w:color w:val="000000"/>
            </w:rPr>
            <w:t>二  响应文件初审</w:t>
          </w:r>
          <w:r>
            <w:rPr>
              <w:rStyle w:val="46"/>
              <w:rFonts w:ascii="宋体" w:hAnsi="宋体" w:cs="宋体"/>
              <w:color w:val="000000"/>
            </w:rPr>
            <w:tab/>
          </w:r>
          <w:r>
            <w:rPr>
              <w:rStyle w:val="46"/>
              <w:rFonts w:ascii="宋体" w:hAnsi="宋体" w:cs="宋体"/>
              <w:color w:val="000000"/>
              <w:lang w:val="en-US" w:eastAsia="zh-CN"/>
            </w:rPr>
            <w:t>3</w:t>
          </w:r>
          <w:r>
            <w:rPr>
              <w:rStyle w:val="46"/>
              <w:rFonts w:ascii="宋体" w:hAnsi="宋体" w:cs="宋体"/>
              <w:color w:val="000000"/>
              <w:lang w:val="en-US" w:eastAsia="zh-CN"/>
            </w:rPr>
            <w:fldChar w:fldCharType="end"/>
          </w:r>
          <w:r>
            <w:rPr>
              <w:rFonts w:ascii="宋体" w:hAnsi="宋体" w:cs="宋体"/>
              <w:color w:val="000000"/>
              <w:lang w:val="en-US" w:eastAsia="zh-CN"/>
            </w:rPr>
            <w:t>7</w:t>
          </w:r>
        </w:p>
        <w:p w14:paraId="6762A1D3">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"__RefHeading___Toc469495734" \h </w:instrText>
          </w:r>
          <w:r>
            <w:fldChar w:fldCharType="separate"/>
          </w:r>
          <w:r>
            <w:rPr>
              <w:rStyle w:val="46"/>
              <w:rFonts w:ascii="宋体" w:hAnsi="宋体" w:cs="宋体"/>
              <w:color w:val="000000"/>
            </w:rPr>
            <w:t>三  响应文件的澄清和补正</w:t>
          </w:r>
          <w:r>
            <w:rPr>
              <w:rStyle w:val="46"/>
              <w:rFonts w:ascii="宋体" w:hAnsi="宋体" w:cs="宋体"/>
              <w:color w:val="000000"/>
            </w:rPr>
            <w:tab/>
          </w:r>
          <w:r>
            <w:rPr>
              <w:rStyle w:val="46"/>
              <w:rFonts w:ascii="宋体" w:hAnsi="宋体" w:cs="宋体"/>
              <w:color w:val="000000"/>
              <w:lang w:val="en-US" w:eastAsia="zh-CN"/>
            </w:rPr>
            <w:t>3</w:t>
          </w:r>
          <w:r>
            <w:rPr>
              <w:rStyle w:val="46"/>
              <w:rFonts w:ascii="宋体" w:hAnsi="宋体" w:cs="宋体"/>
              <w:color w:val="000000"/>
              <w:lang w:val="en-US" w:eastAsia="zh-CN"/>
            </w:rPr>
            <w:fldChar w:fldCharType="end"/>
          </w:r>
          <w:r>
            <w:rPr>
              <w:rFonts w:ascii="宋体" w:hAnsi="宋体" w:cs="宋体"/>
              <w:color w:val="000000"/>
              <w:lang w:val="en-US" w:eastAsia="zh-CN"/>
            </w:rPr>
            <w:t>8</w:t>
          </w:r>
        </w:p>
        <w:p w14:paraId="2D7B2A48">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"__RefHeading___Toc469495735" \h </w:instrText>
          </w:r>
          <w:r>
            <w:fldChar w:fldCharType="separate"/>
          </w:r>
          <w:r>
            <w:rPr>
              <w:rStyle w:val="46"/>
              <w:rFonts w:ascii="宋体" w:hAnsi="宋体" w:cs="宋体"/>
              <w:color w:val="000000"/>
            </w:rPr>
            <w:t xml:space="preserve">四 </w:t>
          </w:r>
          <w:r>
            <w:rPr>
              <w:rStyle w:val="46"/>
              <w:rFonts w:ascii="宋体" w:hAnsi="宋体" w:cs="宋体"/>
              <w:color w:val="000000"/>
              <w:lang w:val="en-US" w:eastAsia="zh-CN"/>
            </w:rPr>
            <w:t xml:space="preserve"> </w:t>
          </w:r>
          <w:r>
            <w:rPr>
              <w:rStyle w:val="46"/>
              <w:rFonts w:ascii="宋体" w:hAnsi="宋体" w:cs="宋体"/>
              <w:color w:val="000000"/>
            </w:rPr>
            <w:t>比较与评价</w:t>
          </w:r>
          <w:r>
            <w:rPr>
              <w:rStyle w:val="46"/>
              <w:rFonts w:ascii="宋体" w:hAnsi="宋体" w:cs="宋体"/>
              <w:color w:val="000000"/>
            </w:rPr>
            <w:tab/>
          </w:r>
          <w:r>
            <w:rPr>
              <w:rStyle w:val="46"/>
              <w:rFonts w:ascii="宋体" w:hAnsi="宋体" w:cs="宋体"/>
              <w:color w:val="000000"/>
              <w:lang w:val="en-US" w:eastAsia="zh-CN"/>
            </w:rPr>
            <w:t>3</w:t>
          </w:r>
          <w:r>
            <w:rPr>
              <w:rStyle w:val="46"/>
              <w:rFonts w:ascii="宋体" w:hAnsi="宋体" w:cs="宋体"/>
              <w:color w:val="000000"/>
              <w:lang w:val="en-US" w:eastAsia="zh-CN"/>
            </w:rPr>
            <w:fldChar w:fldCharType="end"/>
          </w:r>
          <w:r>
            <w:rPr>
              <w:rFonts w:ascii="宋体" w:hAnsi="宋体" w:cs="宋体"/>
              <w:color w:val="000000"/>
              <w:lang w:val="en-US" w:eastAsia="zh-CN"/>
            </w:rPr>
            <w:t>9</w:t>
          </w:r>
        </w:p>
        <w:p w14:paraId="3C70A645">
          <w:pPr>
            <w:pStyle w:val="15"/>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cs="宋体"/>
              <w:color w:val="000000"/>
              <w:szCs w:val="22"/>
              <w:highlight w:val="none"/>
            </w:rPr>
          </w:pPr>
          <w:r>
            <w:fldChar w:fldCharType="begin"/>
          </w:r>
          <w:r>
            <w:instrText xml:space="preserve"> HYPERLINK \l "__RefHeading___Toc469495737" \h </w:instrText>
          </w:r>
          <w:r>
            <w:fldChar w:fldCharType="separate"/>
          </w:r>
          <w:r>
            <w:rPr>
              <w:rStyle w:val="46"/>
              <w:rFonts w:ascii="宋体" w:hAnsi="宋体" w:cs="宋体"/>
              <w:color w:val="000000"/>
            </w:rPr>
            <w:t xml:space="preserve">第四章  </w:t>
          </w:r>
          <w:r>
            <w:rPr>
              <w:rStyle w:val="46"/>
              <w:rFonts w:ascii="宋体" w:hAnsi="宋体" w:cs="Times New Roman"/>
              <w:color w:val="000000"/>
              <w:kern w:val="2"/>
              <w:sz w:val="21"/>
              <w:szCs w:val="24"/>
              <w:lang w:val="en-US" w:eastAsia="zh-CN" w:bidi="ar-SA"/>
            </w:rPr>
            <w:t>技术规格、数量及服务要求</w:t>
          </w:r>
          <w:r>
            <w:rPr>
              <w:rStyle w:val="46"/>
              <w:rFonts w:ascii="宋体" w:hAnsi="宋体" w:cs="宋体"/>
              <w:color w:val="000000"/>
            </w:rPr>
            <w:tab/>
          </w:r>
          <w:r>
            <w:rPr>
              <w:rStyle w:val="46"/>
              <w:rFonts w:ascii="宋体" w:hAnsi="宋体" w:cs="宋体"/>
              <w:color w:val="000000"/>
            </w:rPr>
            <w:t>43</w:t>
          </w:r>
          <w:r>
            <w:rPr>
              <w:rStyle w:val="46"/>
              <w:rFonts w:ascii="宋体" w:hAnsi="宋体" w:cs="宋体"/>
              <w:color w:val="000000"/>
            </w:rPr>
            <w:fldChar w:fldCharType="end"/>
          </w:r>
        </w:p>
        <w:p w14:paraId="17A4C82E">
          <w:pPr>
            <w:pStyle w:val="15"/>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"__RefHeading___Toc469495740" \h </w:instrText>
          </w:r>
          <w:r>
            <w:fldChar w:fldCharType="separate"/>
          </w:r>
          <w:r>
            <w:rPr>
              <w:rStyle w:val="46"/>
              <w:rFonts w:ascii="宋体" w:hAnsi="宋体" w:cs="宋体"/>
              <w:color w:val="000000"/>
            </w:rPr>
            <w:t>第五章  合同条款及格式</w:t>
          </w:r>
          <w:r>
            <w:rPr>
              <w:rStyle w:val="46"/>
              <w:rFonts w:ascii="宋体" w:hAnsi="宋体" w:cs="宋体"/>
              <w:color w:val="000000"/>
            </w:rPr>
            <w:tab/>
          </w:r>
          <w:r>
            <w:rPr>
              <w:rStyle w:val="46"/>
              <w:rFonts w:ascii="宋体" w:hAnsi="宋体" w:cs="宋体"/>
              <w:color w:val="000000"/>
              <w:lang w:val="en-US" w:eastAsia="zh-CN"/>
            </w:rPr>
            <w:t>5</w:t>
          </w:r>
          <w:r>
            <w:rPr>
              <w:rStyle w:val="46"/>
              <w:rFonts w:ascii="宋体" w:hAnsi="宋体" w:cs="宋体"/>
              <w:color w:val="000000"/>
              <w:lang w:val="en-US" w:eastAsia="zh-CN"/>
            </w:rPr>
            <w:fldChar w:fldCharType="end"/>
          </w:r>
          <w:r>
            <w:rPr>
              <w:rFonts w:ascii="宋体" w:hAnsi="宋体" w:cs="宋体"/>
              <w:color w:val="000000"/>
              <w:lang w:val="en-US" w:eastAsia="zh-CN"/>
            </w:rPr>
            <w:t>4</w:t>
          </w:r>
        </w:p>
        <w:p w14:paraId="59F97B58">
          <w:pPr>
            <w:pStyle w:val="18"/>
            <w:keepNext w:val="0"/>
            <w:keepLines w:val="0"/>
            <w:pageBreakBefore w:val="0"/>
            <w:widowControl w:val="0"/>
            <w:tabs>
              <w:tab w:val="left" w:pos="945"/>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"__RefHeading___Toc469495741" \h </w:instrText>
          </w:r>
          <w:r>
            <w:fldChar w:fldCharType="separate"/>
          </w:r>
          <w:r>
            <w:rPr>
              <w:rStyle w:val="46"/>
              <w:rFonts w:ascii="宋体" w:hAnsi="宋体" w:cs="宋体"/>
              <w:color w:val="000000"/>
            </w:rPr>
            <w:t>一</w:t>
          </w:r>
          <w:r>
            <w:rPr>
              <w:rStyle w:val="46"/>
              <w:rFonts w:ascii="宋体" w:hAnsi="宋体" w:cs="宋体"/>
              <w:color w:val="000000"/>
              <w:lang w:val="en-US" w:eastAsia="zh-CN"/>
            </w:rPr>
            <w:t xml:space="preserve">  </w:t>
          </w:r>
          <w:r>
            <w:rPr>
              <w:rStyle w:val="46"/>
              <w:rFonts w:ascii="宋体" w:hAnsi="宋体" w:cs="宋体"/>
              <w:color w:val="000000"/>
            </w:rPr>
            <w:t>合同协议书</w:t>
          </w:r>
          <w:r>
            <w:rPr>
              <w:rStyle w:val="46"/>
              <w:rFonts w:ascii="宋体" w:hAnsi="宋体" w:cs="宋体"/>
              <w:color w:val="000000"/>
            </w:rPr>
            <w:tab/>
          </w:r>
          <w:r>
            <w:rPr>
              <w:rStyle w:val="46"/>
              <w:rFonts w:ascii="宋体" w:hAnsi="宋体" w:cs="宋体"/>
              <w:color w:val="000000"/>
              <w:lang w:val="en-US" w:eastAsia="zh-CN"/>
            </w:rPr>
            <w:t>5</w:t>
          </w:r>
          <w:r>
            <w:rPr>
              <w:rStyle w:val="46"/>
              <w:rFonts w:ascii="宋体" w:hAnsi="宋体" w:cs="宋体"/>
              <w:color w:val="000000"/>
              <w:lang w:val="en-US" w:eastAsia="zh-CN"/>
            </w:rPr>
            <w:fldChar w:fldCharType="end"/>
          </w:r>
          <w:r>
            <w:rPr>
              <w:rFonts w:ascii="宋体" w:hAnsi="宋体" w:cs="宋体"/>
              <w:color w:val="000000"/>
              <w:lang w:val="en-US" w:eastAsia="zh-CN"/>
            </w:rPr>
            <w:t>4</w:t>
          </w:r>
        </w:p>
        <w:p w14:paraId="5F5E4960">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"__RefHeading___Toc469495742" \h </w:instrText>
          </w:r>
          <w:r>
            <w:fldChar w:fldCharType="separate"/>
          </w:r>
          <w:r>
            <w:rPr>
              <w:rStyle w:val="46"/>
              <w:rFonts w:ascii="宋体" w:hAnsi="宋体" w:cs="宋体"/>
              <w:color w:val="000000"/>
            </w:rPr>
            <w:t>二  合同条款</w:t>
          </w:r>
          <w:r>
            <w:rPr>
              <w:rStyle w:val="46"/>
              <w:rFonts w:ascii="宋体" w:hAnsi="宋体" w:cs="宋体"/>
              <w:color w:val="000000"/>
            </w:rPr>
            <w:tab/>
          </w:r>
          <w:r>
            <w:rPr>
              <w:rStyle w:val="46"/>
              <w:rFonts w:ascii="宋体" w:hAnsi="宋体" w:cs="宋体"/>
              <w:color w:val="000000"/>
              <w:lang w:val="en-US" w:eastAsia="zh-CN"/>
            </w:rPr>
            <w:t>5</w:t>
          </w:r>
          <w:r>
            <w:rPr>
              <w:rStyle w:val="46"/>
              <w:rFonts w:ascii="宋体" w:hAnsi="宋体" w:cs="宋体"/>
              <w:color w:val="000000"/>
              <w:lang w:val="en-US" w:eastAsia="zh-CN"/>
            </w:rPr>
            <w:fldChar w:fldCharType="end"/>
          </w:r>
          <w:r>
            <w:rPr>
              <w:rFonts w:ascii="宋体" w:hAnsi="宋体" w:cs="宋体"/>
              <w:color w:val="000000"/>
              <w:lang w:val="en-US" w:eastAsia="zh-CN"/>
            </w:rPr>
            <w:t>7</w:t>
          </w:r>
        </w:p>
        <w:p w14:paraId="6680EA60">
          <w:pPr>
            <w:pStyle w:val="15"/>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"__RefHeading___Toc469495743" \h </w:instrText>
          </w:r>
          <w:r>
            <w:fldChar w:fldCharType="separate"/>
          </w:r>
          <w:r>
            <w:rPr>
              <w:rStyle w:val="46"/>
              <w:rFonts w:ascii="宋体" w:hAnsi="宋体" w:cs="宋体"/>
              <w:color w:val="000000"/>
            </w:rPr>
            <w:t>第六章  响应文件格式</w:t>
          </w:r>
          <w:r>
            <w:rPr>
              <w:rStyle w:val="46"/>
              <w:rFonts w:ascii="宋体" w:hAnsi="宋体" w:cs="宋体"/>
              <w:color w:val="000000"/>
            </w:rPr>
            <w:tab/>
          </w:r>
          <w:r>
            <w:rPr>
              <w:rStyle w:val="46"/>
              <w:rFonts w:ascii="宋体" w:hAnsi="宋体" w:cs="宋体"/>
              <w:color w:val="000000"/>
              <w:lang w:val="en-US" w:eastAsia="zh-CN"/>
            </w:rPr>
            <w:t>6</w:t>
          </w:r>
          <w:r>
            <w:rPr>
              <w:rStyle w:val="46"/>
              <w:rFonts w:ascii="宋体" w:hAnsi="宋体" w:cs="宋体"/>
              <w:color w:val="000000"/>
              <w:lang w:val="en-US" w:eastAsia="zh-CN"/>
            </w:rPr>
            <w:fldChar w:fldCharType="end"/>
          </w:r>
          <w:r>
            <w:rPr>
              <w:rFonts w:ascii="宋体" w:hAnsi="宋体" w:cs="宋体"/>
              <w:color w:val="000000"/>
              <w:lang w:val="en-US" w:eastAsia="zh-CN"/>
            </w:rPr>
            <w:t>2</w:t>
          </w:r>
          <w:r>
            <w:rPr>
              <w:rFonts w:ascii="宋体" w:hAnsi="宋体" w:cs="宋体"/>
              <w:color w:val="000000"/>
              <w:lang w:val="en-US" w:eastAsia="zh-CN"/>
            </w:rPr>
            <w:fldChar w:fldCharType="end"/>
          </w:r>
        </w:p>
      </w:sdtContent>
    </w:sdt>
    <w:p w14:paraId="48A7FB1D">
      <w:pPr>
        <w:rPr>
          <w:rFonts w:ascii="宋体" w:hAnsi="宋体" w:eastAsia="宋体" w:cs="宋体"/>
          <w:color w:val="000000"/>
          <w:sz w:val="24"/>
          <w:szCs w:val="22"/>
          <w:highlight w:val="none"/>
          <w:lang w:val="en-US" w:eastAsia="zh-CN"/>
        </w:rPr>
      </w:pPr>
    </w:p>
    <w:p w14:paraId="35D19551">
      <w:pPr>
        <w:keepNext w:val="0"/>
        <w:keepLines w:val="0"/>
        <w:pageBreakBefore w:val="0"/>
        <w:widowControl w:val="0"/>
        <w:kinsoku/>
        <w:overflowPunct/>
        <w:autoSpaceDE/>
        <w:bidi w:val="0"/>
        <w:snapToGrid/>
        <w:spacing w:line="440" w:lineRule="exact"/>
        <w:ind w:firstLine="480"/>
        <w:jc w:val="distribute"/>
        <w:textAlignment w:val="auto"/>
        <w:rPr>
          <w:rFonts w:ascii="宋体" w:hAnsi="宋体" w:cs="宋体"/>
          <w:color w:val="000000"/>
          <w:sz w:val="24"/>
          <w:highlight w:val="none"/>
        </w:rPr>
      </w:pPr>
      <w:r>
        <w:br w:type="page"/>
      </w:r>
    </w:p>
    <w:p w14:paraId="74A37D9F">
      <w:pPr>
        <w:numPr>
          <w:ilvl w:val="0"/>
          <w:numId w:val="3"/>
        </w:numPr>
        <w:tabs>
          <w:tab w:val="left" w:pos="1125"/>
        </w:tabs>
        <w:spacing w:line="420" w:lineRule="exact"/>
        <w:jc w:val="center"/>
        <w:outlineLvl w:val="0"/>
        <w:rPr>
          <w:rFonts w:ascii="宋体" w:hAnsi="宋体"/>
          <w:b/>
          <w:bCs/>
          <w:color w:val="000000"/>
          <w:sz w:val="32"/>
          <w:szCs w:val="32"/>
          <w:highlight w:val="none"/>
        </w:rPr>
      </w:pPr>
      <w:r>
        <w:rPr>
          <w:rFonts w:ascii="宋体" w:hAnsi="宋体" w:cs="Times New Roman"/>
          <w:b/>
          <w:color w:val="000000"/>
          <w:sz w:val="32"/>
          <w:szCs w:val="32"/>
          <w:lang w:val="en-US" w:eastAsia="zh-CN"/>
        </w:rPr>
        <w:t>磋商公告</w:t>
      </w:r>
    </w:p>
    <w:p w14:paraId="62AAA97D">
      <w:pPr>
        <w:pStyle w:val="10"/>
        <w:keepNext w:val="0"/>
        <w:keepLines w:val="0"/>
        <w:pageBreakBefore w:val="0"/>
        <w:widowControl/>
        <w:kinsoku/>
        <w:overflowPunct/>
        <w:autoSpaceDE/>
        <w:bidi w:val="0"/>
        <w:snapToGrid/>
        <w:spacing w:before="0" w:after="0" w:line="360" w:lineRule="exact"/>
        <w:ind w:left="0" w:right="0" w:firstLine="0"/>
        <w:jc w:val="center"/>
        <w:rPr>
          <w:rFonts w:ascii="微软雅黑" w:hAnsi="微软雅黑" w:eastAsia="微软雅黑" w:cs="微软雅黑"/>
          <w:b/>
          <w:bCs/>
          <w:i w:val="0"/>
          <w:iCs w:val="0"/>
          <w:caps w:val="0"/>
          <w:smallCaps w:val="0"/>
          <w:color w:val="000000"/>
          <w:spacing w:val="0"/>
          <w:sz w:val="32"/>
          <w:szCs w:val="32"/>
          <w:lang w:eastAsia="zh-CN"/>
        </w:rPr>
      </w:pPr>
      <w:r>
        <w:rPr>
          <w:rFonts w:ascii="Calibri" w:hAnsi="Calibri" w:eastAsia="微软雅黑" w:cs="Calibri"/>
          <w:color w:val="333333"/>
          <w:sz w:val="24"/>
          <w:szCs w:val="24"/>
        </w:rPr>
        <w:t> </w:t>
      </w:r>
    </w:p>
    <w:p w14:paraId="206BE50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微软雅黑" w:hAnsi="微软雅黑" w:eastAsia="微软雅黑" w:cs="微软雅黑"/>
          <w:b/>
          <w:bCs/>
          <w:i w:val="0"/>
          <w:iCs w:val="0"/>
          <w:caps w:val="0"/>
          <w:color w:val="000000"/>
          <w:spacing w:val="0"/>
          <w:sz w:val="28"/>
          <w:szCs w:val="28"/>
          <w:lang w:eastAsia="zh-CN"/>
        </w:rPr>
      </w:pPr>
      <w:bookmarkStart w:id="0" w:name="__RefHeading___Toc469495721"/>
      <w:bookmarkEnd w:id="0"/>
      <w:r>
        <w:rPr>
          <w:rFonts w:hint="eastAsia" w:ascii="微软雅黑" w:hAnsi="微软雅黑" w:eastAsia="微软雅黑" w:cs="微软雅黑"/>
          <w:b/>
          <w:bCs/>
          <w:i w:val="0"/>
          <w:iCs w:val="0"/>
          <w:caps w:val="0"/>
          <w:color w:val="000000"/>
          <w:spacing w:val="0"/>
          <w:sz w:val="28"/>
          <w:szCs w:val="28"/>
          <w:lang w:eastAsia="zh-CN"/>
        </w:rPr>
        <w:t>阿图什市人民医院老院区新生儿科病房改造提升项目</w:t>
      </w:r>
    </w:p>
    <w:p w14:paraId="65A98D45">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default" w:ascii="Calibri" w:hAnsi="Calibri" w:cs="Calibri"/>
          <w:sz w:val="24"/>
          <w:szCs w:val="24"/>
        </w:rPr>
      </w:pPr>
      <w:r>
        <w:rPr>
          <w:rFonts w:hint="eastAsia" w:ascii="微软雅黑" w:hAnsi="微软雅黑" w:eastAsia="微软雅黑" w:cs="微软雅黑"/>
          <w:b/>
          <w:bCs/>
          <w:i w:val="0"/>
          <w:iCs w:val="0"/>
          <w:caps w:val="0"/>
          <w:color w:val="000000"/>
          <w:spacing w:val="0"/>
          <w:sz w:val="28"/>
          <w:szCs w:val="28"/>
        </w:rPr>
        <w:t>竞争性</w:t>
      </w:r>
      <w:r>
        <w:rPr>
          <w:rFonts w:hint="eastAsia" w:ascii="微软雅黑" w:hAnsi="微软雅黑" w:eastAsia="微软雅黑" w:cs="微软雅黑"/>
          <w:b/>
          <w:bCs/>
          <w:i w:val="0"/>
          <w:iCs w:val="0"/>
          <w:caps w:val="0"/>
          <w:color w:val="000000"/>
          <w:spacing w:val="0"/>
          <w:sz w:val="28"/>
          <w:szCs w:val="28"/>
          <w:lang w:val="en-US" w:eastAsia="zh-CN"/>
        </w:rPr>
        <w:t>磋商</w:t>
      </w:r>
      <w:r>
        <w:rPr>
          <w:rFonts w:hint="eastAsia" w:ascii="微软雅黑" w:hAnsi="微软雅黑" w:eastAsia="微软雅黑" w:cs="微软雅黑"/>
          <w:b/>
          <w:bCs/>
          <w:i w:val="0"/>
          <w:iCs w:val="0"/>
          <w:caps w:val="0"/>
          <w:color w:val="000000"/>
          <w:spacing w:val="0"/>
          <w:sz w:val="28"/>
          <w:szCs w:val="28"/>
        </w:rPr>
        <w:t>公告</w:t>
      </w:r>
    </w:p>
    <w:p w14:paraId="5355382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textAlignment w:val="auto"/>
        <w:rPr>
          <w:rFonts w:hint="default" w:ascii="Times New Roman" w:hAnsi="Times New Roman" w:cs="Times New Roman"/>
          <w:sz w:val="24"/>
          <w:szCs w:val="24"/>
        </w:rPr>
      </w:pPr>
      <w:r>
        <w:rPr>
          <w:rFonts w:hint="eastAsia" w:ascii="宋体" w:hAnsi="宋体" w:eastAsia="宋体" w:cs="宋体"/>
          <w:color w:val="000000"/>
          <w:sz w:val="24"/>
          <w:szCs w:val="24"/>
        </w:rPr>
        <w:t> </w:t>
      </w:r>
      <w:r>
        <w:rPr>
          <w:rFonts w:hint="default" w:ascii="Times New Roman" w:hAnsi="Times New Roman" w:eastAsia="微软雅黑" w:cs="Times New Roman"/>
          <w:color w:val="333333"/>
          <w:sz w:val="24"/>
          <w:szCs w:val="24"/>
          <w:vertAlign w:val="baseline"/>
        </w:rPr>
        <w:t> </w:t>
      </w:r>
    </w:p>
    <w:p w14:paraId="3C43E63E">
      <w:pPr>
        <w:pStyle w:val="19"/>
        <w:keepNext w:val="0"/>
        <w:keepLines w:val="0"/>
        <w:pageBreakBefore w:val="0"/>
        <w:widowControl/>
        <w:suppressLineNumbers w:val="0"/>
        <w:pBdr>
          <w:top w:val="single" w:color="auto" w:sz="8" w:space="1"/>
          <w:left w:val="single" w:color="auto" w:sz="8" w:space="4"/>
          <w:bottom w:val="single" w:color="auto" w:sz="8" w:space="1"/>
          <w:right w:val="single" w:color="auto" w:sz="8" w:space="4"/>
        </w:pBdr>
        <w:kinsoku/>
        <w:wordWrap/>
        <w:overflowPunct/>
        <w:topLinePunct w:val="0"/>
        <w:autoSpaceDE/>
        <w:autoSpaceDN/>
        <w:bidi w:val="0"/>
        <w:adjustRightInd/>
        <w:snapToGrid/>
        <w:spacing w:before="0" w:beforeAutospacing="0" w:after="0" w:afterAutospacing="0" w:line="300" w:lineRule="exact"/>
        <w:ind w:left="0" w:right="0"/>
        <w:jc w:val="both"/>
        <w:textAlignment w:val="auto"/>
        <w:rPr>
          <w:rFonts w:hint="default" w:ascii="Calibri" w:hAnsi="Calibri" w:cs="Calibri"/>
          <w:sz w:val="21"/>
          <w:szCs w:val="21"/>
        </w:rPr>
      </w:pPr>
      <w:r>
        <w:rPr>
          <w:rFonts w:ascii="仿宋" w:hAnsi="仿宋" w:eastAsia="仿宋" w:cs="仿宋"/>
          <w:color w:val="000000"/>
          <w:sz w:val="24"/>
          <w:szCs w:val="24"/>
        </w:rPr>
        <w:t>项目概况</w:t>
      </w:r>
    </w:p>
    <w:p w14:paraId="247DBC3E">
      <w:pPr>
        <w:pStyle w:val="19"/>
        <w:keepNext w:val="0"/>
        <w:keepLines w:val="0"/>
        <w:pageBreakBefore w:val="0"/>
        <w:widowControl/>
        <w:suppressLineNumbers w:val="0"/>
        <w:pBdr>
          <w:top w:val="single" w:color="auto" w:sz="8" w:space="1"/>
          <w:left w:val="single" w:color="auto" w:sz="8" w:space="4"/>
          <w:bottom w:val="single" w:color="auto" w:sz="8" w:space="1"/>
          <w:right w:val="single" w:color="auto" w:sz="8" w:space="4"/>
        </w:pBdr>
        <w:kinsoku/>
        <w:wordWrap/>
        <w:overflowPunct/>
        <w:topLinePunct w:val="0"/>
        <w:autoSpaceDE/>
        <w:autoSpaceDN/>
        <w:bidi w:val="0"/>
        <w:adjustRightInd/>
        <w:snapToGrid/>
        <w:spacing w:before="0" w:beforeAutospacing="0" w:after="0" w:afterAutospacing="0" w:line="300" w:lineRule="exact"/>
        <w:ind w:left="0" w:right="0" w:firstLine="480"/>
        <w:jc w:val="both"/>
        <w:textAlignment w:val="auto"/>
        <w:rPr>
          <w:rFonts w:hint="default" w:ascii="Calibri" w:hAnsi="Calibri" w:cs="Calibri"/>
          <w:sz w:val="21"/>
          <w:szCs w:val="21"/>
        </w:rPr>
      </w:pPr>
      <w:r>
        <w:rPr>
          <w:rFonts w:hint="eastAsia" w:ascii="仿宋" w:hAnsi="仿宋" w:eastAsia="仿宋" w:cs="仿宋"/>
          <w:color w:val="000000"/>
          <w:sz w:val="24"/>
          <w:szCs w:val="24"/>
          <w:lang w:eastAsia="zh-CN"/>
        </w:rPr>
        <w:t>阿图什市人民医院老院区新生儿科病房改造提升项目</w:t>
      </w:r>
      <w:r>
        <w:rPr>
          <w:rFonts w:hint="eastAsia" w:ascii="仿宋" w:hAnsi="仿宋" w:eastAsia="仿宋" w:cs="仿宋"/>
          <w:color w:val="000000"/>
          <w:sz w:val="24"/>
          <w:szCs w:val="24"/>
        </w:rPr>
        <w:t>的潜在供应商应在政采云平台线上获取采购文件，并于202</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年</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月</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日1</w:t>
      </w:r>
      <w:r>
        <w:rPr>
          <w:rFonts w:hint="eastAsia" w:ascii="仿宋" w:hAnsi="仿宋" w:eastAsia="仿宋" w:cs="仿宋"/>
          <w:color w:val="000000"/>
          <w:sz w:val="24"/>
          <w:szCs w:val="24"/>
          <w:lang w:val="en-US" w:eastAsia="zh-CN"/>
        </w:rPr>
        <w:t>0</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 xml:space="preserve">（北京时间）前提交响应文件。    </w:t>
      </w:r>
    </w:p>
    <w:p w14:paraId="4BAF788E">
      <w:pPr>
        <w:pStyle w:val="19"/>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00" w:lineRule="exact"/>
        <w:ind w:left="0" w:right="0" w:firstLine="0"/>
        <w:jc w:val="both"/>
        <w:textAlignment w:val="auto"/>
        <w:rPr>
          <w:rFonts w:hint="default" w:ascii="Calibri" w:hAnsi="Calibri" w:cs="Calibri"/>
          <w:sz w:val="24"/>
          <w:szCs w:val="24"/>
        </w:rPr>
      </w:pPr>
      <w:r>
        <w:rPr>
          <w:rFonts w:ascii="黑体" w:hAnsi="宋体" w:eastAsia="黑体" w:cs="黑体"/>
          <w:b/>
          <w:bCs/>
          <w:i w:val="0"/>
          <w:iCs w:val="0"/>
          <w:caps w:val="0"/>
          <w:color w:val="000000"/>
          <w:spacing w:val="0"/>
          <w:sz w:val="24"/>
          <w:szCs w:val="24"/>
        </w:rPr>
        <w:t>一、项目基本情况</w:t>
      </w:r>
    </w:p>
    <w:p w14:paraId="4C323BD9">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firstLine="420" w:firstLineChars="200"/>
        <w:textAlignment w:val="auto"/>
        <w:rPr>
          <w:rFonts w:hint="default" w:eastAsia="仿宋"/>
          <w:lang w:val="en-US" w:eastAsia="zh-CN"/>
        </w:rPr>
      </w:pPr>
      <w:r>
        <w:rPr>
          <w:rFonts w:ascii="仿宋" w:hAnsi="仿宋" w:eastAsia="仿宋" w:cs="仿宋"/>
          <w:i w:val="0"/>
          <w:caps w:val="0"/>
          <w:spacing w:val="0"/>
          <w:sz w:val="21"/>
          <w:szCs w:val="21"/>
          <w:shd w:val="clear" w:color="auto" w:fill="FFFFFF"/>
        </w:rPr>
        <w:t>项目编号：</w:t>
      </w:r>
      <w:r>
        <w:rPr>
          <w:rFonts w:hint="eastAsia" w:ascii="仿宋" w:hAnsi="仿宋" w:eastAsia="仿宋" w:cs="仿宋"/>
          <w:i w:val="0"/>
          <w:caps w:val="0"/>
          <w:spacing w:val="0"/>
          <w:sz w:val="21"/>
          <w:szCs w:val="21"/>
          <w:shd w:val="clear" w:color="auto" w:fill="FFFFFF"/>
          <w:lang w:eastAsia="zh-CN"/>
        </w:rPr>
        <w:t>ATSJYZX-CG-2026</w:t>
      </w:r>
      <w:r>
        <w:rPr>
          <w:rFonts w:hint="eastAsia" w:ascii="仿宋" w:hAnsi="仿宋" w:eastAsia="仿宋" w:cs="仿宋"/>
          <w:i w:val="0"/>
          <w:caps w:val="0"/>
          <w:spacing w:val="0"/>
          <w:sz w:val="21"/>
          <w:szCs w:val="21"/>
          <w:shd w:val="clear" w:color="auto" w:fill="FFFFFF"/>
          <w:lang w:val="en-US" w:eastAsia="zh-CN"/>
        </w:rPr>
        <w:t>130</w:t>
      </w:r>
    </w:p>
    <w:p w14:paraId="0149C57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rPr>
        <w:t>    项目名称：</w:t>
      </w:r>
      <w:r>
        <w:rPr>
          <w:rFonts w:hint="eastAsia" w:ascii="仿宋" w:hAnsi="仿宋" w:eastAsia="仿宋" w:cs="仿宋"/>
          <w:i w:val="0"/>
          <w:caps w:val="0"/>
          <w:spacing w:val="0"/>
          <w:sz w:val="21"/>
          <w:szCs w:val="21"/>
          <w:shd w:val="clear" w:color="auto" w:fill="FFFFFF"/>
          <w:lang w:eastAsia="zh-CN"/>
        </w:rPr>
        <w:t>阿图什市人民医院老院区新生儿科病房改造提升项目</w:t>
      </w:r>
      <w:r>
        <w:rPr>
          <w:rFonts w:hint="eastAsia" w:ascii="仿宋" w:hAnsi="仿宋" w:eastAsia="仿宋" w:cs="仿宋"/>
          <w:i w:val="0"/>
          <w:caps w:val="0"/>
          <w:spacing w:val="0"/>
          <w:sz w:val="21"/>
          <w:szCs w:val="21"/>
          <w:shd w:val="clear" w:color="auto" w:fill="FFFFFF"/>
        </w:rPr>
        <w:t> </w:t>
      </w:r>
    </w:p>
    <w:p w14:paraId="0DA3D4BA">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rPr>
        <w:t>    采购方式：竞争性磋商</w:t>
      </w:r>
      <w:r>
        <w:rPr>
          <w:rFonts w:hint="eastAsia" w:ascii="仿宋" w:hAnsi="仿宋" w:eastAsia="仿宋" w:cs="仿宋"/>
          <w:i w:val="0"/>
          <w:caps w:val="0"/>
          <w:spacing w:val="0"/>
          <w:sz w:val="16"/>
          <w:szCs w:val="16"/>
          <w:shd w:val="clear" w:color="auto" w:fill="FFFFFF"/>
        </w:rPr>
        <w:t> </w:t>
      </w:r>
    </w:p>
    <w:p w14:paraId="7DCD241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rPr>
        <w:t>    预算金额（元）：</w:t>
      </w:r>
      <w:r>
        <w:rPr>
          <w:rFonts w:hint="eastAsia" w:ascii="仿宋" w:hAnsi="仿宋" w:eastAsia="仿宋" w:cs="仿宋"/>
          <w:i w:val="0"/>
          <w:caps w:val="0"/>
          <w:spacing w:val="0"/>
          <w:sz w:val="21"/>
          <w:szCs w:val="21"/>
          <w:shd w:val="clear" w:color="auto" w:fill="FFFFFF"/>
          <w:lang w:val="en-US" w:eastAsia="zh-CN"/>
        </w:rPr>
        <w:t>1200000.00</w:t>
      </w:r>
      <w:r>
        <w:rPr>
          <w:rFonts w:hint="eastAsia" w:ascii="仿宋" w:hAnsi="仿宋" w:eastAsia="仿宋" w:cs="仿宋"/>
          <w:i w:val="0"/>
          <w:caps w:val="0"/>
          <w:spacing w:val="0"/>
          <w:sz w:val="21"/>
          <w:szCs w:val="21"/>
          <w:shd w:val="clear" w:color="auto" w:fill="FFFFFF"/>
        </w:rPr>
        <w:t>  </w:t>
      </w:r>
    </w:p>
    <w:p w14:paraId="5158FEBC">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rPr>
        <w:t>    最高限价（元）：</w:t>
      </w:r>
      <w:r>
        <w:rPr>
          <w:rFonts w:hint="eastAsia" w:ascii="仿宋" w:hAnsi="仿宋" w:eastAsia="仿宋" w:cs="仿宋"/>
          <w:i w:val="0"/>
          <w:caps w:val="0"/>
          <w:spacing w:val="0"/>
          <w:sz w:val="21"/>
          <w:szCs w:val="21"/>
          <w:shd w:val="clear" w:color="auto" w:fill="FFFFFF"/>
          <w:lang w:eastAsia="zh-CN"/>
        </w:rPr>
        <w:t>1177221.03</w:t>
      </w:r>
    </w:p>
    <w:p w14:paraId="4119787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rPr>
        <w:t>    采购需求：</w:t>
      </w:r>
    </w:p>
    <w:p w14:paraId="62171C7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rPr>
          <w:rFonts w:hint="eastAsia" w:ascii="仿宋" w:hAnsi="仿宋" w:eastAsia="仿宋" w:cs="仿宋"/>
          <w:i w:val="0"/>
          <w:caps w:val="0"/>
          <w:spacing w:val="0"/>
          <w:sz w:val="21"/>
          <w:szCs w:val="21"/>
          <w:shd w:val="clear" w:color="auto" w:fill="FFFFFF"/>
        </w:rPr>
      </w:pPr>
      <w:r>
        <w:rPr>
          <w:rFonts w:hint="eastAsia" w:ascii="仿宋" w:hAnsi="仿宋" w:eastAsia="仿宋" w:cs="仿宋"/>
          <w:i w:val="0"/>
          <w:caps w:val="0"/>
          <w:spacing w:val="0"/>
          <w:sz w:val="21"/>
          <w:szCs w:val="21"/>
          <w:shd w:val="clear" w:color="auto" w:fill="FFFFFF"/>
          <w:lang w:val="en-US" w:eastAsia="zh-CN"/>
        </w:rPr>
        <w:t>     </w:t>
      </w:r>
      <w:r>
        <w:rPr>
          <w:rFonts w:hint="eastAsia" w:ascii="仿宋" w:hAnsi="仿宋" w:eastAsia="仿宋" w:cs="仿宋"/>
          <w:i w:val="0"/>
          <w:caps w:val="0"/>
          <w:spacing w:val="0"/>
          <w:sz w:val="21"/>
          <w:szCs w:val="21"/>
          <w:shd w:val="clear" w:color="auto" w:fill="FFFFFF"/>
        </w:rPr>
        <w:t>标项名称： </w:t>
      </w:r>
      <w:r>
        <w:rPr>
          <w:rFonts w:hint="eastAsia" w:ascii="仿宋" w:hAnsi="仿宋" w:eastAsia="仿宋" w:cs="仿宋"/>
          <w:i w:val="0"/>
          <w:caps w:val="0"/>
          <w:spacing w:val="0"/>
          <w:sz w:val="21"/>
          <w:szCs w:val="21"/>
          <w:shd w:val="clear" w:color="auto" w:fill="FFFFFF"/>
          <w:lang w:eastAsia="zh-CN"/>
        </w:rPr>
        <w:t>阿图什市人民医院老院区新生儿科病房改造提升项目</w:t>
      </w:r>
      <w:r>
        <w:rPr>
          <w:rFonts w:hint="eastAsia" w:ascii="仿宋" w:hAnsi="仿宋" w:eastAsia="仿宋" w:cs="仿宋"/>
          <w:i w:val="0"/>
          <w:caps w:val="0"/>
          <w:spacing w:val="0"/>
          <w:sz w:val="21"/>
          <w:szCs w:val="21"/>
          <w:shd w:val="clear" w:color="auto" w:fill="FFFFFF"/>
        </w:rPr>
        <w:t> </w:t>
      </w:r>
    </w:p>
    <w:p w14:paraId="13E79FC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rPr>
          <w:rFonts w:hint="eastAsia" w:ascii="仿宋" w:hAnsi="仿宋" w:eastAsia="仿宋" w:cs="仿宋"/>
          <w:i w:val="0"/>
          <w:caps w:val="0"/>
          <w:spacing w:val="0"/>
          <w:sz w:val="21"/>
          <w:szCs w:val="21"/>
          <w:shd w:val="clear" w:color="auto" w:fill="FFFFFF"/>
        </w:rPr>
      </w:pPr>
      <w:r>
        <w:rPr>
          <w:rFonts w:hint="eastAsia" w:ascii="仿宋" w:hAnsi="仿宋" w:eastAsia="仿宋" w:cs="仿宋"/>
          <w:i w:val="0"/>
          <w:caps w:val="0"/>
          <w:spacing w:val="0"/>
          <w:sz w:val="21"/>
          <w:szCs w:val="21"/>
          <w:shd w:val="clear" w:color="auto" w:fill="FFFFFF"/>
          <w:lang w:val="en-US" w:eastAsia="zh-CN"/>
        </w:rPr>
        <w:t>   数量：1     </w:t>
      </w:r>
    </w:p>
    <w:p w14:paraId="23BF0D9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rPr>
          <w:rFonts w:hint="default" w:ascii="仿宋" w:hAnsi="仿宋" w:eastAsia="仿宋" w:cs="仿宋"/>
          <w:i w:val="0"/>
          <w:caps w:val="0"/>
          <w:spacing w:val="0"/>
          <w:sz w:val="21"/>
          <w:szCs w:val="21"/>
          <w:shd w:val="clear" w:color="auto" w:fill="FFFFFF"/>
          <w:lang w:val="en-US"/>
        </w:rPr>
      </w:pPr>
      <w:r>
        <w:rPr>
          <w:rFonts w:hint="eastAsia" w:ascii="仿宋" w:hAnsi="仿宋" w:eastAsia="仿宋" w:cs="仿宋"/>
          <w:i w:val="0"/>
          <w:caps w:val="0"/>
          <w:spacing w:val="0"/>
          <w:sz w:val="21"/>
          <w:szCs w:val="21"/>
          <w:shd w:val="clear" w:color="auto" w:fill="FFFFFF"/>
        </w:rPr>
        <w:t>   预算金额（元）：</w:t>
      </w:r>
      <w:r>
        <w:rPr>
          <w:rFonts w:hint="eastAsia" w:ascii="仿宋" w:hAnsi="仿宋" w:eastAsia="仿宋" w:cs="仿宋"/>
          <w:i w:val="0"/>
          <w:caps w:val="0"/>
          <w:spacing w:val="0"/>
          <w:sz w:val="21"/>
          <w:szCs w:val="21"/>
          <w:shd w:val="clear" w:color="auto" w:fill="FFFFFF"/>
          <w:lang w:val="en-US" w:eastAsia="zh-CN"/>
        </w:rPr>
        <w:t>1200000.00</w:t>
      </w:r>
    </w:p>
    <w:p w14:paraId="67567CC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rPr>
          <w:rFonts w:hint="eastAsia" w:ascii="仿宋" w:hAnsi="仿宋" w:eastAsia="仿宋" w:cs="仿宋"/>
          <w:i w:val="0"/>
          <w:caps w:val="0"/>
          <w:spacing w:val="0"/>
          <w:sz w:val="21"/>
          <w:szCs w:val="21"/>
          <w:shd w:val="clear" w:color="auto" w:fill="FFFFFF"/>
        </w:rPr>
      </w:pPr>
      <w:r>
        <w:rPr>
          <w:rFonts w:hint="eastAsia" w:ascii="仿宋" w:hAnsi="仿宋" w:eastAsia="仿宋" w:cs="仿宋"/>
          <w:i w:val="0"/>
          <w:caps w:val="0"/>
          <w:spacing w:val="0"/>
          <w:sz w:val="21"/>
          <w:szCs w:val="21"/>
          <w:shd w:val="clear" w:color="auto" w:fill="FFFFFF"/>
        </w:rPr>
        <w:t>   单位：个 </w:t>
      </w:r>
    </w:p>
    <w:p w14:paraId="46C69E1D">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rPr>
          <w:rFonts w:hint="eastAsia" w:ascii="仿宋" w:hAnsi="仿宋" w:eastAsia="仿宋" w:cs="仿宋"/>
          <w:i w:val="0"/>
          <w:caps w:val="0"/>
          <w:spacing w:val="0"/>
          <w:sz w:val="21"/>
          <w:szCs w:val="21"/>
          <w:shd w:val="clear" w:color="auto" w:fill="FFFFFF"/>
        </w:rPr>
      </w:pPr>
      <w:r>
        <w:rPr>
          <w:rFonts w:hint="eastAsia" w:ascii="仿宋" w:hAnsi="仿宋" w:eastAsia="仿宋" w:cs="仿宋"/>
          <w:i w:val="0"/>
          <w:caps w:val="0"/>
          <w:spacing w:val="0"/>
          <w:sz w:val="21"/>
          <w:szCs w:val="21"/>
          <w:shd w:val="clear" w:color="auto" w:fill="FFFFFF"/>
        </w:rPr>
        <w:t>   简要规格描述：</w:t>
      </w:r>
      <w:r>
        <w:rPr>
          <w:rFonts w:hint="eastAsia" w:ascii="仿宋" w:hAnsi="仿宋" w:eastAsia="仿宋" w:cs="仿宋"/>
          <w:i w:val="0"/>
          <w:caps w:val="0"/>
          <w:spacing w:val="0"/>
          <w:sz w:val="21"/>
          <w:szCs w:val="21"/>
          <w:shd w:val="clear" w:color="auto" w:fill="FFFFFF"/>
          <w:lang w:eastAsia="zh-CN"/>
        </w:rPr>
        <w:t>对阿图什市人民医院老院区新生儿科病房进行改造提升，改造提升面积为560平方米，含新生儿科NICU病区、隔离病房、负压隔离病房、母婴病房、早产病房、设备间、污物处置、治疗室等；消防、给排水、医用气体、通风空调、电器设备及相关附属配套设施。具体内容详见磋商文件。</w:t>
      </w:r>
      <w:r>
        <w:rPr>
          <w:rFonts w:hint="eastAsia" w:ascii="仿宋" w:hAnsi="仿宋" w:eastAsia="仿宋" w:cs="仿宋"/>
          <w:i w:val="0"/>
          <w:caps w:val="0"/>
          <w:spacing w:val="0"/>
          <w:sz w:val="21"/>
          <w:szCs w:val="21"/>
          <w:shd w:val="clear" w:color="auto" w:fill="FFFFFF"/>
        </w:rPr>
        <w:t> </w:t>
      </w:r>
    </w:p>
    <w:p w14:paraId="73C100D0">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rPr>
          <w:rFonts w:hint="eastAsia" w:ascii="仿宋" w:hAnsi="仿宋" w:eastAsia="仿宋" w:cs="仿宋"/>
          <w:i w:val="0"/>
          <w:caps w:val="0"/>
          <w:spacing w:val="0"/>
          <w:sz w:val="21"/>
          <w:szCs w:val="21"/>
          <w:shd w:val="clear" w:color="auto" w:fill="FFFFFF"/>
        </w:rPr>
      </w:pPr>
      <w:r>
        <w:rPr>
          <w:rFonts w:hint="eastAsia" w:ascii="仿宋" w:hAnsi="仿宋" w:eastAsia="仿宋" w:cs="仿宋"/>
          <w:i w:val="0"/>
          <w:caps w:val="0"/>
          <w:spacing w:val="0"/>
          <w:sz w:val="21"/>
          <w:szCs w:val="21"/>
          <w:shd w:val="clear" w:color="auto" w:fill="FFFFFF"/>
        </w:rPr>
        <w:t>   备注： </w:t>
      </w:r>
    </w:p>
    <w:p w14:paraId="01849213">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rPr>
        <w:t>    合同履约期限：标项 1，</w:t>
      </w:r>
      <w:r>
        <w:rPr>
          <w:rFonts w:hint="eastAsia" w:ascii="仿宋" w:hAnsi="仿宋" w:eastAsia="仿宋" w:cs="仿宋"/>
          <w:i w:val="0"/>
          <w:caps w:val="0"/>
          <w:color w:val="auto"/>
          <w:spacing w:val="0"/>
          <w:sz w:val="21"/>
          <w:szCs w:val="21"/>
          <w:shd w:val="clear" w:color="auto" w:fill="FFFFFF"/>
          <w:lang w:val="en-US" w:eastAsia="zh-CN"/>
        </w:rPr>
        <w:t>60</w:t>
      </w:r>
      <w:r>
        <w:rPr>
          <w:rFonts w:hint="eastAsia" w:ascii="仿宋" w:hAnsi="仿宋" w:eastAsia="仿宋" w:cs="仿宋"/>
          <w:i w:val="0"/>
          <w:caps w:val="0"/>
          <w:color w:val="auto"/>
          <w:spacing w:val="0"/>
          <w:sz w:val="21"/>
          <w:szCs w:val="21"/>
          <w:shd w:val="clear" w:color="auto" w:fill="FFFFFF"/>
        </w:rPr>
        <w:t>天内完成施工，具体以甲乙双方签订合同为准 </w:t>
      </w:r>
      <w:r>
        <w:rPr>
          <w:rFonts w:hint="eastAsia" w:ascii="仿宋" w:hAnsi="仿宋" w:eastAsia="仿宋" w:cs="仿宋"/>
          <w:i w:val="0"/>
          <w:caps w:val="0"/>
          <w:color w:val="auto"/>
          <w:spacing w:val="0"/>
          <w:sz w:val="16"/>
          <w:szCs w:val="16"/>
          <w:shd w:val="clear" w:color="auto" w:fill="FFFFFF"/>
        </w:rPr>
        <w:t> </w:t>
      </w:r>
    </w:p>
    <w:p w14:paraId="68C70A63">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rPr>
        <w:t>    本项目（否）接受联合体投标。</w:t>
      </w:r>
      <w:r>
        <w:rPr>
          <w:rFonts w:hint="eastAsia" w:ascii="仿宋" w:hAnsi="仿宋" w:eastAsia="仿宋" w:cs="仿宋"/>
          <w:i w:val="0"/>
          <w:caps w:val="0"/>
          <w:spacing w:val="0"/>
          <w:sz w:val="16"/>
          <w:szCs w:val="16"/>
          <w:shd w:val="clear" w:color="auto" w:fill="FFFFFF"/>
        </w:rPr>
        <w:t>  </w:t>
      </w:r>
    </w:p>
    <w:p w14:paraId="3AF47B4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4" w:beforeAutospacing="0" w:after="204" w:afterAutospacing="0" w:line="300" w:lineRule="exact"/>
        <w:ind w:left="0" w:right="0" w:firstLine="0"/>
        <w:jc w:val="both"/>
        <w:textAlignment w:val="auto"/>
        <w:rPr>
          <w:rFonts w:ascii="黑体" w:hAnsi="宋体" w:eastAsia="黑体" w:cs="黑体"/>
          <w:i w:val="0"/>
          <w:caps w:val="0"/>
          <w:spacing w:val="0"/>
          <w:sz w:val="21"/>
          <w:szCs w:val="21"/>
        </w:rPr>
      </w:pPr>
      <w:r>
        <w:rPr>
          <w:rStyle w:val="22"/>
          <w:rFonts w:ascii="黑体" w:hAnsi="宋体" w:eastAsia="黑体" w:cs="黑体"/>
          <w:b/>
          <w:i w:val="0"/>
          <w:caps w:val="0"/>
          <w:spacing w:val="0"/>
          <w:sz w:val="21"/>
          <w:szCs w:val="21"/>
          <w:shd w:val="clear" w:color="auto" w:fill="FFFFFF"/>
        </w:rPr>
        <w:t>二、申请人的资格要求：</w:t>
      </w:r>
    </w:p>
    <w:p w14:paraId="741700E6">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rPr>
        <w:t>    1.满足《中华人民共和国政府采购法》第二十二条规定；</w:t>
      </w:r>
    </w:p>
    <w:p w14:paraId="05256BD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rPr>
        <w:t>    2.落实政府采购政策需满足的资格要求：标项1：供应商为中小企业 </w:t>
      </w:r>
    </w:p>
    <w:p w14:paraId="6031692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rPr>
          <w:rFonts w:hint="eastAsia" w:ascii="仿宋" w:hAnsi="仿宋" w:eastAsia="仿宋" w:cs="仿宋"/>
          <w:i w:val="0"/>
          <w:caps w:val="0"/>
          <w:spacing w:val="0"/>
          <w:sz w:val="21"/>
          <w:szCs w:val="21"/>
          <w:shd w:val="clear" w:color="auto" w:fill="FFFFFF"/>
        </w:rPr>
      </w:pPr>
      <w:r>
        <w:rPr>
          <w:rFonts w:hint="eastAsia" w:ascii="仿宋" w:hAnsi="仿宋" w:eastAsia="仿宋" w:cs="仿宋"/>
          <w:i w:val="0"/>
          <w:caps w:val="0"/>
          <w:spacing w:val="0"/>
          <w:sz w:val="21"/>
          <w:szCs w:val="21"/>
          <w:shd w:val="clear" w:color="auto" w:fill="FFFFFF"/>
        </w:rPr>
        <w:t>    3.本项目的特定资格要求：</w:t>
      </w:r>
      <w:r>
        <w:rPr>
          <w:rFonts w:hint="eastAsia" w:ascii="仿宋" w:hAnsi="仿宋" w:eastAsia="仿宋" w:cs="仿宋"/>
          <w:i w:val="0"/>
          <w:caps w:val="0"/>
          <w:spacing w:val="0"/>
          <w:sz w:val="21"/>
          <w:szCs w:val="21"/>
          <w:shd w:val="clear" w:color="auto" w:fill="FFFFFF"/>
        </w:rPr>
        <w:br w:type="textWrapping"/>
      </w:r>
      <w:r>
        <w:rPr>
          <w:rFonts w:hint="eastAsia" w:ascii="仿宋" w:hAnsi="仿宋" w:eastAsia="仿宋" w:cs="仿宋"/>
          <w:i w:val="0"/>
          <w:caps w:val="0"/>
          <w:spacing w:val="0"/>
          <w:sz w:val="21"/>
          <w:szCs w:val="21"/>
          <w:shd w:val="clear" w:color="auto" w:fill="FFFFFF"/>
        </w:rPr>
        <w:t>【标项1】</w:t>
      </w:r>
      <w:r>
        <w:rPr>
          <w:rFonts w:hint="eastAsia" w:ascii="仿宋" w:hAnsi="仿宋" w:eastAsia="仿宋" w:cs="仿宋"/>
          <w:i w:val="0"/>
          <w:caps w:val="0"/>
          <w:spacing w:val="0"/>
          <w:sz w:val="21"/>
          <w:szCs w:val="21"/>
          <w:shd w:val="clear" w:color="auto" w:fill="FFFFFF"/>
        </w:rPr>
        <w:br w:type="textWrapping"/>
      </w:r>
      <w:bookmarkStart w:id="1" w:name="OLE_LINK19"/>
      <w:r>
        <w:rPr>
          <w:rFonts w:hint="eastAsia" w:ascii="仿宋" w:hAnsi="仿宋" w:eastAsia="仿宋" w:cs="仿宋"/>
          <w:i w:val="0"/>
          <w:caps w:val="0"/>
          <w:spacing w:val="0"/>
          <w:sz w:val="21"/>
          <w:szCs w:val="21"/>
          <w:shd w:val="clear" w:color="auto" w:fill="FFFFFF"/>
        </w:rPr>
        <w:t>（1）具备三证合一营业执照副本；</w:t>
      </w:r>
    </w:p>
    <w:p w14:paraId="124ACB7E">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rPr>
          <w:rFonts w:hint="eastAsia" w:ascii="仿宋" w:hAnsi="仿宋" w:eastAsia="仿宋" w:cs="仿宋"/>
          <w:i w:val="0"/>
          <w:caps w:val="0"/>
          <w:spacing w:val="0"/>
          <w:sz w:val="21"/>
          <w:szCs w:val="21"/>
          <w:shd w:val="clear" w:color="auto" w:fill="FFFFFF"/>
        </w:rPr>
      </w:pPr>
      <w:r>
        <w:rPr>
          <w:rFonts w:hint="eastAsia" w:ascii="仿宋" w:hAnsi="仿宋" w:eastAsia="仿宋" w:cs="仿宋"/>
          <w:i w:val="0"/>
          <w:caps w:val="0"/>
          <w:spacing w:val="0"/>
          <w:sz w:val="21"/>
          <w:szCs w:val="21"/>
          <w:shd w:val="clear" w:color="auto" w:fill="FFFFFF"/>
        </w:rPr>
        <w:t>（2）法定代表人响应需提供法定代表人资格证明书，委托代理人响应需提供法定代表人授权委托书；</w:t>
      </w:r>
    </w:p>
    <w:p w14:paraId="4EC65656">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rPr>
          <w:rFonts w:hint="eastAsia" w:ascii="仿宋" w:hAnsi="仿宋" w:eastAsia="仿宋" w:cs="仿宋"/>
          <w:i w:val="0"/>
          <w:caps w:val="0"/>
          <w:spacing w:val="0"/>
          <w:sz w:val="21"/>
          <w:szCs w:val="21"/>
          <w:shd w:val="clear" w:color="auto" w:fill="FFFFFF"/>
        </w:rPr>
      </w:pPr>
      <w:r>
        <w:rPr>
          <w:rFonts w:hint="eastAsia" w:ascii="仿宋" w:hAnsi="仿宋" w:eastAsia="仿宋" w:cs="仿宋"/>
          <w:i w:val="0"/>
          <w:caps w:val="0"/>
          <w:spacing w:val="0"/>
          <w:sz w:val="21"/>
          <w:szCs w:val="21"/>
          <w:shd w:val="clear" w:color="auto" w:fill="FFFFFF"/>
        </w:rPr>
        <w:t>（3）</w:t>
      </w:r>
      <w:r>
        <w:rPr>
          <w:rFonts w:hint="eastAsia" w:ascii="仿宋" w:hAnsi="仿宋" w:eastAsia="仿宋" w:cs="仿宋"/>
          <w:i w:val="0"/>
          <w:caps w:val="0"/>
          <w:spacing w:val="0"/>
          <w:sz w:val="21"/>
          <w:szCs w:val="21"/>
          <w:shd w:val="clear" w:color="auto" w:fill="FFFFFF"/>
          <w:lang w:eastAsia="zh-CN"/>
        </w:rPr>
        <w:t>供应商须提供供应商（被授权在职人员）近 6 个月内任意一个月有效的社保证明</w:t>
      </w:r>
      <w:r>
        <w:rPr>
          <w:rFonts w:hint="eastAsia" w:ascii="仿宋" w:hAnsi="仿宋" w:eastAsia="仿宋" w:cs="仿宋"/>
          <w:i w:val="0"/>
          <w:caps w:val="0"/>
          <w:spacing w:val="0"/>
          <w:sz w:val="21"/>
          <w:szCs w:val="21"/>
          <w:shd w:val="clear" w:color="auto" w:fill="FFFFFF"/>
        </w:rPr>
        <w:t>；</w:t>
      </w:r>
    </w:p>
    <w:p w14:paraId="609611C9">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rPr>
          <w:rFonts w:hint="eastAsia" w:ascii="仿宋" w:hAnsi="仿宋" w:eastAsia="仿宋" w:cs="仿宋"/>
          <w:i w:val="0"/>
          <w:caps w:val="0"/>
          <w:spacing w:val="0"/>
          <w:sz w:val="21"/>
          <w:szCs w:val="21"/>
          <w:shd w:val="clear" w:color="auto" w:fill="FFFFFF"/>
        </w:rPr>
      </w:pPr>
      <w:r>
        <w:rPr>
          <w:rFonts w:hint="eastAsia" w:ascii="仿宋" w:hAnsi="仿宋" w:eastAsia="仿宋" w:cs="仿宋"/>
          <w:i w:val="0"/>
          <w:caps w:val="0"/>
          <w:spacing w:val="0"/>
          <w:sz w:val="21"/>
          <w:szCs w:val="21"/>
          <w:shd w:val="clear" w:color="auto" w:fill="FFFFFF"/>
        </w:rPr>
        <w:t>（4）未被“信用中国 ”（www.creditchina.gov.cn）、中国政府采购网（www.ccgp.gov.cn） 列入失信被执行人、重大税收违法案件当事人名单、政府采购严重违法失信行为记录名单（提</w:t>
      </w:r>
    </w:p>
    <w:p w14:paraId="7D152A3F">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rPr>
          <w:rFonts w:hint="eastAsia" w:ascii="仿宋" w:hAnsi="仿宋" w:eastAsia="仿宋" w:cs="仿宋"/>
          <w:i w:val="0"/>
          <w:caps w:val="0"/>
          <w:spacing w:val="0"/>
          <w:sz w:val="21"/>
          <w:szCs w:val="21"/>
          <w:shd w:val="clear" w:color="auto" w:fill="FFFFFF"/>
        </w:rPr>
      </w:pPr>
      <w:r>
        <w:rPr>
          <w:rFonts w:hint="eastAsia" w:ascii="仿宋" w:hAnsi="仿宋" w:eastAsia="仿宋" w:cs="仿宋"/>
          <w:i w:val="0"/>
          <w:caps w:val="0"/>
          <w:spacing w:val="0"/>
          <w:sz w:val="21"/>
          <w:szCs w:val="21"/>
          <w:shd w:val="clear" w:color="auto" w:fill="FFFFFF"/>
        </w:rPr>
        <w:t>供查询结果网页截图并加盖供应商公章）；</w:t>
      </w:r>
    </w:p>
    <w:p w14:paraId="333531DF">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lang w:eastAsia="zh-CN"/>
        </w:rPr>
        <w:t>（</w:t>
      </w:r>
      <w:r>
        <w:rPr>
          <w:rFonts w:hint="eastAsia" w:ascii="仿宋" w:hAnsi="仿宋" w:eastAsia="仿宋" w:cs="仿宋"/>
          <w:i w:val="0"/>
          <w:caps w:val="0"/>
          <w:spacing w:val="0"/>
          <w:sz w:val="21"/>
          <w:szCs w:val="21"/>
          <w:shd w:val="clear" w:color="auto" w:fill="FFFFFF"/>
          <w:lang w:val="en-US" w:eastAsia="zh-CN"/>
        </w:rPr>
        <w:t>5</w:t>
      </w:r>
      <w:r>
        <w:rPr>
          <w:rFonts w:hint="eastAsia" w:ascii="仿宋" w:hAnsi="仿宋" w:eastAsia="仿宋" w:cs="仿宋"/>
          <w:i w:val="0"/>
          <w:caps w:val="0"/>
          <w:spacing w:val="0"/>
          <w:sz w:val="21"/>
          <w:szCs w:val="21"/>
          <w:shd w:val="clear" w:color="auto" w:fill="FFFFFF"/>
          <w:lang w:eastAsia="zh-CN"/>
        </w:rPr>
        <w:t>）</w:t>
      </w:r>
      <w:bookmarkEnd w:id="1"/>
      <w:r>
        <w:rPr>
          <w:rFonts w:hint="eastAsia" w:ascii="仿宋" w:hAnsi="仿宋" w:eastAsia="仿宋" w:cs="仿宋"/>
          <w:i w:val="0"/>
          <w:caps w:val="0"/>
          <w:spacing w:val="0"/>
          <w:sz w:val="21"/>
          <w:szCs w:val="21"/>
          <w:shd w:val="clear" w:color="auto" w:fill="FFFFFF"/>
          <w:lang w:eastAsia="zh-CN"/>
        </w:rPr>
        <w:t>供应商须具备建筑装修装饰工程专业承包二级及以上资质、有效的安全生产许可证；项目负责人具备建筑工程专业二级（含）以上注册建造师执业资格且具有有效的安全生产考核证；</w:t>
      </w:r>
    </w:p>
    <w:p w14:paraId="7070199F">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4" w:beforeAutospacing="0" w:after="204" w:afterAutospacing="0" w:line="300" w:lineRule="exact"/>
        <w:ind w:left="0" w:right="0" w:firstLine="0"/>
        <w:jc w:val="both"/>
        <w:textAlignment w:val="auto"/>
        <w:rPr>
          <w:rFonts w:ascii="黑体" w:hAnsi="宋体" w:eastAsia="黑体" w:cs="黑体"/>
          <w:i w:val="0"/>
          <w:caps w:val="0"/>
          <w:spacing w:val="0"/>
          <w:sz w:val="21"/>
          <w:szCs w:val="21"/>
        </w:rPr>
      </w:pPr>
      <w:r>
        <w:rPr>
          <w:rStyle w:val="22"/>
          <w:rFonts w:ascii="黑体" w:hAnsi="宋体" w:eastAsia="黑体" w:cs="黑体"/>
          <w:b/>
          <w:i w:val="0"/>
          <w:caps w:val="0"/>
          <w:spacing w:val="0"/>
          <w:sz w:val="21"/>
          <w:szCs w:val="21"/>
          <w:shd w:val="clear" w:color="auto" w:fill="FFFFFF"/>
        </w:rPr>
        <w:t>三、获取采购文件</w:t>
      </w:r>
    </w:p>
    <w:p w14:paraId="43CAC36C">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rPr>
        <w:t>    </w:t>
      </w:r>
      <w:r>
        <w:rPr>
          <w:rFonts w:hint="eastAsia" w:ascii="仿宋" w:hAnsi="仿宋" w:eastAsia="仿宋" w:cs="仿宋"/>
          <w:i w:val="0"/>
          <w:caps w:val="0"/>
          <w:spacing w:val="0"/>
          <w:sz w:val="21"/>
          <w:szCs w:val="21"/>
          <w:u w:val="none"/>
          <w:shd w:val="clear" w:color="auto" w:fill="FFFFFF"/>
        </w:rPr>
        <w:t>时间：2026年</w:t>
      </w:r>
      <w:r>
        <w:rPr>
          <w:rFonts w:hint="eastAsia" w:ascii="仿宋" w:hAnsi="仿宋" w:eastAsia="仿宋" w:cs="仿宋"/>
          <w:i w:val="0"/>
          <w:caps w:val="0"/>
          <w:spacing w:val="0"/>
          <w:sz w:val="21"/>
          <w:szCs w:val="21"/>
          <w:u w:val="none"/>
          <w:shd w:val="clear" w:color="auto" w:fill="FFFFFF"/>
          <w:lang w:val="en-US" w:eastAsia="zh-CN"/>
        </w:rPr>
        <w:t>10</w:t>
      </w:r>
      <w:r>
        <w:rPr>
          <w:rFonts w:hint="eastAsia" w:ascii="仿宋" w:hAnsi="仿宋" w:eastAsia="仿宋" w:cs="仿宋"/>
          <w:i w:val="0"/>
          <w:caps w:val="0"/>
          <w:spacing w:val="0"/>
          <w:sz w:val="21"/>
          <w:szCs w:val="21"/>
          <w:u w:val="none"/>
          <w:shd w:val="clear" w:color="auto" w:fill="FFFFFF"/>
        </w:rPr>
        <w:t>月</w:t>
      </w:r>
      <w:r>
        <w:rPr>
          <w:rFonts w:hint="eastAsia" w:ascii="仿宋" w:hAnsi="仿宋" w:eastAsia="仿宋" w:cs="仿宋"/>
          <w:i w:val="0"/>
          <w:caps w:val="0"/>
          <w:spacing w:val="0"/>
          <w:sz w:val="21"/>
          <w:szCs w:val="21"/>
          <w:u w:val="none"/>
          <w:shd w:val="clear" w:color="auto" w:fill="FFFFFF"/>
          <w:lang w:val="en-US" w:eastAsia="zh-CN"/>
        </w:rPr>
        <w:t>31</w:t>
      </w:r>
      <w:r>
        <w:rPr>
          <w:rFonts w:hint="eastAsia" w:ascii="仿宋" w:hAnsi="仿宋" w:eastAsia="仿宋" w:cs="仿宋"/>
          <w:i w:val="0"/>
          <w:caps w:val="0"/>
          <w:spacing w:val="0"/>
          <w:sz w:val="21"/>
          <w:szCs w:val="21"/>
          <w:u w:val="none"/>
          <w:shd w:val="clear" w:color="auto" w:fill="FFFFFF"/>
        </w:rPr>
        <w:t>日至2026年</w:t>
      </w:r>
      <w:r>
        <w:rPr>
          <w:rFonts w:hint="eastAsia" w:ascii="仿宋" w:hAnsi="仿宋" w:eastAsia="仿宋" w:cs="仿宋"/>
          <w:i w:val="0"/>
          <w:caps w:val="0"/>
          <w:spacing w:val="0"/>
          <w:sz w:val="21"/>
          <w:szCs w:val="21"/>
          <w:u w:val="none"/>
          <w:shd w:val="clear" w:color="auto" w:fill="FFFFFF"/>
          <w:lang w:val="en-US" w:eastAsia="zh-CN"/>
        </w:rPr>
        <w:t>11</w:t>
      </w:r>
      <w:r>
        <w:rPr>
          <w:rFonts w:hint="eastAsia" w:ascii="仿宋" w:hAnsi="仿宋" w:eastAsia="仿宋" w:cs="仿宋"/>
          <w:i w:val="0"/>
          <w:caps w:val="0"/>
          <w:spacing w:val="0"/>
          <w:sz w:val="21"/>
          <w:szCs w:val="21"/>
          <w:u w:val="none"/>
          <w:shd w:val="clear" w:color="auto" w:fill="FFFFFF"/>
        </w:rPr>
        <w:t>月</w:t>
      </w:r>
      <w:r>
        <w:rPr>
          <w:rFonts w:hint="eastAsia" w:ascii="仿宋" w:hAnsi="仿宋" w:eastAsia="仿宋" w:cs="仿宋"/>
          <w:i w:val="0"/>
          <w:caps w:val="0"/>
          <w:spacing w:val="0"/>
          <w:sz w:val="21"/>
          <w:szCs w:val="21"/>
          <w:u w:val="none"/>
          <w:shd w:val="clear" w:color="auto" w:fill="FFFFFF"/>
          <w:lang w:val="en-US" w:eastAsia="zh-CN"/>
        </w:rPr>
        <w:t>06</w:t>
      </w:r>
      <w:r>
        <w:rPr>
          <w:rFonts w:hint="eastAsia" w:ascii="仿宋" w:hAnsi="仿宋" w:eastAsia="仿宋" w:cs="仿宋"/>
          <w:i w:val="0"/>
          <w:caps w:val="0"/>
          <w:spacing w:val="0"/>
          <w:sz w:val="21"/>
          <w:szCs w:val="21"/>
          <w:u w:val="none"/>
          <w:shd w:val="clear" w:color="auto" w:fill="FFFFFF"/>
        </w:rPr>
        <w:t>日，每天上午10:00至14:00，下午16:00至20:00（北京时间，法定节假日除外）</w:t>
      </w:r>
    </w:p>
    <w:p w14:paraId="1D718776">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rPr>
        <w:t>    地点：政采云平台线上 </w:t>
      </w:r>
    </w:p>
    <w:p w14:paraId="3E1F4EB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rPr>
        <w:t>    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 </w:t>
      </w:r>
    </w:p>
    <w:p w14:paraId="08E1AABE">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rPr>
        <w:t>    售价（元）： </w:t>
      </w:r>
      <w:r>
        <w:rPr>
          <w:rStyle w:val="27"/>
          <w:rFonts w:hint="eastAsia" w:ascii="仿宋" w:hAnsi="仿宋" w:eastAsia="仿宋" w:cs="仿宋"/>
          <w:i w:val="0"/>
          <w:caps w:val="0"/>
          <w:spacing w:val="0"/>
          <w:sz w:val="21"/>
          <w:szCs w:val="21"/>
          <w:shd w:val="clear" w:color="auto" w:fill="FFFFFF"/>
        </w:rPr>
        <w:t>0</w:t>
      </w:r>
      <w:r>
        <w:rPr>
          <w:rFonts w:hint="eastAsia" w:ascii="仿宋" w:hAnsi="仿宋" w:eastAsia="仿宋" w:cs="仿宋"/>
          <w:i w:val="0"/>
          <w:caps w:val="0"/>
          <w:spacing w:val="0"/>
          <w:sz w:val="21"/>
          <w:szCs w:val="21"/>
          <w:shd w:val="clear" w:color="auto" w:fill="FFFFFF"/>
        </w:rPr>
        <w:t> </w:t>
      </w:r>
    </w:p>
    <w:p w14:paraId="08689BF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4" w:beforeAutospacing="0" w:after="204" w:afterAutospacing="0" w:line="300" w:lineRule="exact"/>
        <w:ind w:left="0" w:right="0" w:firstLine="0"/>
        <w:jc w:val="both"/>
        <w:textAlignment w:val="auto"/>
        <w:rPr>
          <w:rFonts w:ascii="黑体" w:hAnsi="宋体" w:eastAsia="黑体" w:cs="黑体"/>
          <w:i w:val="0"/>
          <w:caps w:val="0"/>
          <w:spacing w:val="0"/>
          <w:sz w:val="21"/>
          <w:szCs w:val="21"/>
        </w:rPr>
      </w:pPr>
      <w:r>
        <w:rPr>
          <w:rStyle w:val="22"/>
          <w:rFonts w:ascii="黑体" w:hAnsi="宋体" w:eastAsia="黑体" w:cs="黑体"/>
          <w:b/>
          <w:i w:val="0"/>
          <w:caps w:val="0"/>
          <w:spacing w:val="0"/>
          <w:sz w:val="21"/>
          <w:szCs w:val="21"/>
          <w:shd w:val="clear" w:color="auto" w:fill="FFFFFF"/>
        </w:rPr>
        <w:t>四、响应文件提交</w:t>
      </w:r>
      <w:r>
        <w:rPr>
          <w:rFonts w:ascii="黑体" w:hAnsi="宋体" w:eastAsia="黑体" w:cs="黑体"/>
          <w:i w:val="0"/>
          <w:caps w:val="0"/>
          <w:spacing w:val="0"/>
          <w:sz w:val="21"/>
          <w:szCs w:val="21"/>
          <w:shd w:val="clear" w:color="auto" w:fill="FFFFFF"/>
        </w:rPr>
        <w:t> </w:t>
      </w:r>
    </w:p>
    <w:p w14:paraId="0F2AE02E">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rPr>
        <w:t>    截止时间：2026年</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月</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日</w:t>
      </w:r>
      <w:r>
        <w:rPr>
          <w:rFonts w:hint="eastAsia" w:ascii="仿宋" w:hAnsi="仿宋" w:eastAsia="仿宋" w:cs="仿宋"/>
          <w:i w:val="0"/>
          <w:caps w:val="0"/>
          <w:spacing w:val="0"/>
          <w:sz w:val="21"/>
          <w:szCs w:val="21"/>
          <w:shd w:val="clear" w:color="auto" w:fill="FFFFFF"/>
        </w:rPr>
        <w:t xml:space="preserve"> 10:1</w:t>
      </w:r>
      <w:r>
        <w:rPr>
          <w:rFonts w:hint="eastAsia" w:ascii="仿宋" w:hAnsi="仿宋" w:eastAsia="仿宋" w:cs="仿宋"/>
          <w:i w:val="0"/>
          <w:caps w:val="0"/>
          <w:spacing w:val="0"/>
          <w:sz w:val="21"/>
          <w:szCs w:val="21"/>
          <w:shd w:val="clear" w:color="auto" w:fill="FFFFFF"/>
          <w:lang w:val="en-US" w:eastAsia="zh-CN"/>
        </w:rPr>
        <w:t>0</w:t>
      </w:r>
      <w:r>
        <w:rPr>
          <w:rFonts w:hint="eastAsia" w:ascii="仿宋" w:hAnsi="仿宋" w:eastAsia="仿宋" w:cs="仿宋"/>
          <w:i w:val="0"/>
          <w:caps w:val="0"/>
          <w:spacing w:val="0"/>
          <w:sz w:val="21"/>
          <w:szCs w:val="21"/>
          <w:shd w:val="clear" w:color="auto" w:fill="FFFFFF"/>
        </w:rPr>
        <w:t>（北京时间）</w:t>
      </w:r>
    </w:p>
    <w:p w14:paraId="025E0EF0">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rPr>
        <w:t>    地点：请登录政采云投标客户端投标 </w:t>
      </w:r>
    </w:p>
    <w:p w14:paraId="0C193A3A">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4" w:beforeAutospacing="0" w:after="204" w:afterAutospacing="0" w:line="300" w:lineRule="exact"/>
        <w:ind w:left="0" w:right="0" w:firstLine="0"/>
        <w:jc w:val="both"/>
        <w:textAlignment w:val="auto"/>
        <w:rPr>
          <w:rFonts w:ascii="黑体" w:hAnsi="宋体" w:eastAsia="黑体" w:cs="黑体"/>
          <w:i w:val="0"/>
          <w:caps w:val="0"/>
          <w:spacing w:val="0"/>
          <w:sz w:val="21"/>
          <w:szCs w:val="21"/>
        </w:rPr>
      </w:pPr>
      <w:r>
        <w:rPr>
          <w:rStyle w:val="22"/>
          <w:rFonts w:ascii="黑体" w:hAnsi="宋体" w:eastAsia="黑体" w:cs="黑体"/>
          <w:b/>
          <w:i w:val="0"/>
          <w:caps w:val="0"/>
          <w:spacing w:val="0"/>
          <w:sz w:val="21"/>
          <w:szCs w:val="21"/>
          <w:shd w:val="clear" w:color="auto" w:fill="FFFFFF"/>
        </w:rPr>
        <w:t>五、响应文件开启</w:t>
      </w:r>
      <w:r>
        <w:rPr>
          <w:rFonts w:ascii="黑体" w:hAnsi="宋体" w:eastAsia="黑体" w:cs="黑体"/>
          <w:i w:val="0"/>
          <w:caps w:val="0"/>
          <w:spacing w:val="0"/>
          <w:sz w:val="21"/>
          <w:szCs w:val="21"/>
          <w:shd w:val="clear" w:color="auto" w:fill="FFFFFF"/>
        </w:rPr>
        <w:t> </w:t>
      </w:r>
    </w:p>
    <w:p w14:paraId="44C65720">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rPr>
        <w:t>    开启时间：2026年</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月</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日</w:t>
      </w:r>
      <w:r>
        <w:rPr>
          <w:rFonts w:hint="eastAsia" w:ascii="仿宋" w:hAnsi="仿宋" w:eastAsia="仿宋" w:cs="仿宋"/>
          <w:i w:val="0"/>
          <w:caps w:val="0"/>
          <w:spacing w:val="0"/>
          <w:sz w:val="21"/>
          <w:szCs w:val="21"/>
          <w:shd w:val="clear" w:color="auto" w:fill="FFFFFF"/>
        </w:rPr>
        <w:t xml:space="preserve"> 10:1</w:t>
      </w:r>
      <w:r>
        <w:rPr>
          <w:rFonts w:hint="eastAsia" w:ascii="仿宋" w:hAnsi="仿宋" w:eastAsia="仿宋" w:cs="仿宋"/>
          <w:i w:val="0"/>
          <w:caps w:val="0"/>
          <w:spacing w:val="0"/>
          <w:sz w:val="21"/>
          <w:szCs w:val="21"/>
          <w:shd w:val="clear" w:color="auto" w:fill="FFFFFF"/>
          <w:lang w:val="en-US" w:eastAsia="zh-CN"/>
        </w:rPr>
        <w:t>0</w:t>
      </w:r>
      <w:r>
        <w:rPr>
          <w:rFonts w:hint="eastAsia" w:ascii="仿宋" w:hAnsi="仿宋" w:eastAsia="仿宋" w:cs="仿宋"/>
          <w:i w:val="0"/>
          <w:caps w:val="0"/>
          <w:spacing w:val="0"/>
          <w:sz w:val="21"/>
          <w:szCs w:val="21"/>
          <w:shd w:val="clear" w:color="auto" w:fill="FFFFFF"/>
        </w:rPr>
        <w:t>（北京时间）</w:t>
      </w:r>
    </w:p>
    <w:p w14:paraId="44654C24">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210" w:afterAutospacing="0" w:line="300" w:lineRule="exact"/>
        <w:ind w:left="0" w:right="0"/>
        <w:textAlignment w:val="auto"/>
      </w:pPr>
      <w:r>
        <w:rPr>
          <w:rFonts w:hint="eastAsia" w:ascii="仿宋" w:hAnsi="仿宋" w:eastAsia="仿宋" w:cs="仿宋"/>
          <w:i w:val="0"/>
          <w:caps w:val="0"/>
          <w:spacing w:val="0"/>
          <w:sz w:val="21"/>
          <w:szCs w:val="21"/>
          <w:shd w:val="clear" w:color="auto" w:fill="FFFFFF"/>
        </w:rPr>
        <w:t>    地点：投标人登录政采云平台https://www.zcygov.cn/，进入“项目采购-开标评标-右边选择对应项目点击“进入项目”进入开标大厅。</w:t>
      </w:r>
    </w:p>
    <w:p w14:paraId="363D193D">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4" w:beforeAutospacing="0" w:after="204" w:afterAutospacing="0" w:line="300" w:lineRule="exact"/>
        <w:ind w:left="0" w:right="0" w:firstLine="0"/>
        <w:jc w:val="both"/>
        <w:textAlignment w:val="auto"/>
        <w:rPr>
          <w:rFonts w:ascii="黑体" w:hAnsi="宋体" w:eastAsia="黑体" w:cs="黑体"/>
          <w:i w:val="0"/>
          <w:caps w:val="0"/>
          <w:spacing w:val="0"/>
          <w:sz w:val="25"/>
          <w:szCs w:val="25"/>
        </w:rPr>
      </w:pPr>
      <w:r>
        <w:rPr>
          <w:rStyle w:val="22"/>
          <w:rFonts w:ascii="黑体" w:hAnsi="宋体" w:eastAsia="黑体" w:cs="黑体"/>
          <w:b/>
          <w:i w:val="0"/>
          <w:caps w:val="0"/>
          <w:spacing w:val="0"/>
          <w:sz w:val="21"/>
          <w:szCs w:val="21"/>
          <w:shd w:val="clear" w:color="auto" w:fill="FFFFFF"/>
        </w:rPr>
        <w:t>六、公告期限</w:t>
      </w:r>
    </w:p>
    <w:p w14:paraId="71F86899">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0"/>
        <w:textAlignment w:val="auto"/>
        <w:rPr>
          <w:rFonts w:ascii="微软雅黑" w:hAnsi="微软雅黑" w:eastAsia="微软雅黑" w:cs="微软雅黑"/>
          <w:i w:val="0"/>
          <w:caps w:val="0"/>
          <w:spacing w:val="0"/>
          <w:sz w:val="16"/>
          <w:szCs w:val="16"/>
        </w:rPr>
      </w:pPr>
      <w:r>
        <w:rPr>
          <w:rFonts w:hint="eastAsia" w:ascii="仿宋" w:hAnsi="仿宋" w:eastAsia="仿宋" w:cs="仿宋"/>
          <w:i w:val="0"/>
          <w:caps w:val="0"/>
          <w:spacing w:val="0"/>
          <w:sz w:val="21"/>
          <w:szCs w:val="21"/>
          <w:shd w:val="clear" w:color="auto" w:fill="FFFFFF"/>
        </w:rPr>
        <w:t>    自本公告发布之日起3个工作日。</w:t>
      </w:r>
    </w:p>
    <w:p w14:paraId="365AF9FF">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4" w:beforeAutospacing="0" w:after="204" w:afterAutospacing="0" w:line="300" w:lineRule="exact"/>
        <w:ind w:left="0" w:right="0" w:firstLine="0"/>
        <w:jc w:val="both"/>
        <w:textAlignment w:val="auto"/>
        <w:rPr>
          <w:rFonts w:ascii="黑体" w:hAnsi="宋体" w:eastAsia="黑体" w:cs="黑体"/>
          <w:i w:val="0"/>
          <w:caps w:val="0"/>
          <w:spacing w:val="0"/>
          <w:sz w:val="21"/>
          <w:szCs w:val="21"/>
        </w:rPr>
      </w:pPr>
      <w:r>
        <w:rPr>
          <w:rStyle w:val="22"/>
          <w:rFonts w:ascii="黑体" w:hAnsi="宋体" w:eastAsia="黑体" w:cs="黑体"/>
          <w:b/>
          <w:i w:val="0"/>
          <w:caps w:val="0"/>
          <w:spacing w:val="0"/>
          <w:sz w:val="21"/>
          <w:szCs w:val="21"/>
          <w:shd w:val="clear" w:color="auto" w:fill="FFFFFF"/>
        </w:rPr>
        <w:t>七、其他补充事宜</w:t>
      </w:r>
      <w:r>
        <w:rPr>
          <w:rFonts w:ascii="黑体" w:hAnsi="宋体" w:eastAsia="黑体" w:cs="黑体"/>
          <w:i w:val="0"/>
          <w:caps w:val="0"/>
          <w:spacing w:val="0"/>
          <w:sz w:val="21"/>
          <w:szCs w:val="21"/>
          <w:shd w:val="clear" w:color="auto" w:fill="FFFFFF"/>
        </w:rPr>
        <w:t> </w:t>
      </w:r>
    </w:p>
    <w:p w14:paraId="2CA67CD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0"/>
        <w:textAlignment w:val="auto"/>
        <w:rPr>
          <w:rFonts w:hint="eastAsia" w:ascii="微软雅黑" w:hAnsi="微软雅黑" w:eastAsia="微软雅黑" w:cs="微软雅黑"/>
          <w:i w:val="0"/>
          <w:caps w:val="0"/>
          <w:spacing w:val="0"/>
          <w:sz w:val="16"/>
          <w:szCs w:val="16"/>
        </w:rPr>
      </w:pPr>
      <w:r>
        <w:rPr>
          <w:rFonts w:hint="eastAsia" w:ascii="仿宋" w:hAnsi="仿宋" w:eastAsia="仿宋" w:cs="仿宋"/>
          <w:i w:val="0"/>
          <w:caps w:val="0"/>
          <w:spacing w:val="0"/>
          <w:sz w:val="21"/>
          <w:szCs w:val="21"/>
          <w:shd w:val="clear" w:color="auto" w:fill="FFFFFF"/>
        </w:rPr>
        <w:t>    1、本项目实行网上投标，采用电子投标文件。</w:t>
      </w:r>
    </w:p>
    <w:p w14:paraId="58507F2F">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0"/>
        <w:textAlignment w:val="auto"/>
        <w:rPr>
          <w:rFonts w:hint="eastAsia" w:ascii="微软雅黑" w:hAnsi="微软雅黑" w:eastAsia="微软雅黑" w:cs="微软雅黑"/>
          <w:i w:val="0"/>
          <w:caps w:val="0"/>
          <w:spacing w:val="0"/>
          <w:sz w:val="16"/>
          <w:szCs w:val="16"/>
        </w:rPr>
      </w:pPr>
      <w:r>
        <w:rPr>
          <w:rFonts w:hint="eastAsia" w:ascii="仿宋" w:hAnsi="仿宋" w:eastAsia="仿宋" w:cs="仿宋"/>
          <w:i w:val="0"/>
          <w:caps w:val="0"/>
          <w:spacing w:val="0"/>
          <w:sz w:val="21"/>
          <w:szCs w:val="21"/>
          <w:shd w:val="clear" w:color="auto" w:fill="FFFFFF"/>
        </w:rPr>
        <w:t>    2、各供应商应在开标前确保成为正式注册入库供应商，并完成CA数字证书(符合国密标准)申领。因未注册入库、未办理CA数字证书等原因造成无法投标或投标失败等后果由供应商自行承担。如需咨询，请联系新疆-安信CA服务热线0991-7810912；翔晟CA服务热线025-66085508；新疆CA服务热线4000921999。</w:t>
      </w:r>
    </w:p>
    <w:p w14:paraId="4671EE34">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0"/>
        <w:textAlignment w:val="auto"/>
        <w:rPr>
          <w:rFonts w:hint="eastAsia" w:ascii="微软雅黑" w:hAnsi="微软雅黑" w:eastAsia="微软雅黑" w:cs="微软雅黑"/>
          <w:i w:val="0"/>
          <w:caps w:val="0"/>
          <w:spacing w:val="0"/>
          <w:sz w:val="16"/>
          <w:szCs w:val="16"/>
        </w:rPr>
      </w:pPr>
      <w:r>
        <w:rPr>
          <w:rFonts w:hint="eastAsia" w:ascii="仿宋" w:hAnsi="仿宋" w:eastAsia="仿宋" w:cs="仿宋"/>
          <w:i w:val="0"/>
          <w:caps w:val="0"/>
          <w:spacing w:val="0"/>
          <w:sz w:val="21"/>
          <w:szCs w:val="21"/>
          <w:shd w:val="clear" w:color="auto" w:fill="FFFFFF"/>
        </w:rPr>
        <w:t>    3、供应商将政采云电子交易客户端下载、安装完成后，可通过账号密码或CA登录客户端进行投标文件的制作。在使用政采云投标客户端时，建议使用WIN7及以上操作系统。</w:t>
      </w:r>
    </w:p>
    <w:p w14:paraId="1F85FD8E">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0"/>
        <w:textAlignment w:val="auto"/>
        <w:rPr>
          <w:rFonts w:hint="eastAsia" w:ascii="微软雅黑" w:hAnsi="微软雅黑" w:eastAsia="微软雅黑" w:cs="微软雅黑"/>
          <w:i w:val="0"/>
          <w:caps w:val="0"/>
          <w:spacing w:val="0"/>
          <w:sz w:val="16"/>
          <w:szCs w:val="16"/>
        </w:rPr>
      </w:pPr>
      <w:r>
        <w:rPr>
          <w:rFonts w:hint="eastAsia" w:ascii="仿宋" w:hAnsi="仿宋" w:eastAsia="仿宋" w:cs="仿宋"/>
          <w:i w:val="0"/>
          <w:caps w:val="0"/>
          <w:spacing w:val="0"/>
          <w:sz w:val="21"/>
          <w:szCs w:val="21"/>
          <w:shd w:val="clear" w:color="auto" w:fill="FFFFFF"/>
        </w:rPr>
        <w:t>    4、其他事项：无    </w:t>
      </w:r>
    </w:p>
    <w:p w14:paraId="35A63F8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0"/>
        <w:textAlignment w:val="auto"/>
        <w:rPr>
          <w:rFonts w:hint="eastAsia" w:ascii="微软雅黑" w:hAnsi="微软雅黑" w:eastAsia="微软雅黑" w:cs="微软雅黑"/>
          <w:i w:val="0"/>
          <w:caps w:val="0"/>
          <w:spacing w:val="0"/>
          <w:sz w:val="16"/>
          <w:szCs w:val="16"/>
        </w:rPr>
      </w:pPr>
      <w:r>
        <w:rPr>
          <w:rFonts w:hint="eastAsia" w:ascii="微软雅黑" w:hAnsi="微软雅黑" w:eastAsia="微软雅黑" w:cs="微软雅黑"/>
          <w:i w:val="0"/>
          <w:caps w:val="0"/>
          <w:spacing w:val="0"/>
          <w:sz w:val="16"/>
          <w:szCs w:val="16"/>
          <w:shd w:val="clear" w:color="auto" w:fill="FFFFFF"/>
        </w:rPr>
        <w:t>特别提示：</w:t>
      </w:r>
    </w:p>
    <w:p w14:paraId="10DA0E2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0"/>
        <w:textAlignment w:val="auto"/>
        <w:rPr>
          <w:rFonts w:hint="eastAsia" w:ascii="微软雅黑" w:hAnsi="微软雅黑" w:eastAsia="微软雅黑" w:cs="微软雅黑"/>
          <w:i w:val="0"/>
          <w:caps w:val="0"/>
          <w:spacing w:val="0"/>
          <w:sz w:val="16"/>
          <w:szCs w:val="16"/>
        </w:rPr>
      </w:pPr>
      <w:r>
        <w:rPr>
          <w:rFonts w:hint="eastAsia" w:ascii="微软雅黑" w:hAnsi="微软雅黑" w:eastAsia="微软雅黑" w:cs="微软雅黑"/>
          <w:i w:val="0"/>
          <w:caps w:val="0"/>
          <w:spacing w:val="0"/>
          <w:sz w:val="16"/>
          <w:szCs w:val="16"/>
          <w:shd w:val="clear" w:color="auto" w:fill="FFFFFF"/>
        </w:rPr>
        <w:t>        1、采购限额标准以上，200万元以下的货物和服务采购项目、400万元以下的工程采购项目，适宜由中小企业提供的，采购人应当专门面向中小企业采购。</w:t>
      </w:r>
    </w:p>
    <w:p w14:paraId="629A72B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0"/>
        <w:textAlignment w:val="auto"/>
        <w:rPr>
          <w:rFonts w:hint="eastAsia" w:ascii="微软雅黑" w:hAnsi="微软雅黑" w:eastAsia="微软雅黑" w:cs="微软雅黑"/>
          <w:i w:val="0"/>
          <w:caps w:val="0"/>
          <w:spacing w:val="0"/>
          <w:sz w:val="16"/>
          <w:szCs w:val="16"/>
        </w:rPr>
      </w:pPr>
      <w:r>
        <w:rPr>
          <w:rFonts w:hint="eastAsia" w:ascii="微软雅黑" w:hAnsi="微软雅黑" w:eastAsia="微软雅黑" w:cs="微软雅黑"/>
          <w:i w:val="0"/>
          <w:caps w:val="0"/>
          <w:spacing w:val="0"/>
          <w:sz w:val="16"/>
          <w:szCs w:val="16"/>
          <w:shd w:val="clear" w:color="auto" w:fill="FFFFFF"/>
        </w:rPr>
        <w:t>        2、超过200万元的货物和服务采购项目，预留该部分采购项目预算总额的30%以上专门面向中小企业采购，其中预留给小微企业的比例不低于60%。</w:t>
      </w:r>
    </w:p>
    <w:p w14:paraId="00F4B973">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0"/>
        <w:textAlignment w:val="auto"/>
        <w:rPr>
          <w:rFonts w:hint="eastAsia" w:ascii="微软雅黑" w:hAnsi="微软雅黑" w:eastAsia="微软雅黑" w:cs="微软雅黑"/>
          <w:i w:val="0"/>
          <w:caps w:val="0"/>
          <w:spacing w:val="0"/>
          <w:sz w:val="16"/>
          <w:szCs w:val="16"/>
        </w:rPr>
      </w:pPr>
      <w:r>
        <w:rPr>
          <w:rFonts w:hint="eastAsia" w:ascii="微软雅黑" w:hAnsi="微软雅黑" w:eastAsia="微软雅黑" w:cs="微软雅黑"/>
          <w:i w:val="0"/>
          <w:caps w:val="0"/>
          <w:spacing w:val="0"/>
          <w:sz w:val="16"/>
          <w:szCs w:val="16"/>
          <w:shd w:val="clear" w:color="auto" w:fill="FFFFFF"/>
        </w:rPr>
        <w:t>        3、超过400万元的工程采购项目中适宜由中小企业提供的，预留该部分采购项目预算总额的40%以上专门面向中小企业采购，其中预留给小微企业的比例不低于60%。</w:t>
      </w:r>
    </w:p>
    <w:p w14:paraId="623892B2">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0"/>
        <w:textAlignment w:val="auto"/>
        <w:rPr>
          <w:rFonts w:hint="eastAsia" w:ascii="微软雅黑" w:hAnsi="微软雅黑" w:eastAsia="微软雅黑" w:cs="微软雅黑"/>
          <w:i w:val="0"/>
          <w:caps w:val="0"/>
          <w:spacing w:val="0"/>
          <w:sz w:val="16"/>
          <w:szCs w:val="16"/>
        </w:rPr>
      </w:pPr>
      <w:r>
        <w:rPr>
          <w:rFonts w:hint="eastAsia" w:ascii="微软雅黑" w:hAnsi="微软雅黑" w:eastAsia="微软雅黑" w:cs="微软雅黑"/>
          <w:i w:val="0"/>
          <w:caps w:val="0"/>
          <w:spacing w:val="0"/>
          <w:sz w:val="16"/>
          <w:szCs w:val="16"/>
          <w:shd w:val="clear" w:color="auto" w:fill="FFFFFF"/>
        </w:rPr>
        <w:t>        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70BCFFBC">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0"/>
        <w:textAlignment w:val="auto"/>
        <w:rPr>
          <w:rFonts w:hint="eastAsia" w:ascii="微软雅黑" w:hAnsi="微软雅黑" w:eastAsia="微软雅黑" w:cs="微软雅黑"/>
          <w:i w:val="0"/>
          <w:caps w:val="0"/>
          <w:spacing w:val="0"/>
          <w:sz w:val="16"/>
          <w:szCs w:val="16"/>
        </w:rPr>
      </w:pPr>
      <w:r>
        <w:rPr>
          <w:rFonts w:hint="eastAsia" w:ascii="微软雅黑" w:hAnsi="微软雅黑" w:eastAsia="微软雅黑" w:cs="微软雅黑"/>
          <w:i w:val="0"/>
          <w:caps w:val="0"/>
          <w:spacing w:val="0"/>
          <w:sz w:val="16"/>
          <w:szCs w:val="16"/>
          <w:shd w:val="clear" w:color="auto" w:fill="FFFFFF"/>
        </w:rPr>
        <w:t>        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24BEB3E4">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204" w:beforeAutospacing="0" w:after="204" w:afterAutospacing="0" w:line="300" w:lineRule="exact"/>
        <w:ind w:left="0" w:right="0" w:firstLine="0"/>
        <w:jc w:val="both"/>
        <w:textAlignment w:val="auto"/>
        <w:rPr>
          <w:rFonts w:ascii="黑体" w:hAnsi="宋体" w:eastAsia="黑体" w:cs="黑体"/>
          <w:i w:val="0"/>
          <w:caps w:val="0"/>
          <w:spacing w:val="0"/>
          <w:sz w:val="25"/>
          <w:szCs w:val="25"/>
        </w:rPr>
      </w:pPr>
      <w:r>
        <w:rPr>
          <w:rStyle w:val="22"/>
          <w:rFonts w:ascii="黑体" w:hAnsi="宋体" w:eastAsia="黑体" w:cs="黑体"/>
          <w:b/>
          <w:i w:val="0"/>
          <w:caps w:val="0"/>
          <w:spacing w:val="0"/>
          <w:sz w:val="21"/>
          <w:szCs w:val="21"/>
          <w:shd w:val="clear" w:color="auto" w:fill="FFFFFF"/>
        </w:rPr>
        <w:t>八、凡对本次招标提出询问，请按以下方式联系</w:t>
      </w:r>
    </w:p>
    <w:p w14:paraId="1FB5A643">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420"/>
        <w:textAlignment w:val="auto"/>
        <w:rPr>
          <w:rFonts w:hint="eastAsia" w:ascii="仿宋" w:hAnsi="仿宋" w:eastAsia="仿宋" w:cs="仿宋"/>
          <w:i w:val="0"/>
          <w:caps w:val="0"/>
          <w:spacing w:val="0"/>
          <w:sz w:val="16"/>
          <w:szCs w:val="16"/>
        </w:rPr>
      </w:pPr>
      <w:r>
        <w:rPr>
          <w:rFonts w:hint="eastAsia" w:ascii="仿宋" w:hAnsi="仿宋" w:eastAsia="仿宋" w:cs="仿宋"/>
          <w:i w:val="0"/>
          <w:caps w:val="0"/>
          <w:spacing w:val="0"/>
          <w:sz w:val="21"/>
          <w:szCs w:val="21"/>
          <w:shd w:val="clear" w:color="auto" w:fill="FFFFFF"/>
        </w:rPr>
        <w:t>1.采购人信息</w:t>
      </w:r>
    </w:p>
    <w:p w14:paraId="7DD2D9E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420"/>
        <w:textAlignment w:val="auto"/>
        <w:rPr>
          <w:rFonts w:hint="eastAsia" w:ascii="仿宋" w:hAnsi="仿宋" w:eastAsia="仿宋" w:cs="仿宋"/>
          <w:i w:val="0"/>
          <w:caps w:val="0"/>
          <w:spacing w:val="0"/>
          <w:sz w:val="16"/>
          <w:szCs w:val="16"/>
          <w:lang w:eastAsia="zh-CN"/>
        </w:rPr>
      </w:pPr>
      <w:r>
        <w:rPr>
          <w:rFonts w:hint="eastAsia" w:ascii="仿宋" w:hAnsi="仿宋" w:eastAsia="仿宋" w:cs="仿宋"/>
          <w:i w:val="0"/>
          <w:caps w:val="0"/>
          <w:spacing w:val="0"/>
          <w:sz w:val="21"/>
          <w:szCs w:val="21"/>
          <w:shd w:val="clear" w:color="auto" w:fill="FFFFFF"/>
        </w:rPr>
        <w:t>名 称：</w:t>
      </w:r>
      <w:r>
        <w:rPr>
          <w:rStyle w:val="27"/>
          <w:rFonts w:hint="eastAsia" w:ascii="仿宋" w:hAnsi="仿宋" w:eastAsia="仿宋" w:cs="仿宋"/>
          <w:i w:val="0"/>
          <w:caps w:val="0"/>
          <w:spacing w:val="0"/>
          <w:sz w:val="21"/>
          <w:szCs w:val="21"/>
          <w:shd w:val="clear" w:color="auto" w:fill="FFFFFF"/>
          <w:lang w:eastAsia="zh-CN"/>
        </w:rPr>
        <w:t>阿图什市人民医院</w:t>
      </w:r>
    </w:p>
    <w:p w14:paraId="5B6CCB1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420"/>
        <w:textAlignment w:val="auto"/>
        <w:rPr>
          <w:rFonts w:hint="eastAsia" w:ascii="仿宋" w:hAnsi="仿宋" w:eastAsia="仿宋" w:cs="仿宋"/>
          <w:i w:val="0"/>
          <w:caps w:val="0"/>
          <w:spacing w:val="0"/>
          <w:sz w:val="16"/>
          <w:szCs w:val="16"/>
          <w:lang w:eastAsia="zh-CN"/>
        </w:rPr>
      </w:pPr>
      <w:r>
        <w:rPr>
          <w:rFonts w:hint="eastAsia" w:ascii="仿宋" w:hAnsi="仿宋" w:eastAsia="仿宋" w:cs="仿宋"/>
          <w:i w:val="0"/>
          <w:caps w:val="0"/>
          <w:spacing w:val="0"/>
          <w:sz w:val="21"/>
          <w:szCs w:val="21"/>
          <w:shd w:val="clear" w:color="auto" w:fill="FFFFFF"/>
        </w:rPr>
        <w:t>地 址：</w:t>
      </w:r>
      <w:r>
        <w:rPr>
          <w:rFonts w:hint="eastAsia" w:ascii="仿宋" w:hAnsi="仿宋" w:eastAsia="仿宋" w:cs="仿宋"/>
          <w:i w:val="0"/>
          <w:caps w:val="0"/>
          <w:spacing w:val="0"/>
          <w:sz w:val="21"/>
          <w:szCs w:val="21"/>
          <w:shd w:val="clear" w:color="auto" w:fill="FFFFFF"/>
          <w:lang w:eastAsia="zh-CN"/>
        </w:rPr>
        <w:t>阿图什市</w:t>
      </w:r>
    </w:p>
    <w:p w14:paraId="207AAE8E">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420"/>
        <w:textAlignment w:val="auto"/>
        <w:rPr>
          <w:rFonts w:hint="default" w:ascii="仿宋" w:hAnsi="仿宋" w:eastAsia="仿宋" w:cs="仿宋"/>
          <w:i w:val="0"/>
          <w:caps w:val="0"/>
          <w:spacing w:val="0"/>
          <w:sz w:val="16"/>
          <w:szCs w:val="16"/>
          <w:lang w:val="en-US" w:eastAsia="zh-CN"/>
        </w:rPr>
      </w:pPr>
      <w:r>
        <w:rPr>
          <w:rFonts w:hint="eastAsia" w:ascii="仿宋" w:hAnsi="仿宋" w:eastAsia="仿宋" w:cs="仿宋"/>
          <w:i w:val="0"/>
          <w:caps w:val="0"/>
          <w:spacing w:val="0"/>
          <w:sz w:val="21"/>
          <w:szCs w:val="21"/>
          <w:shd w:val="clear" w:color="auto" w:fill="FFFFFF"/>
        </w:rPr>
        <w:t>联系方式：</w:t>
      </w:r>
      <w:r>
        <w:rPr>
          <w:rFonts w:hint="eastAsia" w:ascii="仿宋" w:hAnsi="仿宋" w:eastAsia="仿宋" w:cs="仿宋"/>
          <w:i w:val="0"/>
          <w:caps w:val="0"/>
          <w:spacing w:val="0"/>
          <w:sz w:val="21"/>
          <w:szCs w:val="21"/>
          <w:shd w:val="clear" w:color="auto" w:fill="FFFFFF"/>
          <w:lang w:val="en-US" w:eastAsia="zh-CN"/>
        </w:rPr>
        <w:t>13209088390</w:t>
      </w:r>
    </w:p>
    <w:p w14:paraId="162A432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420"/>
        <w:textAlignment w:val="auto"/>
        <w:rPr>
          <w:rFonts w:hint="eastAsia" w:ascii="仿宋" w:hAnsi="仿宋" w:eastAsia="仿宋" w:cs="仿宋"/>
          <w:i w:val="0"/>
          <w:caps w:val="0"/>
          <w:spacing w:val="0"/>
          <w:sz w:val="16"/>
          <w:szCs w:val="16"/>
        </w:rPr>
      </w:pPr>
      <w:r>
        <w:rPr>
          <w:rFonts w:hint="eastAsia" w:ascii="仿宋" w:hAnsi="仿宋" w:eastAsia="仿宋" w:cs="仿宋"/>
          <w:i w:val="0"/>
          <w:caps w:val="0"/>
          <w:spacing w:val="0"/>
          <w:sz w:val="21"/>
          <w:szCs w:val="21"/>
          <w:shd w:val="clear" w:color="auto" w:fill="FFFFFF"/>
        </w:rPr>
        <w:t>2.采购代理机构信息</w:t>
      </w:r>
    </w:p>
    <w:p w14:paraId="759D6F56">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420"/>
        <w:textAlignment w:val="auto"/>
        <w:rPr>
          <w:rFonts w:hint="eastAsia" w:ascii="仿宋" w:hAnsi="仿宋" w:eastAsia="仿宋" w:cs="仿宋"/>
          <w:i w:val="0"/>
          <w:caps w:val="0"/>
          <w:spacing w:val="0"/>
          <w:sz w:val="16"/>
          <w:szCs w:val="16"/>
        </w:rPr>
      </w:pPr>
      <w:r>
        <w:rPr>
          <w:rFonts w:hint="eastAsia" w:ascii="仿宋" w:hAnsi="仿宋" w:eastAsia="仿宋" w:cs="仿宋"/>
          <w:i w:val="0"/>
          <w:caps w:val="0"/>
          <w:spacing w:val="0"/>
          <w:sz w:val="21"/>
          <w:szCs w:val="21"/>
          <w:shd w:val="clear" w:color="auto" w:fill="FFFFFF"/>
        </w:rPr>
        <w:t>名 称：新疆大成瑞祥建设项目管理咨询有限公司</w:t>
      </w:r>
    </w:p>
    <w:p w14:paraId="7807561E">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420"/>
        <w:textAlignment w:val="auto"/>
        <w:rPr>
          <w:rFonts w:hint="eastAsia" w:ascii="仿宋" w:hAnsi="仿宋" w:eastAsia="仿宋" w:cs="仿宋"/>
          <w:i w:val="0"/>
          <w:caps w:val="0"/>
          <w:spacing w:val="0"/>
          <w:sz w:val="16"/>
          <w:szCs w:val="16"/>
        </w:rPr>
      </w:pPr>
      <w:r>
        <w:rPr>
          <w:rFonts w:hint="eastAsia" w:ascii="仿宋" w:hAnsi="仿宋" w:eastAsia="仿宋" w:cs="仿宋"/>
          <w:i w:val="0"/>
          <w:caps w:val="0"/>
          <w:spacing w:val="0"/>
          <w:sz w:val="21"/>
          <w:szCs w:val="21"/>
          <w:shd w:val="clear" w:color="auto" w:fill="FFFFFF"/>
        </w:rPr>
        <w:t>地 址：阿图什市阿扎克镇提坚村沙依路43号三楼</w:t>
      </w:r>
    </w:p>
    <w:p w14:paraId="4366D91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420"/>
        <w:textAlignment w:val="auto"/>
        <w:rPr>
          <w:rFonts w:hint="eastAsia" w:ascii="仿宋" w:hAnsi="仿宋" w:eastAsia="仿宋" w:cs="仿宋"/>
          <w:i w:val="0"/>
          <w:caps w:val="0"/>
          <w:spacing w:val="0"/>
          <w:sz w:val="16"/>
          <w:szCs w:val="16"/>
          <w:lang w:eastAsia="zh-CN"/>
        </w:rPr>
      </w:pPr>
      <w:r>
        <w:rPr>
          <w:rFonts w:hint="eastAsia" w:ascii="仿宋" w:hAnsi="仿宋" w:eastAsia="仿宋" w:cs="仿宋"/>
          <w:i w:val="0"/>
          <w:caps w:val="0"/>
          <w:spacing w:val="0"/>
          <w:sz w:val="21"/>
          <w:szCs w:val="21"/>
          <w:shd w:val="clear" w:color="auto" w:fill="FFFFFF"/>
        </w:rPr>
        <w:t>联系方式：</w:t>
      </w:r>
      <w:r>
        <w:rPr>
          <w:rFonts w:hint="eastAsia" w:ascii="仿宋" w:hAnsi="仿宋" w:eastAsia="仿宋" w:cs="仿宋"/>
          <w:i w:val="0"/>
          <w:caps w:val="0"/>
          <w:spacing w:val="0"/>
          <w:sz w:val="21"/>
          <w:szCs w:val="21"/>
          <w:shd w:val="clear" w:color="auto" w:fill="FFFFFF"/>
          <w:lang w:eastAsia="zh-CN"/>
        </w:rPr>
        <w:t>19990496023</w:t>
      </w:r>
    </w:p>
    <w:p w14:paraId="150BDD7D">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420"/>
        <w:textAlignment w:val="auto"/>
        <w:rPr>
          <w:rFonts w:hint="eastAsia" w:ascii="仿宋" w:hAnsi="仿宋" w:eastAsia="仿宋" w:cs="仿宋"/>
          <w:i w:val="0"/>
          <w:caps w:val="0"/>
          <w:spacing w:val="0"/>
          <w:sz w:val="16"/>
          <w:szCs w:val="16"/>
        </w:rPr>
      </w:pPr>
      <w:r>
        <w:rPr>
          <w:rFonts w:hint="eastAsia" w:ascii="仿宋" w:hAnsi="仿宋" w:eastAsia="仿宋" w:cs="仿宋"/>
          <w:i w:val="0"/>
          <w:caps w:val="0"/>
          <w:spacing w:val="0"/>
          <w:sz w:val="21"/>
          <w:szCs w:val="21"/>
          <w:shd w:val="clear" w:color="auto" w:fill="FFFFFF"/>
        </w:rPr>
        <w:t>3.项目联系方式</w:t>
      </w:r>
    </w:p>
    <w:p w14:paraId="4A597EFA">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420"/>
        <w:textAlignment w:val="auto"/>
        <w:rPr>
          <w:rFonts w:hint="eastAsia" w:ascii="仿宋" w:hAnsi="仿宋" w:eastAsia="仿宋" w:cs="仿宋"/>
          <w:i w:val="0"/>
          <w:caps w:val="0"/>
          <w:spacing w:val="0"/>
          <w:sz w:val="16"/>
          <w:szCs w:val="16"/>
        </w:rPr>
      </w:pPr>
      <w:r>
        <w:rPr>
          <w:rFonts w:hint="eastAsia" w:ascii="仿宋" w:hAnsi="仿宋" w:eastAsia="仿宋" w:cs="仿宋"/>
          <w:i w:val="0"/>
          <w:caps w:val="0"/>
          <w:spacing w:val="0"/>
          <w:sz w:val="21"/>
          <w:szCs w:val="21"/>
          <w:shd w:val="clear" w:color="auto" w:fill="FFFFFF"/>
        </w:rPr>
        <w:t>项目联系人：</w:t>
      </w:r>
      <w:r>
        <w:rPr>
          <w:rStyle w:val="27"/>
          <w:rFonts w:hint="eastAsia" w:ascii="仿宋" w:hAnsi="仿宋" w:eastAsia="仿宋" w:cs="仿宋"/>
          <w:i w:val="0"/>
          <w:caps w:val="0"/>
          <w:spacing w:val="0"/>
          <w:sz w:val="21"/>
          <w:szCs w:val="21"/>
          <w:shd w:val="clear" w:color="auto" w:fill="FFFFFF"/>
          <w:lang w:val="en-US" w:eastAsia="zh-CN"/>
        </w:rPr>
        <w:t>施</w:t>
      </w:r>
      <w:r>
        <w:rPr>
          <w:rStyle w:val="27"/>
          <w:rFonts w:hint="eastAsia" w:ascii="仿宋" w:hAnsi="仿宋" w:eastAsia="仿宋" w:cs="仿宋"/>
          <w:i w:val="0"/>
          <w:caps w:val="0"/>
          <w:spacing w:val="0"/>
          <w:sz w:val="21"/>
          <w:szCs w:val="21"/>
          <w:shd w:val="clear" w:color="auto" w:fill="FFFFFF"/>
        </w:rPr>
        <w:t>女士</w:t>
      </w:r>
    </w:p>
    <w:p w14:paraId="4C436B40">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210" w:afterAutospacing="0" w:line="300" w:lineRule="exact"/>
        <w:ind w:left="0" w:right="0" w:firstLine="420"/>
        <w:textAlignment w:val="auto"/>
        <w:rPr>
          <w:rFonts w:hint="eastAsia" w:ascii="仿宋" w:hAnsi="仿宋" w:eastAsia="仿宋" w:cs="仿宋"/>
          <w:i w:val="0"/>
          <w:caps w:val="0"/>
          <w:spacing w:val="0"/>
          <w:sz w:val="16"/>
          <w:szCs w:val="16"/>
          <w:lang w:eastAsia="zh-CN"/>
        </w:rPr>
      </w:pPr>
      <w:r>
        <w:rPr>
          <w:rFonts w:hint="eastAsia" w:ascii="仿宋" w:hAnsi="仿宋" w:eastAsia="仿宋" w:cs="仿宋"/>
          <w:i w:val="0"/>
          <w:caps w:val="0"/>
          <w:spacing w:val="0"/>
          <w:sz w:val="21"/>
          <w:szCs w:val="21"/>
          <w:shd w:val="clear" w:color="auto" w:fill="FFFFFF"/>
        </w:rPr>
        <w:t>电 话：</w:t>
      </w:r>
      <w:r>
        <w:rPr>
          <w:rStyle w:val="27"/>
          <w:rFonts w:hint="eastAsia" w:ascii="仿宋" w:hAnsi="仿宋" w:eastAsia="仿宋" w:cs="仿宋"/>
          <w:i w:val="0"/>
          <w:caps w:val="0"/>
          <w:spacing w:val="0"/>
          <w:sz w:val="21"/>
          <w:szCs w:val="21"/>
          <w:shd w:val="clear" w:color="auto" w:fill="FFFFFF"/>
          <w:lang w:eastAsia="zh-CN"/>
        </w:rPr>
        <w:t>19990496023</w:t>
      </w:r>
    </w:p>
    <w:p w14:paraId="4E8746A8">
      <w:pPr>
        <w:numPr>
          <w:ilvl w:val="0"/>
          <w:numId w:val="0"/>
        </w:numPr>
        <w:spacing w:line="500" w:lineRule="exact"/>
        <w:jc w:val="center"/>
        <w:outlineLvl w:val="0"/>
        <w:rPr>
          <w:rFonts w:ascii="宋体" w:hAnsi="宋体"/>
          <w:b/>
          <w:color w:val="000000"/>
          <w:sz w:val="32"/>
          <w:szCs w:val="32"/>
        </w:rPr>
      </w:pPr>
    </w:p>
    <w:p w14:paraId="2FB72351">
      <w:pPr>
        <w:numPr>
          <w:ilvl w:val="0"/>
          <w:numId w:val="0"/>
        </w:numPr>
        <w:spacing w:line="500" w:lineRule="exact"/>
        <w:jc w:val="center"/>
        <w:outlineLvl w:val="0"/>
        <w:rPr>
          <w:rFonts w:ascii="宋体" w:hAnsi="宋体"/>
          <w:b/>
          <w:color w:val="000000"/>
          <w:sz w:val="32"/>
          <w:szCs w:val="32"/>
        </w:rPr>
      </w:pPr>
    </w:p>
    <w:p w14:paraId="383E6361">
      <w:pPr>
        <w:numPr>
          <w:ilvl w:val="0"/>
          <w:numId w:val="0"/>
        </w:numPr>
        <w:spacing w:line="500" w:lineRule="exact"/>
        <w:jc w:val="center"/>
        <w:outlineLvl w:val="0"/>
        <w:rPr>
          <w:rFonts w:ascii="宋体" w:hAnsi="宋体"/>
          <w:b/>
          <w:color w:val="000000"/>
          <w:sz w:val="32"/>
          <w:szCs w:val="32"/>
        </w:rPr>
      </w:pPr>
    </w:p>
    <w:p w14:paraId="06436DA3">
      <w:pPr>
        <w:numPr>
          <w:ilvl w:val="0"/>
          <w:numId w:val="0"/>
        </w:numPr>
        <w:spacing w:line="500" w:lineRule="exact"/>
        <w:jc w:val="center"/>
        <w:outlineLvl w:val="0"/>
        <w:rPr>
          <w:rFonts w:ascii="宋体" w:hAnsi="宋体"/>
          <w:b/>
          <w:color w:val="000000"/>
          <w:sz w:val="32"/>
          <w:szCs w:val="32"/>
        </w:rPr>
      </w:pPr>
    </w:p>
    <w:p w14:paraId="1A3786D2">
      <w:pPr>
        <w:numPr>
          <w:ilvl w:val="0"/>
          <w:numId w:val="0"/>
        </w:numPr>
        <w:spacing w:line="500" w:lineRule="exact"/>
        <w:jc w:val="center"/>
        <w:outlineLvl w:val="0"/>
        <w:rPr>
          <w:rFonts w:ascii="宋体" w:hAnsi="宋体"/>
          <w:b/>
          <w:color w:val="000000"/>
          <w:sz w:val="32"/>
          <w:szCs w:val="32"/>
        </w:rPr>
      </w:pPr>
    </w:p>
    <w:p w14:paraId="2DA07845">
      <w:pPr>
        <w:numPr>
          <w:ilvl w:val="0"/>
          <w:numId w:val="0"/>
        </w:numPr>
        <w:spacing w:line="500" w:lineRule="exact"/>
        <w:jc w:val="center"/>
        <w:outlineLvl w:val="0"/>
        <w:rPr>
          <w:rFonts w:ascii="宋体" w:hAnsi="宋体"/>
          <w:b/>
          <w:color w:val="000000"/>
          <w:sz w:val="32"/>
          <w:szCs w:val="32"/>
          <w:highlight w:val="none"/>
        </w:rPr>
      </w:pPr>
      <w:r>
        <w:rPr>
          <w:rFonts w:ascii="宋体" w:hAnsi="宋体"/>
          <w:b/>
          <w:color w:val="000000"/>
          <w:sz w:val="32"/>
          <w:szCs w:val="32"/>
        </w:rPr>
        <w:t>第二章 供应商须知</w:t>
      </w:r>
    </w:p>
    <w:p w14:paraId="52A86CC7">
      <w:pPr>
        <w:numPr>
          <w:ilvl w:val="0"/>
          <w:numId w:val="0"/>
        </w:numPr>
        <w:snapToGrid w:val="0"/>
        <w:spacing w:line="500" w:lineRule="exact"/>
        <w:jc w:val="center"/>
        <w:outlineLvl w:val="1"/>
        <w:rPr>
          <w:rFonts w:ascii="宋体" w:hAnsi="宋体"/>
          <w:b/>
          <w:color w:val="000000"/>
          <w:sz w:val="28"/>
          <w:szCs w:val="28"/>
          <w:highlight w:val="none"/>
        </w:rPr>
      </w:pPr>
      <w:bookmarkStart w:id="2" w:name="__RefHeading___Toc469495722"/>
      <w:bookmarkEnd w:id="2"/>
      <w:r>
        <w:rPr>
          <w:rFonts w:ascii="宋体" w:hAnsi="宋体"/>
          <w:b/>
          <w:color w:val="000000"/>
          <w:sz w:val="28"/>
          <w:szCs w:val="28"/>
        </w:rPr>
        <w:t>一、供应商须知前附表</w:t>
      </w:r>
    </w:p>
    <w:tbl>
      <w:tblPr>
        <w:tblStyle w:val="20"/>
        <w:tblW w:w="9373" w:type="dxa"/>
        <w:jc w:val="center"/>
        <w:tblLayout w:type="fixed"/>
        <w:tblCellMar>
          <w:top w:w="0" w:type="dxa"/>
          <w:left w:w="108" w:type="dxa"/>
          <w:bottom w:w="0" w:type="dxa"/>
          <w:right w:w="108" w:type="dxa"/>
        </w:tblCellMar>
      </w:tblPr>
      <w:tblGrid>
        <w:gridCol w:w="471"/>
        <w:gridCol w:w="1537"/>
        <w:gridCol w:w="7365"/>
      </w:tblGrid>
      <w:tr w14:paraId="0847601C">
        <w:tblPrEx>
          <w:tblCellMar>
            <w:top w:w="0" w:type="dxa"/>
            <w:left w:w="108" w:type="dxa"/>
            <w:bottom w:w="0" w:type="dxa"/>
            <w:right w:w="108" w:type="dxa"/>
          </w:tblCellMar>
        </w:tblPrEx>
        <w:trPr>
          <w:trHeight w:val="479" w:hRule="atLeast"/>
          <w:jc w:val="center"/>
        </w:trPr>
        <w:tc>
          <w:tcPr>
            <w:tcW w:w="471" w:type="dxa"/>
            <w:tcBorders>
              <w:top w:val="single" w:color="000000" w:sz="12" w:space="0"/>
              <w:left w:val="single" w:color="000000" w:sz="12" w:space="0"/>
              <w:bottom w:val="single" w:color="000000" w:sz="8" w:space="0"/>
              <w:right w:val="single" w:color="000000" w:sz="8" w:space="0"/>
            </w:tcBorders>
            <w:vAlign w:val="center"/>
          </w:tcPr>
          <w:p w14:paraId="77018D7B">
            <w:pPr>
              <w:pStyle w:val="52"/>
              <w:keepNext w:val="0"/>
              <w:keepLines w:val="0"/>
              <w:kinsoku/>
              <w:overflowPunct/>
              <w:autoSpaceDE/>
              <w:bidi w:val="0"/>
              <w:snapToGrid w:val="0"/>
              <w:spacing w:line="360" w:lineRule="auto"/>
              <w:ind w:left="-94" w:right="-81" w:firstLine="0"/>
              <w:jc w:val="center"/>
              <w:textAlignment w:val="auto"/>
              <w:rPr>
                <w:rFonts w:ascii="宋体" w:hAnsi="宋体" w:eastAsia="宋体" w:cs="宋体"/>
                <w:b/>
                <w:color w:val="000000"/>
                <w:sz w:val="21"/>
                <w:szCs w:val="21"/>
                <w:highlight w:val="none"/>
                <w:lang w:val="en-US" w:eastAsia="zh-CN"/>
              </w:rPr>
            </w:pPr>
            <w:r>
              <w:rPr>
                <w:rFonts w:ascii="宋体" w:hAnsi="宋体" w:cs="宋体"/>
                <w:b/>
                <w:color w:val="000000"/>
                <w:sz w:val="21"/>
                <w:szCs w:val="21"/>
                <w:lang w:val="en-US" w:eastAsia="zh-CN"/>
              </w:rPr>
              <w:t>条款号</w:t>
            </w:r>
          </w:p>
        </w:tc>
        <w:tc>
          <w:tcPr>
            <w:tcW w:w="1537" w:type="dxa"/>
            <w:tcBorders>
              <w:top w:val="single" w:color="000000" w:sz="12" w:space="0"/>
              <w:left w:val="single" w:color="000000" w:sz="8" w:space="0"/>
              <w:bottom w:val="single" w:color="000000" w:sz="8" w:space="0"/>
              <w:right w:val="single" w:color="000000" w:sz="8" w:space="0"/>
            </w:tcBorders>
            <w:vAlign w:val="center"/>
          </w:tcPr>
          <w:p w14:paraId="2DEB22E4">
            <w:pPr>
              <w:pStyle w:val="52"/>
              <w:keepNext w:val="0"/>
              <w:keepLines w:val="0"/>
              <w:kinsoku/>
              <w:overflowPunct/>
              <w:autoSpaceDE/>
              <w:bidi w:val="0"/>
              <w:snapToGrid w:val="0"/>
              <w:spacing w:line="360" w:lineRule="auto"/>
              <w:jc w:val="center"/>
              <w:textAlignment w:val="auto"/>
              <w:rPr>
                <w:rFonts w:ascii="宋体" w:hAnsi="宋体" w:eastAsia="宋体" w:cs="宋体"/>
                <w:b/>
                <w:color w:val="000000"/>
                <w:sz w:val="21"/>
                <w:szCs w:val="21"/>
                <w:highlight w:val="none"/>
                <w:lang w:val="en-US" w:eastAsia="zh-CN"/>
              </w:rPr>
            </w:pPr>
            <w:r>
              <w:rPr>
                <w:rFonts w:ascii="宋体" w:hAnsi="宋体" w:cs="宋体"/>
                <w:b/>
                <w:color w:val="000000"/>
                <w:sz w:val="21"/>
                <w:szCs w:val="21"/>
                <w:lang w:val="en-US" w:eastAsia="zh-CN"/>
              </w:rPr>
              <w:t>内容</w:t>
            </w:r>
          </w:p>
        </w:tc>
        <w:tc>
          <w:tcPr>
            <w:tcW w:w="7365" w:type="dxa"/>
            <w:tcBorders>
              <w:top w:val="single" w:color="000000" w:sz="12" w:space="0"/>
              <w:left w:val="single" w:color="000000" w:sz="8" w:space="0"/>
              <w:bottom w:val="single" w:color="000000" w:sz="8" w:space="0"/>
              <w:right w:val="single" w:color="000000" w:sz="12" w:space="0"/>
            </w:tcBorders>
            <w:vAlign w:val="center"/>
          </w:tcPr>
          <w:p w14:paraId="790FFE1E">
            <w:pPr>
              <w:pStyle w:val="52"/>
              <w:keepNext w:val="0"/>
              <w:keepLines w:val="0"/>
              <w:kinsoku/>
              <w:overflowPunct/>
              <w:autoSpaceDE/>
              <w:bidi w:val="0"/>
              <w:snapToGrid w:val="0"/>
              <w:spacing w:line="360" w:lineRule="auto"/>
              <w:ind w:firstLine="2100"/>
              <w:jc w:val="both"/>
              <w:textAlignment w:val="auto"/>
              <w:rPr>
                <w:rFonts w:ascii="宋体" w:hAnsi="宋体" w:eastAsia="宋体" w:cs="宋体"/>
                <w:b/>
                <w:color w:val="000000"/>
                <w:sz w:val="21"/>
                <w:szCs w:val="21"/>
                <w:highlight w:val="none"/>
                <w:lang w:val="en-US" w:eastAsia="zh-CN"/>
              </w:rPr>
            </w:pPr>
            <w:r>
              <w:rPr>
                <w:rFonts w:ascii="宋体" w:hAnsi="宋体" w:cs="宋体"/>
                <w:b/>
                <w:color w:val="000000"/>
                <w:sz w:val="21"/>
                <w:szCs w:val="21"/>
                <w:lang w:val="en-US" w:eastAsia="zh-CN"/>
              </w:rPr>
              <w:t>说明与要求</w:t>
            </w:r>
          </w:p>
        </w:tc>
      </w:tr>
      <w:tr w14:paraId="57E203F1">
        <w:tblPrEx>
          <w:tblCellMar>
            <w:top w:w="0" w:type="dxa"/>
            <w:left w:w="108" w:type="dxa"/>
            <w:bottom w:w="0" w:type="dxa"/>
            <w:right w:w="108" w:type="dxa"/>
          </w:tblCellMar>
        </w:tblPrEx>
        <w:trPr>
          <w:trHeight w:val="77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23247263">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w:t>
            </w:r>
          </w:p>
        </w:tc>
        <w:tc>
          <w:tcPr>
            <w:tcW w:w="1537" w:type="dxa"/>
            <w:tcBorders>
              <w:top w:val="single" w:color="000000" w:sz="8" w:space="0"/>
              <w:left w:val="single" w:color="000000" w:sz="8" w:space="0"/>
              <w:bottom w:val="single" w:color="000000" w:sz="8" w:space="0"/>
              <w:right w:val="single" w:color="000000" w:sz="8" w:space="0"/>
            </w:tcBorders>
            <w:vAlign w:val="center"/>
          </w:tcPr>
          <w:p w14:paraId="63352950">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项目名称</w:t>
            </w:r>
          </w:p>
          <w:p w14:paraId="672D0768">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rPr>
              <w:t>项目编号</w:t>
            </w:r>
          </w:p>
        </w:tc>
        <w:tc>
          <w:tcPr>
            <w:tcW w:w="7365" w:type="dxa"/>
            <w:tcBorders>
              <w:top w:val="single" w:color="000000" w:sz="8" w:space="0"/>
              <w:left w:val="single" w:color="000000" w:sz="8" w:space="0"/>
              <w:bottom w:val="single" w:color="000000" w:sz="8" w:space="0"/>
              <w:right w:val="single" w:color="000000" w:sz="12" w:space="0"/>
            </w:tcBorders>
            <w:vAlign w:val="bottom"/>
          </w:tcPr>
          <w:p w14:paraId="6E18B664">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项目名称：</w:t>
            </w:r>
            <w:r>
              <w:rPr>
                <w:rFonts w:hint="eastAsia" w:ascii="宋体" w:hAnsi="宋体" w:cs="宋体"/>
                <w:color w:val="000000"/>
                <w:sz w:val="21"/>
                <w:szCs w:val="21"/>
                <w:lang w:val="en-US" w:eastAsia="zh-CN"/>
              </w:rPr>
              <w:t>阿图什市人民医院老院区新生儿科病房改造提升项目</w:t>
            </w:r>
          </w:p>
          <w:p w14:paraId="0011F119">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宋体" w:hAnsi="宋体" w:cs="宋体"/>
                <w:color w:val="0000FF"/>
                <w:sz w:val="21"/>
                <w:szCs w:val="21"/>
                <w:lang w:val="en-US" w:eastAsia="zh-CN"/>
              </w:rPr>
              <w:t>项目编号：</w:t>
            </w:r>
            <w:r>
              <w:rPr>
                <w:rFonts w:ascii="宋体" w:hAnsi="宋体" w:eastAsia="宋体" w:cs="宋体"/>
                <w:color w:val="0000FF"/>
                <w:sz w:val="21"/>
                <w:szCs w:val="21"/>
                <w:lang w:val="en-US" w:eastAsia="zh-CN"/>
              </w:rPr>
              <w:t>ATSJYZX-CG-2026</w:t>
            </w:r>
            <w:r>
              <w:rPr>
                <w:rFonts w:hint="eastAsia" w:ascii="宋体" w:hAnsi="宋体" w:cs="宋体"/>
                <w:color w:val="0000FF"/>
                <w:sz w:val="21"/>
                <w:szCs w:val="21"/>
                <w:lang w:val="en-US" w:eastAsia="zh-CN"/>
              </w:rPr>
              <w:t>130</w:t>
            </w:r>
            <w:r>
              <w:rPr>
                <w:rFonts w:ascii="宋体" w:hAnsi="宋体" w:eastAsia="宋体" w:cs="宋体"/>
                <w:color w:val="000000"/>
                <w:sz w:val="21"/>
                <w:szCs w:val="21"/>
                <w:lang w:val="en-US" w:eastAsia="zh-CN"/>
              </w:rPr>
              <w:t xml:space="preserve">   </w:t>
            </w:r>
          </w:p>
          <w:p w14:paraId="3F2A36AF">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采购内容：</w:t>
            </w:r>
            <w:r>
              <w:rPr>
                <w:rFonts w:hint="eastAsia" w:ascii="宋体" w:hAnsi="宋体" w:cs="宋体"/>
                <w:color w:val="000000"/>
                <w:sz w:val="21"/>
                <w:szCs w:val="21"/>
                <w:lang w:val="en-US" w:eastAsia="zh-CN"/>
              </w:rPr>
              <w:t>对阿图什市人民医院老院区新生儿科病房进行改造提升，改造提升面积为560平方米，含新生儿科NICU病区、隔离病房、负压隔离病房、母婴病房、早产病房、设备间、污物处置、治疗室等；消防、给排水、医用气体、通风空调、电器设备及相关附属配套设施。具体内容详见磋商文件。</w:t>
            </w:r>
          </w:p>
        </w:tc>
      </w:tr>
      <w:tr w14:paraId="091F449B">
        <w:tblPrEx>
          <w:tblCellMar>
            <w:top w:w="0" w:type="dxa"/>
            <w:left w:w="108" w:type="dxa"/>
            <w:bottom w:w="0" w:type="dxa"/>
            <w:right w:w="108" w:type="dxa"/>
          </w:tblCellMar>
        </w:tblPrEx>
        <w:trPr>
          <w:trHeight w:val="69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39D32CC9">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w:t>
            </w:r>
          </w:p>
        </w:tc>
        <w:tc>
          <w:tcPr>
            <w:tcW w:w="1537" w:type="dxa"/>
            <w:tcBorders>
              <w:top w:val="single" w:color="000000" w:sz="8" w:space="0"/>
              <w:left w:val="single" w:color="000000" w:sz="8" w:space="0"/>
              <w:bottom w:val="single" w:color="000000" w:sz="8" w:space="0"/>
              <w:right w:val="single" w:color="000000" w:sz="8" w:space="0"/>
            </w:tcBorders>
            <w:vAlign w:val="center"/>
          </w:tcPr>
          <w:p w14:paraId="6DB4DEB7">
            <w:pPr>
              <w:keepNext w:val="0"/>
              <w:keepLines w:val="0"/>
              <w:widowControl/>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rPr>
              <w:t>采购人</w:t>
            </w:r>
            <w:r>
              <w:rPr>
                <w:rFonts w:ascii="宋体" w:hAnsi="宋体" w:cs="宋体"/>
                <w:color w:val="000000"/>
                <w:sz w:val="21"/>
                <w:szCs w:val="21"/>
                <w:lang w:val="en-US" w:eastAsia="zh-CN"/>
              </w:rPr>
              <w:t>信息</w:t>
            </w:r>
          </w:p>
        </w:tc>
        <w:tc>
          <w:tcPr>
            <w:tcW w:w="7365" w:type="dxa"/>
            <w:tcBorders>
              <w:top w:val="single" w:color="000000" w:sz="8" w:space="0"/>
              <w:left w:val="single" w:color="000000" w:sz="8" w:space="0"/>
              <w:bottom w:val="single" w:color="000000" w:sz="8" w:space="0"/>
              <w:right w:val="single" w:color="000000" w:sz="12" w:space="0"/>
            </w:tcBorders>
            <w:vAlign w:val="bottom"/>
          </w:tcPr>
          <w:p w14:paraId="510EF312">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eastAsia="zh-CN"/>
              </w:rPr>
            </w:pPr>
            <w:r>
              <w:rPr>
                <w:rFonts w:ascii="宋体" w:hAnsi="宋体" w:cs="宋体"/>
                <w:color w:val="000000"/>
                <w:sz w:val="21"/>
                <w:szCs w:val="21"/>
                <w:lang w:eastAsia="zh-CN"/>
              </w:rPr>
              <w:t>单</w:t>
            </w:r>
            <w:r>
              <w:rPr>
                <w:rFonts w:ascii="宋体" w:hAnsi="宋体" w:cs="宋体"/>
                <w:color w:val="000000"/>
                <w:sz w:val="21"/>
                <w:szCs w:val="21"/>
                <w:lang w:val="en-US" w:eastAsia="zh-CN"/>
              </w:rPr>
              <w:t xml:space="preserve">    </w:t>
            </w:r>
            <w:r>
              <w:rPr>
                <w:rFonts w:ascii="宋体" w:hAnsi="宋体" w:cs="宋体"/>
                <w:color w:val="000000"/>
                <w:sz w:val="21"/>
                <w:szCs w:val="21"/>
                <w:lang w:eastAsia="zh-CN"/>
              </w:rPr>
              <w:t>位：</w:t>
            </w:r>
            <w:r>
              <w:rPr>
                <w:rFonts w:hint="eastAsia" w:ascii="宋体" w:hAnsi="宋体" w:cs="宋体"/>
                <w:color w:val="000000"/>
                <w:sz w:val="21"/>
                <w:szCs w:val="21"/>
                <w:lang w:eastAsia="zh-CN"/>
              </w:rPr>
              <w:t>阿图什市人民医院</w:t>
            </w:r>
          </w:p>
          <w:p w14:paraId="37862B11">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eastAsia="zh-CN"/>
              </w:rPr>
              <w:t>联 系 人：</w:t>
            </w:r>
            <w:r>
              <w:rPr>
                <w:rFonts w:hint="eastAsia" w:ascii="宋体" w:hAnsi="宋体" w:cs="宋体"/>
                <w:color w:val="000000"/>
                <w:sz w:val="21"/>
                <w:szCs w:val="21"/>
                <w:lang w:val="en-US" w:eastAsia="zh-CN"/>
              </w:rPr>
              <w:t>齐先生</w:t>
            </w:r>
            <w:r>
              <w:rPr>
                <w:rFonts w:ascii="宋体" w:hAnsi="宋体" w:cs="宋体"/>
                <w:color w:val="000000"/>
                <w:sz w:val="21"/>
                <w:szCs w:val="21"/>
                <w:lang w:eastAsia="zh-CN"/>
              </w:rPr>
              <w:t xml:space="preserve">   联系电话：</w:t>
            </w:r>
            <w:r>
              <w:rPr>
                <w:rFonts w:hint="eastAsia" w:ascii="宋体" w:hAnsi="宋体" w:cs="宋体"/>
                <w:color w:val="000000"/>
                <w:sz w:val="21"/>
                <w:szCs w:val="21"/>
                <w:lang w:val="en-US" w:eastAsia="zh-CN"/>
              </w:rPr>
              <w:t>13209088390</w:t>
            </w:r>
            <w:r>
              <w:rPr>
                <w:rFonts w:ascii="宋体" w:hAnsi="宋体" w:eastAsia="宋体" w:cs="宋体"/>
                <w:color w:val="000000"/>
                <w:sz w:val="21"/>
                <w:szCs w:val="21"/>
                <w:lang w:eastAsia="zh-CN"/>
              </w:rPr>
              <w:t xml:space="preserve">   </w:t>
            </w:r>
          </w:p>
        </w:tc>
      </w:tr>
      <w:tr w14:paraId="6B03CB77">
        <w:tblPrEx>
          <w:tblCellMar>
            <w:top w:w="0" w:type="dxa"/>
            <w:left w:w="108" w:type="dxa"/>
            <w:bottom w:w="0" w:type="dxa"/>
            <w:right w:w="108" w:type="dxa"/>
          </w:tblCellMar>
        </w:tblPrEx>
        <w:trPr>
          <w:trHeight w:val="100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ABC83E8">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3</w:t>
            </w:r>
          </w:p>
        </w:tc>
        <w:tc>
          <w:tcPr>
            <w:tcW w:w="1537" w:type="dxa"/>
            <w:tcBorders>
              <w:top w:val="single" w:color="000000" w:sz="8" w:space="0"/>
              <w:left w:val="single" w:color="000000" w:sz="8" w:space="0"/>
              <w:bottom w:val="single" w:color="000000" w:sz="8" w:space="0"/>
              <w:right w:val="single" w:color="000000" w:sz="8" w:space="0"/>
            </w:tcBorders>
            <w:vAlign w:val="center"/>
          </w:tcPr>
          <w:p w14:paraId="6A170E41">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采购代理</w:t>
            </w:r>
          </w:p>
          <w:p w14:paraId="596629FF">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rPr>
              <w:t>机</w:t>
            </w:r>
            <w:r>
              <w:rPr>
                <w:rFonts w:ascii="宋体" w:hAnsi="宋体" w:cs="宋体"/>
                <w:color w:val="000000"/>
                <w:sz w:val="21"/>
                <w:szCs w:val="21"/>
                <w:lang w:val="en-US" w:eastAsia="zh-CN"/>
              </w:rPr>
              <w:t xml:space="preserve">  </w:t>
            </w:r>
            <w:r>
              <w:rPr>
                <w:rFonts w:ascii="宋体" w:hAnsi="宋体" w:cs="宋体"/>
                <w:color w:val="000000"/>
                <w:sz w:val="21"/>
                <w:szCs w:val="21"/>
              </w:rPr>
              <w:t>构</w:t>
            </w:r>
          </w:p>
        </w:tc>
        <w:tc>
          <w:tcPr>
            <w:tcW w:w="7365" w:type="dxa"/>
            <w:tcBorders>
              <w:top w:val="single" w:color="000000" w:sz="8" w:space="0"/>
              <w:left w:val="single" w:color="000000" w:sz="8" w:space="0"/>
              <w:bottom w:val="single" w:color="000000" w:sz="8" w:space="0"/>
              <w:right w:val="single" w:color="000000" w:sz="12" w:space="0"/>
            </w:tcBorders>
            <w:vAlign w:val="bottom"/>
          </w:tcPr>
          <w:p w14:paraId="508D5F98">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eastAsia="zh-CN"/>
              </w:rPr>
            </w:pPr>
            <w:r>
              <w:rPr>
                <w:rFonts w:ascii="宋体" w:hAnsi="宋体" w:cs="宋体"/>
                <w:color w:val="000000"/>
                <w:sz w:val="21"/>
                <w:szCs w:val="21"/>
                <w:lang w:val="en-US" w:eastAsia="zh-CN"/>
              </w:rPr>
              <w:t>名称：</w:t>
            </w:r>
            <w:r>
              <w:rPr>
                <w:rFonts w:ascii="宋体" w:hAnsi="宋体" w:cs="宋体"/>
                <w:color w:val="000000"/>
                <w:sz w:val="21"/>
                <w:szCs w:val="21"/>
                <w:lang w:eastAsia="zh-CN"/>
              </w:rPr>
              <w:t>新疆大成瑞祥建设项目管理咨询有限公司</w:t>
            </w:r>
          </w:p>
          <w:p w14:paraId="4669B1F7">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rPr>
            </w:pPr>
            <w:r>
              <w:rPr>
                <w:rFonts w:ascii="宋体" w:hAnsi="宋体" w:cs="宋体"/>
                <w:color w:val="000000"/>
                <w:sz w:val="21"/>
                <w:szCs w:val="21"/>
              </w:rPr>
              <w:t>地址：阿图什市阿扎克镇提坚村沙依路</w:t>
            </w:r>
            <w:r>
              <w:rPr>
                <w:rFonts w:ascii="宋体" w:hAnsi="宋体" w:eastAsia="宋体" w:cs="宋体"/>
                <w:color w:val="000000"/>
                <w:sz w:val="21"/>
                <w:szCs w:val="21"/>
              </w:rPr>
              <w:t>43</w:t>
            </w:r>
            <w:r>
              <w:rPr>
                <w:rFonts w:ascii="宋体" w:hAnsi="宋体" w:cs="宋体"/>
                <w:color w:val="000000"/>
                <w:sz w:val="21"/>
                <w:szCs w:val="21"/>
              </w:rPr>
              <w:t>号三楼</w:t>
            </w:r>
            <w:r>
              <w:rPr>
                <w:rFonts w:ascii="宋体" w:hAnsi="宋体" w:cs="宋体"/>
                <w:color w:val="000000"/>
                <w:sz w:val="21"/>
                <w:szCs w:val="21"/>
                <w:lang w:val="en-US" w:eastAsia="zh-CN"/>
              </w:rPr>
              <w:t xml:space="preserve"> </w:t>
            </w:r>
          </w:p>
          <w:p w14:paraId="7D6598F5">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rPr>
            </w:pPr>
            <w:r>
              <w:rPr>
                <w:rFonts w:ascii="宋体" w:hAnsi="宋体" w:cs="宋体"/>
                <w:color w:val="000000"/>
                <w:sz w:val="21"/>
                <w:szCs w:val="21"/>
              </w:rPr>
              <w:t>联系人：</w:t>
            </w:r>
            <w:r>
              <w:rPr>
                <w:rFonts w:ascii="宋体" w:hAnsi="宋体" w:cs="宋体"/>
                <w:color w:val="000000"/>
                <w:sz w:val="21"/>
                <w:szCs w:val="21"/>
                <w:lang w:val="en-US" w:eastAsia="zh-CN"/>
              </w:rPr>
              <w:t>施女士</w:t>
            </w:r>
            <w:r>
              <w:rPr>
                <w:rFonts w:ascii="宋体" w:hAnsi="宋体" w:cs="宋体"/>
                <w:color w:val="000000"/>
                <w:sz w:val="21"/>
                <w:szCs w:val="21"/>
              </w:rPr>
              <w:t xml:space="preserve">  联系电话：</w:t>
            </w:r>
            <w:r>
              <w:rPr>
                <w:rFonts w:ascii="宋体" w:hAnsi="宋体" w:eastAsia="宋体" w:cs="宋体"/>
                <w:color w:val="000000"/>
                <w:sz w:val="21"/>
                <w:szCs w:val="21"/>
                <w:lang w:val="en-US" w:eastAsia="zh-CN"/>
              </w:rPr>
              <w:t>19990496023</w:t>
            </w:r>
          </w:p>
        </w:tc>
      </w:tr>
      <w:tr w14:paraId="30885BBA">
        <w:tblPrEx>
          <w:tblCellMar>
            <w:top w:w="0" w:type="dxa"/>
            <w:left w:w="108" w:type="dxa"/>
            <w:bottom w:w="0" w:type="dxa"/>
            <w:right w:w="108" w:type="dxa"/>
          </w:tblCellMar>
        </w:tblPrEx>
        <w:trPr>
          <w:trHeight w:val="528"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B8A1047">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4</w:t>
            </w:r>
          </w:p>
        </w:tc>
        <w:tc>
          <w:tcPr>
            <w:tcW w:w="1537" w:type="dxa"/>
            <w:tcBorders>
              <w:top w:val="single" w:color="000000" w:sz="8" w:space="0"/>
              <w:left w:val="single" w:color="000000" w:sz="8" w:space="0"/>
              <w:bottom w:val="single" w:color="000000" w:sz="8" w:space="0"/>
              <w:right w:val="single" w:color="000000" w:sz="8" w:space="0"/>
            </w:tcBorders>
            <w:vAlign w:val="center"/>
          </w:tcPr>
          <w:p w14:paraId="41BCDB4A">
            <w:pPr>
              <w:keepNext w:val="0"/>
              <w:keepLines w:val="0"/>
              <w:widowControl/>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工期</w:t>
            </w:r>
          </w:p>
        </w:tc>
        <w:tc>
          <w:tcPr>
            <w:tcW w:w="7365" w:type="dxa"/>
            <w:tcBorders>
              <w:top w:val="single" w:color="000000" w:sz="8" w:space="0"/>
              <w:left w:val="single" w:color="000000" w:sz="8" w:space="0"/>
              <w:bottom w:val="single" w:color="000000" w:sz="8" w:space="0"/>
              <w:right w:val="single" w:color="000000" w:sz="12" w:space="0"/>
            </w:tcBorders>
            <w:vAlign w:val="center"/>
          </w:tcPr>
          <w:p w14:paraId="7EB3833D">
            <w:pPr>
              <w:keepNext w:val="0"/>
              <w:keepLines w:val="0"/>
              <w:widowControl/>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hint="eastAsia" w:ascii="宋体" w:hAnsi="宋体" w:cs="宋体"/>
                <w:color w:val="0000FF"/>
                <w:sz w:val="21"/>
                <w:szCs w:val="21"/>
                <w:lang w:val="en-US" w:eastAsia="zh-CN"/>
              </w:rPr>
              <w:t>签订合同后60天内完成施工，具体以甲乙双方签订合同为准。</w:t>
            </w:r>
          </w:p>
        </w:tc>
      </w:tr>
      <w:tr w14:paraId="587A5E1F">
        <w:tblPrEx>
          <w:tblCellMar>
            <w:top w:w="0" w:type="dxa"/>
            <w:left w:w="108" w:type="dxa"/>
            <w:bottom w:w="0" w:type="dxa"/>
            <w:right w:w="108" w:type="dxa"/>
          </w:tblCellMar>
        </w:tblPrEx>
        <w:trPr>
          <w:trHeight w:val="9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5BF42F8B">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5</w:t>
            </w:r>
          </w:p>
        </w:tc>
        <w:tc>
          <w:tcPr>
            <w:tcW w:w="1537" w:type="dxa"/>
            <w:tcBorders>
              <w:top w:val="single" w:color="000000" w:sz="8" w:space="0"/>
              <w:left w:val="single" w:color="000000" w:sz="8" w:space="0"/>
              <w:bottom w:val="single" w:color="000000" w:sz="8" w:space="0"/>
              <w:right w:val="single" w:color="000000" w:sz="8" w:space="0"/>
            </w:tcBorders>
            <w:vAlign w:val="center"/>
          </w:tcPr>
          <w:p w14:paraId="5ECBD3E8">
            <w:pPr>
              <w:keepNext w:val="0"/>
              <w:keepLines w:val="0"/>
              <w:widowControl/>
              <w:kinsoku/>
              <w:overflowPunct/>
              <w:autoSpaceDE/>
              <w:bidi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rPr>
              <w:t>付款方式</w:t>
            </w:r>
          </w:p>
        </w:tc>
        <w:tc>
          <w:tcPr>
            <w:tcW w:w="7365" w:type="dxa"/>
            <w:tcBorders>
              <w:top w:val="single" w:color="000000" w:sz="8" w:space="0"/>
              <w:left w:val="single" w:color="000000" w:sz="8" w:space="0"/>
              <w:bottom w:val="single" w:color="000000" w:sz="8" w:space="0"/>
              <w:right w:val="single" w:color="000000" w:sz="12" w:space="0"/>
            </w:tcBorders>
            <w:vAlign w:val="center"/>
          </w:tcPr>
          <w:p w14:paraId="00609778">
            <w:pPr>
              <w:keepNext w:val="0"/>
              <w:keepLines w:val="0"/>
              <w:widowControl/>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hint="eastAsia" w:ascii="宋体" w:hAnsi="宋体" w:cs="宋体"/>
                <w:color w:val="000000"/>
                <w:sz w:val="21"/>
                <w:szCs w:val="21"/>
                <w:lang w:val="en-US" w:eastAsia="zh-CN"/>
              </w:rPr>
              <w:t>合同签订后支付预付款30%；工程进度款按实际完成工程量进行支付；竣工验收合格，全套竣工资料完整归档移交后，支付至审定结算金额的97%；剩余3%作为质量保证金，质保期满，无质量问题，无息返还质量保证金。</w:t>
            </w:r>
          </w:p>
        </w:tc>
      </w:tr>
      <w:tr w14:paraId="2EB0EE67">
        <w:tblPrEx>
          <w:tblCellMar>
            <w:top w:w="0" w:type="dxa"/>
            <w:left w:w="108" w:type="dxa"/>
            <w:bottom w:w="0" w:type="dxa"/>
            <w:right w:w="108" w:type="dxa"/>
          </w:tblCellMar>
        </w:tblPrEx>
        <w:trPr>
          <w:trHeight w:val="53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3AC2E98E">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6</w:t>
            </w:r>
          </w:p>
        </w:tc>
        <w:tc>
          <w:tcPr>
            <w:tcW w:w="1537" w:type="dxa"/>
            <w:tcBorders>
              <w:top w:val="single" w:color="000000" w:sz="8" w:space="0"/>
              <w:left w:val="single" w:color="000000" w:sz="8" w:space="0"/>
              <w:bottom w:val="single" w:color="000000" w:sz="8" w:space="0"/>
              <w:right w:val="single" w:color="000000" w:sz="8" w:space="0"/>
            </w:tcBorders>
            <w:vAlign w:val="center"/>
          </w:tcPr>
          <w:p w14:paraId="1B811412">
            <w:pPr>
              <w:keepNext w:val="0"/>
              <w:keepLines w:val="0"/>
              <w:widowControl/>
              <w:kinsoku/>
              <w:overflowPunct/>
              <w:autoSpaceDE/>
              <w:bidi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保修期</w:t>
            </w:r>
          </w:p>
        </w:tc>
        <w:tc>
          <w:tcPr>
            <w:tcW w:w="7365" w:type="dxa"/>
            <w:tcBorders>
              <w:top w:val="single" w:color="000000" w:sz="8" w:space="0"/>
              <w:left w:val="single" w:color="000000" w:sz="8" w:space="0"/>
              <w:bottom w:val="single" w:color="000000" w:sz="8" w:space="0"/>
              <w:right w:val="single" w:color="000000" w:sz="12" w:space="0"/>
            </w:tcBorders>
            <w:vAlign w:val="center"/>
          </w:tcPr>
          <w:p w14:paraId="64AEC8A8">
            <w:pPr>
              <w:numPr>
                <w:ilvl w:val="0"/>
                <w:numId w:val="0"/>
              </w:numPr>
              <w:spacing w:line="360" w:lineRule="auto"/>
              <w:ind w:left="0" w:firstLine="0"/>
              <w:rPr>
                <w:rFonts w:ascii="宋体" w:hAnsi="宋体" w:eastAsia="宋体" w:cs="宋体"/>
                <w:color w:val="0000FF"/>
                <w:sz w:val="21"/>
                <w:szCs w:val="21"/>
                <w:highlight w:val="none"/>
                <w:lang w:val="en-US" w:eastAsia="zh-CN"/>
              </w:rPr>
            </w:pPr>
            <w:r>
              <w:rPr>
                <w:rFonts w:hint="eastAsia" w:ascii="宋体" w:hAnsi="宋体" w:eastAsia="宋体" w:cs="宋体"/>
                <w:color w:val="0000FF"/>
                <w:sz w:val="21"/>
                <w:szCs w:val="21"/>
                <w:highlight w:val="none"/>
                <w:lang w:val="en-US" w:eastAsia="zh-CN"/>
              </w:rPr>
              <w:t>装饰装修、安装工程整体质保期限不少于2年；防水工程质保期限不少于5年；净化设备、气体报警装置、UPS电源、空调类设备整机质保不少于2年。质保期内接到报修通知，4小时内进行响应，24小时到达项目现场开展免费维修、配件更换；非人为因素造成设备、工程损坏全部免费处置；因施工质量问题引发院感、安全隐患，全部责任由中标单位承担。</w:t>
            </w:r>
          </w:p>
        </w:tc>
      </w:tr>
      <w:tr w14:paraId="72E2D2EF">
        <w:tblPrEx>
          <w:tblCellMar>
            <w:top w:w="0" w:type="dxa"/>
            <w:left w:w="108" w:type="dxa"/>
            <w:bottom w:w="0" w:type="dxa"/>
            <w:right w:w="108" w:type="dxa"/>
          </w:tblCellMar>
        </w:tblPrEx>
        <w:trPr>
          <w:trHeight w:val="52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7A8FCFBD">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7</w:t>
            </w:r>
          </w:p>
        </w:tc>
        <w:tc>
          <w:tcPr>
            <w:tcW w:w="1537" w:type="dxa"/>
            <w:tcBorders>
              <w:top w:val="single" w:color="000000" w:sz="8" w:space="0"/>
              <w:left w:val="single" w:color="000000" w:sz="8" w:space="0"/>
              <w:bottom w:val="single" w:color="000000" w:sz="8" w:space="0"/>
              <w:right w:val="single" w:color="000000" w:sz="8" w:space="0"/>
            </w:tcBorders>
            <w:vAlign w:val="center"/>
          </w:tcPr>
          <w:p w14:paraId="5E7A291E">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最高响应</w:t>
            </w:r>
          </w:p>
          <w:p w14:paraId="5E2A027C">
            <w:pPr>
              <w:keepNext w:val="0"/>
              <w:keepLines w:val="0"/>
              <w:kinsoku/>
              <w:overflowPunct/>
              <w:autoSpaceDE/>
              <w:bidi w:val="0"/>
              <w:snapToGrid w:val="0"/>
              <w:spacing w:line="360" w:lineRule="auto"/>
              <w:jc w:val="center"/>
              <w:textAlignment w:val="auto"/>
              <w:rPr>
                <w:rFonts w:ascii="宋体" w:hAnsi="宋体" w:eastAsia="宋体" w:cs="宋体"/>
                <w:b w:val="0"/>
                <w:bCs w:val="0"/>
                <w:color w:val="000000"/>
                <w:sz w:val="21"/>
                <w:szCs w:val="21"/>
                <w:highlight w:val="none"/>
                <w:lang w:val="en-US" w:eastAsia="zh-CN"/>
              </w:rPr>
            </w:pPr>
            <w:r>
              <w:rPr>
                <w:rFonts w:ascii="宋体" w:hAnsi="宋体" w:cs="宋体"/>
                <w:color w:val="000000"/>
                <w:sz w:val="21"/>
                <w:szCs w:val="21"/>
              </w:rPr>
              <w:t>限价</w:t>
            </w:r>
          </w:p>
        </w:tc>
        <w:tc>
          <w:tcPr>
            <w:tcW w:w="7365" w:type="dxa"/>
            <w:tcBorders>
              <w:top w:val="single" w:color="000000" w:sz="8" w:space="0"/>
              <w:left w:val="single" w:color="000000" w:sz="8" w:space="0"/>
              <w:bottom w:val="single" w:color="000000" w:sz="8" w:space="0"/>
              <w:right w:val="single" w:color="000000" w:sz="12" w:space="0"/>
            </w:tcBorders>
            <w:vAlign w:val="center"/>
          </w:tcPr>
          <w:p w14:paraId="4972DB1A">
            <w:pPr>
              <w:keepNext w:val="0"/>
              <w:keepLines w:val="0"/>
              <w:widowControl/>
              <w:spacing w:line="360" w:lineRule="auto"/>
              <w:jc w:val="left"/>
              <w:rPr>
                <w:rFonts w:ascii="宋体" w:hAnsi="宋体" w:eastAsia="宋体" w:cs="宋体"/>
                <w:color w:val="0000FF"/>
                <w:sz w:val="21"/>
                <w:szCs w:val="21"/>
                <w:highlight w:val="none"/>
                <w:lang w:val="en-US" w:eastAsia="zh-CN"/>
              </w:rPr>
            </w:pPr>
            <w:r>
              <w:rPr>
                <w:rFonts w:ascii="宋体" w:hAnsi="宋体" w:cs="宋体"/>
                <w:color w:val="0000FF"/>
                <w:sz w:val="21"/>
                <w:szCs w:val="21"/>
              </w:rPr>
              <w:t>磋商报价最高限</w:t>
            </w:r>
            <w:r>
              <w:rPr>
                <w:rFonts w:ascii="宋体" w:hAnsi="宋体" w:cs="宋体"/>
                <w:color w:val="0000FF"/>
                <w:sz w:val="21"/>
                <w:szCs w:val="21"/>
                <w:lang w:val="en-US" w:eastAsia="zh-CN"/>
              </w:rPr>
              <w:t>价</w:t>
            </w:r>
            <w:r>
              <w:rPr>
                <w:rFonts w:ascii="宋体" w:hAnsi="宋体" w:cs="宋体"/>
                <w:b w:val="0"/>
                <w:bCs w:val="0"/>
                <w:color w:val="0000FF"/>
                <w:sz w:val="21"/>
                <w:szCs w:val="21"/>
                <w:u w:val="none"/>
              </w:rPr>
              <w:t>：</w:t>
            </w:r>
            <w:r>
              <w:rPr>
                <w:rFonts w:ascii="宋体" w:hAnsi="宋体" w:cs="宋体"/>
                <w:color w:val="0000FF"/>
                <w:sz w:val="21"/>
                <w:szCs w:val="21"/>
                <w:u w:val="single"/>
                <w:lang w:val="en-US" w:eastAsia="zh-CN"/>
              </w:rPr>
              <w:t xml:space="preserve"> </w:t>
            </w:r>
            <w:r>
              <w:rPr>
                <w:rFonts w:hint="eastAsia" w:ascii="宋体" w:hAnsi="宋体" w:cs="宋体"/>
                <w:color w:val="0000FF"/>
                <w:sz w:val="21"/>
                <w:szCs w:val="21"/>
                <w:u w:val="single"/>
                <w:lang w:val="en-US" w:eastAsia="zh-CN"/>
              </w:rPr>
              <w:t>1177221.03</w:t>
            </w:r>
            <w:r>
              <w:rPr>
                <w:rFonts w:ascii="宋体" w:hAnsi="宋体" w:eastAsia="宋体" w:cs="宋体"/>
                <w:color w:val="0000FF"/>
                <w:sz w:val="21"/>
                <w:szCs w:val="21"/>
                <w:u w:val="single"/>
                <w:lang w:val="en-US" w:eastAsia="zh-CN"/>
              </w:rPr>
              <w:t xml:space="preserve">  </w:t>
            </w:r>
            <w:r>
              <w:rPr>
                <w:rFonts w:ascii="宋体" w:hAnsi="宋体" w:cs="宋体"/>
                <w:b w:val="0"/>
                <w:bCs w:val="0"/>
                <w:color w:val="0000FF"/>
                <w:sz w:val="21"/>
                <w:szCs w:val="21"/>
                <w:u w:val="none"/>
                <w:lang w:val="en-US" w:eastAsia="zh-CN"/>
              </w:rPr>
              <w:t>元</w:t>
            </w:r>
            <w:r>
              <w:rPr>
                <w:rFonts w:ascii="宋体" w:hAnsi="宋体" w:cs="宋体"/>
                <w:b w:val="0"/>
                <w:bCs w:val="0"/>
                <w:color w:val="0000FF"/>
                <w:sz w:val="21"/>
                <w:szCs w:val="21"/>
                <w:u w:val="none"/>
              </w:rPr>
              <w:t>，高于最高限价的，</w:t>
            </w:r>
            <w:r>
              <w:rPr>
                <w:rFonts w:ascii="宋体" w:hAnsi="宋体" w:cs="宋体"/>
                <w:b w:val="0"/>
                <w:bCs w:val="0"/>
                <w:color w:val="0000FF"/>
                <w:sz w:val="21"/>
                <w:szCs w:val="21"/>
              </w:rPr>
              <w:t>其</w:t>
            </w:r>
            <w:r>
              <w:rPr>
                <w:rFonts w:ascii="宋体" w:hAnsi="宋体" w:cs="宋体"/>
                <w:color w:val="0000FF"/>
                <w:sz w:val="21"/>
                <w:szCs w:val="21"/>
              </w:rPr>
              <w:t>响应文件按无效响应处理。</w:t>
            </w:r>
          </w:p>
        </w:tc>
      </w:tr>
      <w:tr w14:paraId="5ADD4B9C">
        <w:tblPrEx>
          <w:tblCellMar>
            <w:top w:w="0" w:type="dxa"/>
            <w:left w:w="108" w:type="dxa"/>
            <w:bottom w:w="0" w:type="dxa"/>
            <w:right w:w="108" w:type="dxa"/>
          </w:tblCellMar>
        </w:tblPrEx>
        <w:trPr>
          <w:trHeight w:val="433"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BDB2E1A">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8</w:t>
            </w:r>
          </w:p>
        </w:tc>
        <w:tc>
          <w:tcPr>
            <w:tcW w:w="1537" w:type="dxa"/>
            <w:tcBorders>
              <w:top w:val="single" w:color="000000" w:sz="8" w:space="0"/>
              <w:left w:val="single" w:color="000000" w:sz="8" w:space="0"/>
              <w:bottom w:val="single" w:color="000000" w:sz="8" w:space="0"/>
              <w:right w:val="single" w:color="000000" w:sz="8" w:space="0"/>
            </w:tcBorders>
            <w:vAlign w:val="center"/>
          </w:tcPr>
          <w:p w14:paraId="61999790">
            <w:pPr>
              <w:keepNext w:val="0"/>
              <w:keepLines w:val="0"/>
              <w:widowControl/>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资金来源</w:t>
            </w:r>
          </w:p>
        </w:tc>
        <w:tc>
          <w:tcPr>
            <w:tcW w:w="7365" w:type="dxa"/>
            <w:tcBorders>
              <w:top w:val="single" w:color="000000" w:sz="8" w:space="0"/>
              <w:left w:val="single" w:color="000000" w:sz="8" w:space="0"/>
              <w:bottom w:val="single" w:color="000000" w:sz="8" w:space="0"/>
              <w:right w:val="single" w:color="000000" w:sz="12" w:space="0"/>
            </w:tcBorders>
            <w:vAlign w:val="center"/>
          </w:tcPr>
          <w:p w14:paraId="62BA76E8">
            <w:pPr>
              <w:keepNext w:val="0"/>
              <w:keepLines w:val="0"/>
              <w:widowControl/>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江苏援疆资金</w:t>
            </w:r>
          </w:p>
        </w:tc>
      </w:tr>
      <w:tr w14:paraId="7143864E">
        <w:tblPrEx>
          <w:tblCellMar>
            <w:top w:w="0" w:type="dxa"/>
            <w:left w:w="108" w:type="dxa"/>
            <w:bottom w:w="0" w:type="dxa"/>
            <w:right w:w="108" w:type="dxa"/>
          </w:tblCellMar>
        </w:tblPrEx>
        <w:trPr>
          <w:trHeight w:val="486"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756BEA7">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9</w:t>
            </w:r>
          </w:p>
        </w:tc>
        <w:tc>
          <w:tcPr>
            <w:tcW w:w="1537" w:type="dxa"/>
            <w:tcBorders>
              <w:top w:val="single" w:color="000000" w:sz="8" w:space="0"/>
              <w:left w:val="single" w:color="000000" w:sz="8" w:space="0"/>
              <w:bottom w:val="single" w:color="000000" w:sz="8" w:space="0"/>
              <w:right w:val="single" w:color="000000" w:sz="8" w:space="0"/>
            </w:tcBorders>
            <w:vAlign w:val="center"/>
          </w:tcPr>
          <w:p w14:paraId="66D6889C">
            <w:pPr>
              <w:keepNext w:val="0"/>
              <w:keepLines w:val="0"/>
              <w:widowControl/>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采购方式</w:t>
            </w:r>
          </w:p>
        </w:tc>
        <w:tc>
          <w:tcPr>
            <w:tcW w:w="7365" w:type="dxa"/>
            <w:tcBorders>
              <w:top w:val="single" w:color="000000" w:sz="8" w:space="0"/>
              <w:left w:val="single" w:color="000000" w:sz="8" w:space="0"/>
              <w:bottom w:val="single" w:color="000000" w:sz="8" w:space="0"/>
              <w:right w:val="single" w:color="000000" w:sz="12" w:space="0"/>
            </w:tcBorders>
            <w:vAlign w:val="center"/>
          </w:tcPr>
          <w:p w14:paraId="358BB089">
            <w:pPr>
              <w:keepNext w:val="0"/>
              <w:keepLines w:val="0"/>
              <w:widowControl/>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ascii="宋体" w:hAnsi="宋体" w:cs="宋体"/>
                <w:b/>
                <w:bCs/>
                <w:color w:val="000000"/>
                <w:sz w:val="21"/>
                <w:szCs w:val="21"/>
                <w:lang w:val="en-US" w:eastAsia="zh-CN"/>
              </w:rPr>
              <w:t>竞争性磋商</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本项目采用网上电子招投标</w:t>
            </w:r>
            <w:r>
              <w:rPr>
                <w:rFonts w:ascii="宋体" w:hAnsi="宋体" w:eastAsia="宋体" w:cs="宋体"/>
                <w:color w:val="000000"/>
                <w:sz w:val="21"/>
                <w:szCs w:val="21"/>
                <w:lang w:val="en-US" w:eastAsia="zh-CN"/>
              </w:rPr>
              <w:t xml:space="preserve">)             </w:t>
            </w:r>
          </w:p>
        </w:tc>
      </w:tr>
      <w:tr w14:paraId="63F61349">
        <w:tblPrEx>
          <w:tblCellMar>
            <w:top w:w="0" w:type="dxa"/>
            <w:left w:w="108" w:type="dxa"/>
            <w:bottom w:w="0" w:type="dxa"/>
            <w:right w:w="108" w:type="dxa"/>
          </w:tblCellMar>
        </w:tblPrEx>
        <w:trPr>
          <w:trHeight w:val="9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1D23D5F3">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10</w:t>
            </w:r>
          </w:p>
        </w:tc>
        <w:tc>
          <w:tcPr>
            <w:tcW w:w="1537" w:type="dxa"/>
            <w:tcBorders>
              <w:top w:val="single" w:color="000000" w:sz="8" w:space="0"/>
              <w:left w:val="single" w:color="000000" w:sz="8" w:space="0"/>
              <w:bottom w:val="single" w:color="000000" w:sz="8" w:space="0"/>
              <w:right w:val="single" w:color="000000" w:sz="8" w:space="0"/>
            </w:tcBorders>
            <w:vAlign w:val="center"/>
          </w:tcPr>
          <w:p w14:paraId="4BD6C00D">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供应商资格条件及其他要求</w:t>
            </w:r>
          </w:p>
        </w:tc>
        <w:tc>
          <w:tcPr>
            <w:tcW w:w="7365" w:type="dxa"/>
            <w:tcBorders>
              <w:top w:val="single" w:color="000000" w:sz="8" w:space="0"/>
              <w:left w:val="single" w:color="000000" w:sz="8" w:space="0"/>
              <w:bottom w:val="single" w:color="000000" w:sz="8" w:space="0"/>
              <w:right w:val="single" w:color="000000" w:sz="12" w:space="0"/>
            </w:tcBorders>
            <w:vAlign w:val="center"/>
          </w:tcPr>
          <w:p w14:paraId="3983F6AF">
            <w:pPr>
              <w:keepNext w:val="0"/>
              <w:keepLines w:val="0"/>
              <w:widowControl/>
              <w:spacing w:line="360" w:lineRule="auto"/>
              <w:jc w:val="left"/>
              <w:rPr>
                <w:rFonts w:ascii="宋体" w:hAnsi="宋体" w:eastAsia="宋体" w:cs="宋体"/>
                <w:b w:val="0"/>
                <w:bCs w:val="0"/>
                <w:kern w:val="2"/>
                <w:sz w:val="21"/>
                <w:szCs w:val="21"/>
                <w:lang w:val="en-US" w:eastAsia="zh-CN" w:bidi="ar-SA"/>
              </w:rPr>
            </w:pPr>
            <w:r>
              <w:rPr>
                <w:rFonts w:ascii="宋体" w:hAnsi="宋体" w:eastAsia="宋体" w:cs="宋体"/>
                <w:b w:val="0"/>
                <w:bCs w:val="0"/>
                <w:kern w:val="2"/>
                <w:sz w:val="21"/>
                <w:szCs w:val="21"/>
                <w:lang w:val="en-US" w:eastAsia="zh-CN" w:bidi="ar-SA"/>
              </w:rPr>
              <w:t>1</w:t>
            </w:r>
            <w:r>
              <w:rPr>
                <w:rFonts w:ascii="宋体" w:hAnsi="宋体" w:cs="宋体"/>
                <w:b w:val="0"/>
                <w:bCs w:val="0"/>
                <w:kern w:val="2"/>
                <w:sz w:val="21"/>
                <w:szCs w:val="21"/>
                <w:lang w:val="en-US" w:eastAsia="zh-CN" w:bidi="ar-SA"/>
              </w:rPr>
              <w:t>、符合《中华人民共和国政府采购法》第二十二条之规定的合格供应商：</w:t>
            </w:r>
          </w:p>
          <w:p w14:paraId="1C90AF9B">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eastAsia="宋体" w:cs="宋体"/>
                <w:b w:val="0"/>
                <w:bCs w:val="0"/>
                <w:kern w:val="2"/>
                <w:sz w:val="21"/>
                <w:szCs w:val="21"/>
                <w:lang w:val="en-US" w:eastAsia="zh-CN" w:bidi="ar-SA"/>
              </w:rPr>
              <w:t>2.</w:t>
            </w:r>
            <w:r>
              <w:rPr>
                <w:rFonts w:ascii="宋体" w:hAnsi="宋体" w:cs="宋体"/>
                <w:b w:val="0"/>
                <w:bCs w:val="0"/>
                <w:kern w:val="2"/>
                <w:sz w:val="21"/>
                <w:szCs w:val="21"/>
                <w:lang w:val="en-US" w:eastAsia="zh-CN" w:bidi="ar-SA"/>
              </w:rPr>
              <w:t>落实政府采购政策需满足的资格要求：</w:t>
            </w:r>
            <w:r>
              <w:rPr>
                <w:rFonts w:ascii="宋体" w:hAnsi="宋体" w:cs="宋体"/>
                <w:b w:val="0"/>
                <w:bCs w:val="0"/>
                <w:color w:val="0000FF"/>
                <w:sz w:val="21"/>
                <w:szCs w:val="21"/>
                <w:u w:val="none"/>
                <w:lang w:val="en-US" w:eastAsia="zh-CN"/>
              </w:rPr>
              <w:t>标项</w:t>
            </w:r>
            <w:r>
              <w:rPr>
                <w:rFonts w:ascii="宋体" w:hAnsi="宋体" w:eastAsia="宋体" w:cs="宋体"/>
                <w:b w:val="0"/>
                <w:bCs w:val="0"/>
                <w:color w:val="0000FF"/>
                <w:sz w:val="21"/>
                <w:szCs w:val="21"/>
                <w:u w:val="none"/>
                <w:lang w:val="en-US" w:eastAsia="zh-CN"/>
              </w:rPr>
              <w:t>1</w:t>
            </w:r>
            <w:r>
              <w:rPr>
                <w:rFonts w:ascii="宋体" w:hAnsi="宋体" w:cs="宋体"/>
                <w:b w:val="0"/>
                <w:bCs w:val="0"/>
                <w:color w:val="0000FF"/>
                <w:sz w:val="21"/>
                <w:szCs w:val="21"/>
                <w:u w:val="none"/>
                <w:lang w:val="en-US" w:eastAsia="zh-CN"/>
              </w:rPr>
              <w:t>： 供应商为中小企业； </w:t>
            </w:r>
          </w:p>
          <w:p w14:paraId="7D940179">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eastAsia="宋体" w:cs="宋体"/>
                <w:b w:val="0"/>
                <w:bCs w:val="0"/>
                <w:color w:val="0000FF"/>
                <w:sz w:val="21"/>
                <w:szCs w:val="21"/>
                <w:u w:val="none"/>
                <w:lang w:val="en-US" w:eastAsia="zh-CN"/>
              </w:rPr>
              <w:t>3.</w:t>
            </w:r>
            <w:r>
              <w:rPr>
                <w:rFonts w:ascii="宋体" w:hAnsi="宋体" w:cs="宋体"/>
                <w:b w:val="0"/>
                <w:bCs w:val="0"/>
                <w:color w:val="0000FF"/>
                <w:sz w:val="21"/>
                <w:szCs w:val="21"/>
                <w:u w:val="none"/>
                <w:lang w:val="en-US" w:eastAsia="zh-CN"/>
              </w:rPr>
              <w:t>本项目的特定资格要求：【标项</w:t>
            </w:r>
            <w:r>
              <w:rPr>
                <w:rFonts w:ascii="宋体" w:hAnsi="宋体" w:eastAsia="宋体" w:cs="宋体"/>
                <w:b w:val="0"/>
                <w:bCs w:val="0"/>
                <w:color w:val="0000FF"/>
                <w:sz w:val="21"/>
                <w:szCs w:val="21"/>
                <w:u w:val="none"/>
                <w:lang w:val="en-US" w:eastAsia="zh-CN"/>
              </w:rPr>
              <w:t>1</w:t>
            </w: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br w:type="textWrapping"/>
            </w: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1</w:t>
            </w:r>
            <w:r>
              <w:rPr>
                <w:rFonts w:ascii="宋体" w:hAnsi="宋体" w:cs="宋体"/>
                <w:b w:val="0"/>
                <w:bCs w:val="0"/>
                <w:color w:val="0000FF"/>
                <w:sz w:val="21"/>
                <w:szCs w:val="21"/>
                <w:u w:val="none"/>
                <w:lang w:val="en-US" w:eastAsia="zh-CN"/>
              </w:rPr>
              <w:t>）具备三证合一营业执照副本；</w:t>
            </w:r>
          </w:p>
          <w:p w14:paraId="099A76E1">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2</w:t>
            </w:r>
            <w:r>
              <w:rPr>
                <w:rFonts w:ascii="宋体" w:hAnsi="宋体" w:cs="宋体"/>
                <w:b w:val="0"/>
                <w:bCs w:val="0"/>
                <w:color w:val="0000FF"/>
                <w:sz w:val="21"/>
                <w:szCs w:val="21"/>
                <w:u w:val="none"/>
                <w:lang w:val="en-US" w:eastAsia="zh-CN"/>
              </w:rPr>
              <w:t>）法定代表人响应需提供法定代表人资格证明书，委托代理人响应需提供法定代表人授权委托书；</w:t>
            </w:r>
          </w:p>
          <w:p w14:paraId="13DB23EC">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3</w:t>
            </w:r>
            <w:r>
              <w:rPr>
                <w:rFonts w:ascii="宋体" w:hAnsi="宋体" w:cs="宋体"/>
                <w:b w:val="0"/>
                <w:bCs w:val="0"/>
                <w:color w:val="0000FF"/>
                <w:sz w:val="21"/>
                <w:szCs w:val="21"/>
                <w:u w:val="none"/>
                <w:lang w:val="en-US" w:eastAsia="zh-CN"/>
              </w:rPr>
              <w:t xml:space="preserve">）供应商须提供供应商（被授权在职人员）近 </w:t>
            </w:r>
            <w:r>
              <w:rPr>
                <w:rFonts w:ascii="宋体" w:hAnsi="宋体" w:eastAsia="宋体" w:cs="宋体"/>
                <w:b w:val="0"/>
                <w:bCs w:val="0"/>
                <w:color w:val="0000FF"/>
                <w:sz w:val="21"/>
                <w:szCs w:val="21"/>
                <w:u w:val="none"/>
                <w:lang w:val="en-US" w:eastAsia="zh-CN"/>
              </w:rPr>
              <w:t xml:space="preserve">6 </w:t>
            </w:r>
            <w:r>
              <w:rPr>
                <w:rFonts w:ascii="宋体" w:hAnsi="宋体" w:cs="宋体"/>
                <w:b w:val="0"/>
                <w:bCs w:val="0"/>
                <w:color w:val="0000FF"/>
                <w:sz w:val="21"/>
                <w:szCs w:val="21"/>
                <w:u w:val="none"/>
                <w:lang w:val="en-US" w:eastAsia="zh-CN"/>
              </w:rPr>
              <w:t>个月内任意一个月有效的社保证明；</w:t>
            </w:r>
          </w:p>
          <w:p w14:paraId="1987B96B">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4</w:t>
            </w:r>
            <w:r>
              <w:rPr>
                <w:rFonts w:ascii="宋体" w:hAnsi="宋体" w:cs="宋体"/>
                <w:b w:val="0"/>
                <w:bCs w:val="0"/>
                <w:color w:val="0000FF"/>
                <w:sz w:val="21"/>
                <w:szCs w:val="21"/>
                <w:u w:val="none"/>
                <w:lang w:val="en-US" w:eastAsia="zh-CN"/>
              </w:rPr>
              <w:t>）未被“信用中国 ”（</w:t>
            </w:r>
            <w:r>
              <w:rPr>
                <w:rFonts w:ascii="宋体" w:hAnsi="宋体" w:eastAsia="宋体" w:cs="宋体"/>
                <w:b w:val="0"/>
                <w:bCs w:val="0"/>
                <w:color w:val="0000FF"/>
                <w:sz w:val="21"/>
                <w:szCs w:val="21"/>
                <w:u w:val="none"/>
                <w:lang w:val="en-US" w:eastAsia="zh-CN"/>
              </w:rPr>
              <w:t>www.creditchina.gov.cn</w:t>
            </w:r>
            <w:r>
              <w:rPr>
                <w:rFonts w:ascii="宋体" w:hAnsi="宋体" w:cs="宋体"/>
                <w:b w:val="0"/>
                <w:bCs w:val="0"/>
                <w:color w:val="0000FF"/>
                <w:sz w:val="21"/>
                <w:szCs w:val="21"/>
                <w:u w:val="none"/>
                <w:lang w:val="en-US" w:eastAsia="zh-CN"/>
              </w:rPr>
              <w:t>）、中国政府采购网（</w:t>
            </w:r>
            <w:r>
              <w:rPr>
                <w:rFonts w:ascii="宋体" w:hAnsi="宋体" w:eastAsia="宋体" w:cs="宋体"/>
                <w:b w:val="0"/>
                <w:bCs w:val="0"/>
                <w:color w:val="0000FF"/>
                <w:sz w:val="21"/>
                <w:szCs w:val="21"/>
                <w:u w:val="none"/>
                <w:lang w:val="en-US" w:eastAsia="zh-CN"/>
              </w:rPr>
              <w:t>www.ccgp.gov.cn</w:t>
            </w:r>
            <w:r>
              <w:rPr>
                <w:rFonts w:ascii="宋体" w:hAnsi="宋体" w:cs="宋体"/>
                <w:b w:val="0"/>
                <w:bCs w:val="0"/>
                <w:color w:val="0000FF"/>
                <w:sz w:val="21"/>
                <w:szCs w:val="21"/>
                <w:u w:val="none"/>
                <w:lang w:val="en-US" w:eastAsia="zh-CN"/>
              </w:rPr>
              <w:t>） 列入失信被执行人、重大税收违法案件当事人名单、政府采购严重违法失信行为记录名单（提供查询结果网页截图并加盖供应商公章）；</w:t>
            </w:r>
          </w:p>
          <w:p w14:paraId="60847C3D">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5</w:t>
            </w:r>
            <w:r>
              <w:rPr>
                <w:rFonts w:ascii="宋体" w:hAnsi="宋体" w:cs="宋体"/>
                <w:b w:val="0"/>
                <w:bCs w:val="0"/>
                <w:color w:val="0000FF"/>
                <w:sz w:val="21"/>
                <w:szCs w:val="21"/>
                <w:u w:val="none"/>
                <w:lang w:val="en-US" w:eastAsia="zh-CN"/>
              </w:rPr>
              <w:t>）供应商须具备</w:t>
            </w:r>
            <w:r>
              <w:rPr>
                <w:rFonts w:hint="eastAsia" w:ascii="宋体" w:hAnsi="宋体" w:cs="宋体"/>
                <w:b w:val="0"/>
                <w:bCs w:val="0"/>
                <w:color w:val="0000FF"/>
                <w:sz w:val="21"/>
                <w:szCs w:val="21"/>
                <w:u w:val="none"/>
                <w:lang w:val="en-US" w:eastAsia="zh-CN"/>
              </w:rPr>
              <w:t>建筑装修装饰工程专业承包二级及以上资质、有效的安全生产许可证；项目负责人具备建筑工程专业二级（含）以上注册建造师执业资格且具有有效的安全生产考核证；</w:t>
            </w:r>
          </w:p>
          <w:p w14:paraId="7BF4A7E4">
            <w:pPr>
              <w:keepNext w:val="0"/>
              <w:keepLines w:val="0"/>
              <w:widowControl/>
              <w:spacing w:line="360" w:lineRule="auto"/>
              <w:jc w:val="left"/>
              <w:rPr>
                <w:rFonts w:ascii="宋体" w:hAnsi="宋体" w:eastAsia="宋体" w:cs="宋体"/>
                <w:b w:val="0"/>
                <w:bCs w:val="0"/>
                <w:kern w:val="2"/>
                <w:sz w:val="21"/>
                <w:szCs w:val="21"/>
                <w:lang w:val="en-US" w:eastAsia="zh-CN" w:bidi="ar-SA"/>
              </w:rPr>
            </w:pPr>
            <w:r>
              <w:rPr>
                <w:rFonts w:ascii="宋体" w:hAnsi="宋体" w:eastAsia="宋体" w:cs="宋体"/>
                <w:b w:val="0"/>
                <w:bCs w:val="0"/>
                <w:kern w:val="2"/>
                <w:sz w:val="21"/>
                <w:szCs w:val="21"/>
                <w:lang w:val="en-US" w:eastAsia="zh-CN" w:bidi="ar-SA"/>
              </w:rPr>
              <w:t>4</w:t>
            </w:r>
            <w:r>
              <w:rPr>
                <w:rFonts w:ascii="宋体" w:hAnsi="宋体" w:cs="宋体"/>
                <w:b w:val="0"/>
                <w:bCs w:val="0"/>
                <w:kern w:val="2"/>
                <w:sz w:val="21"/>
                <w:szCs w:val="21"/>
                <w:lang w:val="en-US" w:eastAsia="zh-CN" w:bidi="ar-SA"/>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60A153D4">
            <w:pPr>
              <w:keepNext w:val="0"/>
              <w:keepLines w:val="0"/>
              <w:widowControl/>
              <w:spacing w:line="360" w:lineRule="auto"/>
              <w:jc w:val="left"/>
              <w:rPr>
                <w:rFonts w:ascii="宋体" w:hAnsi="宋体" w:eastAsia="宋体" w:cs="宋体"/>
                <w:color w:val="000000"/>
                <w:sz w:val="21"/>
                <w:szCs w:val="21"/>
                <w:highlight w:val="none"/>
              </w:rPr>
            </w:pPr>
            <w:r>
              <w:rPr>
                <w:rFonts w:ascii="宋体" w:hAnsi="宋体" w:eastAsia="宋体" w:cs="宋体"/>
                <w:b w:val="0"/>
                <w:bCs w:val="0"/>
                <w:kern w:val="2"/>
                <w:sz w:val="21"/>
                <w:szCs w:val="21"/>
                <w:lang w:val="en-US" w:eastAsia="zh-CN" w:bidi="ar-SA"/>
              </w:rPr>
              <w:t>5</w:t>
            </w:r>
            <w:r>
              <w:rPr>
                <w:rFonts w:ascii="宋体" w:hAnsi="宋体" w:cs="宋体"/>
                <w:b w:val="0"/>
                <w:bCs w:val="0"/>
                <w:kern w:val="2"/>
                <w:sz w:val="21"/>
                <w:szCs w:val="21"/>
                <w:lang w:val="en-US" w:eastAsia="zh-CN" w:bidi="ar-SA"/>
              </w:rPr>
              <w:t>、本项目不接受联合体响应。</w:t>
            </w:r>
          </w:p>
        </w:tc>
      </w:tr>
      <w:tr w14:paraId="67F2B00F">
        <w:tblPrEx>
          <w:tblCellMar>
            <w:top w:w="0" w:type="dxa"/>
            <w:left w:w="108" w:type="dxa"/>
            <w:bottom w:w="0" w:type="dxa"/>
            <w:right w:w="108" w:type="dxa"/>
          </w:tblCellMar>
        </w:tblPrEx>
        <w:trPr>
          <w:trHeight w:val="9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AAA3CC0">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11</w:t>
            </w:r>
          </w:p>
        </w:tc>
        <w:tc>
          <w:tcPr>
            <w:tcW w:w="1537" w:type="dxa"/>
            <w:tcBorders>
              <w:top w:val="single" w:color="000000" w:sz="8" w:space="0"/>
              <w:left w:val="single" w:color="000000" w:sz="8" w:space="0"/>
              <w:bottom w:val="single" w:color="000000" w:sz="8" w:space="0"/>
              <w:right w:val="single" w:color="000000" w:sz="8" w:space="0"/>
            </w:tcBorders>
            <w:vAlign w:val="center"/>
          </w:tcPr>
          <w:p w14:paraId="2FDE431F">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供应商信用查询</w:t>
            </w:r>
          </w:p>
        </w:tc>
        <w:tc>
          <w:tcPr>
            <w:tcW w:w="7365" w:type="dxa"/>
            <w:tcBorders>
              <w:top w:val="single" w:color="000000" w:sz="8" w:space="0"/>
              <w:left w:val="single" w:color="000000" w:sz="8" w:space="0"/>
              <w:bottom w:val="single" w:color="000000" w:sz="8" w:space="0"/>
              <w:right w:val="single" w:color="000000" w:sz="12" w:space="0"/>
            </w:tcBorders>
            <w:vAlign w:val="center"/>
          </w:tcPr>
          <w:p w14:paraId="52634D33">
            <w:pPr>
              <w:pStyle w:val="52"/>
              <w:keepNext w:val="0"/>
              <w:keepLines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w:t>
            </w:r>
            <w:r>
              <w:rPr>
                <w:rFonts w:ascii="宋体" w:hAnsi="宋体" w:cs="宋体"/>
                <w:color w:val="000000"/>
                <w:sz w:val="21"/>
                <w:szCs w:val="21"/>
                <w:lang w:val="en-US" w:eastAsia="zh-CN"/>
              </w:rPr>
              <w:t>、查询渠道：信用中国（网址：</w:t>
            </w:r>
            <w:r>
              <w:rPr>
                <w:rFonts w:eastAsia="宋体" w:cs="宋体"/>
                <w:color w:val="000000"/>
                <w:sz w:val="21"/>
                <w:szCs w:val="21"/>
                <w:lang w:val="en-US" w:eastAsia="zh-CN"/>
              </w:rPr>
              <w:t>http://www.creditchina.gov.cn</w:t>
            </w:r>
            <w:r>
              <w:rPr>
                <w:rFonts w:ascii="宋体" w:hAnsi="宋体" w:cs="宋体"/>
                <w:color w:val="000000"/>
                <w:sz w:val="21"/>
                <w:szCs w:val="21"/>
                <w:lang w:val="en-US" w:eastAsia="zh-CN"/>
              </w:rPr>
              <w:t>）、中国政府采购网</w:t>
            </w:r>
            <w:r>
              <w:rPr>
                <w:rFonts w:eastAsia="宋体" w:cs="宋体"/>
                <w:color w:val="000000"/>
                <w:sz w:val="21"/>
                <w:szCs w:val="21"/>
                <w:lang w:val="en-US" w:eastAsia="zh-CN"/>
              </w:rPr>
              <w:t>(</w:t>
            </w:r>
            <w:r>
              <w:rPr>
                <w:rFonts w:ascii="宋体" w:hAnsi="宋体" w:cs="宋体"/>
                <w:color w:val="000000"/>
                <w:sz w:val="21"/>
                <w:szCs w:val="21"/>
                <w:lang w:val="en-US" w:eastAsia="zh-CN"/>
              </w:rPr>
              <w:t>网址：</w:t>
            </w:r>
            <w:r>
              <w:rPr>
                <w:rFonts w:eastAsia="宋体" w:cs="宋体"/>
                <w:color w:val="000000"/>
                <w:sz w:val="21"/>
                <w:szCs w:val="21"/>
                <w:lang w:val="en-US" w:eastAsia="zh-CN"/>
              </w:rPr>
              <w:t>http://www.ccgp.gov.cn</w:t>
            </w:r>
            <w:r>
              <w:rPr>
                <w:rFonts w:ascii="宋体" w:hAnsi="宋体" w:cs="宋体"/>
                <w:color w:val="000000"/>
                <w:sz w:val="21"/>
                <w:szCs w:val="21"/>
                <w:lang w:val="en-US" w:eastAsia="zh-CN"/>
              </w:rPr>
              <w:t>）。</w:t>
            </w:r>
          </w:p>
          <w:p w14:paraId="1568EE46">
            <w:pPr>
              <w:pStyle w:val="52"/>
              <w:keepNext w:val="0"/>
              <w:keepLines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w:t>
            </w:r>
            <w:r>
              <w:rPr>
                <w:rFonts w:ascii="宋体" w:hAnsi="宋体" w:cs="宋体"/>
                <w:color w:val="000000"/>
                <w:sz w:val="21"/>
                <w:szCs w:val="21"/>
                <w:lang w:val="en-US" w:eastAsia="zh-CN"/>
              </w:rPr>
              <w:t>、截止时点：响应文件开启后评审前。</w:t>
            </w:r>
          </w:p>
          <w:p w14:paraId="6F775A42">
            <w:pPr>
              <w:pStyle w:val="52"/>
              <w:keepNext w:val="0"/>
              <w:keepLines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3</w:t>
            </w:r>
            <w:r>
              <w:rPr>
                <w:rFonts w:ascii="宋体" w:hAnsi="宋体" w:cs="宋体"/>
                <w:color w:val="000000"/>
                <w:sz w:val="21"/>
                <w:szCs w:val="21"/>
                <w:lang w:val="en-US" w:eastAsia="zh-CN"/>
              </w:rPr>
              <w:t>、信用信息查询记录和证据留存的具体方式：由采购组织机构在规定查询时间内打印信用信息查询记录并归入项目档案。</w:t>
            </w:r>
          </w:p>
          <w:p w14:paraId="216454A3">
            <w:pPr>
              <w:pStyle w:val="52"/>
              <w:keepNext w:val="0"/>
              <w:keepLines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4</w:t>
            </w:r>
            <w:r>
              <w:rPr>
                <w:rFonts w:ascii="宋体" w:hAnsi="宋体" w:cs="宋体"/>
                <w:color w:val="000000"/>
                <w:sz w:val="21"/>
                <w:szCs w:val="21"/>
                <w:lang w:val="en-US" w:eastAsia="zh-CN"/>
              </w:rPr>
              <w:t>、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2FDC4919">
        <w:tblPrEx>
          <w:tblCellMar>
            <w:top w:w="0" w:type="dxa"/>
            <w:left w:w="108" w:type="dxa"/>
            <w:bottom w:w="0" w:type="dxa"/>
            <w:right w:w="108" w:type="dxa"/>
          </w:tblCellMar>
        </w:tblPrEx>
        <w:trPr>
          <w:trHeight w:val="47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1336483C">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12</w:t>
            </w:r>
          </w:p>
        </w:tc>
        <w:tc>
          <w:tcPr>
            <w:tcW w:w="1537" w:type="dxa"/>
            <w:tcBorders>
              <w:top w:val="single" w:color="000000" w:sz="8" w:space="0"/>
              <w:left w:val="single" w:color="000000" w:sz="8" w:space="0"/>
              <w:bottom w:val="single" w:color="000000" w:sz="8" w:space="0"/>
              <w:right w:val="single" w:color="000000" w:sz="8" w:space="0"/>
            </w:tcBorders>
            <w:vAlign w:val="center"/>
          </w:tcPr>
          <w:p w14:paraId="792A0ED9">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踏勘现场</w:t>
            </w:r>
          </w:p>
        </w:tc>
        <w:tc>
          <w:tcPr>
            <w:tcW w:w="7365" w:type="dxa"/>
            <w:tcBorders>
              <w:top w:val="single" w:color="000000" w:sz="8" w:space="0"/>
              <w:left w:val="single" w:color="000000" w:sz="8" w:space="0"/>
              <w:bottom w:val="single" w:color="000000" w:sz="8" w:space="0"/>
              <w:right w:val="single" w:color="000000" w:sz="12" w:space="0"/>
            </w:tcBorders>
            <w:vAlign w:val="center"/>
          </w:tcPr>
          <w:p w14:paraId="56CB67DD">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eastAsia="zh-CN"/>
              </w:rPr>
              <w:t>☑</w:t>
            </w:r>
            <w:r>
              <w:rPr>
                <w:rFonts w:ascii="宋体" w:hAnsi="宋体" w:cs="宋体"/>
                <w:color w:val="000000"/>
                <w:sz w:val="21"/>
                <w:szCs w:val="21"/>
                <w:lang w:val="en-US" w:eastAsia="zh-CN"/>
              </w:rPr>
              <w:t>不组织</w:t>
            </w:r>
            <w:r>
              <w:rPr>
                <w:rFonts w:eastAsia="宋体" w:cs="宋体"/>
                <w:color w:val="000000"/>
                <w:sz w:val="21"/>
                <w:szCs w:val="21"/>
                <w:lang w:val="en-US" w:eastAsia="zh-CN"/>
              </w:rPr>
              <w:t>,</w:t>
            </w:r>
            <w:r>
              <w:rPr>
                <w:rFonts w:ascii="宋体" w:hAnsi="宋体" w:cs="宋体"/>
                <w:color w:val="000000"/>
                <w:sz w:val="21"/>
                <w:szCs w:val="21"/>
                <w:lang w:val="en-US" w:eastAsia="zh-CN"/>
              </w:rPr>
              <w:t>供应商可自行合理安排时间踏勘现场。</w:t>
            </w:r>
          </w:p>
        </w:tc>
      </w:tr>
      <w:tr w14:paraId="6A83AD4F">
        <w:tblPrEx>
          <w:tblCellMar>
            <w:top w:w="0" w:type="dxa"/>
            <w:left w:w="108" w:type="dxa"/>
            <w:bottom w:w="0" w:type="dxa"/>
            <w:right w:w="108" w:type="dxa"/>
          </w:tblCellMar>
        </w:tblPrEx>
        <w:trPr>
          <w:trHeight w:val="47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F5C8F5C">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13</w:t>
            </w:r>
          </w:p>
        </w:tc>
        <w:tc>
          <w:tcPr>
            <w:tcW w:w="1537" w:type="dxa"/>
            <w:tcBorders>
              <w:top w:val="single" w:color="000000" w:sz="8" w:space="0"/>
              <w:left w:val="single" w:color="000000" w:sz="8" w:space="0"/>
              <w:bottom w:val="single" w:color="000000" w:sz="8" w:space="0"/>
              <w:right w:val="single" w:color="000000" w:sz="8" w:space="0"/>
            </w:tcBorders>
            <w:vAlign w:val="center"/>
          </w:tcPr>
          <w:p w14:paraId="7AC06C85">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响应预备会</w:t>
            </w:r>
          </w:p>
        </w:tc>
        <w:tc>
          <w:tcPr>
            <w:tcW w:w="7365" w:type="dxa"/>
            <w:tcBorders>
              <w:top w:val="single" w:color="000000" w:sz="8" w:space="0"/>
              <w:left w:val="single" w:color="000000" w:sz="8" w:space="0"/>
              <w:bottom w:val="single" w:color="000000" w:sz="8" w:space="0"/>
              <w:right w:val="single" w:color="000000" w:sz="12" w:space="0"/>
            </w:tcBorders>
            <w:vAlign w:val="center"/>
          </w:tcPr>
          <w:p w14:paraId="76271EEA">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不召开</w:t>
            </w:r>
          </w:p>
        </w:tc>
      </w:tr>
      <w:tr w14:paraId="7F0FAEAB">
        <w:tblPrEx>
          <w:tblCellMar>
            <w:top w:w="0" w:type="dxa"/>
            <w:left w:w="108" w:type="dxa"/>
            <w:bottom w:w="0" w:type="dxa"/>
            <w:right w:w="108" w:type="dxa"/>
          </w:tblCellMar>
        </w:tblPrEx>
        <w:trPr>
          <w:trHeight w:val="39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AE3C392">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14</w:t>
            </w:r>
          </w:p>
        </w:tc>
        <w:tc>
          <w:tcPr>
            <w:tcW w:w="1537" w:type="dxa"/>
            <w:tcBorders>
              <w:top w:val="single" w:color="000000" w:sz="8" w:space="0"/>
              <w:left w:val="single" w:color="000000" w:sz="8" w:space="0"/>
              <w:bottom w:val="single" w:color="000000" w:sz="8" w:space="0"/>
              <w:right w:val="single" w:color="000000" w:sz="8" w:space="0"/>
            </w:tcBorders>
            <w:vAlign w:val="center"/>
          </w:tcPr>
          <w:p w14:paraId="2C750D39">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联合体响应</w:t>
            </w:r>
          </w:p>
        </w:tc>
        <w:tc>
          <w:tcPr>
            <w:tcW w:w="7365" w:type="dxa"/>
            <w:tcBorders>
              <w:top w:val="single" w:color="000000" w:sz="8" w:space="0"/>
              <w:left w:val="single" w:color="000000" w:sz="8" w:space="0"/>
              <w:bottom w:val="single" w:color="000000" w:sz="8" w:space="0"/>
              <w:right w:val="single" w:color="000000" w:sz="12" w:space="0"/>
            </w:tcBorders>
            <w:vAlign w:val="center"/>
          </w:tcPr>
          <w:p w14:paraId="3884B7F3">
            <w:pPr>
              <w:keepNext w:val="0"/>
              <w:keepLines w:val="0"/>
              <w:kinsoku/>
              <w:overflowPunct/>
              <w:autoSpaceDE/>
              <w:bidi w:val="0"/>
              <w:spacing w:line="360" w:lineRule="auto"/>
              <w:textAlignment w:val="auto"/>
              <w:rPr>
                <w:rFonts w:ascii="宋体" w:hAnsi="宋体" w:eastAsia="宋体" w:cs="宋体"/>
                <w:color w:val="000000"/>
                <w:sz w:val="21"/>
                <w:szCs w:val="21"/>
                <w:highlight w:val="none"/>
              </w:rPr>
            </w:pPr>
            <w:r>
              <w:rPr>
                <w:rFonts w:ascii="宋体" w:hAnsi="宋体" w:eastAsia="宋体" w:cs="宋体"/>
                <w:color w:val="000000"/>
                <w:sz w:val="21"/>
                <w:szCs w:val="21"/>
                <w:lang w:eastAsia="zh-CN"/>
              </w:rPr>
              <w:t>☑</w:t>
            </w:r>
            <w:r>
              <w:rPr>
                <w:rFonts w:ascii="宋体" w:hAnsi="宋体" w:cs="宋体"/>
                <w:color w:val="000000"/>
                <w:sz w:val="21"/>
                <w:szCs w:val="21"/>
              </w:rPr>
              <w:t>不接受</w:t>
            </w:r>
          </w:p>
          <w:p w14:paraId="01F311E0">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eastAsia="zh-CN"/>
              </w:rPr>
              <w:t>□</w:t>
            </w:r>
            <w:r>
              <w:rPr>
                <w:rFonts w:ascii="宋体" w:hAnsi="宋体" w:cs="宋体"/>
                <w:color w:val="000000"/>
                <w:sz w:val="21"/>
                <w:szCs w:val="21"/>
              </w:rPr>
              <w:t>接受，联合体响应的须在响应文件中提供联合体协议书，联合体所有成员不得超过</w:t>
            </w:r>
            <w:r>
              <w:rPr>
                <w:rFonts w:eastAsia="宋体" w:cs="宋体"/>
                <w:color w:val="000000"/>
                <w:sz w:val="21"/>
                <w:szCs w:val="21"/>
              </w:rPr>
              <w:t>2</w:t>
            </w:r>
            <w:r>
              <w:rPr>
                <w:rFonts w:ascii="宋体" w:hAnsi="宋体" w:cs="宋体"/>
                <w:color w:val="000000"/>
                <w:sz w:val="21"/>
                <w:szCs w:val="21"/>
              </w:rPr>
              <w:t>家，联合体的任何一方均不得再与其他供应商联合。</w:t>
            </w:r>
          </w:p>
        </w:tc>
      </w:tr>
      <w:tr w14:paraId="63AAF836">
        <w:tblPrEx>
          <w:tblCellMar>
            <w:top w:w="0" w:type="dxa"/>
            <w:left w:w="108" w:type="dxa"/>
            <w:bottom w:w="0" w:type="dxa"/>
            <w:right w:w="108" w:type="dxa"/>
          </w:tblCellMar>
        </w:tblPrEx>
        <w:trPr>
          <w:trHeight w:val="23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E485B9F">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15</w:t>
            </w:r>
          </w:p>
        </w:tc>
        <w:tc>
          <w:tcPr>
            <w:tcW w:w="1537" w:type="dxa"/>
            <w:tcBorders>
              <w:top w:val="single" w:color="000000" w:sz="8" w:space="0"/>
              <w:left w:val="single" w:color="000000" w:sz="8" w:space="0"/>
              <w:bottom w:val="single" w:color="000000" w:sz="8" w:space="0"/>
              <w:right w:val="single" w:color="000000" w:sz="8" w:space="0"/>
            </w:tcBorders>
            <w:vAlign w:val="center"/>
          </w:tcPr>
          <w:p w14:paraId="3C7E3777">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采购代理服务费</w:t>
            </w:r>
          </w:p>
        </w:tc>
        <w:tc>
          <w:tcPr>
            <w:tcW w:w="7365" w:type="dxa"/>
            <w:tcBorders>
              <w:top w:val="single" w:color="000000" w:sz="8" w:space="0"/>
              <w:left w:val="single" w:color="000000" w:sz="8" w:space="0"/>
              <w:bottom w:val="single" w:color="000000" w:sz="8" w:space="0"/>
              <w:right w:val="single" w:color="000000" w:sz="12" w:space="0"/>
            </w:tcBorders>
            <w:vAlign w:val="center"/>
          </w:tcPr>
          <w:p w14:paraId="028CDFF5">
            <w:pPr>
              <w:keepNext w:val="0"/>
              <w:keepLines w:val="0"/>
              <w:widowControl w:val="0"/>
              <w:kinsoku/>
              <w:overflowPunct/>
              <w:autoSpaceDE/>
              <w:bidi w:val="0"/>
              <w:snapToGrid w:val="0"/>
              <w:spacing w:line="360" w:lineRule="auto"/>
              <w:jc w:val="both"/>
              <w:textAlignment w:val="auto"/>
              <w:rPr>
                <w:rFonts w:ascii="宋体" w:hAnsi="宋体" w:eastAsia="宋体" w:cs="宋体"/>
                <w:color w:val="000000"/>
                <w:sz w:val="21"/>
                <w:szCs w:val="21"/>
                <w:highlight w:val="none"/>
              </w:rPr>
            </w:pPr>
            <w:r>
              <w:rPr>
                <w:rFonts w:ascii="宋体" w:hAnsi="宋体" w:cs="宋体"/>
                <w:color w:val="000000"/>
                <w:kern w:val="2"/>
                <w:sz w:val="21"/>
                <w:szCs w:val="21"/>
                <w:u w:val="none" w:color="000000"/>
                <w:lang w:val="en-US" w:eastAsia="zh-CN" w:bidi="ar-SA"/>
              </w:rPr>
              <w:t>采购代理服务报酬为人民币，经采购人与代理机构协商后确定由成交单位在领取本项目成交通知书时，由成交供应商支付本项目代理服务费。</w:t>
            </w:r>
          </w:p>
        </w:tc>
      </w:tr>
      <w:tr w14:paraId="5A5D2F48">
        <w:tblPrEx>
          <w:tblCellMar>
            <w:top w:w="0" w:type="dxa"/>
            <w:left w:w="108" w:type="dxa"/>
            <w:bottom w:w="0" w:type="dxa"/>
            <w:right w:w="108" w:type="dxa"/>
          </w:tblCellMar>
        </w:tblPrEx>
        <w:trPr>
          <w:trHeight w:val="422"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575E5DD5">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16</w:t>
            </w:r>
          </w:p>
        </w:tc>
        <w:tc>
          <w:tcPr>
            <w:tcW w:w="1537" w:type="dxa"/>
            <w:tcBorders>
              <w:top w:val="single" w:color="000000" w:sz="8" w:space="0"/>
              <w:left w:val="single" w:color="000000" w:sz="8" w:space="0"/>
              <w:bottom w:val="single" w:color="000000" w:sz="8" w:space="0"/>
              <w:right w:val="single" w:color="000000" w:sz="8" w:space="0"/>
            </w:tcBorders>
            <w:vAlign w:val="center"/>
          </w:tcPr>
          <w:p w14:paraId="2AA64AF4">
            <w:pPr>
              <w:keepNext w:val="0"/>
              <w:keepLines w:val="0"/>
              <w:kinsoku/>
              <w:overflowPunct/>
              <w:autoSpaceDE/>
              <w:bidi w:val="0"/>
              <w:snapToGrid w:val="0"/>
              <w:spacing w:line="360" w:lineRule="auto"/>
              <w:jc w:val="center"/>
              <w:textAlignment w:val="auto"/>
              <w:rPr>
                <w:rFonts w:ascii="宋体" w:hAnsi="宋体" w:eastAsia="宋体" w:cs="宋体"/>
                <w:color w:val="000000"/>
                <w:kern w:val="2"/>
                <w:sz w:val="21"/>
                <w:szCs w:val="21"/>
                <w:highlight w:val="none"/>
                <w:u w:val="none" w:color="000000"/>
                <w:lang w:val="en-US" w:eastAsia="zh-CN" w:bidi="ar-SA"/>
              </w:rPr>
            </w:pPr>
            <w:r>
              <w:rPr>
                <w:rFonts w:ascii="宋体" w:hAnsi="宋体" w:cs="宋体"/>
                <w:color w:val="000000"/>
                <w:kern w:val="2"/>
                <w:sz w:val="21"/>
                <w:szCs w:val="21"/>
                <w:u w:val="none" w:color="000000"/>
                <w:lang w:val="en-US" w:eastAsia="zh-CN" w:bidi="ar-SA"/>
              </w:rPr>
              <w:t>报价合理性</w:t>
            </w:r>
          </w:p>
          <w:p w14:paraId="02C2614B">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kern w:val="2"/>
                <w:sz w:val="21"/>
                <w:szCs w:val="21"/>
                <w:u w:val="none" w:color="000000"/>
                <w:lang w:val="en-US" w:eastAsia="zh-CN" w:bidi="ar-SA"/>
              </w:rPr>
              <w:t>要求</w:t>
            </w:r>
          </w:p>
        </w:tc>
        <w:tc>
          <w:tcPr>
            <w:tcW w:w="7365" w:type="dxa"/>
            <w:tcBorders>
              <w:top w:val="single" w:color="000000" w:sz="8" w:space="0"/>
              <w:left w:val="single" w:color="000000" w:sz="8" w:space="0"/>
              <w:bottom w:val="single" w:color="000000" w:sz="8" w:space="0"/>
              <w:right w:val="single" w:color="000000" w:sz="12" w:space="0"/>
            </w:tcBorders>
            <w:vAlign w:val="center"/>
          </w:tcPr>
          <w:p w14:paraId="3254B4DD">
            <w:pPr>
              <w:keepNext w:val="0"/>
              <w:keepLines w:val="0"/>
              <w:widowControl w:val="0"/>
              <w:kinsoku/>
              <w:overflowPunct/>
              <w:autoSpaceDE/>
              <w:bidi w:val="0"/>
              <w:snapToGrid w:val="0"/>
              <w:spacing w:line="360" w:lineRule="auto"/>
              <w:jc w:val="both"/>
              <w:textAlignment w:val="auto"/>
              <w:rPr>
                <w:rFonts w:ascii="宋体" w:hAnsi="宋体" w:eastAsia="宋体" w:cs="宋体"/>
                <w:color w:val="000000"/>
                <w:sz w:val="21"/>
                <w:szCs w:val="21"/>
                <w:highlight w:val="none"/>
              </w:rPr>
            </w:pPr>
            <w:r>
              <w:rPr>
                <w:rFonts w:ascii="宋体" w:hAnsi="宋体" w:cs="宋体"/>
                <w:color w:val="000000"/>
                <w:kern w:val="2"/>
                <w:sz w:val="21"/>
                <w:szCs w:val="21"/>
                <w:u w:val="none" w:color="000000"/>
                <w:lang w:val="en-US" w:eastAsia="zh-CN" w:bidi="ar-SA"/>
              </w:rPr>
              <w:t>根据《政府采购货物和服务招标投标管理办法》（财政部令第</w:t>
            </w:r>
            <w:r>
              <w:rPr>
                <w:rFonts w:ascii="宋体" w:hAnsi="宋体" w:eastAsia="宋体" w:cs="宋体"/>
                <w:color w:val="000000"/>
                <w:kern w:val="2"/>
                <w:sz w:val="21"/>
                <w:szCs w:val="21"/>
                <w:u w:val="none" w:color="000000"/>
                <w:lang w:val="en-US" w:eastAsia="zh-CN" w:bidi="ar-SA"/>
              </w:rPr>
              <w:t>87</w:t>
            </w:r>
            <w:r>
              <w:rPr>
                <w:rFonts w:ascii="宋体" w:hAnsi="宋体" w:cs="宋体"/>
                <w:color w:val="000000"/>
                <w:kern w:val="2"/>
                <w:sz w:val="21"/>
                <w:szCs w:val="21"/>
                <w:u w:val="none" w:color="000000"/>
                <w:lang w:val="en-US" w:eastAsia="zh-CN" w:bidi="ar-SA"/>
              </w:rPr>
              <w:t>号）第六十条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237A347B">
        <w:tblPrEx>
          <w:tblCellMar>
            <w:top w:w="0" w:type="dxa"/>
            <w:left w:w="108" w:type="dxa"/>
            <w:bottom w:w="0" w:type="dxa"/>
            <w:right w:w="108" w:type="dxa"/>
          </w:tblCellMar>
        </w:tblPrEx>
        <w:trPr>
          <w:trHeight w:val="31"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7D5AFF2E">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17</w:t>
            </w:r>
          </w:p>
        </w:tc>
        <w:tc>
          <w:tcPr>
            <w:tcW w:w="1537" w:type="dxa"/>
            <w:tcBorders>
              <w:top w:val="single" w:color="000000" w:sz="8" w:space="0"/>
              <w:left w:val="single" w:color="000000" w:sz="8" w:space="0"/>
              <w:bottom w:val="single" w:color="000000" w:sz="8" w:space="0"/>
              <w:right w:val="single" w:color="000000" w:sz="8" w:space="0"/>
            </w:tcBorders>
            <w:vAlign w:val="center"/>
          </w:tcPr>
          <w:p w14:paraId="06F0450E">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磋商有效期</w:t>
            </w:r>
          </w:p>
        </w:tc>
        <w:tc>
          <w:tcPr>
            <w:tcW w:w="7365" w:type="dxa"/>
            <w:tcBorders>
              <w:top w:val="single" w:color="000000" w:sz="8" w:space="0"/>
              <w:left w:val="single" w:color="000000" w:sz="8" w:space="0"/>
              <w:bottom w:val="single" w:color="000000" w:sz="8" w:space="0"/>
              <w:right w:val="single" w:color="000000" w:sz="12" w:space="0"/>
            </w:tcBorders>
            <w:vAlign w:val="center"/>
          </w:tcPr>
          <w:p w14:paraId="384429E7">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磋商有效期为</w:t>
            </w:r>
            <w:r>
              <w:rPr>
                <w:rFonts w:ascii="宋体" w:hAnsi="宋体" w:cs="宋体"/>
                <w:color w:val="000000"/>
                <w:sz w:val="21"/>
                <w:szCs w:val="21"/>
                <w:u w:val="single"/>
                <w:lang w:val="en-US" w:eastAsia="zh-CN"/>
              </w:rPr>
              <w:t xml:space="preserve"> </w:t>
            </w:r>
            <w:r>
              <w:rPr>
                <w:rFonts w:eastAsia="宋体" w:cs="宋体"/>
                <w:color w:val="000000"/>
                <w:sz w:val="21"/>
                <w:szCs w:val="21"/>
                <w:u w:val="single"/>
                <w:lang w:val="en-US" w:eastAsia="zh-CN"/>
              </w:rPr>
              <w:t xml:space="preserve">60 </w:t>
            </w:r>
            <w:r>
              <w:rPr>
                <w:rFonts w:ascii="宋体" w:hAnsi="宋体" w:cs="宋体"/>
                <w:color w:val="000000"/>
                <w:sz w:val="21"/>
                <w:szCs w:val="21"/>
                <w:lang w:val="en-US" w:eastAsia="zh-CN"/>
              </w:rPr>
              <w:t>日历天（从响应截止之日算起）。在此期限内，凡符合本采购文件要求的响应文件均保持有效。</w:t>
            </w:r>
          </w:p>
        </w:tc>
      </w:tr>
      <w:tr w14:paraId="155A61C9">
        <w:tblPrEx>
          <w:tblCellMar>
            <w:top w:w="0" w:type="dxa"/>
            <w:left w:w="108" w:type="dxa"/>
            <w:bottom w:w="0" w:type="dxa"/>
            <w:right w:w="108" w:type="dxa"/>
          </w:tblCellMar>
        </w:tblPrEx>
        <w:trPr>
          <w:trHeight w:val="1075"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FA7699F">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18</w:t>
            </w:r>
          </w:p>
        </w:tc>
        <w:tc>
          <w:tcPr>
            <w:tcW w:w="1537" w:type="dxa"/>
            <w:tcBorders>
              <w:top w:val="single" w:color="000000" w:sz="8" w:space="0"/>
              <w:left w:val="single" w:color="000000" w:sz="8" w:space="0"/>
              <w:bottom w:val="single" w:color="000000" w:sz="4" w:space="0"/>
              <w:right w:val="single" w:color="000000" w:sz="8" w:space="0"/>
            </w:tcBorders>
            <w:vAlign w:val="center"/>
          </w:tcPr>
          <w:p w14:paraId="0A71630F">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磋商保证金</w:t>
            </w:r>
          </w:p>
        </w:tc>
        <w:tc>
          <w:tcPr>
            <w:tcW w:w="7365" w:type="dxa"/>
            <w:tcBorders>
              <w:top w:val="single" w:color="000000" w:sz="8" w:space="0"/>
              <w:left w:val="single" w:color="000000" w:sz="8" w:space="0"/>
              <w:bottom w:val="single" w:color="000000" w:sz="4" w:space="0"/>
              <w:right w:val="single" w:color="000000" w:sz="12" w:space="0"/>
            </w:tcBorders>
          </w:tcPr>
          <w:p w14:paraId="4FEFF889">
            <w:pPr>
              <w:pStyle w:val="52"/>
              <w:keepNext w:val="0"/>
              <w:keepLines w:val="0"/>
              <w:kinsoku/>
              <w:overflowPunct/>
              <w:autoSpaceDE/>
              <w:bidi w:val="0"/>
              <w:snapToGrid w:val="0"/>
              <w:spacing w:line="360" w:lineRule="auto"/>
              <w:textAlignment w:val="auto"/>
              <w:rPr>
                <w:rFonts w:ascii="宋体" w:hAnsi="宋体" w:eastAsia="宋体" w:cs="宋体"/>
                <w:b/>
                <w:bCs/>
                <w:color w:val="000000"/>
                <w:sz w:val="21"/>
                <w:szCs w:val="21"/>
                <w:highlight w:val="none"/>
                <w:lang w:val="en-US" w:eastAsia="zh-CN"/>
              </w:rPr>
            </w:pPr>
            <w:r>
              <w:rPr>
                <w:rFonts w:ascii="宋体" w:hAnsi="宋体" w:cs="宋体"/>
                <w:color w:val="000000"/>
                <w:sz w:val="21"/>
                <w:szCs w:val="21"/>
                <w:lang w:val="en-US" w:eastAsia="zh-CN"/>
              </w:rPr>
              <w:t>磋商保证金缴纳方式：</w:t>
            </w:r>
            <w:r>
              <w:rPr>
                <w:rFonts w:hint="eastAsia" w:ascii="宋体" w:hAnsi="宋体" w:eastAsia="宋体" w:cs="宋体"/>
                <w:b/>
                <w:bCs/>
                <w:color w:val="auto"/>
                <w:sz w:val="21"/>
                <w:szCs w:val="21"/>
                <w:highlight w:val="none"/>
                <w:lang w:val="en-US" w:eastAsia="zh-CN"/>
              </w:rPr>
              <w:t>供应商自主选择以网上银行转账</w:t>
            </w:r>
            <w:r>
              <w:rPr>
                <w:rFonts w:hint="eastAsia"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支票、汇票、本票、保函等非现金形式缴纳或提交保证金。</w:t>
            </w:r>
          </w:p>
          <w:p w14:paraId="1ACD035C">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具体缴纳方式如下：</w:t>
            </w:r>
          </w:p>
          <w:p w14:paraId="69496F4C">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磋商保证金的金额：</w:t>
            </w:r>
            <w:r>
              <w:rPr>
                <w:rFonts w:hint="eastAsia" w:cs="宋体"/>
                <w:b/>
                <w:bCs/>
                <w:color w:val="000000"/>
                <w:sz w:val="21"/>
                <w:szCs w:val="21"/>
                <w:lang w:val="en-US" w:eastAsia="zh-CN"/>
              </w:rPr>
              <w:t>20000</w:t>
            </w:r>
            <w:r>
              <w:rPr>
                <w:rFonts w:eastAsia="宋体" w:cs="宋体"/>
                <w:b/>
                <w:bCs/>
                <w:color w:val="000000"/>
                <w:sz w:val="21"/>
                <w:szCs w:val="21"/>
                <w:lang w:val="en-US" w:eastAsia="zh-CN"/>
              </w:rPr>
              <w:t>.00</w:t>
            </w:r>
            <w:r>
              <w:rPr>
                <w:rFonts w:ascii="宋体" w:hAnsi="宋体" w:cs="宋体"/>
                <w:b/>
                <w:bCs/>
                <w:color w:val="000000"/>
                <w:sz w:val="21"/>
                <w:szCs w:val="21"/>
                <w:lang w:val="en-US" w:eastAsia="zh-CN"/>
              </w:rPr>
              <w:t>元，（大写：</w:t>
            </w:r>
            <w:r>
              <w:rPr>
                <w:rFonts w:hint="eastAsia" w:cs="宋体"/>
                <w:b/>
                <w:bCs/>
                <w:color w:val="000000"/>
                <w:sz w:val="21"/>
                <w:szCs w:val="21"/>
                <w:lang w:val="en-US" w:eastAsia="zh-CN"/>
              </w:rPr>
              <w:t>贰万元整</w:t>
            </w:r>
            <w:r>
              <w:rPr>
                <w:rFonts w:ascii="宋体" w:hAnsi="宋体" w:cs="宋体"/>
                <w:b/>
                <w:bCs/>
                <w:color w:val="000000"/>
                <w:sz w:val="21"/>
                <w:szCs w:val="21"/>
                <w:lang w:val="en-US" w:eastAsia="zh-CN"/>
              </w:rPr>
              <w:t>）</w:t>
            </w:r>
            <w:r>
              <w:rPr>
                <w:rFonts w:ascii="宋体" w:hAnsi="宋体" w:cs="宋体"/>
                <w:color w:val="000000"/>
                <w:sz w:val="21"/>
                <w:szCs w:val="21"/>
                <w:lang w:val="en-US" w:eastAsia="zh-CN"/>
              </w:rPr>
              <w:t>。</w:t>
            </w:r>
          </w:p>
          <w:p w14:paraId="47DB6D4B">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注：每个标项的保证金应分别缴纳，合并缴纳磋商保证金视为无效缴纳磋商保证金。</w:t>
            </w:r>
          </w:p>
          <w:p w14:paraId="18616113">
            <w:pPr>
              <w:pStyle w:val="52"/>
              <w:keepNext w:val="0"/>
              <w:keepLines w:val="0"/>
              <w:kinsoku/>
              <w:overflowPunct/>
              <w:autoSpaceDE/>
              <w:bidi w:val="0"/>
              <w:snapToGrid w:val="0"/>
              <w:spacing w:line="360" w:lineRule="auto"/>
              <w:textAlignment w:val="auto"/>
              <w:rPr>
                <w:rFonts w:ascii="宋体" w:hAnsi="宋体" w:eastAsia="宋体" w:cs="宋体"/>
                <w:b/>
                <w:bCs/>
                <w:color w:val="000000"/>
                <w:sz w:val="21"/>
                <w:szCs w:val="21"/>
                <w:highlight w:val="none"/>
                <w:lang w:val="en-US" w:eastAsia="zh-CN"/>
              </w:rPr>
            </w:pPr>
            <w:r>
              <w:rPr>
                <w:rFonts w:ascii="宋体" w:hAnsi="宋体" w:cs="宋体"/>
                <w:b/>
                <w:bCs/>
                <w:color w:val="000000"/>
                <w:sz w:val="21"/>
                <w:szCs w:val="21"/>
                <w:lang w:val="en-US" w:eastAsia="zh-CN"/>
              </w:rPr>
              <w:t>方式一：电子保证金</w:t>
            </w:r>
          </w:p>
          <w:p w14:paraId="1243ADD1">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账户信息：按系统自动生成的收款账号信息进行缴纳。具体操作在【保证金管理】页面，选择【电子保证金</w:t>
            </w:r>
            <w:r>
              <w:rPr>
                <w:rFonts w:eastAsia="宋体" w:cs="宋体"/>
                <w:color w:val="000000"/>
                <w:sz w:val="21"/>
                <w:szCs w:val="21"/>
                <w:lang w:val="en-US" w:eastAsia="zh-CN"/>
              </w:rPr>
              <w:t>(</w:t>
            </w:r>
            <w:r>
              <w:rPr>
                <w:rFonts w:ascii="宋体" w:hAnsi="宋体" w:cs="宋体"/>
                <w:color w:val="000000"/>
                <w:sz w:val="21"/>
                <w:szCs w:val="21"/>
                <w:lang w:val="en-US" w:eastAsia="zh-CN"/>
              </w:rPr>
              <w:t>在线获取账号</w:t>
            </w:r>
            <w:r>
              <w:rPr>
                <w:rFonts w:eastAsia="宋体" w:cs="宋体"/>
                <w:color w:val="000000"/>
                <w:sz w:val="21"/>
                <w:szCs w:val="21"/>
                <w:lang w:val="en-US" w:eastAsia="zh-CN"/>
              </w:rPr>
              <w:t>)</w:t>
            </w:r>
            <w:r>
              <w:rPr>
                <w:rFonts w:ascii="宋体" w:hAnsi="宋体" w:cs="宋体"/>
                <w:color w:val="000000"/>
                <w:sz w:val="21"/>
                <w:szCs w:val="21"/>
                <w:lang w:val="en-US" w:eastAsia="zh-CN"/>
              </w:rPr>
              <w:t>】</w:t>
            </w:r>
            <w:r>
              <w:rPr>
                <w:rFonts w:eastAsia="宋体" w:cs="宋体"/>
                <w:color w:val="000000"/>
                <w:sz w:val="21"/>
                <w:szCs w:val="21"/>
                <w:lang w:val="en-US" w:eastAsia="zh-CN"/>
              </w:rPr>
              <w:t>,</w:t>
            </w:r>
            <w:r>
              <w:rPr>
                <w:rFonts w:ascii="宋体" w:hAnsi="宋体" w:cs="宋体"/>
                <w:color w:val="000000"/>
                <w:sz w:val="21"/>
                <w:szCs w:val="21"/>
                <w:lang w:val="en-US" w:eastAsia="zh-CN"/>
              </w:rPr>
              <w:t>点击【新疆保证金平台】</w:t>
            </w:r>
            <w:r>
              <w:rPr>
                <w:rFonts w:eastAsia="宋体" w:cs="宋体"/>
                <w:color w:val="000000"/>
                <w:sz w:val="21"/>
                <w:szCs w:val="21"/>
                <w:lang w:val="en-US" w:eastAsia="zh-CN"/>
              </w:rPr>
              <w:t>,</w:t>
            </w:r>
            <w:r>
              <w:rPr>
                <w:rFonts w:ascii="宋体" w:hAnsi="宋体" w:cs="宋体"/>
                <w:color w:val="000000"/>
                <w:sz w:val="21"/>
                <w:szCs w:val="21"/>
                <w:lang w:val="en-US" w:eastAsia="zh-CN"/>
              </w:rPr>
              <w:t>自动从银行获取保证金的收款户名、收款账号、收款银行信息</w:t>
            </w:r>
            <w:r>
              <w:rPr>
                <w:rFonts w:eastAsia="宋体" w:cs="宋体"/>
                <w:color w:val="000000"/>
                <w:sz w:val="21"/>
                <w:szCs w:val="21"/>
                <w:lang w:val="en-US" w:eastAsia="zh-CN"/>
              </w:rPr>
              <w:t>(</w:t>
            </w:r>
            <w:r>
              <w:rPr>
                <w:rFonts w:ascii="宋体" w:hAnsi="宋体" w:cs="宋体"/>
                <w:color w:val="000000"/>
                <w:sz w:val="21"/>
                <w:szCs w:val="21"/>
                <w:lang w:val="en-US" w:eastAsia="zh-CN"/>
              </w:rPr>
              <w:t>开户行及行号</w:t>
            </w:r>
            <w:r>
              <w:rPr>
                <w:rFonts w:eastAsia="宋体" w:cs="宋体"/>
                <w:color w:val="000000"/>
                <w:sz w:val="21"/>
                <w:szCs w:val="21"/>
                <w:lang w:val="en-US" w:eastAsia="zh-CN"/>
              </w:rPr>
              <w:t>)</w:t>
            </w:r>
            <w:r>
              <w:rPr>
                <w:rFonts w:ascii="宋体" w:hAnsi="宋体" w:cs="宋体"/>
                <w:color w:val="000000"/>
                <w:sz w:val="21"/>
                <w:szCs w:val="21"/>
                <w:lang w:val="en-US" w:eastAsia="zh-CN"/>
              </w:rPr>
              <w:t>。供应商需将保证金转入获取到的收款账号，转账时请备注项目名称。</w:t>
            </w:r>
          </w:p>
          <w:p w14:paraId="5C205CB1">
            <w:pPr>
              <w:pStyle w:val="52"/>
              <w:keepNext w:val="0"/>
              <w:keepLines w:val="0"/>
              <w:kinsoku/>
              <w:overflowPunct/>
              <w:autoSpaceDE/>
              <w:bidi w:val="0"/>
              <w:snapToGrid w:val="0"/>
              <w:spacing w:line="360" w:lineRule="auto"/>
              <w:textAlignment w:val="auto"/>
              <w:rPr>
                <w:rFonts w:ascii="宋体" w:hAnsi="宋体" w:eastAsia="宋体" w:cs="宋体"/>
                <w:b/>
                <w:bCs/>
                <w:color w:val="000000"/>
                <w:sz w:val="21"/>
                <w:szCs w:val="21"/>
                <w:highlight w:val="none"/>
                <w:lang w:val="en-US" w:eastAsia="zh-CN"/>
              </w:rPr>
            </w:pPr>
            <w:r>
              <w:rPr>
                <w:rFonts w:ascii="宋体" w:hAnsi="宋体" w:cs="宋体"/>
                <w:b/>
                <w:bCs/>
                <w:color w:val="000000"/>
                <w:sz w:val="21"/>
                <w:szCs w:val="21"/>
                <w:lang w:val="en-US" w:eastAsia="zh-CN"/>
              </w:rPr>
              <w:t>方式二：保函</w:t>
            </w:r>
          </w:p>
          <w:p w14:paraId="33D207D6">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电子保函。</w:t>
            </w:r>
            <w:r>
              <w:rPr>
                <w:rFonts w:eastAsia="宋体" w:cs="宋体"/>
                <w:color w:val="000000"/>
                <w:sz w:val="21"/>
                <w:szCs w:val="21"/>
                <w:lang w:val="en-US" w:eastAsia="zh-CN"/>
              </w:rPr>
              <w:t>(1)</w:t>
            </w:r>
            <w:r>
              <w:rPr>
                <w:rFonts w:ascii="宋体" w:hAnsi="宋体" w:cs="宋体"/>
                <w:color w:val="000000"/>
                <w:sz w:val="21"/>
                <w:szCs w:val="21"/>
                <w:lang w:val="en-US" w:eastAsia="zh-CN"/>
              </w:rPr>
              <w:t>缴纳程序：供应商可登录新疆政府采购网“电子保函”窗口线上办理投保手续；</w:t>
            </w:r>
            <w:r>
              <w:rPr>
                <w:rFonts w:eastAsia="宋体" w:cs="宋体"/>
                <w:color w:val="000000"/>
                <w:sz w:val="21"/>
                <w:szCs w:val="21"/>
                <w:lang w:val="en-US" w:eastAsia="zh-CN"/>
              </w:rPr>
              <w:t>(2)</w:t>
            </w:r>
            <w:r>
              <w:rPr>
                <w:rFonts w:ascii="宋体" w:hAnsi="宋体" w:cs="宋体"/>
                <w:color w:val="000000"/>
                <w:sz w:val="21"/>
                <w:szCs w:val="21"/>
                <w:lang w:val="en-US" w:eastAsia="zh-CN"/>
              </w:rPr>
              <w:t>办理电子保函必须在响应文件递交截止时间</w:t>
            </w:r>
            <w:r>
              <w:rPr>
                <w:rFonts w:eastAsia="宋体" w:cs="宋体"/>
                <w:color w:val="000000"/>
                <w:sz w:val="21"/>
                <w:szCs w:val="21"/>
                <w:lang w:val="en-US" w:eastAsia="zh-CN"/>
              </w:rPr>
              <w:t>(</w:t>
            </w:r>
            <w:r>
              <w:rPr>
                <w:rFonts w:ascii="宋体" w:hAnsi="宋体" w:cs="宋体"/>
                <w:color w:val="000000"/>
                <w:sz w:val="21"/>
                <w:szCs w:val="21"/>
                <w:lang w:val="en-US" w:eastAsia="zh-CN"/>
              </w:rPr>
              <w:t>响应文件开启时间</w:t>
            </w:r>
            <w:r>
              <w:rPr>
                <w:rFonts w:eastAsia="宋体" w:cs="宋体"/>
                <w:color w:val="000000"/>
                <w:sz w:val="21"/>
                <w:szCs w:val="21"/>
                <w:lang w:val="en-US" w:eastAsia="zh-CN"/>
              </w:rPr>
              <w:t>)</w:t>
            </w:r>
            <w:r>
              <w:rPr>
                <w:rFonts w:ascii="宋体" w:hAnsi="宋体" w:cs="宋体"/>
                <w:color w:val="000000"/>
                <w:sz w:val="21"/>
                <w:szCs w:val="21"/>
                <w:lang w:val="en-US" w:eastAsia="zh-CN"/>
              </w:rPr>
              <w:t>前完成；</w:t>
            </w:r>
            <w:r>
              <w:rPr>
                <w:rFonts w:eastAsia="宋体" w:cs="宋体"/>
                <w:color w:val="000000"/>
                <w:sz w:val="21"/>
                <w:szCs w:val="21"/>
                <w:lang w:val="en-US" w:eastAsia="zh-CN"/>
              </w:rPr>
              <w:t>(3)</w:t>
            </w:r>
            <w:r>
              <w:rPr>
                <w:rFonts w:ascii="宋体" w:hAnsi="宋体" w:cs="宋体"/>
                <w:color w:val="000000"/>
                <w:sz w:val="21"/>
                <w:szCs w:val="21"/>
                <w:lang w:val="en-US" w:eastAsia="zh-CN"/>
              </w:rPr>
              <w:t>响应文件开启前，投保人须下载加密保单并加盖公章做为保证金缴纳凭证，并上传至资格审查文件中提交；</w:t>
            </w:r>
            <w:r>
              <w:rPr>
                <w:rFonts w:eastAsia="宋体" w:cs="宋体"/>
                <w:color w:val="000000"/>
                <w:sz w:val="21"/>
                <w:szCs w:val="21"/>
                <w:lang w:val="en-US" w:eastAsia="zh-CN"/>
              </w:rPr>
              <w:t>(4)</w:t>
            </w:r>
            <w:r>
              <w:rPr>
                <w:rFonts w:ascii="宋体" w:hAnsi="宋体" w:cs="宋体"/>
                <w:color w:val="000000"/>
                <w:sz w:val="21"/>
                <w:szCs w:val="21"/>
                <w:lang w:val="en-US" w:eastAsia="zh-CN"/>
              </w:rPr>
              <w:t xml:space="preserve">技术支持电话详见新疆政府采购网电子保函服务系统。   </w:t>
            </w:r>
          </w:p>
          <w:p w14:paraId="1971A616">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b/>
                <w:bCs/>
                <w:color w:val="000000"/>
                <w:sz w:val="21"/>
                <w:szCs w:val="21"/>
                <w:lang w:val="en-US" w:eastAsia="zh-CN"/>
              </w:rPr>
              <w:t xml:space="preserve">保证金退还须知：响应文件开启后，未成交企业在法定工作时间内自动退还保证金，成交企业在签订合同后自动退还保证金。 </w:t>
            </w:r>
          </w:p>
        </w:tc>
      </w:tr>
      <w:tr w14:paraId="50F7EF3A">
        <w:tblPrEx>
          <w:tblCellMar>
            <w:top w:w="0" w:type="dxa"/>
            <w:left w:w="108" w:type="dxa"/>
            <w:bottom w:w="0" w:type="dxa"/>
            <w:right w:w="108" w:type="dxa"/>
          </w:tblCellMar>
        </w:tblPrEx>
        <w:trPr>
          <w:trHeight w:val="334"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231DCBE7">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19</w:t>
            </w:r>
          </w:p>
        </w:tc>
        <w:tc>
          <w:tcPr>
            <w:tcW w:w="1537" w:type="dxa"/>
            <w:tcBorders>
              <w:top w:val="single" w:color="000000" w:sz="8" w:space="0"/>
              <w:left w:val="single" w:color="000000" w:sz="8" w:space="0"/>
              <w:bottom w:val="single" w:color="000000" w:sz="8" w:space="0"/>
              <w:right w:val="single" w:color="000000" w:sz="8" w:space="0"/>
            </w:tcBorders>
            <w:vAlign w:val="center"/>
          </w:tcPr>
          <w:p w14:paraId="120386A7">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响应文件形式</w:t>
            </w:r>
          </w:p>
        </w:tc>
        <w:tc>
          <w:tcPr>
            <w:tcW w:w="7365" w:type="dxa"/>
            <w:tcBorders>
              <w:top w:val="single" w:color="000000" w:sz="8" w:space="0"/>
              <w:left w:val="single" w:color="000000" w:sz="8" w:space="0"/>
              <w:bottom w:val="single" w:color="000000" w:sz="8" w:space="0"/>
              <w:right w:val="single" w:color="000000" w:sz="12" w:space="0"/>
            </w:tcBorders>
            <w:vAlign w:val="center"/>
          </w:tcPr>
          <w:p w14:paraId="25B05302">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电子响应文件包括“电子加密响应文件”和“备份响应文件”，在响应文件编制完成后同时生成。</w:t>
            </w:r>
          </w:p>
          <w:p w14:paraId="2AC74275">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w:t>
            </w:r>
            <w:r>
              <w:rPr>
                <w:rFonts w:ascii="宋体" w:hAnsi="宋体" w:cs="宋体"/>
                <w:color w:val="000000"/>
                <w:sz w:val="21"/>
                <w:szCs w:val="21"/>
                <w:lang w:val="en-US" w:eastAsia="zh-CN"/>
              </w:rPr>
              <w:t>、“电子加密响应文件”是指通过“政采云电子交易客户端”完成响应文件编制后生成并加密的数据电文形式的响应文件。</w:t>
            </w:r>
          </w:p>
          <w:p w14:paraId="00E8A288">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w:t>
            </w:r>
            <w:r>
              <w:rPr>
                <w:rFonts w:ascii="宋体" w:hAnsi="宋体" w:cs="宋体"/>
                <w:color w:val="000000"/>
                <w:sz w:val="21"/>
                <w:szCs w:val="21"/>
                <w:lang w:val="en-US" w:eastAsia="zh-CN"/>
              </w:rPr>
              <w:t>、“备份响应文件”是指与“电子加密响应文件”同时生成的数据电文形式的电子文件（备份标书，用于供应商标书解密异常时应急使用），其他方式编制的备份响应文件视为无效备份响应文件。</w:t>
            </w:r>
          </w:p>
        </w:tc>
      </w:tr>
      <w:tr w14:paraId="5F14B442">
        <w:tblPrEx>
          <w:tblCellMar>
            <w:top w:w="0" w:type="dxa"/>
            <w:left w:w="108" w:type="dxa"/>
            <w:bottom w:w="0" w:type="dxa"/>
            <w:right w:w="108" w:type="dxa"/>
          </w:tblCellMar>
        </w:tblPrEx>
        <w:trPr>
          <w:trHeight w:val="31"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0622432C">
            <w:pPr>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20</w:t>
            </w:r>
          </w:p>
        </w:tc>
        <w:tc>
          <w:tcPr>
            <w:tcW w:w="1537" w:type="dxa"/>
            <w:tcBorders>
              <w:top w:val="single" w:color="000000" w:sz="8" w:space="0"/>
              <w:left w:val="single" w:color="000000" w:sz="8" w:space="0"/>
              <w:bottom w:val="single" w:color="000000" w:sz="8" w:space="0"/>
              <w:right w:val="single" w:color="000000" w:sz="8" w:space="0"/>
            </w:tcBorders>
            <w:vAlign w:val="center"/>
          </w:tcPr>
          <w:p w14:paraId="691B2448">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b/>
                <w:bCs/>
                <w:color w:val="000000"/>
                <w:sz w:val="21"/>
                <w:szCs w:val="21"/>
                <w:lang w:val="en-US" w:eastAsia="zh-CN"/>
              </w:rPr>
              <w:t>响应文件份数及要求</w:t>
            </w:r>
          </w:p>
        </w:tc>
        <w:tc>
          <w:tcPr>
            <w:tcW w:w="7365" w:type="dxa"/>
            <w:tcBorders>
              <w:top w:val="single" w:color="000000" w:sz="8" w:space="0"/>
              <w:left w:val="single" w:color="000000" w:sz="8" w:space="0"/>
              <w:bottom w:val="single" w:color="000000" w:sz="8" w:space="0"/>
              <w:right w:val="single" w:color="000000" w:sz="12" w:space="0"/>
            </w:tcBorders>
            <w:vAlign w:val="center"/>
          </w:tcPr>
          <w:p w14:paraId="1207A39F">
            <w:pPr>
              <w:pStyle w:val="52"/>
              <w:numPr>
                <w:ilvl w:val="0"/>
                <w:numId w:val="4"/>
              </w:numPr>
              <w:snapToGrid w:val="0"/>
              <w:spacing w:line="360" w:lineRule="auto"/>
              <w:rPr>
                <w:rFonts w:ascii="宋体" w:hAnsi="宋体" w:eastAsia="宋体" w:cs="宋体"/>
                <w:b/>
                <w:bCs/>
                <w:color w:val="000000"/>
                <w:sz w:val="21"/>
                <w:szCs w:val="21"/>
              </w:rPr>
            </w:pPr>
            <w:r>
              <w:rPr>
                <w:rFonts w:ascii="宋体" w:hAnsi="宋体" w:cs="宋体"/>
                <w:b/>
                <w:bCs/>
                <w:color w:val="000000"/>
                <w:sz w:val="21"/>
                <w:szCs w:val="21"/>
              </w:rPr>
              <w:t>一份电子加密标书（“</w:t>
            </w:r>
            <w:r>
              <w:rPr>
                <w:rFonts w:eastAsia="宋体" w:cs="宋体"/>
                <w:b/>
                <w:bCs/>
                <w:color w:val="000000"/>
                <w:sz w:val="21"/>
                <w:szCs w:val="21"/>
              </w:rPr>
              <w:t>.jmbs”</w:t>
            </w:r>
            <w:r>
              <w:rPr>
                <w:rFonts w:ascii="宋体" w:hAnsi="宋体" w:cs="宋体"/>
                <w:b/>
                <w:bCs/>
                <w:color w:val="000000"/>
                <w:sz w:val="21"/>
                <w:szCs w:val="21"/>
              </w:rPr>
              <w:t>格式）</w:t>
            </w:r>
            <w:r>
              <w:rPr>
                <w:rFonts w:ascii="宋体" w:hAnsi="宋体" w:cs="宋体"/>
                <w:b/>
                <w:bCs/>
                <w:color w:val="000000"/>
                <w:sz w:val="21"/>
                <w:szCs w:val="21"/>
                <w:lang w:eastAsia="zh-CN"/>
              </w:rPr>
              <w:t>。</w:t>
            </w:r>
          </w:p>
          <w:p w14:paraId="777BD3B3">
            <w:pPr>
              <w:pStyle w:val="52"/>
              <w:numPr>
                <w:ilvl w:val="0"/>
                <w:numId w:val="0"/>
              </w:numPr>
              <w:snapToGrid w:val="0"/>
              <w:spacing w:line="360" w:lineRule="auto"/>
              <w:ind w:left="0" w:firstLine="0"/>
              <w:rPr>
                <w:rFonts w:ascii="宋体" w:hAnsi="宋体" w:eastAsia="宋体" w:cs="宋体"/>
                <w:color w:val="000000"/>
                <w:sz w:val="21"/>
                <w:szCs w:val="21"/>
                <w:highlight w:val="none"/>
                <w:lang w:val="en-US" w:eastAsia="zh-CN"/>
              </w:rPr>
            </w:pPr>
            <w:r>
              <w:rPr>
                <w:rFonts w:eastAsia="宋体" w:cs="宋体"/>
                <w:b/>
                <w:bCs/>
                <w:color w:val="000000"/>
                <w:sz w:val="21"/>
                <w:szCs w:val="21"/>
              </w:rPr>
              <w:t>2</w:t>
            </w:r>
            <w:r>
              <w:rPr>
                <w:rFonts w:ascii="宋体" w:hAnsi="宋体" w:cs="宋体"/>
                <w:b/>
                <w:bCs/>
                <w:color w:val="000000"/>
                <w:sz w:val="21"/>
                <w:szCs w:val="21"/>
              </w:rPr>
              <w:t>、每份电子响应文件应包括资格证明文件和商务、技术文件两部分。</w:t>
            </w:r>
          </w:p>
        </w:tc>
      </w:tr>
      <w:tr w14:paraId="60111F8B">
        <w:tblPrEx>
          <w:tblCellMar>
            <w:top w:w="0" w:type="dxa"/>
            <w:left w:w="108" w:type="dxa"/>
            <w:bottom w:w="0" w:type="dxa"/>
            <w:right w:w="108" w:type="dxa"/>
          </w:tblCellMar>
        </w:tblPrEx>
        <w:trPr>
          <w:trHeight w:val="844" w:hRule="atLeast"/>
          <w:jc w:val="center"/>
        </w:trPr>
        <w:tc>
          <w:tcPr>
            <w:tcW w:w="471" w:type="dxa"/>
            <w:vMerge w:val="restart"/>
            <w:tcBorders>
              <w:top w:val="single" w:color="000000" w:sz="8" w:space="0"/>
              <w:left w:val="single" w:color="000000" w:sz="12" w:space="0"/>
              <w:bottom w:val="single" w:color="000000" w:sz="8" w:space="0"/>
              <w:right w:val="single" w:color="000000" w:sz="8" w:space="0"/>
            </w:tcBorders>
            <w:vAlign w:val="center"/>
          </w:tcPr>
          <w:p w14:paraId="34EFC532">
            <w:pPr>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21</w:t>
            </w:r>
          </w:p>
        </w:tc>
        <w:tc>
          <w:tcPr>
            <w:tcW w:w="1537" w:type="dxa"/>
            <w:vMerge w:val="restart"/>
            <w:tcBorders>
              <w:top w:val="single" w:color="000000" w:sz="8" w:space="0"/>
              <w:left w:val="single" w:color="000000" w:sz="8" w:space="0"/>
              <w:bottom w:val="single" w:color="000000" w:sz="8" w:space="0"/>
              <w:right w:val="single" w:color="000000" w:sz="8" w:space="0"/>
            </w:tcBorders>
            <w:vAlign w:val="center"/>
          </w:tcPr>
          <w:p w14:paraId="00300641">
            <w:pPr>
              <w:pStyle w:val="52"/>
              <w:keepNext w:val="0"/>
              <w:keepLines w:val="0"/>
              <w:kinsoku/>
              <w:overflowPunct/>
              <w:autoSpaceDE/>
              <w:bidi w:val="0"/>
              <w:snapToGrid w:val="0"/>
              <w:spacing w:line="360" w:lineRule="auto"/>
              <w:jc w:val="center"/>
              <w:textAlignment w:val="auto"/>
              <w:rPr>
                <w:rFonts w:ascii="宋体" w:hAnsi="宋体" w:eastAsia="宋体" w:cs="宋体"/>
                <w:bCs/>
                <w:color w:val="000000"/>
                <w:sz w:val="21"/>
                <w:szCs w:val="21"/>
                <w:highlight w:val="none"/>
              </w:rPr>
            </w:pPr>
            <w:r>
              <w:rPr>
                <w:rFonts w:ascii="宋体" w:hAnsi="宋体" w:cs="宋体"/>
                <w:b/>
                <w:bCs/>
                <w:color w:val="000000"/>
                <w:sz w:val="21"/>
                <w:szCs w:val="21"/>
                <w:lang w:bidi="zh-CN"/>
              </w:rPr>
              <w:t>响应文件的上传和递交</w:t>
            </w:r>
          </w:p>
        </w:tc>
        <w:tc>
          <w:tcPr>
            <w:tcW w:w="7365" w:type="dxa"/>
            <w:tcBorders>
              <w:top w:val="single" w:color="000000" w:sz="8" w:space="0"/>
              <w:left w:val="single" w:color="000000" w:sz="8" w:space="0"/>
              <w:bottom w:val="single" w:color="000000" w:sz="8" w:space="0"/>
              <w:right w:val="single" w:color="000000" w:sz="12" w:space="0"/>
            </w:tcBorders>
            <w:vAlign w:val="center"/>
          </w:tcPr>
          <w:p w14:paraId="0698577D">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u w:val="single"/>
                <w:lang w:val="en-US" w:eastAsia="zh-CN"/>
              </w:rPr>
            </w:pPr>
            <w:r>
              <w:rPr>
                <w:rFonts w:eastAsia="宋体" w:cs="宋体"/>
                <w:color w:val="000000"/>
                <w:sz w:val="21"/>
                <w:szCs w:val="21"/>
                <w:lang w:val="en-US" w:eastAsia="zh-CN"/>
              </w:rPr>
              <w:t>1.</w:t>
            </w:r>
            <w:r>
              <w:rPr>
                <w:rFonts w:ascii="宋体" w:hAnsi="宋体" w:cs="宋体"/>
                <w:color w:val="000000"/>
                <w:sz w:val="21"/>
                <w:szCs w:val="21"/>
                <w:lang w:val="en-US" w:eastAsia="zh-CN"/>
              </w:rPr>
              <w:t>电子加密响应文件：响应文件制作完成并生成加密标书，在响应文件递交截止时间前，供应商需将加密的响应文件上传至政采云平台，</w:t>
            </w:r>
            <w:r>
              <w:rPr>
                <w:rFonts w:ascii="宋体" w:hAnsi="宋体" w:cs="宋体"/>
                <w:b/>
                <w:bCs/>
                <w:color w:val="000000"/>
                <w:sz w:val="21"/>
                <w:szCs w:val="21"/>
                <w:u w:val="single"/>
                <w:lang w:val="en-US" w:eastAsia="zh-CN"/>
              </w:rPr>
              <w:t>在响应文件开启时间开始后，待采购组织机构发出解密通知后</w:t>
            </w:r>
            <w:r>
              <w:rPr>
                <w:rFonts w:eastAsia="宋体" w:cs="宋体"/>
                <w:b/>
                <w:bCs/>
                <w:color w:val="000000"/>
                <w:sz w:val="21"/>
                <w:szCs w:val="21"/>
                <w:u w:val="single"/>
                <w:lang w:val="en-US" w:eastAsia="zh-CN"/>
              </w:rPr>
              <w:t>30</w:t>
            </w:r>
            <w:r>
              <w:rPr>
                <w:rFonts w:ascii="宋体" w:hAnsi="宋体" w:cs="宋体"/>
                <w:b/>
                <w:bCs/>
                <w:color w:val="000000"/>
                <w:sz w:val="21"/>
                <w:szCs w:val="21"/>
                <w:u w:val="single"/>
                <w:lang w:val="en-US" w:eastAsia="zh-CN"/>
              </w:rPr>
              <w:t>分钟内解密响应文件。</w:t>
            </w:r>
          </w:p>
          <w:p w14:paraId="59724BC0">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a.</w:t>
            </w:r>
            <w:r>
              <w:rPr>
                <w:rFonts w:ascii="宋体" w:hAnsi="宋体" w:cs="宋体"/>
                <w:color w:val="000000"/>
                <w:sz w:val="21"/>
                <w:szCs w:val="21"/>
                <w:lang w:val="en-US" w:eastAsia="zh-CN"/>
              </w:rPr>
              <w:t>供应商未能在响应文件递交截止时间前成功上传电子加密响应文件的响应无效。</w:t>
            </w:r>
          </w:p>
          <w:p w14:paraId="7356A37F">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b.</w:t>
            </w:r>
            <w:r>
              <w:rPr>
                <w:rFonts w:ascii="宋体" w:hAnsi="宋体" w:cs="宋体"/>
                <w:color w:val="000000"/>
                <w:sz w:val="21"/>
                <w:szCs w:val="21"/>
                <w:lang w:val="en-US" w:eastAsia="zh-CN"/>
              </w:rPr>
              <w:t>供应商成功上传电子加密响应文件后，可自行打印响应文件接收回执。</w:t>
            </w:r>
          </w:p>
        </w:tc>
      </w:tr>
      <w:tr w14:paraId="0D0DC7F0">
        <w:tblPrEx>
          <w:tblCellMar>
            <w:top w:w="0" w:type="dxa"/>
            <w:left w:w="108" w:type="dxa"/>
            <w:bottom w:w="0" w:type="dxa"/>
            <w:right w:w="108" w:type="dxa"/>
          </w:tblCellMar>
        </w:tblPrEx>
        <w:trPr>
          <w:trHeight w:val="844" w:hRule="atLeast"/>
          <w:jc w:val="center"/>
        </w:trPr>
        <w:tc>
          <w:tcPr>
            <w:tcW w:w="471" w:type="dxa"/>
            <w:vMerge w:val="continue"/>
            <w:tcBorders>
              <w:top w:val="single" w:color="000000" w:sz="8" w:space="0"/>
              <w:left w:val="single" w:color="000000" w:sz="12" w:space="0"/>
              <w:bottom w:val="single" w:color="000000" w:sz="8" w:space="0"/>
              <w:right w:val="single" w:color="000000" w:sz="8" w:space="0"/>
            </w:tcBorders>
            <w:vAlign w:val="center"/>
          </w:tcPr>
          <w:p w14:paraId="44FCBEA9">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p>
        </w:tc>
        <w:tc>
          <w:tcPr>
            <w:tcW w:w="1537" w:type="dxa"/>
            <w:vMerge w:val="continue"/>
            <w:tcBorders>
              <w:top w:val="single" w:color="000000" w:sz="8" w:space="0"/>
              <w:left w:val="single" w:color="000000" w:sz="8" w:space="0"/>
              <w:bottom w:val="single" w:color="000000" w:sz="8" w:space="0"/>
              <w:right w:val="single" w:color="000000" w:sz="8" w:space="0"/>
            </w:tcBorders>
            <w:vAlign w:val="center"/>
          </w:tcPr>
          <w:p w14:paraId="6FB1E078">
            <w:pPr>
              <w:pStyle w:val="52"/>
              <w:keepNext w:val="0"/>
              <w:keepLines w:val="0"/>
              <w:kinsoku/>
              <w:overflowPunct/>
              <w:autoSpaceDE/>
              <w:bidi w:val="0"/>
              <w:snapToGrid w:val="0"/>
              <w:spacing w:line="360" w:lineRule="auto"/>
              <w:textAlignment w:val="auto"/>
              <w:rPr>
                <w:rFonts w:ascii="宋体" w:hAnsi="宋体" w:eastAsia="宋体" w:cs="宋体"/>
                <w:sz w:val="21"/>
                <w:szCs w:val="21"/>
              </w:rPr>
            </w:pPr>
          </w:p>
        </w:tc>
        <w:tc>
          <w:tcPr>
            <w:tcW w:w="7365" w:type="dxa"/>
            <w:tcBorders>
              <w:top w:val="single" w:color="000000" w:sz="8" w:space="0"/>
              <w:left w:val="single" w:color="000000" w:sz="8" w:space="0"/>
              <w:bottom w:val="single" w:color="000000" w:sz="8" w:space="0"/>
              <w:right w:val="single" w:color="000000" w:sz="12" w:space="0"/>
            </w:tcBorders>
            <w:vAlign w:val="center"/>
          </w:tcPr>
          <w:p w14:paraId="204ED053">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rPr>
            </w:pPr>
            <w:r>
              <w:rPr>
                <w:rFonts w:eastAsia="宋体" w:cs="宋体"/>
                <w:color w:val="000000"/>
                <w:sz w:val="21"/>
                <w:szCs w:val="21"/>
              </w:rPr>
              <w:t>2.</w:t>
            </w:r>
            <w:r>
              <w:rPr>
                <w:rFonts w:ascii="宋体" w:hAnsi="宋体" w:cs="宋体"/>
                <w:color w:val="000000"/>
                <w:sz w:val="21"/>
                <w:szCs w:val="21"/>
              </w:rPr>
              <w:t>备份响应文件：供应商在响应文件递交截止时间前将加密的响应文件上传至政府采购云平台，还可以在响应文件递交截止时间前以电子邮件方式提供备份响应文件</w:t>
            </w:r>
            <w:r>
              <w:rPr>
                <w:rFonts w:eastAsia="宋体" w:cs="宋体"/>
                <w:color w:val="000000"/>
                <w:sz w:val="21"/>
                <w:szCs w:val="21"/>
              </w:rPr>
              <w:t>1</w:t>
            </w:r>
            <w:r>
              <w:rPr>
                <w:rFonts w:ascii="宋体" w:hAnsi="宋体" w:cs="宋体"/>
                <w:color w:val="000000"/>
                <w:sz w:val="21"/>
                <w:szCs w:val="21"/>
              </w:rPr>
              <w:t>份（接收人邮箱：</w:t>
            </w:r>
            <w:r>
              <w:rPr>
                <w:rFonts w:eastAsia="宋体" w:cs="宋体"/>
                <w:color w:val="000000"/>
                <w:sz w:val="21"/>
                <w:szCs w:val="21"/>
                <w:lang w:val="en-US" w:eastAsia="zh-CN"/>
              </w:rPr>
              <w:t>1499247858@qq.com</w:t>
            </w:r>
            <w:r>
              <w:rPr>
                <w:rFonts w:ascii="宋体" w:hAnsi="宋体" w:cs="宋体"/>
                <w:color w:val="000000"/>
                <w:sz w:val="21"/>
                <w:szCs w:val="21"/>
              </w:rPr>
              <w:t>，接收人：</w:t>
            </w:r>
            <w:r>
              <w:rPr>
                <w:rFonts w:cs="宋体"/>
                <w:color w:val="000000"/>
                <w:sz w:val="21"/>
                <w:szCs w:val="21"/>
                <w:lang w:val="en-US" w:eastAsia="zh-CN"/>
              </w:rPr>
              <w:t>施女士</w:t>
            </w:r>
            <w:r>
              <w:rPr>
                <w:rFonts w:ascii="宋体" w:hAnsi="宋体" w:cs="宋体"/>
                <w:color w:val="000000"/>
                <w:sz w:val="21"/>
                <w:szCs w:val="21"/>
                <w:lang w:val="en-US" w:eastAsia="zh-CN"/>
              </w:rPr>
              <w:t xml:space="preserve"> 联系电话：</w:t>
            </w:r>
            <w:r>
              <w:rPr>
                <w:rFonts w:eastAsia="宋体" w:cs="宋体"/>
                <w:color w:val="000000"/>
                <w:sz w:val="21"/>
                <w:szCs w:val="21"/>
                <w:lang w:val="en-US" w:eastAsia="zh-CN"/>
              </w:rPr>
              <w:t>19990496023</w:t>
            </w:r>
            <w:r>
              <w:rPr>
                <w:rFonts w:eastAsia="宋体" w:cs="宋体"/>
                <w:color w:val="000000"/>
                <w:sz w:val="21"/>
                <w:szCs w:val="21"/>
              </w:rPr>
              <w:t>“</w:t>
            </w:r>
            <w:r>
              <w:rPr>
                <w:rFonts w:ascii="宋体" w:hAnsi="宋体" w:cs="宋体"/>
                <w:color w:val="000000"/>
                <w:sz w:val="21"/>
                <w:szCs w:val="21"/>
              </w:rPr>
              <w:t>备份响应文件”由供应商自愿提供，采购文件不作强制性要求；如不提供或未按要求提供的，当电子响应文件无法解密时，将导致无备份响应文件而失去响应资格。</w:t>
            </w:r>
          </w:p>
          <w:p w14:paraId="0C522B26">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rPr>
            </w:pPr>
            <w:r>
              <w:rPr>
                <w:rFonts w:eastAsia="宋体" w:cs="宋体"/>
                <w:color w:val="000000"/>
                <w:sz w:val="21"/>
                <w:szCs w:val="21"/>
              </w:rPr>
              <w:t>a.</w:t>
            </w:r>
            <w:r>
              <w:rPr>
                <w:rFonts w:ascii="宋体" w:hAnsi="宋体" w:cs="宋体"/>
                <w:color w:val="000000"/>
                <w:sz w:val="21"/>
                <w:szCs w:val="21"/>
              </w:rPr>
              <w:t>备份响应文件提供要求：供应商可以将备份响应文件打包压缩并加密，压缩包命名为“</w:t>
            </w:r>
            <w:r>
              <w:rPr>
                <w:rFonts w:eastAsia="宋体" w:cs="宋体"/>
                <w:color w:val="000000"/>
                <w:sz w:val="21"/>
                <w:szCs w:val="21"/>
              </w:rPr>
              <w:t>XX</w:t>
            </w:r>
            <w:r>
              <w:rPr>
                <w:rFonts w:ascii="宋体" w:hAnsi="宋体" w:cs="宋体"/>
                <w:color w:val="000000"/>
                <w:sz w:val="21"/>
                <w:szCs w:val="21"/>
              </w:rPr>
              <w:t>单位备份响应文件”，加密密码由供应商自行保管；送达时间以采购代理机构实际接收时间为准。“备份响应文件”逾期或未按要求提供的视为未提供，建议供应商提前</w:t>
            </w:r>
            <w:r>
              <w:rPr>
                <w:rFonts w:eastAsia="宋体" w:cs="宋体"/>
                <w:color w:val="000000"/>
                <w:sz w:val="21"/>
                <w:szCs w:val="21"/>
              </w:rPr>
              <w:t>1</w:t>
            </w:r>
            <w:r>
              <w:rPr>
                <w:rFonts w:ascii="宋体" w:hAnsi="宋体" w:cs="宋体"/>
                <w:color w:val="000000"/>
                <w:sz w:val="21"/>
                <w:szCs w:val="21"/>
              </w:rPr>
              <w:t>日办理邮件提供事宜。</w:t>
            </w:r>
          </w:p>
          <w:p w14:paraId="6BA3DC75">
            <w:pPr>
              <w:pStyle w:val="52"/>
              <w:keepNext w:val="0"/>
              <w:keepLines w:val="0"/>
              <w:kinsoku/>
              <w:overflowPunct/>
              <w:autoSpaceDE/>
              <w:bidi w:val="0"/>
              <w:snapToGrid w:val="0"/>
              <w:spacing w:line="360" w:lineRule="auto"/>
              <w:textAlignment w:val="auto"/>
              <w:rPr>
                <w:rFonts w:ascii="宋体" w:hAnsi="宋体" w:eastAsia="宋体" w:cs="宋体"/>
                <w:color w:val="000000"/>
                <w:kern w:val="2"/>
                <w:sz w:val="21"/>
                <w:szCs w:val="21"/>
                <w:highlight w:val="none"/>
                <w:lang w:val="en-US" w:eastAsia="zh-CN" w:bidi="ar-SA"/>
              </w:rPr>
            </w:pPr>
            <w:r>
              <w:rPr>
                <w:rFonts w:eastAsia="宋体" w:cs="宋体"/>
                <w:color w:val="000000"/>
                <w:sz w:val="21"/>
                <w:szCs w:val="21"/>
              </w:rPr>
              <w:t>b.</w:t>
            </w:r>
            <w:r>
              <w:rPr>
                <w:rFonts w:ascii="宋体" w:hAnsi="宋体" w:cs="宋体"/>
                <w:color w:val="000000"/>
                <w:sz w:val="21"/>
                <w:szCs w:val="21"/>
              </w:rPr>
              <w:t>通过“政府采购云平台”成功上传递交的“电子加密响应文件”已按时解密的，“备份响应文件”自动失效。响应文件递交截止时间前，供应商仅提供了“备份响应文件”而未将“电子加密响应文件”成功上传至“政府采购云平台”的，响应无效。</w:t>
            </w:r>
          </w:p>
        </w:tc>
      </w:tr>
      <w:tr w14:paraId="1348912E">
        <w:tblPrEx>
          <w:tblCellMar>
            <w:top w:w="0" w:type="dxa"/>
            <w:left w:w="108" w:type="dxa"/>
            <w:bottom w:w="0" w:type="dxa"/>
            <w:right w:w="108" w:type="dxa"/>
          </w:tblCellMar>
        </w:tblPrEx>
        <w:trPr>
          <w:trHeight w:val="278"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0A606B81">
            <w:pPr>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22</w:t>
            </w:r>
          </w:p>
        </w:tc>
        <w:tc>
          <w:tcPr>
            <w:tcW w:w="1537" w:type="dxa"/>
            <w:tcBorders>
              <w:top w:val="single" w:color="000000" w:sz="8" w:space="0"/>
              <w:left w:val="single" w:color="000000" w:sz="8" w:space="0"/>
              <w:bottom w:val="single" w:color="000000" w:sz="8" w:space="0"/>
              <w:right w:val="single" w:color="000000" w:sz="8" w:space="0"/>
            </w:tcBorders>
            <w:vAlign w:val="center"/>
          </w:tcPr>
          <w:p w14:paraId="47BAD3D0">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lang w:eastAsia="zh-CN"/>
              </w:rPr>
              <w:t>响应截止</w:t>
            </w:r>
            <w:r>
              <w:rPr>
                <w:rFonts w:ascii="宋体" w:hAnsi="宋体" w:cs="宋体"/>
                <w:color w:val="000000"/>
                <w:sz w:val="21"/>
                <w:szCs w:val="21"/>
              </w:rPr>
              <w:t>时间及地点</w:t>
            </w:r>
          </w:p>
        </w:tc>
        <w:tc>
          <w:tcPr>
            <w:tcW w:w="7365" w:type="dxa"/>
            <w:tcBorders>
              <w:top w:val="single" w:color="000000" w:sz="8" w:space="0"/>
              <w:left w:val="single" w:color="000000" w:sz="8" w:space="0"/>
              <w:bottom w:val="single" w:color="000000" w:sz="8" w:space="0"/>
              <w:right w:val="single" w:color="000000" w:sz="12" w:space="0"/>
            </w:tcBorders>
            <w:vAlign w:val="center"/>
          </w:tcPr>
          <w:p w14:paraId="78B858B0">
            <w:pPr>
              <w:keepNext w:val="0"/>
              <w:keepLines w:val="0"/>
              <w:kinsoku/>
              <w:overflowPunct/>
              <w:autoSpaceDE/>
              <w:bidi w:val="0"/>
              <w:snapToGrid w:val="0"/>
              <w:spacing w:line="360" w:lineRule="auto"/>
              <w:ind w:firstLine="18"/>
              <w:textAlignment w:val="auto"/>
              <w:rPr>
                <w:rFonts w:ascii="宋体" w:hAnsi="宋体" w:eastAsia="宋体" w:cs="宋体"/>
                <w:b/>
                <w:bCs/>
                <w:color w:val="000000"/>
                <w:sz w:val="21"/>
                <w:szCs w:val="21"/>
                <w:highlight w:val="none"/>
              </w:rPr>
            </w:pPr>
            <w:r>
              <w:rPr>
                <w:rFonts w:ascii="宋体" w:hAnsi="宋体" w:cs="宋体"/>
                <w:b/>
                <w:bCs/>
                <w:color w:val="000000"/>
                <w:sz w:val="21"/>
                <w:szCs w:val="21"/>
                <w:lang w:eastAsia="zh-CN"/>
              </w:rPr>
              <w:t>响应截止</w:t>
            </w:r>
            <w:r>
              <w:rPr>
                <w:rFonts w:ascii="宋体" w:hAnsi="宋体" w:cs="宋体"/>
                <w:b/>
                <w:bCs/>
                <w:color w:val="000000"/>
                <w:sz w:val="21"/>
                <w:szCs w:val="21"/>
              </w:rPr>
              <w:t>时间：</w:t>
            </w:r>
            <w:r>
              <w:rPr>
                <w:rFonts w:ascii="宋体" w:hAnsi="宋体" w:eastAsia="宋体" w:cs="宋体"/>
                <w:b/>
                <w:bCs/>
                <w:color w:val="FF0000"/>
                <w:sz w:val="21"/>
                <w:szCs w:val="21"/>
                <w:lang w:val="en-US" w:eastAsia="zh-CN"/>
              </w:rPr>
              <w:t>2026</w:t>
            </w:r>
            <w:r>
              <w:rPr>
                <w:rFonts w:ascii="宋体" w:hAnsi="宋体" w:cs="宋体"/>
                <w:b/>
                <w:bCs/>
                <w:color w:val="FF0000"/>
                <w:sz w:val="21"/>
                <w:szCs w:val="21"/>
                <w:lang w:val="en-US" w:eastAsia="zh-CN"/>
              </w:rPr>
              <w:t>年</w:t>
            </w:r>
            <w:r>
              <w:rPr>
                <w:rFonts w:hint="eastAsia" w:ascii="宋体" w:hAnsi="宋体" w:cs="宋体"/>
                <w:b/>
                <w:bCs/>
                <w:color w:val="FF0000"/>
                <w:sz w:val="21"/>
                <w:szCs w:val="21"/>
                <w:lang w:val="en-US" w:eastAsia="zh-CN"/>
              </w:rPr>
              <w:t>11月10日</w:t>
            </w:r>
            <w:r>
              <w:rPr>
                <w:rFonts w:ascii="宋体" w:hAnsi="宋体" w:eastAsia="宋体" w:cs="宋体"/>
                <w:b/>
                <w:bCs/>
                <w:color w:val="FF0000"/>
                <w:sz w:val="21"/>
                <w:szCs w:val="21"/>
                <w:lang w:val="en-US" w:eastAsia="zh-CN"/>
              </w:rPr>
              <w:t>1</w:t>
            </w:r>
            <w:r>
              <w:rPr>
                <w:rFonts w:hint="eastAsia" w:ascii="宋体" w:hAnsi="宋体" w:cs="宋体"/>
                <w:b/>
                <w:bCs/>
                <w:color w:val="FF0000"/>
                <w:sz w:val="21"/>
                <w:szCs w:val="21"/>
                <w:lang w:val="en-US" w:eastAsia="zh-CN"/>
              </w:rPr>
              <w:t>0</w:t>
            </w:r>
            <w:r>
              <w:rPr>
                <w:rFonts w:ascii="宋体" w:hAnsi="宋体" w:cs="宋体"/>
                <w:b/>
                <w:bCs/>
                <w:color w:val="FF0000"/>
                <w:sz w:val="21"/>
                <w:szCs w:val="21"/>
              </w:rPr>
              <w:t>时</w:t>
            </w:r>
            <w:r>
              <w:rPr>
                <w:rFonts w:ascii="宋体" w:hAnsi="宋体" w:eastAsia="宋体" w:cs="宋体"/>
                <w:b/>
                <w:bCs/>
                <w:color w:val="FF0000"/>
                <w:sz w:val="21"/>
                <w:szCs w:val="21"/>
                <w:lang w:val="en-US" w:eastAsia="zh-CN"/>
              </w:rPr>
              <w:t>10</w:t>
            </w:r>
            <w:r>
              <w:rPr>
                <w:rFonts w:ascii="宋体" w:hAnsi="宋体" w:cs="宋体"/>
                <w:b/>
                <w:bCs/>
                <w:color w:val="FF0000"/>
                <w:sz w:val="21"/>
                <w:szCs w:val="21"/>
              </w:rPr>
              <w:t>分</w:t>
            </w:r>
            <w:r>
              <w:rPr>
                <w:rFonts w:ascii="宋体" w:hAnsi="宋体" w:cs="宋体"/>
                <w:b/>
                <w:bCs/>
                <w:color w:val="000000"/>
                <w:sz w:val="21"/>
                <w:szCs w:val="21"/>
              </w:rPr>
              <w:t>（北京时间）</w:t>
            </w:r>
          </w:p>
          <w:p w14:paraId="1BE71216">
            <w:pPr>
              <w:keepNext w:val="0"/>
              <w:keepLines w:val="0"/>
              <w:kinsoku/>
              <w:overflowPunct/>
              <w:autoSpaceDE/>
              <w:bidi w:val="0"/>
              <w:snapToGrid w:val="0"/>
              <w:spacing w:line="360" w:lineRule="auto"/>
              <w:ind w:firstLine="18"/>
              <w:textAlignment w:val="auto"/>
              <w:rPr>
                <w:rFonts w:ascii="宋体" w:hAnsi="宋体" w:eastAsia="宋体" w:cs="宋体"/>
                <w:color w:val="000000"/>
                <w:sz w:val="21"/>
                <w:szCs w:val="21"/>
                <w:highlight w:val="none"/>
              </w:rPr>
            </w:pPr>
            <w:r>
              <w:rPr>
                <w:rFonts w:ascii="宋体" w:hAnsi="宋体" w:cs="宋体"/>
                <w:b/>
                <w:bCs/>
                <w:color w:val="000000"/>
                <w:sz w:val="21"/>
                <w:szCs w:val="21"/>
                <w:lang w:eastAsia="zh-CN"/>
              </w:rPr>
              <w:t>响应</w:t>
            </w:r>
            <w:r>
              <w:rPr>
                <w:rFonts w:ascii="宋体" w:hAnsi="宋体" w:cs="宋体"/>
                <w:b/>
                <w:bCs/>
                <w:color w:val="000000"/>
                <w:sz w:val="21"/>
                <w:szCs w:val="21"/>
              </w:rPr>
              <w:t>地点：</w:t>
            </w:r>
            <w:r>
              <w:rPr>
                <w:rFonts w:ascii="宋体" w:hAnsi="宋体" w:cs="宋体"/>
                <w:b/>
                <w:bCs/>
                <w:color w:val="000000"/>
                <w:sz w:val="21"/>
                <w:szCs w:val="21"/>
                <w:lang w:eastAsia="zh-CN"/>
              </w:rPr>
              <w:t>新疆</w:t>
            </w:r>
            <w:r>
              <w:rPr>
                <w:rFonts w:ascii="宋体" w:hAnsi="宋体" w:cs="宋体"/>
                <w:b/>
                <w:bCs/>
                <w:color w:val="000000"/>
                <w:sz w:val="21"/>
                <w:szCs w:val="21"/>
              </w:rPr>
              <w:t>政府采购云平台（</w:t>
            </w:r>
            <w:r>
              <w:rPr>
                <w:rFonts w:ascii="宋体" w:hAnsi="宋体" w:eastAsia="宋体" w:cs="宋体"/>
                <w:b/>
                <w:bCs/>
                <w:color w:val="000000"/>
                <w:sz w:val="21"/>
                <w:szCs w:val="21"/>
              </w:rPr>
              <w:t>www.zcygov.cn</w:t>
            </w:r>
            <w:r>
              <w:rPr>
                <w:rFonts w:ascii="宋体" w:hAnsi="宋体" w:cs="宋体"/>
                <w:b/>
                <w:bCs/>
                <w:color w:val="000000"/>
                <w:sz w:val="21"/>
                <w:szCs w:val="21"/>
                <w:lang w:val="en-US" w:eastAsia="zh-CN"/>
              </w:rPr>
              <w:t>）政采云线上平台，逾期上传的响应文件将被拒收。</w:t>
            </w:r>
          </w:p>
        </w:tc>
      </w:tr>
      <w:tr w14:paraId="4ECC63C8">
        <w:tblPrEx>
          <w:tblCellMar>
            <w:top w:w="0" w:type="dxa"/>
            <w:left w:w="108" w:type="dxa"/>
            <w:bottom w:w="0" w:type="dxa"/>
            <w:right w:w="108" w:type="dxa"/>
          </w:tblCellMar>
        </w:tblPrEx>
        <w:trPr>
          <w:trHeight w:val="565"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7F6B9202">
            <w:pPr>
              <w:pStyle w:val="52"/>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23</w:t>
            </w:r>
          </w:p>
        </w:tc>
        <w:tc>
          <w:tcPr>
            <w:tcW w:w="1537" w:type="dxa"/>
            <w:tcBorders>
              <w:top w:val="single" w:color="000000" w:sz="8" w:space="0"/>
              <w:left w:val="single" w:color="000000" w:sz="8" w:space="0"/>
              <w:bottom w:val="single" w:color="000000" w:sz="8" w:space="0"/>
              <w:right w:val="single" w:color="000000" w:sz="8" w:space="0"/>
            </w:tcBorders>
            <w:vAlign w:val="center"/>
          </w:tcPr>
          <w:p w14:paraId="0BF182EE">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响应文件开启时间及地点</w:t>
            </w:r>
          </w:p>
        </w:tc>
        <w:tc>
          <w:tcPr>
            <w:tcW w:w="7365" w:type="dxa"/>
            <w:tcBorders>
              <w:top w:val="single" w:color="000000" w:sz="8" w:space="0"/>
              <w:left w:val="single" w:color="000000" w:sz="8" w:space="0"/>
              <w:bottom w:val="single" w:color="000000" w:sz="8" w:space="0"/>
              <w:right w:val="single" w:color="000000" w:sz="12" w:space="0"/>
            </w:tcBorders>
            <w:vAlign w:val="center"/>
          </w:tcPr>
          <w:p w14:paraId="3DC2623C">
            <w:pPr>
              <w:keepNext w:val="0"/>
              <w:keepLines w:val="0"/>
              <w:kinsoku/>
              <w:overflowPunct/>
              <w:autoSpaceDE/>
              <w:bidi w:val="0"/>
              <w:snapToGrid w:val="0"/>
              <w:spacing w:line="360" w:lineRule="auto"/>
              <w:ind w:firstLine="18"/>
              <w:textAlignment w:val="auto"/>
              <w:rPr>
                <w:rFonts w:ascii="宋体" w:hAnsi="宋体" w:eastAsia="宋体" w:cs="宋体"/>
                <w:b/>
                <w:bCs/>
                <w:color w:val="000000"/>
                <w:sz w:val="21"/>
                <w:szCs w:val="21"/>
                <w:highlight w:val="none"/>
              </w:rPr>
            </w:pPr>
            <w:r>
              <w:rPr>
                <w:rFonts w:ascii="宋体" w:hAnsi="宋体" w:cs="宋体"/>
                <w:b/>
                <w:bCs/>
                <w:color w:val="000000"/>
                <w:sz w:val="21"/>
                <w:szCs w:val="21"/>
              </w:rPr>
              <w:t>响应文件开启时间：同响应文件递交截止时间</w:t>
            </w:r>
          </w:p>
          <w:p w14:paraId="2A9BE9CF">
            <w:pPr>
              <w:keepNext w:val="0"/>
              <w:keepLines w:val="0"/>
              <w:kinsoku/>
              <w:overflowPunct/>
              <w:autoSpaceDE/>
              <w:bidi w:val="0"/>
              <w:snapToGrid w:val="0"/>
              <w:spacing w:line="360" w:lineRule="auto"/>
              <w:ind w:firstLine="18"/>
              <w:textAlignment w:val="auto"/>
              <w:rPr>
                <w:rFonts w:ascii="宋体" w:hAnsi="宋体" w:eastAsia="宋体" w:cs="宋体"/>
                <w:color w:val="000000"/>
                <w:sz w:val="21"/>
                <w:szCs w:val="21"/>
                <w:highlight w:val="none"/>
              </w:rPr>
            </w:pPr>
            <w:r>
              <w:rPr>
                <w:rFonts w:ascii="宋体" w:hAnsi="宋体" w:cs="宋体"/>
                <w:b/>
                <w:bCs/>
                <w:color w:val="000000"/>
                <w:sz w:val="21"/>
                <w:szCs w:val="21"/>
              </w:rPr>
              <w:t>响应文件开启地点：在</w:t>
            </w:r>
            <w:r>
              <w:rPr>
                <w:rFonts w:ascii="宋体" w:hAnsi="宋体" w:cs="宋体"/>
                <w:b/>
                <w:bCs/>
                <w:color w:val="000000"/>
                <w:sz w:val="21"/>
                <w:szCs w:val="21"/>
                <w:lang w:eastAsia="zh-CN"/>
              </w:rPr>
              <w:t>新疆</w:t>
            </w:r>
            <w:r>
              <w:rPr>
                <w:rFonts w:ascii="宋体" w:hAnsi="宋体" w:cs="宋体"/>
                <w:b/>
                <w:bCs/>
                <w:color w:val="000000"/>
                <w:sz w:val="21"/>
                <w:szCs w:val="21"/>
              </w:rPr>
              <w:t>政府采购云平台（</w:t>
            </w:r>
            <w:r>
              <w:rPr>
                <w:rFonts w:ascii="宋体" w:hAnsi="宋体" w:eastAsia="宋体" w:cs="宋体"/>
                <w:b/>
                <w:bCs/>
                <w:color w:val="000000"/>
                <w:sz w:val="21"/>
                <w:szCs w:val="21"/>
              </w:rPr>
              <w:t>www.zcygov.cn</w:t>
            </w:r>
            <w:r>
              <w:rPr>
                <w:rFonts w:ascii="宋体" w:hAnsi="宋体" w:cs="宋体"/>
                <w:b/>
                <w:bCs/>
                <w:color w:val="000000"/>
                <w:sz w:val="21"/>
                <w:szCs w:val="21"/>
              </w:rPr>
              <w:t>）上开启响应文件</w:t>
            </w:r>
          </w:p>
        </w:tc>
      </w:tr>
      <w:tr w14:paraId="0A044E01">
        <w:tblPrEx>
          <w:tblCellMar>
            <w:top w:w="0" w:type="dxa"/>
            <w:left w:w="108" w:type="dxa"/>
            <w:bottom w:w="0" w:type="dxa"/>
            <w:right w:w="108" w:type="dxa"/>
          </w:tblCellMar>
        </w:tblPrEx>
        <w:trPr>
          <w:trHeight w:val="603"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C01BD20">
            <w:pPr>
              <w:pStyle w:val="52"/>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24</w:t>
            </w:r>
          </w:p>
        </w:tc>
        <w:tc>
          <w:tcPr>
            <w:tcW w:w="1537" w:type="dxa"/>
            <w:tcBorders>
              <w:top w:val="single" w:color="000000" w:sz="8" w:space="0"/>
              <w:left w:val="single" w:color="000000" w:sz="8" w:space="0"/>
              <w:bottom w:val="single" w:color="000000" w:sz="8" w:space="0"/>
              <w:right w:val="single" w:color="000000" w:sz="8" w:space="0"/>
            </w:tcBorders>
            <w:vAlign w:val="center"/>
          </w:tcPr>
          <w:p w14:paraId="79CB0375">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磋商小组的组建</w:t>
            </w:r>
          </w:p>
        </w:tc>
        <w:tc>
          <w:tcPr>
            <w:tcW w:w="7365" w:type="dxa"/>
            <w:tcBorders>
              <w:top w:val="single" w:color="000000" w:sz="8" w:space="0"/>
              <w:left w:val="single" w:color="000000" w:sz="8" w:space="0"/>
              <w:bottom w:val="single" w:color="000000" w:sz="8" w:space="0"/>
              <w:right w:val="single" w:color="000000" w:sz="12" w:space="0"/>
            </w:tcBorders>
          </w:tcPr>
          <w:p w14:paraId="438972B8">
            <w:pPr>
              <w:pStyle w:val="52"/>
              <w:keepNext w:val="0"/>
              <w:keepLines w:val="0"/>
              <w:kinsoku/>
              <w:overflowPunct/>
              <w:autoSpaceDE/>
              <w:bidi w:val="0"/>
              <w:snapToGrid w:val="0"/>
              <w:spacing w:line="360" w:lineRule="auto"/>
              <w:textAlignment w:val="auto"/>
              <w:rPr>
                <w:b w:val="0"/>
                <w:bCs/>
                <w:color w:val="000000"/>
                <w:sz w:val="21"/>
                <w:szCs w:val="21"/>
                <w:highlight w:val="none"/>
                <w:lang w:val="en-US" w:eastAsia="zh-CN"/>
              </w:rPr>
            </w:pPr>
            <w:r>
              <w:rPr>
                <w:b w:val="0"/>
                <w:bCs/>
                <w:color w:val="000000"/>
                <w:sz w:val="21"/>
                <w:szCs w:val="21"/>
                <w:lang w:val="en-US" w:eastAsia="zh-CN"/>
              </w:rPr>
              <w:t>磋商小组由采购人依法组建；</w:t>
            </w:r>
          </w:p>
          <w:p w14:paraId="14B3671C">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b w:val="0"/>
                <w:bCs/>
                <w:color w:val="000000"/>
                <w:sz w:val="21"/>
                <w:szCs w:val="21"/>
                <w:lang w:val="en-US" w:eastAsia="zh-CN"/>
              </w:rPr>
              <w:t>评审专家确定方式：专家磋商小组成员由采购人（采购代理机构）在响应文件开启前48小时内从政采云专家库中随机抽取。</w:t>
            </w:r>
          </w:p>
        </w:tc>
      </w:tr>
      <w:tr w14:paraId="1C46F13E">
        <w:tblPrEx>
          <w:tblCellMar>
            <w:top w:w="0" w:type="dxa"/>
            <w:left w:w="108" w:type="dxa"/>
            <w:bottom w:w="0" w:type="dxa"/>
            <w:right w:w="108" w:type="dxa"/>
          </w:tblCellMar>
        </w:tblPrEx>
        <w:trPr>
          <w:trHeight w:val="47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D95510D">
            <w:pPr>
              <w:pStyle w:val="52"/>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25</w:t>
            </w:r>
          </w:p>
        </w:tc>
        <w:tc>
          <w:tcPr>
            <w:tcW w:w="1537" w:type="dxa"/>
            <w:tcBorders>
              <w:top w:val="single" w:color="000000" w:sz="8" w:space="0"/>
              <w:left w:val="single" w:color="000000" w:sz="8" w:space="0"/>
              <w:bottom w:val="single" w:color="000000" w:sz="8" w:space="0"/>
              <w:right w:val="single" w:color="000000" w:sz="8" w:space="0"/>
            </w:tcBorders>
            <w:vAlign w:val="center"/>
          </w:tcPr>
          <w:p w14:paraId="62B1DD64">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是否授权磋商小组确定成交候选人</w:t>
            </w:r>
          </w:p>
        </w:tc>
        <w:tc>
          <w:tcPr>
            <w:tcW w:w="7365" w:type="dxa"/>
            <w:tcBorders>
              <w:top w:val="single" w:color="000000" w:sz="8" w:space="0"/>
              <w:left w:val="single" w:color="000000" w:sz="8" w:space="0"/>
              <w:bottom w:val="single" w:color="000000" w:sz="8" w:space="0"/>
              <w:right w:val="single" w:color="000000" w:sz="12" w:space="0"/>
            </w:tcBorders>
            <w:vAlign w:val="center"/>
          </w:tcPr>
          <w:p w14:paraId="638A7531">
            <w:pPr>
              <w:pStyle w:val="52"/>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是，磋商小组推荐</w:t>
            </w:r>
            <w:r>
              <w:rPr>
                <w:rFonts w:eastAsia="宋体" w:cs="宋体"/>
                <w:color w:val="000000"/>
                <w:sz w:val="21"/>
                <w:szCs w:val="21"/>
                <w:lang w:val="en-US" w:eastAsia="zh-CN"/>
              </w:rPr>
              <w:t>3</w:t>
            </w:r>
            <w:r>
              <w:rPr>
                <w:rFonts w:ascii="宋体" w:hAnsi="宋体" w:cs="宋体"/>
                <w:color w:val="000000"/>
                <w:sz w:val="21"/>
                <w:szCs w:val="21"/>
                <w:lang w:val="en-US" w:eastAsia="zh-CN"/>
              </w:rPr>
              <w:t>名成交候选人。</w:t>
            </w:r>
          </w:p>
        </w:tc>
      </w:tr>
      <w:tr w14:paraId="4F194286">
        <w:tblPrEx>
          <w:tblCellMar>
            <w:top w:w="0" w:type="dxa"/>
            <w:left w:w="108" w:type="dxa"/>
            <w:bottom w:w="0" w:type="dxa"/>
            <w:right w:w="108" w:type="dxa"/>
          </w:tblCellMar>
        </w:tblPrEx>
        <w:trPr>
          <w:trHeight w:val="47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B0A87A9">
            <w:pPr>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26</w:t>
            </w:r>
          </w:p>
        </w:tc>
        <w:tc>
          <w:tcPr>
            <w:tcW w:w="1537" w:type="dxa"/>
            <w:tcBorders>
              <w:top w:val="single" w:color="000000" w:sz="8" w:space="0"/>
              <w:left w:val="single" w:color="000000" w:sz="8" w:space="0"/>
              <w:bottom w:val="single" w:color="000000" w:sz="8" w:space="0"/>
              <w:right w:val="single" w:color="000000" w:sz="8" w:space="0"/>
            </w:tcBorders>
            <w:vAlign w:val="center"/>
          </w:tcPr>
          <w:p w14:paraId="344C69D4">
            <w:pPr>
              <w:pStyle w:val="52"/>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成交候选人公示媒介</w:t>
            </w:r>
          </w:p>
        </w:tc>
        <w:tc>
          <w:tcPr>
            <w:tcW w:w="7365" w:type="dxa"/>
            <w:tcBorders>
              <w:top w:val="single" w:color="000000" w:sz="8" w:space="0"/>
              <w:left w:val="single" w:color="000000" w:sz="8" w:space="0"/>
              <w:bottom w:val="single" w:color="000000" w:sz="8" w:space="0"/>
              <w:right w:val="single" w:color="000000" w:sz="12" w:space="0"/>
            </w:tcBorders>
            <w:vAlign w:val="center"/>
          </w:tcPr>
          <w:p w14:paraId="51461EE3">
            <w:pPr>
              <w:pStyle w:val="52"/>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Times New Roman" w:hAnsi="Times New Roman" w:cs="Times New Roman"/>
                <w:b w:val="0"/>
                <w:bCs/>
                <w:color w:val="000000"/>
                <w:kern w:val="2"/>
                <w:sz w:val="21"/>
                <w:szCs w:val="21"/>
                <w:u w:val="none"/>
                <w:lang w:val="en-US" w:eastAsia="zh-CN" w:bidi="ar-SA"/>
              </w:rPr>
              <w:t>新疆政府采购网、克州公共资源交易网，公示期为一个工作日。</w:t>
            </w:r>
          </w:p>
        </w:tc>
      </w:tr>
      <w:tr w14:paraId="576488AB">
        <w:tblPrEx>
          <w:tblCellMar>
            <w:top w:w="0" w:type="dxa"/>
            <w:left w:w="108" w:type="dxa"/>
            <w:bottom w:w="0" w:type="dxa"/>
            <w:right w:w="108" w:type="dxa"/>
          </w:tblCellMar>
        </w:tblPrEx>
        <w:trPr>
          <w:trHeight w:val="145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5694866C">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27</w:t>
            </w:r>
          </w:p>
        </w:tc>
        <w:tc>
          <w:tcPr>
            <w:tcW w:w="1537" w:type="dxa"/>
            <w:tcBorders>
              <w:top w:val="single" w:color="000000" w:sz="8" w:space="0"/>
              <w:left w:val="single" w:color="000000" w:sz="8" w:space="0"/>
              <w:bottom w:val="single" w:color="000000" w:sz="8" w:space="0"/>
              <w:right w:val="single" w:color="000000" w:sz="8" w:space="0"/>
            </w:tcBorders>
            <w:vAlign w:val="center"/>
          </w:tcPr>
          <w:p w14:paraId="041AC58F">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履约担保</w:t>
            </w:r>
          </w:p>
        </w:tc>
        <w:tc>
          <w:tcPr>
            <w:tcW w:w="7365" w:type="dxa"/>
            <w:tcBorders>
              <w:top w:val="single" w:color="000000" w:sz="8" w:space="0"/>
              <w:left w:val="single" w:color="000000" w:sz="8" w:space="0"/>
              <w:bottom w:val="single" w:color="000000" w:sz="8" w:space="0"/>
              <w:right w:val="single" w:color="000000" w:sz="12" w:space="0"/>
            </w:tcBorders>
          </w:tcPr>
          <w:p w14:paraId="43D3C678">
            <w:pPr>
              <w:keepNext w:val="0"/>
              <w:keepLines w:val="0"/>
              <w:numPr>
                <w:ilvl w:val="0"/>
                <w:numId w:val="5"/>
              </w:numPr>
              <w:kinsoku/>
              <w:overflowPunct/>
              <w:autoSpaceDE/>
              <w:bidi w:val="0"/>
              <w:snapToGrid w:val="0"/>
              <w:spacing w:line="360" w:lineRule="auto"/>
              <w:textAlignment w:val="auto"/>
              <w:rPr>
                <w:b w:val="0"/>
                <w:bCs/>
                <w:lang w:val="en-US" w:eastAsia="zh-CN"/>
              </w:rPr>
            </w:pPr>
            <w:r>
              <w:rPr>
                <w:b w:val="0"/>
                <w:bCs/>
                <w:lang w:val="en-US" w:eastAsia="zh-CN"/>
              </w:rPr>
              <w:t>成交供应商在</w:t>
            </w:r>
            <w:r>
              <w:rPr>
                <w:b w:val="0"/>
                <w:bCs/>
                <w:color w:val="FF0000"/>
                <w:lang w:val="en-US" w:eastAsia="zh-CN"/>
              </w:rPr>
              <w:t>收</w:t>
            </w:r>
            <w:r>
              <w:rPr>
                <w:rFonts w:ascii="Times New Roman" w:hAnsi="Times New Roman" w:cs="Times New Roman"/>
                <w:b w:val="0"/>
                <w:bCs/>
                <w:color w:val="FF0000"/>
                <w:lang w:val="en-US" w:eastAsia="zh-CN"/>
              </w:rPr>
              <w:t>到成交通知书</w:t>
            </w:r>
            <w:r>
              <w:rPr>
                <w:rFonts w:eastAsia="宋体" w:cs="Times New Roman"/>
                <w:b w:val="0"/>
                <w:bCs/>
                <w:color w:val="FF0000"/>
                <w:lang w:val="en-US" w:eastAsia="zh-CN"/>
              </w:rPr>
              <w:t>7</w:t>
            </w:r>
            <w:r>
              <w:rPr>
                <w:rFonts w:ascii="Times New Roman" w:hAnsi="Times New Roman" w:cs="Times New Roman"/>
                <w:b w:val="0"/>
                <w:bCs/>
                <w:color w:val="FF0000"/>
                <w:lang w:val="en-US" w:eastAsia="zh-CN"/>
              </w:rPr>
              <w:t>日内向采购人交纳成交价</w:t>
            </w:r>
            <w:r>
              <w:rPr>
                <w:rFonts w:eastAsia="宋体" w:cs="Times New Roman"/>
                <w:b w:val="0"/>
                <w:bCs/>
                <w:color w:val="FF0000"/>
                <w:lang w:val="en-US" w:eastAsia="zh-CN"/>
              </w:rPr>
              <w:t>5</w:t>
            </w:r>
            <w:r>
              <w:rPr>
                <w:b w:val="0"/>
                <w:bCs/>
                <w:color w:val="FF0000"/>
                <w:lang w:val="en-US" w:eastAsia="zh-CN"/>
              </w:rPr>
              <w:t>%的履约保证金</w:t>
            </w:r>
            <w:r>
              <w:rPr>
                <w:b w:val="0"/>
                <w:bCs/>
                <w:lang w:val="en-US" w:eastAsia="zh-CN"/>
              </w:rPr>
              <w:t>（若以电汇、银行转账方式提交的，必须转到采购人的指定账户），如果成交供应商在供货期内没有涉及采购人的应付而未付金额或违约行为，采购人在项目验收合格后或提前终止合同后全额无息退还履约保证金。</w:t>
            </w:r>
          </w:p>
          <w:p w14:paraId="707D233F">
            <w:pPr>
              <w:spacing w:line="360" w:lineRule="auto"/>
              <w:jc w:val="left"/>
              <w:rPr>
                <w:rFonts w:ascii="宋体" w:hAnsi="宋体"/>
                <w:b w:val="0"/>
                <w:bCs/>
                <w:color w:val="000000"/>
                <w:szCs w:val="21"/>
                <w:highlight w:val="none"/>
                <w:lang w:val="en-US" w:eastAsia="zh-CN"/>
              </w:rPr>
            </w:pPr>
            <w:r>
              <w:rPr>
                <w:rFonts w:ascii="宋体" w:hAnsi="宋体" w:eastAsia="宋体" w:cs="宋体"/>
                <w:b w:val="0"/>
                <w:bCs/>
                <w:color w:val="000000"/>
                <w:kern w:val="0"/>
                <w:sz w:val="21"/>
                <w:szCs w:val="21"/>
                <w:u w:val="none" w:color="000000"/>
                <w:lang w:val="en-US" w:eastAsia="zh-CN" w:bidi="ar-SA"/>
              </w:rPr>
              <w:t>2</w:t>
            </w:r>
            <w:r>
              <w:rPr>
                <w:rFonts w:ascii="宋体" w:hAnsi="宋体" w:cs="宋体"/>
                <w:b w:val="0"/>
                <w:bCs/>
                <w:color w:val="000000"/>
                <w:kern w:val="0"/>
                <w:sz w:val="21"/>
                <w:szCs w:val="21"/>
                <w:u w:val="none" w:color="000000"/>
                <w:lang w:val="en-US" w:eastAsia="zh-CN" w:bidi="ar-SA"/>
              </w:rPr>
              <w:t>、</w:t>
            </w:r>
            <w:r>
              <w:rPr>
                <w:rFonts w:ascii="宋体" w:hAnsi="宋体"/>
                <w:b w:val="0"/>
                <w:bCs/>
                <w:color w:val="000000"/>
                <w:szCs w:val="21"/>
                <w:lang w:val="en-US" w:eastAsia="zh-CN"/>
              </w:rPr>
              <w:t>签订合同后，如</w:t>
            </w:r>
            <w:r>
              <w:rPr>
                <w:b w:val="0"/>
                <w:bCs/>
                <w:lang w:val="en-US" w:eastAsia="zh-CN"/>
              </w:rPr>
              <w:t>成交</w:t>
            </w:r>
            <w:r>
              <w:rPr>
                <w:rFonts w:ascii="宋体" w:hAnsi="宋体"/>
                <w:b w:val="0"/>
                <w:bCs/>
                <w:color w:val="000000"/>
                <w:szCs w:val="21"/>
                <w:lang w:val="en-US" w:eastAsia="zh-CN"/>
              </w:rPr>
              <w:t>供应商不按合同约定履约的，履约保证金不予退还，履约保证金不足以赔偿损失的，按实际损失赔偿。</w:t>
            </w:r>
          </w:p>
          <w:p w14:paraId="3C3585C7">
            <w:pPr>
              <w:spacing w:line="360" w:lineRule="auto"/>
              <w:jc w:val="left"/>
              <w:rPr>
                <w:rFonts w:ascii="宋体" w:hAnsi="宋体"/>
                <w:b w:val="0"/>
                <w:bCs/>
                <w:color w:val="000000"/>
                <w:szCs w:val="21"/>
                <w:highlight w:val="none"/>
                <w:lang w:val="en-US" w:eastAsia="zh-CN"/>
              </w:rPr>
            </w:pPr>
            <w:r>
              <w:rPr>
                <w:rFonts w:ascii="宋体" w:hAnsi="宋体"/>
                <w:b w:val="0"/>
                <w:bCs/>
                <w:color w:val="000000"/>
                <w:szCs w:val="21"/>
                <w:lang w:val="en-US" w:eastAsia="zh-CN"/>
              </w:rPr>
              <w:t>3、如果</w:t>
            </w:r>
            <w:r>
              <w:rPr>
                <w:b w:val="0"/>
                <w:bCs/>
                <w:lang w:val="en-US" w:eastAsia="zh-CN"/>
              </w:rPr>
              <w:t>成交</w:t>
            </w:r>
            <w:r>
              <w:rPr>
                <w:rFonts w:ascii="宋体" w:hAnsi="宋体"/>
                <w:b w:val="0"/>
                <w:bCs/>
                <w:color w:val="000000"/>
                <w:szCs w:val="21"/>
                <w:lang w:val="en-US" w:eastAsia="zh-CN"/>
              </w:rPr>
              <w:t>供应商在供货期内没有涉及采购人的应付而未付金额或违约行为，采购人在项目验收合格后或提前终止合同后全额无息退还履约保证金。</w:t>
            </w:r>
          </w:p>
          <w:p w14:paraId="3238A535">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b w:val="0"/>
                <w:bCs/>
                <w:color w:val="000000"/>
                <w:szCs w:val="21"/>
                <w:lang w:val="en-US" w:eastAsia="zh-CN"/>
              </w:rPr>
              <w:t>4、履约保证金以保函形式提交的，保函格式须严格按照采购人要求填写。</w:t>
            </w:r>
          </w:p>
        </w:tc>
      </w:tr>
      <w:tr w14:paraId="1BD0455C">
        <w:tblPrEx>
          <w:tblCellMar>
            <w:top w:w="0" w:type="dxa"/>
            <w:left w:w="108" w:type="dxa"/>
            <w:bottom w:w="0" w:type="dxa"/>
            <w:right w:w="108" w:type="dxa"/>
          </w:tblCellMar>
        </w:tblPrEx>
        <w:trPr>
          <w:trHeight w:val="965"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538AB508">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28</w:t>
            </w:r>
          </w:p>
        </w:tc>
        <w:tc>
          <w:tcPr>
            <w:tcW w:w="1537" w:type="dxa"/>
            <w:tcBorders>
              <w:top w:val="single" w:color="000000" w:sz="8" w:space="0"/>
              <w:left w:val="single" w:color="000000" w:sz="8" w:space="0"/>
              <w:bottom w:val="single" w:color="000000" w:sz="8" w:space="0"/>
              <w:right w:val="single" w:color="000000" w:sz="8" w:space="0"/>
            </w:tcBorders>
            <w:vAlign w:val="center"/>
          </w:tcPr>
          <w:p w14:paraId="3FE0A32A">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eastAsia="zh-CN"/>
              </w:rPr>
            </w:pPr>
            <w:r>
              <w:rPr>
                <w:rFonts w:ascii="宋体" w:hAnsi="宋体" w:cs="宋体"/>
                <w:color w:val="000000"/>
                <w:sz w:val="21"/>
                <w:szCs w:val="21"/>
                <w:lang w:eastAsia="zh-CN"/>
              </w:rPr>
              <w:t>磋商文件</w:t>
            </w:r>
            <w:r>
              <w:rPr>
                <w:rFonts w:ascii="宋体" w:hAnsi="宋体" w:cs="宋体"/>
                <w:color w:val="000000"/>
                <w:sz w:val="21"/>
                <w:szCs w:val="21"/>
              </w:rPr>
              <w:t>领取</w:t>
            </w:r>
          </w:p>
        </w:tc>
        <w:tc>
          <w:tcPr>
            <w:tcW w:w="7365" w:type="dxa"/>
            <w:tcBorders>
              <w:top w:val="single" w:color="000000" w:sz="8" w:space="0"/>
              <w:left w:val="single" w:color="000000" w:sz="8" w:space="0"/>
              <w:bottom w:val="single" w:color="000000" w:sz="8" w:space="0"/>
              <w:right w:val="single" w:color="000000" w:sz="12" w:space="0"/>
            </w:tcBorders>
          </w:tcPr>
          <w:p w14:paraId="250AF282">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时间：</w:t>
            </w:r>
            <w:r>
              <w:rPr>
                <w:rFonts w:ascii="宋体" w:hAnsi="宋体" w:eastAsia="宋体" w:cs="宋体"/>
                <w:color w:val="FF0000"/>
                <w:sz w:val="21"/>
                <w:szCs w:val="21"/>
                <w:lang w:eastAsia="zh-CN"/>
              </w:rPr>
              <w:t>202</w:t>
            </w:r>
            <w:r>
              <w:rPr>
                <w:rFonts w:ascii="宋体" w:hAnsi="宋体" w:eastAsia="宋体" w:cs="宋体"/>
                <w:color w:val="FF0000"/>
                <w:sz w:val="21"/>
                <w:szCs w:val="21"/>
                <w:lang w:val="en-US" w:eastAsia="zh-CN"/>
              </w:rPr>
              <w:t>6</w:t>
            </w:r>
            <w:r>
              <w:rPr>
                <w:rFonts w:ascii="宋体" w:hAnsi="宋体" w:cs="宋体"/>
                <w:color w:val="FF0000"/>
                <w:sz w:val="21"/>
                <w:szCs w:val="21"/>
                <w:lang w:eastAsia="zh-CN"/>
              </w:rPr>
              <w:t>年</w:t>
            </w:r>
            <w:r>
              <w:rPr>
                <w:rFonts w:hint="eastAsia" w:ascii="宋体" w:hAnsi="宋体" w:cs="宋体"/>
                <w:color w:val="FF0000"/>
                <w:sz w:val="21"/>
                <w:szCs w:val="21"/>
                <w:lang w:val="en-US" w:eastAsia="zh-CN"/>
              </w:rPr>
              <w:t>10</w:t>
            </w:r>
            <w:r>
              <w:rPr>
                <w:rFonts w:ascii="宋体" w:hAnsi="宋体" w:cs="宋体"/>
                <w:color w:val="FF0000"/>
                <w:sz w:val="21"/>
                <w:szCs w:val="21"/>
                <w:lang w:eastAsia="zh-CN"/>
              </w:rPr>
              <w:t>月</w:t>
            </w:r>
            <w:r>
              <w:rPr>
                <w:rFonts w:hint="eastAsia" w:ascii="宋体" w:hAnsi="宋体" w:cs="宋体"/>
                <w:color w:val="FF0000"/>
                <w:sz w:val="21"/>
                <w:szCs w:val="21"/>
                <w:lang w:val="en-US" w:eastAsia="zh-CN"/>
              </w:rPr>
              <w:t>31</w:t>
            </w:r>
            <w:r>
              <w:rPr>
                <w:rFonts w:ascii="宋体" w:hAnsi="宋体" w:cs="宋体"/>
                <w:color w:val="FF0000"/>
                <w:sz w:val="21"/>
                <w:szCs w:val="21"/>
              </w:rPr>
              <w:t>日</w:t>
            </w:r>
            <w:r>
              <w:rPr>
                <w:rFonts w:ascii="宋体" w:hAnsi="宋体" w:cs="宋体"/>
                <w:color w:val="000000"/>
                <w:sz w:val="21"/>
                <w:szCs w:val="21"/>
              </w:rPr>
              <w:t>至</w:t>
            </w:r>
            <w:r>
              <w:rPr>
                <w:rFonts w:ascii="宋体" w:hAnsi="宋体" w:eastAsia="宋体" w:cs="宋体"/>
                <w:color w:val="FF0000"/>
                <w:sz w:val="21"/>
                <w:szCs w:val="21"/>
              </w:rPr>
              <w:t>202</w:t>
            </w:r>
            <w:r>
              <w:rPr>
                <w:rFonts w:ascii="宋体" w:hAnsi="宋体" w:eastAsia="宋体" w:cs="宋体"/>
                <w:color w:val="FF0000"/>
                <w:sz w:val="21"/>
                <w:szCs w:val="21"/>
                <w:lang w:val="en-US" w:eastAsia="zh-CN"/>
              </w:rPr>
              <w:t>6</w:t>
            </w:r>
            <w:r>
              <w:rPr>
                <w:rFonts w:ascii="宋体" w:hAnsi="宋体" w:cs="宋体"/>
                <w:color w:val="FF0000"/>
                <w:sz w:val="21"/>
                <w:szCs w:val="21"/>
              </w:rPr>
              <w:t>年</w:t>
            </w:r>
            <w:r>
              <w:rPr>
                <w:rFonts w:hint="eastAsia" w:ascii="宋体" w:hAnsi="宋体" w:cs="宋体"/>
                <w:color w:val="FF0000"/>
                <w:sz w:val="21"/>
                <w:szCs w:val="21"/>
                <w:lang w:val="en-US" w:eastAsia="zh-CN"/>
              </w:rPr>
              <w:t>11</w:t>
            </w:r>
            <w:r>
              <w:rPr>
                <w:rFonts w:ascii="宋体" w:hAnsi="宋体" w:cs="宋体"/>
                <w:color w:val="FF0000"/>
                <w:sz w:val="21"/>
                <w:szCs w:val="21"/>
              </w:rPr>
              <w:t>月</w:t>
            </w:r>
            <w:r>
              <w:rPr>
                <w:rFonts w:hint="eastAsia" w:ascii="宋体" w:hAnsi="宋体" w:cs="宋体"/>
                <w:color w:val="FF0000"/>
                <w:sz w:val="21"/>
                <w:szCs w:val="21"/>
                <w:lang w:val="en-US" w:eastAsia="zh-CN"/>
              </w:rPr>
              <w:t>06</w:t>
            </w:r>
            <w:bookmarkStart w:id="196" w:name="_GoBack"/>
            <w:bookmarkEnd w:id="196"/>
            <w:r>
              <w:rPr>
                <w:rFonts w:ascii="宋体" w:hAnsi="宋体" w:cs="宋体"/>
                <w:color w:val="FF0000"/>
                <w:sz w:val="21"/>
                <w:szCs w:val="21"/>
              </w:rPr>
              <w:t>日</w:t>
            </w:r>
            <w:r>
              <w:rPr>
                <w:rFonts w:ascii="宋体" w:hAnsi="宋体" w:cs="宋体"/>
                <w:color w:val="000000"/>
                <w:sz w:val="21"/>
                <w:szCs w:val="21"/>
              </w:rPr>
              <w:t>，每天上午</w:t>
            </w:r>
            <w:r>
              <w:rPr>
                <w:rFonts w:ascii="宋体" w:hAnsi="宋体" w:eastAsia="宋体" w:cs="宋体"/>
                <w:color w:val="000000"/>
                <w:sz w:val="21"/>
                <w:szCs w:val="21"/>
              </w:rPr>
              <w:t>10:00</w:t>
            </w:r>
            <w:r>
              <w:rPr>
                <w:rFonts w:ascii="宋体" w:hAnsi="宋体" w:cs="宋体"/>
                <w:color w:val="000000"/>
                <w:sz w:val="21"/>
                <w:szCs w:val="21"/>
              </w:rPr>
              <w:t>至</w:t>
            </w:r>
            <w:r>
              <w:rPr>
                <w:rFonts w:ascii="宋体" w:hAnsi="宋体" w:eastAsia="宋体" w:cs="宋体"/>
                <w:color w:val="000000"/>
                <w:sz w:val="21"/>
                <w:szCs w:val="21"/>
                <w:lang w:val="en-US" w:eastAsia="zh-CN"/>
              </w:rPr>
              <w:t>14</w:t>
            </w:r>
            <w:r>
              <w:rPr>
                <w:rFonts w:ascii="宋体" w:hAnsi="宋体" w:eastAsia="宋体" w:cs="宋体"/>
                <w:color w:val="000000"/>
                <w:sz w:val="21"/>
                <w:szCs w:val="21"/>
              </w:rPr>
              <w:t>:</w:t>
            </w:r>
            <w:r>
              <w:rPr>
                <w:rFonts w:ascii="宋体" w:hAnsi="宋体" w:eastAsia="宋体" w:cs="宋体"/>
                <w:color w:val="000000"/>
                <w:sz w:val="21"/>
                <w:szCs w:val="21"/>
                <w:lang w:val="en-US" w:eastAsia="zh-CN"/>
              </w:rPr>
              <w:t>00</w:t>
            </w:r>
            <w:r>
              <w:rPr>
                <w:rFonts w:ascii="宋体" w:hAnsi="宋体" w:cs="宋体"/>
                <w:color w:val="000000"/>
                <w:sz w:val="21"/>
                <w:szCs w:val="21"/>
              </w:rPr>
              <w:t>，下午</w:t>
            </w:r>
            <w:r>
              <w:rPr>
                <w:rFonts w:ascii="宋体" w:hAnsi="宋体" w:eastAsia="宋体" w:cs="宋体"/>
                <w:color w:val="000000"/>
                <w:sz w:val="21"/>
                <w:szCs w:val="21"/>
              </w:rPr>
              <w:t>16:</w:t>
            </w:r>
            <w:r>
              <w:rPr>
                <w:rFonts w:ascii="宋体" w:hAnsi="宋体" w:eastAsia="宋体" w:cs="宋体"/>
                <w:color w:val="000000"/>
                <w:sz w:val="21"/>
                <w:szCs w:val="21"/>
                <w:lang w:val="en-US" w:eastAsia="zh-CN"/>
              </w:rPr>
              <w:t>00</w:t>
            </w:r>
            <w:r>
              <w:rPr>
                <w:rFonts w:ascii="宋体" w:hAnsi="宋体" w:cs="宋体"/>
                <w:color w:val="000000"/>
                <w:sz w:val="21"/>
                <w:szCs w:val="21"/>
              </w:rPr>
              <w:t>至</w:t>
            </w:r>
            <w:r>
              <w:rPr>
                <w:rFonts w:ascii="宋体" w:hAnsi="宋体" w:eastAsia="宋体" w:cs="宋体"/>
                <w:color w:val="000000"/>
                <w:sz w:val="21"/>
                <w:szCs w:val="21"/>
                <w:lang w:val="en-US" w:eastAsia="zh-CN"/>
              </w:rPr>
              <w:t>20</w:t>
            </w:r>
            <w:r>
              <w:rPr>
                <w:rFonts w:ascii="宋体" w:hAnsi="宋体" w:cs="宋体"/>
                <w:color w:val="000000"/>
                <w:sz w:val="21"/>
                <w:szCs w:val="21"/>
              </w:rPr>
              <w:t>：</w:t>
            </w:r>
            <w:r>
              <w:rPr>
                <w:rFonts w:ascii="宋体" w:hAnsi="宋体" w:eastAsia="宋体" w:cs="宋体"/>
                <w:color w:val="000000"/>
                <w:sz w:val="21"/>
                <w:szCs w:val="21"/>
                <w:lang w:val="en-US" w:eastAsia="zh-CN"/>
              </w:rPr>
              <w:t>00</w:t>
            </w:r>
            <w:r>
              <w:rPr>
                <w:rFonts w:ascii="宋体" w:hAnsi="宋体" w:cs="宋体"/>
                <w:color w:val="000000"/>
                <w:sz w:val="21"/>
                <w:szCs w:val="21"/>
              </w:rPr>
              <w:t>（北京时间）</w:t>
            </w:r>
          </w:p>
          <w:p w14:paraId="42614F0C">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地点：供应商登陆政采云平台</w:t>
            </w:r>
            <w:r>
              <w:rPr>
                <w:rFonts w:ascii="宋体" w:hAnsi="宋体" w:eastAsia="宋体" w:cs="宋体"/>
                <w:color w:val="000000"/>
                <w:sz w:val="21"/>
                <w:szCs w:val="21"/>
              </w:rPr>
              <w:t>http://www.zcygov.cn/</w:t>
            </w:r>
            <w:r>
              <w:rPr>
                <w:rFonts w:ascii="宋体" w:hAnsi="宋体" w:cs="宋体"/>
                <w:color w:val="000000"/>
                <w:sz w:val="21"/>
                <w:szCs w:val="21"/>
              </w:rPr>
              <w:t>，在线申请获取</w:t>
            </w:r>
            <w:r>
              <w:rPr>
                <w:rFonts w:ascii="宋体" w:hAnsi="宋体" w:cs="宋体"/>
                <w:color w:val="000000"/>
                <w:sz w:val="21"/>
                <w:szCs w:val="21"/>
                <w:lang w:eastAsia="zh-CN"/>
              </w:rPr>
              <w:t>磋商文件</w:t>
            </w:r>
            <w:r>
              <w:rPr>
                <w:rFonts w:ascii="宋体" w:hAnsi="宋体" w:cs="宋体"/>
                <w:color w:val="000000"/>
                <w:sz w:val="21"/>
                <w:szCs w:val="21"/>
              </w:rPr>
              <w:t>（登录政府采购云平台 → 项目采购 → 获取</w:t>
            </w:r>
            <w:r>
              <w:rPr>
                <w:rFonts w:ascii="宋体" w:hAnsi="宋体" w:cs="宋体"/>
                <w:color w:val="000000"/>
                <w:sz w:val="21"/>
                <w:szCs w:val="21"/>
                <w:lang w:eastAsia="zh-CN"/>
              </w:rPr>
              <w:t>磋商文件</w:t>
            </w:r>
            <w:r>
              <w:rPr>
                <w:rFonts w:ascii="宋体" w:hAnsi="宋体" w:cs="宋体"/>
                <w:color w:val="000000"/>
                <w:sz w:val="21"/>
                <w:szCs w:val="21"/>
              </w:rPr>
              <w:t>→申请，审核通过后可下载</w:t>
            </w:r>
            <w:r>
              <w:rPr>
                <w:rFonts w:ascii="宋体" w:hAnsi="宋体" w:cs="宋体"/>
                <w:color w:val="000000"/>
                <w:sz w:val="21"/>
                <w:szCs w:val="21"/>
                <w:lang w:eastAsia="zh-CN"/>
              </w:rPr>
              <w:t>磋商文件</w:t>
            </w:r>
            <w:r>
              <w:rPr>
                <w:rFonts w:ascii="宋体" w:hAnsi="宋体" w:cs="宋体"/>
                <w:color w:val="000000"/>
                <w:sz w:val="21"/>
                <w:szCs w:val="21"/>
              </w:rPr>
              <w:t>，如有操作性问题，可与政采云在线客服进行咨询，咨询电话：</w:t>
            </w:r>
            <w:r>
              <w:rPr>
                <w:rFonts w:ascii="宋体" w:hAnsi="宋体" w:cs="宋体"/>
                <w:color w:val="000000"/>
                <w:sz w:val="21"/>
                <w:szCs w:val="21"/>
                <w:lang w:val="en-US" w:eastAsia="zh-CN"/>
              </w:rPr>
              <w:t>95763</w:t>
            </w:r>
            <w:r>
              <w:rPr>
                <w:rFonts w:ascii="宋体" w:hAnsi="宋体" w:cs="宋体"/>
                <w:color w:val="000000"/>
                <w:sz w:val="21"/>
                <w:szCs w:val="21"/>
              </w:rPr>
              <w:t>）。</w:t>
            </w:r>
          </w:p>
          <w:p w14:paraId="4BD2FA93">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方式：（</w:t>
            </w:r>
            <w:r>
              <w:rPr>
                <w:rFonts w:ascii="宋体" w:hAnsi="宋体" w:eastAsia="宋体" w:cs="宋体"/>
                <w:color w:val="000000"/>
                <w:sz w:val="21"/>
                <w:szCs w:val="21"/>
              </w:rPr>
              <w:t>1</w:t>
            </w:r>
            <w:r>
              <w:rPr>
                <w:rFonts w:ascii="宋体" w:hAnsi="宋体" w:cs="宋体"/>
                <w:color w:val="000000"/>
                <w:sz w:val="21"/>
                <w:szCs w:val="21"/>
              </w:rPr>
              <w:t>）线上获取（登录政府采购云平台 → 项目采购 → 获取</w:t>
            </w:r>
            <w:r>
              <w:rPr>
                <w:rFonts w:ascii="宋体" w:hAnsi="宋体" w:cs="宋体"/>
                <w:color w:val="000000"/>
                <w:sz w:val="21"/>
                <w:szCs w:val="21"/>
                <w:lang w:eastAsia="zh-CN"/>
              </w:rPr>
              <w:t>磋商文件</w:t>
            </w:r>
            <w:r>
              <w:rPr>
                <w:rFonts w:ascii="宋体" w:hAnsi="宋体" w:cs="宋体"/>
                <w:color w:val="000000"/>
                <w:sz w:val="21"/>
                <w:szCs w:val="21"/>
              </w:rPr>
              <w:t>→ 申请，审核通过后可下载</w:t>
            </w:r>
            <w:r>
              <w:rPr>
                <w:rFonts w:ascii="宋体" w:hAnsi="宋体" w:cs="宋体"/>
                <w:color w:val="000000"/>
                <w:sz w:val="21"/>
                <w:szCs w:val="21"/>
                <w:lang w:eastAsia="zh-CN"/>
              </w:rPr>
              <w:t>磋商文件</w:t>
            </w:r>
            <w:r>
              <w:rPr>
                <w:rFonts w:ascii="宋体" w:hAnsi="宋体" w:cs="宋体"/>
                <w:color w:val="000000"/>
                <w:sz w:val="21"/>
                <w:szCs w:val="21"/>
              </w:rPr>
              <w:t>）。本次采购不提供纸质版</w:t>
            </w:r>
            <w:r>
              <w:rPr>
                <w:rFonts w:ascii="宋体" w:hAnsi="宋体" w:cs="宋体"/>
                <w:color w:val="000000"/>
                <w:sz w:val="21"/>
                <w:szCs w:val="21"/>
                <w:lang w:eastAsia="zh-CN"/>
              </w:rPr>
              <w:t>磋商文件</w:t>
            </w:r>
            <w:r>
              <w:rPr>
                <w:rFonts w:ascii="宋体" w:hAnsi="宋体" w:cs="宋体"/>
                <w:color w:val="000000"/>
                <w:sz w:val="21"/>
                <w:szCs w:val="21"/>
              </w:rPr>
              <w:t>。</w:t>
            </w:r>
          </w:p>
          <w:p w14:paraId="465AB06D">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w:t>
            </w:r>
            <w:r>
              <w:rPr>
                <w:rFonts w:ascii="宋体" w:hAnsi="宋体" w:eastAsia="宋体" w:cs="宋体"/>
                <w:color w:val="000000"/>
                <w:sz w:val="21"/>
                <w:szCs w:val="21"/>
              </w:rPr>
              <w:t>2</w:t>
            </w:r>
            <w:r>
              <w:rPr>
                <w:rFonts w:ascii="宋体" w:hAnsi="宋体" w:cs="宋体"/>
                <w:color w:val="000000"/>
                <w:sz w:val="21"/>
                <w:szCs w:val="21"/>
              </w:rPr>
              <w:t>）供应商获取</w:t>
            </w:r>
            <w:r>
              <w:rPr>
                <w:rFonts w:ascii="宋体" w:hAnsi="宋体" w:cs="宋体"/>
                <w:color w:val="000000"/>
                <w:sz w:val="21"/>
                <w:szCs w:val="21"/>
                <w:lang w:eastAsia="zh-CN"/>
              </w:rPr>
              <w:t>磋商文件</w:t>
            </w:r>
            <w:r>
              <w:rPr>
                <w:rFonts w:ascii="宋体" w:hAnsi="宋体" w:cs="宋体"/>
                <w:color w:val="000000"/>
                <w:sz w:val="21"/>
                <w:szCs w:val="21"/>
              </w:rPr>
              <w:t>前应注册成为政府采购云平台正式供应商。</w:t>
            </w:r>
          </w:p>
        </w:tc>
      </w:tr>
      <w:tr w14:paraId="23FD43D3">
        <w:tblPrEx>
          <w:tblCellMar>
            <w:top w:w="0" w:type="dxa"/>
            <w:left w:w="108" w:type="dxa"/>
            <w:bottom w:w="0" w:type="dxa"/>
            <w:right w:w="108" w:type="dxa"/>
          </w:tblCellMar>
        </w:tblPrEx>
        <w:trPr>
          <w:trHeight w:val="1082" w:hRule="atLeast"/>
          <w:jc w:val="center"/>
        </w:trPr>
        <w:tc>
          <w:tcPr>
            <w:tcW w:w="471" w:type="dxa"/>
            <w:vMerge w:val="restart"/>
            <w:tcBorders>
              <w:top w:val="single" w:color="000000" w:sz="8" w:space="0"/>
              <w:left w:val="single" w:color="000000" w:sz="12" w:space="0"/>
              <w:bottom w:val="single" w:color="000000" w:sz="8" w:space="0"/>
              <w:right w:val="single" w:color="000000" w:sz="8" w:space="0"/>
            </w:tcBorders>
            <w:vAlign w:val="center"/>
          </w:tcPr>
          <w:p w14:paraId="738E7C14">
            <w:pPr>
              <w:keepNext w:val="0"/>
              <w:keepLines w:val="0"/>
              <w:kinsoku/>
              <w:overflowPunct/>
              <w:autoSpaceDE/>
              <w:bidi w:val="0"/>
              <w:snapToGrid w:val="0"/>
              <w:spacing w:line="360" w:lineRule="auto"/>
              <w:jc w:val="left"/>
              <w:textAlignment w:val="auto"/>
              <w:rPr>
                <w:rFonts w:ascii="宋体" w:hAnsi="宋体" w:eastAsia="宋体" w:cs="宋体"/>
                <w:color w:val="000000"/>
                <w:sz w:val="21"/>
                <w:szCs w:val="21"/>
                <w:lang w:val="en-US" w:eastAsia="zh-CN"/>
              </w:rPr>
            </w:pPr>
            <w:bookmarkStart w:id="3" w:name="__RefHeading___Toc469495723"/>
            <w:bookmarkEnd w:id="3"/>
            <w:r>
              <w:rPr>
                <w:rFonts w:ascii="宋体" w:hAnsi="宋体" w:eastAsia="宋体" w:cs="宋体"/>
                <w:color w:val="000000"/>
                <w:sz w:val="21"/>
                <w:szCs w:val="21"/>
                <w:lang w:val="en-US" w:eastAsia="zh-CN"/>
              </w:rPr>
              <w:t>29</w:t>
            </w:r>
          </w:p>
        </w:tc>
        <w:tc>
          <w:tcPr>
            <w:tcW w:w="1537" w:type="dxa"/>
            <w:vMerge w:val="restart"/>
            <w:tcBorders>
              <w:top w:val="single" w:color="000000" w:sz="8" w:space="0"/>
              <w:left w:val="single" w:color="000000" w:sz="8" w:space="0"/>
              <w:bottom w:val="single" w:color="000000" w:sz="8" w:space="0"/>
              <w:right w:val="single" w:color="000000" w:sz="8" w:space="0"/>
            </w:tcBorders>
            <w:vAlign w:val="center"/>
          </w:tcPr>
          <w:p w14:paraId="19430E28">
            <w:pPr>
              <w:keepNext w:val="0"/>
              <w:keepLines w:val="0"/>
              <w:kinsoku/>
              <w:overflowPunct/>
              <w:autoSpaceDE/>
              <w:bidi w:val="0"/>
              <w:snapToGrid w:val="0"/>
              <w:spacing w:line="360" w:lineRule="auto"/>
              <w:jc w:val="center"/>
              <w:textAlignment w:val="auto"/>
              <w:rPr>
                <w:rFonts w:ascii="宋体" w:hAnsi="宋体" w:eastAsia="宋体" w:cs="宋体"/>
                <w:color w:val="0000FF"/>
                <w:sz w:val="21"/>
                <w:szCs w:val="21"/>
              </w:rPr>
            </w:pPr>
            <w:r>
              <w:rPr>
                <w:rFonts w:ascii="Times New Roman" w:hAnsi="Times New Roman" w:cs="Times New Roman"/>
                <w:spacing w:val="-7"/>
              </w:rPr>
              <w:t>中小微企业政策文件</w:t>
            </w:r>
          </w:p>
        </w:tc>
        <w:tc>
          <w:tcPr>
            <w:tcW w:w="7365" w:type="dxa"/>
            <w:tcBorders>
              <w:top w:val="single" w:color="000000" w:sz="8" w:space="0"/>
              <w:left w:val="single" w:color="000000" w:sz="8" w:space="0"/>
              <w:bottom w:val="single" w:color="000000" w:sz="8" w:space="0"/>
              <w:right w:val="single" w:color="000000" w:sz="12" w:space="0"/>
            </w:tcBorders>
          </w:tcPr>
          <w:p w14:paraId="5A2830E3">
            <w:pPr>
              <w:keepNext w:val="0"/>
              <w:keepLines w:val="0"/>
              <w:kinsoku/>
              <w:overflowPunct/>
              <w:autoSpaceDE/>
              <w:bidi w:val="0"/>
              <w:snapToGrid w:val="0"/>
              <w:spacing w:line="360" w:lineRule="auto"/>
              <w:jc w:val="left"/>
              <w:textAlignment w:val="auto"/>
              <w:rPr>
                <w:rFonts w:ascii="宋体" w:hAnsi="宋体" w:eastAsia="宋体" w:cs="宋体"/>
                <w:b/>
                <w:bCs w:val="0"/>
                <w:color w:val="0000FF"/>
                <w:sz w:val="21"/>
                <w:szCs w:val="21"/>
                <w:highlight w:val="none"/>
              </w:rPr>
            </w:pPr>
            <w:r>
              <w:rPr>
                <w:rFonts w:ascii="宋体" w:hAnsi="宋体" w:cs="宋体"/>
                <w:b w:val="0"/>
                <w:bCs/>
                <w:color w:val="000000"/>
                <w:szCs w:val="21"/>
                <w:lang w:val="en-US" w:eastAsia="zh-CN"/>
              </w:rPr>
              <w:t>（</w:t>
            </w:r>
            <w:r>
              <w:rPr>
                <w:rFonts w:ascii="宋体" w:hAnsi="宋体" w:eastAsia="宋体" w:cs="宋体"/>
                <w:b w:val="0"/>
                <w:bCs/>
                <w:color w:val="000000"/>
                <w:szCs w:val="21"/>
                <w:lang w:val="en-US" w:eastAsia="zh-CN"/>
              </w:rPr>
              <w:t>1</w:t>
            </w:r>
            <w:r>
              <w:rPr>
                <w:rFonts w:ascii="宋体" w:hAnsi="宋体" w:cs="宋体"/>
                <w:b w:val="0"/>
                <w:bCs/>
                <w:color w:val="000000"/>
                <w:szCs w:val="21"/>
                <w:lang w:val="en-US" w:eastAsia="zh-CN"/>
              </w:rPr>
              <w:t>）根据财政部、工业和信息化部关于印发《政府采购促进中小企业发展管理办法》的通知（财库</w:t>
            </w:r>
            <w:r>
              <w:rPr>
                <w:rFonts w:ascii="宋体" w:hAnsi="宋体" w:eastAsia="宋体" w:cs="宋体"/>
                <w:b w:val="0"/>
                <w:bCs/>
                <w:color w:val="000000"/>
                <w:szCs w:val="21"/>
                <w:lang w:val="en-US" w:eastAsia="zh-CN"/>
              </w:rPr>
              <w:t>[2020]46</w:t>
            </w:r>
            <w:r>
              <w:rPr>
                <w:rFonts w:ascii="宋体" w:hAnsi="宋体" w:cs="宋体"/>
                <w:b w:val="0"/>
                <w:bCs/>
                <w:color w:val="000000"/>
                <w:szCs w:val="21"/>
                <w:lang w:val="en-US" w:eastAsia="zh-CN"/>
              </w:rPr>
              <w:t>号）及（财库</w:t>
            </w:r>
            <w:r>
              <w:rPr>
                <w:rFonts w:ascii="宋体" w:hAnsi="宋体" w:eastAsia="宋体" w:cs="宋体"/>
                <w:b w:val="0"/>
                <w:bCs/>
                <w:color w:val="000000"/>
                <w:szCs w:val="21"/>
                <w:lang w:val="en-US" w:eastAsia="zh-CN"/>
              </w:rPr>
              <w:t>[2022]19</w:t>
            </w:r>
            <w:r>
              <w:rPr>
                <w:rFonts w:ascii="宋体" w:hAnsi="宋体" w:cs="宋体"/>
                <w:b w:val="0"/>
                <w:bCs/>
                <w:color w:val="000000"/>
                <w:szCs w:val="21"/>
                <w:lang w:val="en-US" w:eastAsia="zh-CN"/>
              </w:rPr>
              <w:t>号），供应商所投产品的制造商均属于《工业和信息化部、国家统计局、国家发展和改革委员会、财政部关于印发中小企业划型标准规定的通知》（工信部联企业</w:t>
            </w:r>
            <w:r>
              <w:rPr>
                <w:rFonts w:ascii="宋体" w:hAnsi="宋体" w:eastAsia="宋体" w:cs="宋体"/>
                <w:b w:val="0"/>
                <w:bCs/>
                <w:color w:val="000000"/>
                <w:szCs w:val="21"/>
                <w:lang w:val="en-US" w:eastAsia="zh-CN"/>
              </w:rPr>
              <w:t>[2011]300</w:t>
            </w:r>
            <w:r>
              <w:rPr>
                <w:rFonts w:ascii="宋体" w:hAnsi="宋体" w:cs="宋体"/>
                <w:b w:val="0"/>
                <w:bCs/>
                <w:color w:val="000000"/>
                <w:szCs w:val="21"/>
                <w:lang w:val="en-US" w:eastAsia="zh-CN"/>
              </w:rPr>
              <w:t>号）中规定的中型、小型、微型企业标准的，按磋商文件格式提供《中小企业声明函》。</w:t>
            </w:r>
          </w:p>
        </w:tc>
      </w:tr>
      <w:tr w14:paraId="5F5052F7">
        <w:tblPrEx>
          <w:tblCellMar>
            <w:top w:w="0" w:type="dxa"/>
            <w:left w:w="108" w:type="dxa"/>
            <w:bottom w:w="0" w:type="dxa"/>
            <w:right w:w="108" w:type="dxa"/>
          </w:tblCellMar>
        </w:tblPrEx>
        <w:trPr>
          <w:trHeight w:val="1082" w:hRule="atLeast"/>
          <w:jc w:val="center"/>
        </w:trPr>
        <w:tc>
          <w:tcPr>
            <w:tcW w:w="471" w:type="dxa"/>
            <w:vMerge w:val="continue"/>
            <w:tcBorders>
              <w:top w:val="single" w:color="000000" w:sz="8" w:space="0"/>
              <w:left w:val="single" w:color="000000" w:sz="12" w:space="0"/>
              <w:bottom w:val="single" w:color="000000" w:sz="8" w:space="0"/>
              <w:right w:val="single" w:color="000000" w:sz="8" w:space="0"/>
            </w:tcBorders>
            <w:vAlign w:val="center"/>
          </w:tcPr>
          <w:p w14:paraId="10985948">
            <w:pPr>
              <w:keepNext w:val="0"/>
              <w:keepLines w:val="0"/>
              <w:kinsoku/>
              <w:overflowPunct/>
              <w:autoSpaceDE/>
              <w:bidi w:val="0"/>
              <w:snapToGrid w:val="0"/>
              <w:spacing w:line="360" w:lineRule="auto"/>
              <w:jc w:val="left"/>
              <w:textAlignment w:val="auto"/>
              <w:rPr>
                <w:rFonts w:ascii="宋体" w:hAnsi="宋体" w:eastAsia="宋体" w:cs="宋体"/>
                <w:b/>
                <w:bCs w:val="0"/>
                <w:color w:val="0000FF"/>
                <w:sz w:val="21"/>
                <w:szCs w:val="21"/>
                <w:highlight w:val="none"/>
              </w:rPr>
            </w:pPr>
          </w:p>
        </w:tc>
        <w:tc>
          <w:tcPr>
            <w:tcW w:w="1537" w:type="dxa"/>
            <w:vMerge w:val="continue"/>
            <w:tcBorders>
              <w:top w:val="single" w:color="000000" w:sz="8" w:space="0"/>
              <w:left w:val="single" w:color="000000" w:sz="8" w:space="0"/>
              <w:bottom w:val="single" w:color="000000" w:sz="8" w:space="0"/>
              <w:right w:val="single" w:color="000000" w:sz="8" w:space="0"/>
            </w:tcBorders>
            <w:vAlign w:val="center"/>
          </w:tcPr>
          <w:p w14:paraId="3F7C0A77">
            <w:pPr>
              <w:keepNext w:val="0"/>
              <w:keepLines w:val="0"/>
              <w:kinsoku/>
              <w:overflowPunct/>
              <w:autoSpaceDE/>
              <w:bidi w:val="0"/>
              <w:snapToGrid w:val="0"/>
              <w:spacing w:line="360" w:lineRule="auto"/>
              <w:jc w:val="left"/>
              <w:textAlignment w:val="auto"/>
            </w:pPr>
          </w:p>
        </w:tc>
        <w:tc>
          <w:tcPr>
            <w:tcW w:w="7365" w:type="dxa"/>
            <w:tcBorders>
              <w:top w:val="single" w:color="000000" w:sz="8" w:space="0"/>
              <w:left w:val="single" w:color="000000" w:sz="8" w:space="0"/>
              <w:bottom w:val="single" w:color="000000" w:sz="8" w:space="0"/>
              <w:right w:val="single" w:color="000000" w:sz="12" w:space="0"/>
            </w:tcBorders>
          </w:tcPr>
          <w:p w14:paraId="74CF6379">
            <w:pPr>
              <w:keepNext w:val="0"/>
              <w:keepLines w:val="0"/>
              <w:kinsoku/>
              <w:overflowPunct/>
              <w:autoSpaceDE/>
              <w:bidi w:val="0"/>
              <w:snapToGrid w:val="0"/>
              <w:spacing w:line="360" w:lineRule="auto"/>
              <w:jc w:val="left"/>
              <w:textAlignment w:val="auto"/>
              <w:rPr>
                <w:spacing w:val="-1"/>
              </w:rPr>
            </w:pPr>
            <w:r>
              <w:rPr>
                <w:rFonts w:ascii="宋体" w:hAnsi="宋体" w:cs="宋体"/>
                <w:b w:val="0"/>
                <w:bCs/>
                <w:color w:val="000000"/>
                <w:szCs w:val="21"/>
                <w:lang w:val="en-US" w:eastAsia="zh-CN"/>
              </w:rPr>
              <w:t>（</w:t>
            </w:r>
            <w:r>
              <w:rPr>
                <w:rFonts w:ascii="宋体" w:hAnsi="宋体" w:eastAsia="宋体" w:cs="宋体"/>
                <w:b w:val="0"/>
                <w:bCs/>
                <w:color w:val="000000"/>
                <w:szCs w:val="21"/>
                <w:lang w:val="en-US" w:eastAsia="zh-CN"/>
              </w:rPr>
              <w:t>2</w:t>
            </w:r>
            <w:r>
              <w:rPr>
                <w:rFonts w:ascii="宋体" w:hAnsi="宋体" w:cs="宋体"/>
                <w:b w:val="0"/>
                <w:bCs/>
                <w:color w:val="000000"/>
                <w:szCs w:val="21"/>
                <w:lang w:val="en-US" w:eastAsia="zh-CN"/>
              </w:rPr>
              <w:t>）根据财政部、司法部《关于政府采购支持监狱企业发展有关问题》的通知财库</w:t>
            </w:r>
            <w:r>
              <w:rPr>
                <w:rFonts w:ascii="宋体" w:hAnsi="宋体" w:eastAsia="宋体" w:cs="宋体"/>
                <w:b w:val="0"/>
                <w:bCs/>
                <w:color w:val="000000"/>
                <w:szCs w:val="21"/>
                <w:lang w:val="en-US" w:eastAsia="zh-CN"/>
              </w:rPr>
              <w:t>[2014]68</w:t>
            </w:r>
            <w:r>
              <w:rPr>
                <w:rFonts w:ascii="宋体" w:hAnsi="宋体" w:cs="宋体"/>
                <w:b w:val="0"/>
                <w:bCs/>
                <w:color w:val="000000"/>
                <w:szCs w:val="21"/>
                <w:lang w:val="en-US" w:eastAsia="zh-CN"/>
              </w:rPr>
              <w:t>号，监狱企业参加本项目响应时，应当提供由省级以上监狱管理局、戒毒管理局（新疆生产建设兵团）出具的属于监狱企业的证明文件。监狱企业视同小型、微型企业。</w:t>
            </w:r>
          </w:p>
        </w:tc>
      </w:tr>
      <w:tr w14:paraId="01C62EAD">
        <w:tblPrEx>
          <w:tblCellMar>
            <w:top w:w="0" w:type="dxa"/>
            <w:left w:w="108" w:type="dxa"/>
            <w:bottom w:w="0" w:type="dxa"/>
            <w:right w:w="108" w:type="dxa"/>
          </w:tblCellMar>
        </w:tblPrEx>
        <w:trPr>
          <w:trHeight w:val="502" w:hRule="atLeast"/>
          <w:jc w:val="center"/>
        </w:trPr>
        <w:tc>
          <w:tcPr>
            <w:tcW w:w="471" w:type="dxa"/>
            <w:vMerge w:val="continue"/>
            <w:tcBorders>
              <w:top w:val="single" w:color="000000" w:sz="8" w:space="0"/>
              <w:left w:val="single" w:color="000000" w:sz="12" w:space="0"/>
              <w:bottom w:val="single" w:color="000000" w:sz="8" w:space="0"/>
              <w:right w:val="single" w:color="000000" w:sz="8" w:space="0"/>
            </w:tcBorders>
            <w:vAlign w:val="center"/>
          </w:tcPr>
          <w:p w14:paraId="64CF8A86">
            <w:pPr>
              <w:keepNext w:val="0"/>
              <w:keepLines w:val="0"/>
              <w:kinsoku/>
              <w:overflowPunct/>
              <w:autoSpaceDE/>
              <w:bidi w:val="0"/>
              <w:snapToGrid w:val="0"/>
              <w:spacing w:line="360" w:lineRule="auto"/>
              <w:jc w:val="left"/>
              <w:textAlignment w:val="auto"/>
              <w:rPr>
                <w:spacing w:val="-1"/>
              </w:rPr>
            </w:pPr>
          </w:p>
        </w:tc>
        <w:tc>
          <w:tcPr>
            <w:tcW w:w="1537" w:type="dxa"/>
            <w:vMerge w:val="continue"/>
            <w:tcBorders>
              <w:top w:val="single" w:color="000000" w:sz="8" w:space="0"/>
              <w:left w:val="single" w:color="000000" w:sz="8" w:space="0"/>
              <w:bottom w:val="single" w:color="000000" w:sz="8" w:space="0"/>
              <w:right w:val="single" w:color="000000" w:sz="8" w:space="0"/>
            </w:tcBorders>
            <w:vAlign w:val="center"/>
          </w:tcPr>
          <w:p w14:paraId="608A8D1D">
            <w:pPr>
              <w:keepNext w:val="0"/>
              <w:keepLines w:val="0"/>
              <w:kinsoku/>
              <w:overflowPunct/>
              <w:autoSpaceDE/>
              <w:bidi w:val="0"/>
              <w:snapToGrid w:val="0"/>
              <w:spacing w:line="360" w:lineRule="auto"/>
              <w:jc w:val="left"/>
              <w:textAlignment w:val="auto"/>
              <w:rPr>
                <w:spacing w:val="-1"/>
              </w:rPr>
            </w:pPr>
          </w:p>
        </w:tc>
        <w:tc>
          <w:tcPr>
            <w:tcW w:w="7365" w:type="dxa"/>
            <w:tcBorders>
              <w:top w:val="single" w:color="000000" w:sz="8" w:space="0"/>
              <w:left w:val="single" w:color="000000" w:sz="8" w:space="0"/>
              <w:bottom w:val="single" w:color="000000" w:sz="8" w:space="0"/>
              <w:right w:val="single" w:color="000000" w:sz="12" w:space="0"/>
            </w:tcBorders>
          </w:tcPr>
          <w:p w14:paraId="1FC7EC54">
            <w:pPr>
              <w:keepNext w:val="0"/>
              <w:keepLines w:val="0"/>
              <w:kinsoku/>
              <w:overflowPunct/>
              <w:autoSpaceDE/>
              <w:bidi w:val="0"/>
              <w:snapToGrid w:val="0"/>
              <w:spacing w:line="360" w:lineRule="auto"/>
              <w:jc w:val="left"/>
              <w:textAlignment w:val="auto"/>
              <w:rPr>
                <w:spacing w:val="-1"/>
              </w:rPr>
            </w:pPr>
            <w:r>
              <w:rPr>
                <w:rFonts w:ascii="宋体" w:hAnsi="宋体" w:cs="宋体"/>
                <w:b w:val="0"/>
                <w:bCs/>
                <w:color w:val="000000"/>
                <w:szCs w:val="21"/>
                <w:lang w:val="en-US" w:eastAsia="zh-CN"/>
              </w:rPr>
              <w:t>（</w:t>
            </w:r>
            <w:r>
              <w:rPr>
                <w:rFonts w:ascii="宋体" w:hAnsi="宋体" w:eastAsia="宋体" w:cs="宋体"/>
                <w:b w:val="0"/>
                <w:bCs/>
                <w:color w:val="000000"/>
                <w:szCs w:val="21"/>
                <w:lang w:val="en-US" w:eastAsia="zh-CN"/>
              </w:rPr>
              <w:t>3</w:t>
            </w:r>
            <w:r>
              <w:rPr>
                <w:rFonts w:ascii="宋体" w:hAnsi="宋体" w:cs="宋体"/>
                <w:b w:val="0"/>
                <w:bCs/>
                <w:color w:val="000000"/>
                <w:szCs w:val="21"/>
                <w:lang w:val="en-US" w:eastAsia="zh-CN"/>
              </w:rPr>
              <w:t>）根据财政部、民政部、中国残疾人联合会《关于促进残疾人就业政府采购政策的通知》（财库</w:t>
            </w:r>
            <w:r>
              <w:rPr>
                <w:rFonts w:ascii="宋体" w:hAnsi="宋体" w:eastAsia="宋体" w:cs="宋体"/>
                <w:b w:val="0"/>
                <w:bCs/>
                <w:color w:val="000000"/>
                <w:szCs w:val="21"/>
                <w:lang w:val="en-US" w:eastAsia="zh-CN"/>
              </w:rPr>
              <w:t>[2017]141</w:t>
            </w:r>
            <w:r>
              <w:rPr>
                <w:rFonts w:ascii="宋体" w:hAnsi="宋体" w:cs="宋体"/>
                <w:b w:val="0"/>
                <w:bCs/>
                <w:color w:val="000000"/>
                <w:szCs w:val="21"/>
                <w:lang w:val="en-US" w:eastAsia="zh-CN"/>
              </w:rPr>
              <w:t>号），在政府采购活动中，残疾人福利性单位视同小型、微型企业。供应商属于残疾人福利性单位的，按照磋商文件格式提供残疾人福利性单位声明函。</w:t>
            </w:r>
          </w:p>
        </w:tc>
      </w:tr>
      <w:tr w14:paraId="3F082A39">
        <w:tblPrEx>
          <w:tblCellMar>
            <w:top w:w="0" w:type="dxa"/>
            <w:left w:w="108" w:type="dxa"/>
            <w:bottom w:w="0" w:type="dxa"/>
            <w:right w:w="108" w:type="dxa"/>
          </w:tblCellMar>
        </w:tblPrEx>
        <w:trPr>
          <w:trHeight w:val="351" w:hRule="atLeast"/>
          <w:jc w:val="center"/>
        </w:trPr>
        <w:tc>
          <w:tcPr>
            <w:tcW w:w="471" w:type="dxa"/>
            <w:vMerge w:val="continue"/>
            <w:tcBorders>
              <w:top w:val="single" w:color="000000" w:sz="8" w:space="0"/>
              <w:left w:val="single" w:color="000000" w:sz="12" w:space="0"/>
              <w:bottom w:val="single" w:color="000000" w:sz="8" w:space="0"/>
              <w:right w:val="single" w:color="000000" w:sz="8" w:space="0"/>
            </w:tcBorders>
            <w:vAlign w:val="center"/>
          </w:tcPr>
          <w:p w14:paraId="65AA5B53">
            <w:pPr>
              <w:keepNext w:val="0"/>
              <w:keepLines w:val="0"/>
              <w:kinsoku/>
              <w:overflowPunct/>
              <w:autoSpaceDE/>
              <w:bidi w:val="0"/>
              <w:snapToGrid w:val="0"/>
              <w:spacing w:line="360" w:lineRule="auto"/>
              <w:jc w:val="left"/>
              <w:textAlignment w:val="auto"/>
              <w:rPr>
                <w:spacing w:val="-1"/>
              </w:rPr>
            </w:pPr>
          </w:p>
        </w:tc>
        <w:tc>
          <w:tcPr>
            <w:tcW w:w="1537" w:type="dxa"/>
            <w:tcBorders>
              <w:top w:val="single" w:color="000000" w:sz="8" w:space="0"/>
              <w:left w:val="single" w:color="000000" w:sz="8" w:space="0"/>
              <w:bottom w:val="single" w:color="000000" w:sz="8" w:space="0"/>
              <w:right w:val="single" w:color="000000" w:sz="8" w:space="0"/>
            </w:tcBorders>
            <w:vAlign w:val="center"/>
          </w:tcPr>
          <w:p w14:paraId="384E1DCC">
            <w:pPr>
              <w:keepNext w:val="0"/>
              <w:keepLines w:val="0"/>
              <w:kinsoku/>
              <w:overflowPunct/>
              <w:autoSpaceDE/>
              <w:bidi w:val="0"/>
              <w:snapToGrid w:val="0"/>
              <w:spacing w:line="360" w:lineRule="auto"/>
              <w:jc w:val="center"/>
              <w:textAlignment w:val="auto"/>
              <w:rPr>
                <w:color w:val="0000FF"/>
              </w:rPr>
            </w:pPr>
            <w:r>
              <w:rPr>
                <w:rFonts w:ascii="宋体" w:hAnsi="宋体" w:cs="宋体"/>
                <w:b/>
                <w:bCs w:val="0"/>
                <w:color w:val="000000"/>
                <w:szCs w:val="21"/>
                <w:lang w:val="en-US" w:eastAsia="zh-CN"/>
              </w:rPr>
              <w:t>本项目面向中小企业说明</w:t>
            </w:r>
          </w:p>
        </w:tc>
        <w:tc>
          <w:tcPr>
            <w:tcW w:w="7365" w:type="dxa"/>
            <w:tcBorders>
              <w:top w:val="single" w:color="000000" w:sz="8" w:space="0"/>
              <w:left w:val="single" w:color="000000" w:sz="8" w:space="0"/>
              <w:bottom w:val="single" w:color="000000" w:sz="8" w:space="0"/>
              <w:right w:val="single" w:color="000000" w:sz="12" w:space="0"/>
            </w:tcBorders>
          </w:tcPr>
          <w:p w14:paraId="056714C4">
            <w:pPr>
              <w:keepNext w:val="0"/>
              <w:keepLines w:val="0"/>
              <w:numPr>
                <w:ilvl w:val="0"/>
                <w:numId w:val="0"/>
              </w:numPr>
              <w:kinsoku/>
              <w:overflowPunct/>
              <w:autoSpaceDE/>
              <w:bidi w:val="0"/>
              <w:snapToGrid w:val="0"/>
              <w:spacing w:line="360" w:lineRule="auto"/>
              <w:ind w:left="0" w:firstLine="0"/>
              <w:jc w:val="left"/>
              <w:textAlignment w:val="auto"/>
              <w:rPr>
                <w:rFonts w:ascii="宋体" w:hAnsi="宋体" w:eastAsia="宋体" w:cs="宋体"/>
                <w:b/>
                <w:bCs/>
                <w:color w:val="0000FF"/>
                <w:lang w:val="en-US" w:eastAsia="zh-CN"/>
              </w:rPr>
            </w:pPr>
            <w:r>
              <w:rPr>
                <w:rFonts w:ascii="宋体" w:hAnsi="宋体" w:cs="宋体"/>
                <w:b/>
                <w:bCs w:val="0"/>
                <w:color w:val="0000FF"/>
                <w:szCs w:val="21"/>
                <w:lang w:val="en-US" w:eastAsia="zh-CN"/>
              </w:rPr>
              <w:t>（</w:t>
            </w:r>
            <w:r>
              <w:rPr>
                <w:rFonts w:ascii="宋体" w:hAnsi="宋体" w:eastAsia="宋体" w:cs="宋体"/>
                <w:b/>
                <w:bCs w:val="0"/>
                <w:color w:val="0000FF"/>
                <w:szCs w:val="21"/>
                <w:lang w:val="en-US" w:eastAsia="zh-CN"/>
              </w:rPr>
              <w:t>1</w:t>
            </w:r>
            <w:r>
              <w:rPr>
                <w:rFonts w:ascii="宋体" w:hAnsi="宋体" w:cs="宋体"/>
                <w:b/>
                <w:bCs/>
                <w:color w:val="0000FF"/>
                <w:lang w:val="en-US" w:eastAsia="zh-CN"/>
              </w:rPr>
              <w:t>）本项目采购工程服务所属行业：</w:t>
            </w:r>
            <w:r>
              <w:rPr>
                <w:rFonts w:ascii="宋体" w:hAnsi="宋体" w:cs="宋体"/>
                <w:b/>
                <w:bCs/>
                <w:color w:val="0000FF"/>
                <w:u w:val="single"/>
                <w:lang w:val="en-US" w:eastAsia="zh-CN"/>
              </w:rPr>
              <w:t>建筑业；</w:t>
            </w:r>
          </w:p>
          <w:p w14:paraId="1721F605">
            <w:pPr>
              <w:keepNext w:val="0"/>
              <w:keepLines w:val="0"/>
              <w:numPr>
                <w:ilvl w:val="0"/>
                <w:numId w:val="0"/>
              </w:numPr>
              <w:kinsoku/>
              <w:overflowPunct/>
              <w:autoSpaceDE/>
              <w:bidi w:val="0"/>
              <w:snapToGrid w:val="0"/>
              <w:spacing w:line="360" w:lineRule="auto"/>
              <w:ind w:left="0" w:firstLine="0"/>
              <w:jc w:val="left"/>
              <w:textAlignment w:val="auto"/>
              <w:rPr>
                <w:rFonts w:ascii="宋体" w:hAnsi="宋体" w:eastAsia="宋体" w:cs="宋体"/>
                <w:b/>
                <w:bCs/>
                <w:color w:val="0000FF"/>
                <w:lang w:val="en-US" w:eastAsia="zh-CN"/>
              </w:rPr>
            </w:pPr>
            <w:r>
              <w:rPr>
                <w:rFonts w:ascii="宋体" w:hAnsi="宋体" w:cs="宋体"/>
                <w:b/>
                <w:bCs/>
                <w:color w:val="0000FF"/>
                <w:lang w:val="en-US" w:eastAsia="zh-CN"/>
              </w:rPr>
              <w:t>（</w:t>
            </w:r>
            <w:r>
              <w:rPr>
                <w:rFonts w:ascii="宋体" w:hAnsi="宋体" w:eastAsia="宋体" w:cs="宋体"/>
                <w:b/>
                <w:bCs/>
                <w:color w:val="0000FF"/>
                <w:lang w:val="en-US" w:eastAsia="zh-CN"/>
              </w:rPr>
              <w:t>2</w:t>
            </w:r>
            <w:r>
              <w:rPr>
                <w:rFonts w:ascii="宋体" w:hAnsi="宋体" w:cs="宋体"/>
                <w:b/>
                <w:bCs/>
                <w:color w:val="0000FF"/>
                <w:lang w:val="en-US" w:eastAsia="zh-CN"/>
              </w:rPr>
              <w:t>）本项目为专门面向中小企业采购，不再对中小企业的价格进行扣除评审。</w:t>
            </w:r>
          </w:p>
          <w:p w14:paraId="1825D958">
            <w:pPr>
              <w:keepNext w:val="0"/>
              <w:keepLines w:val="0"/>
              <w:numPr>
                <w:ilvl w:val="0"/>
                <w:numId w:val="0"/>
              </w:numPr>
              <w:kinsoku/>
              <w:overflowPunct/>
              <w:autoSpaceDE/>
              <w:bidi w:val="0"/>
              <w:snapToGrid w:val="0"/>
              <w:spacing w:line="360" w:lineRule="auto"/>
              <w:ind w:left="0" w:firstLine="0"/>
              <w:jc w:val="left"/>
              <w:textAlignment w:val="auto"/>
              <w:rPr>
                <w:rFonts w:ascii="宋体" w:hAnsi="宋体" w:eastAsia="宋体" w:cs="宋体"/>
                <w:b/>
                <w:bCs/>
                <w:color w:val="0000FF"/>
                <w:lang w:val="en-US" w:eastAsia="zh-CN"/>
              </w:rPr>
            </w:pPr>
            <w:r>
              <w:rPr>
                <w:rFonts w:ascii="宋体" w:hAnsi="宋体" w:cs="宋体"/>
                <w:b/>
                <w:bCs/>
                <w:color w:val="0000FF"/>
                <w:lang w:val="en-US" w:eastAsia="zh-CN"/>
              </w:rPr>
              <w:t>（</w:t>
            </w:r>
            <w:r>
              <w:rPr>
                <w:rFonts w:ascii="宋体" w:hAnsi="宋体" w:eastAsia="宋体" w:cs="宋体"/>
                <w:b/>
                <w:bCs/>
                <w:color w:val="0000FF"/>
                <w:lang w:val="en-US" w:eastAsia="zh-CN"/>
              </w:rPr>
              <w:t>3</w:t>
            </w:r>
            <w:r>
              <w:rPr>
                <w:rFonts w:ascii="宋体" w:hAnsi="宋体" w:cs="宋体"/>
                <w:b/>
                <w:bCs/>
                <w:color w:val="0000FF"/>
                <w:lang w:val="en-US" w:eastAsia="zh-CN"/>
              </w:rPr>
              <w:t>）供应商提供工程服务承建商为</w:t>
            </w:r>
            <w:r>
              <w:rPr>
                <w:rFonts w:ascii="宋体" w:hAnsi="宋体" w:cs="宋体"/>
                <w:b/>
                <w:bCs/>
                <w:color w:val="FF0000"/>
                <w:lang w:val="en-US" w:eastAsia="zh-CN"/>
              </w:rPr>
              <w:t>中小企业</w:t>
            </w:r>
            <w:r>
              <w:rPr>
                <w:rFonts w:ascii="宋体" w:hAnsi="宋体" w:cs="宋体"/>
                <w:b/>
                <w:bCs/>
                <w:color w:val="0000FF"/>
                <w:lang w:val="en-US" w:eastAsia="zh-CN"/>
              </w:rPr>
              <w:t>的《中小企业声明函》，否则专门面向中小企业的项目做无效响应处理。</w:t>
            </w:r>
          </w:p>
          <w:p w14:paraId="72C3358F">
            <w:pPr>
              <w:keepNext w:val="0"/>
              <w:keepLines w:val="0"/>
              <w:numPr>
                <w:ilvl w:val="0"/>
                <w:numId w:val="0"/>
              </w:numPr>
              <w:kinsoku/>
              <w:overflowPunct/>
              <w:autoSpaceDE/>
              <w:bidi w:val="0"/>
              <w:snapToGrid w:val="0"/>
              <w:spacing w:line="360" w:lineRule="auto"/>
              <w:ind w:left="0" w:firstLine="0"/>
              <w:jc w:val="left"/>
              <w:textAlignment w:val="auto"/>
              <w:rPr>
                <w:rFonts w:ascii="宋体" w:hAnsi="宋体" w:eastAsia="宋体" w:cs="宋体"/>
                <w:b/>
                <w:bCs/>
                <w:color w:val="0000FF"/>
                <w:lang w:val="en-US" w:eastAsia="zh-CN"/>
              </w:rPr>
            </w:pPr>
            <w:r>
              <w:rPr>
                <w:rFonts w:ascii="宋体" w:hAnsi="宋体" w:cs="宋体"/>
                <w:b/>
                <w:bCs/>
                <w:color w:val="0000FF"/>
                <w:lang w:val="en-US" w:eastAsia="zh-CN"/>
              </w:rPr>
              <w:t>（</w:t>
            </w:r>
            <w:r>
              <w:rPr>
                <w:rFonts w:ascii="宋体" w:hAnsi="宋体" w:eastAsia="宋体" w:cs="宋体"/>
                <w:b/>
                <w:bCs/>
                <w:color w:val="0000FF"/>
                <w:lang w:val="en-US" w:eastAsia="zh-CN"/>
              </w:rPr>
              <w:t>4</w:t>
            </w:r>
            <w:r>
              <w:rPr>
                <w:rFonts w:ascii="宋体" w:hAnsi="宋体" w:cs="宋体"/>
                <w:b/>
                <w:bCs/>
                <w:color w:val="0000FF"/>
                <w:lang w:val="en-US" w:eastAsia="zh-CN"/>
              </w:rPr>
              <w:t>）本项目标的物名称为该项目的项目名称。</w:t>
            </w:r>
          </w:p>
          <w:p w14:paraId="409D55E3">
            <w:pPr>
              <w:keepNext w:val="0"/>
              <w:keepLines w:val="0"/>
              <w:numPr>
                <w:ilvl w:val="0"/>
                <w:numId w:val="0"/>
              </w:numPr>
              <w:kinsoku/>
              <w:overflowPunct/>
              <w:autoSpaceDE/>
              <w:bidi w:val="0"/>
              <w:snapToGrid w:val="0"/>
              <w:spacing w:line="360" w:lineRule="auto"/>
              <w:ind w:left="0" w:firstLine="0"/>
              <w:jc w:val="left"/>
              <w:textAlignment w:val="auto"/>
            </w:pPr>
            <w:r>
              <w:rPr>
                <w:rFonts w:ascii="宋体" w:hAnsi="宋体" w:cs="宋体"/>
                <w:b/>
                <w:bCs/>
                <w:color w:val="0000FF"/>
                <w:lang w:val="en-US" w:eastAsia="zh-CN"/>
              </w:rPr>
              <w:t>（</w:t>
            </w:r>
            <w:r>
              <w:rPr>
                <w:rFonts w:ascii="宋体" w:hAnsi="宋体" w:eastAsia="宋体" w:cs="宋体"/>
                <w:b/>
                <w:bCs/>
                <w:color w:val="0000FF"/>
                <w:lang w:val="en-US" w:eastAsia="zh-CN"/>
              </w:rPr>
              <w:t>5</w:t>
            </w:r>
            <w:r>
              <w:rPr>
                <w:rFonts w:ascii="宋体" w:hAnsi="宋体" w:cs="宋体"/>
                <w:b/>
                <w:bCs/>
                <w:color w:val="0000FF"/>
                <w:lang w:val="en-US" w:eastAsia="zh-CN"/>
              </w:rPr>
              <w:t>）建筑业划分标准：营业收入</w:t>
            </w:r>
            <w:r>
              <w:rPr>
                <w:rFonts w:ascii="宋体" w:hAnsi="宋体" w:eastAsia="宋体" w:cs="宋体"/>
                <w:b/>
                <w:bCs/>
                <w:color w:val="0000FF"/>
                <w:lang w:val="en-US" w:eastAsia="zh-CN"/>
              </w:rPr>
              <w:t>80000</w:t>
            </w:r>
            <w:r>
              <w:rPr>
                <w:rFonts w:ascii="宋体" w:hAnsi="宋体" w:cs="宋体"/>
                <w:b/>
                <w:bCs/>
                <w:color w:val="0000FF"/>
                <w:lang w:val="en-US" w:eastAsia="zh-CN"/>
              </w:rPr>
              <w:t>万元以下或资产总额</w:t>
            </w:r>
            <w:r>
              <w:rPr>
                <w:rFonts w:ascii="宋体" w:hAnsi="宋体" w:eastAsia="宋体" w:cs="宋体"/>
                <w:b/>
                <w:bCs/>
                <w:color w:val="0000FF"/>
                <w:lang w:val="en-US" w:eastAsia="zh-CN"/>
              </w:rPr>
              <w:t>80000</w:t>
            </w:r>
            <w:r>
              <w:rPr>
                <w:rFonts w:ascii="宋体" w:hAnsi="宋体" w:cs="宋体"/>
                <w:b/>
                <w:bCs/>
                <w:color w:val="0000FF"/>
                <w:lang w:val="en-US" w:eastAsia="zh-CN"/>
              </w:rPr>
              <w:t>万元以下的为中小微型企业。其中，营业收入</w:t>
            </w:r>
            <w:r>
              <w:rPr>
                <w:rFonts w:ascii="宋体" w:hAnsi="宋体" w:eastAsia="宋体" w:cs="宋体"/>
                <w:b/>
                <w:bCs/>
                <w:color w:val="0000FF"/>
                <w:lang w:val="en-US" w:eastAsia="zh-CN"/>
              </w:rPr>
              <w:t>6000</w:t>
            </w:r>
            <w:r>
              <w:rPr>
                <w:rFonts w:ascii="宋体" w:hAnsi="宋体" w:cs="宋体"/>
                <w:b/>
                <w:bCs/>
                <w:color w:val="0000FF"/>
                <w:lang w:val="en-US" w:eastAsia="zh-CN"/>
              </w:rPr>
              <w:t>万元及以上，且资产总额</w:t>
            </w:r>
            <w:r>
              <w:rPr>
                <w:rFonts w:ascii="宋体" w:hAnsi="宋体" w:eastAsia="宋体" w:cs="宋体"/>
                <w:b/>
                <w:bCs/>
                <w:color w:val="0000FF"/>
                <w:lang w:val="en-US" w:eastAsia="zh-CN"/>
              </w:rPr>
              <w:t>5000</w:t>
            </w:r>
            <w:r>
              <w:rPr>
                <w:rFonts w:ascii="宋体" w:hAnsi="宋体" w:cs="宋体"/>
                <w:b/>
                <w:bCs/>
                <w:color w:val="0000FF"/>
                <w:lang w:val="en-US" w:eastAsia="zh-CN"/>
              </w:rPr>
              <w:t>万元及以上的为中型企业；营业收入</w:t>
            </w:r>
            <w:r>
              <w:rPr>
                <w:rFonts w:ascii="宋体" w:hAnsi="宋体" w:eastAsia="宋体" w:cs="宋体"/>
                <w:b/>
                <w:bCs/>
                <w:color w:val="0000FF"/>
                <w:lang w:val="en-US" w:eastAsia="zh-CN"/>
              </w:rPr>
              <w:t>300</w:t>
            </w:r>
            <w:r>
              <w:rPr>
                <w:rFonts w:ascii="宋体" w:hAnsi="宋体" w:cs="宋体"/>
                <w:b/>
                <w:bCs/>
                <w:color w:val="0000FF"/>
                <w:lang w:val="en-US" w:eastAsia="zh-CN"/>
              </w:rPr>
              <w:t>万元及以上，且资产总额</w:t>
            </w:r>
            <w:r>
              <w:rPr>
                <w:rFonts w:ascii="宋体" w:hAnsi="宋体" w:eastAsia="宋体" w:cs="宋体"/>
                <w:b/>
                <w:bCs/>
                <w:color w:val="0000FF"/>
                <w:lang w:val="en-US" w:eastAsia="zh-CN"/>
              </w:rPr>
              <w:t>300</w:t>
            </w:r>
            <w:r>
              <w:rPr>
                <w:rFonts w:ascii="宋体" w:hAnsi="宋体" w:cs="宋体"/>
                <w:b/>
                <w:bCs/>
                <w:color w:val="0000FF"/>
                <w:lang w:val="en-US" w:eastAsia="zh-CN"/>
              </w:rPr>
              <w:t>万元及以上的为小型企业；营业收入</w:t>
            </w:r>
            <w:r>
              <w:rPr>
                <w:rFonts w:ascii="宋体" w:hAnsi="宋体" w:eastAsia="宋体" w:cs="宋体"/>
                <w:b/>
                <w:bCs/>
                <w:color w:val="0000FF"/>
                <w:lang w:val="en-US" w:eastAsia="zh-CN"/>
              </w:rPr>
              <w:t>300</w:t>
            </w:r>
            <w:r>
              <w:rPr>
                <w:rFonts w:ascii="宋体" w:hAnsi="宋体" w:cs="宋体"/>
                <w:b/>
                <w:bCs/>
                <w:color w:val="0000FF"/>
                <w:lang w:val="en-US" w:eastAsia="zh-CN"/>
              </w:rPr>
              <w:t>万元以下或资产总额</w:t>
            </w:r>
            <w:r>
              <w:rPr>
                <w:rFonts w:ascii="宋体" w:hAnsi="宋体" w:eastAsia="宋体" w:cs="宋体"/>
                <w:b/>
                <w:bCs/>
                <w:color w:val="0000FF"/>
                <w:lang w:val="en-US" w:eastAsia="zh-CN"/>
              </w:rPr>
              <w:t>300</w:t>
            </w:r>
            <w:r>
              <w:rPr>
                <w:rFonts w:ascii="宋体" w:hAnsi="宋体" w:cs="宋体"/>
                <w:b/>
                <w:bCs/>
                <w:color w:val="0000FF"/>
                <w:lang w:val="en-US" w:eastAsia="zh-CN"/>
              </w:rPr>
              <w:t>万元以下的为微型企业。</w:t>
            </w:r>
          </w:p>
        </w:tc>
      </w:tr>
      <w:tr w14:paraId="499454A9">
        <w:tblPrEx>
          <w:tblCellMar>
            <w:top w:w="0" w:type="dxa"/>
            <w:left w:w="108" w:type="dxa"/>
            <w:bottom w:w="0" w:type="dxa"/>
            <w:right w:w="108" w:type="dxa"/>
          </w:tblCellMar>
        </w:tblPrEx>
        <w:trPr>
          <w:trHeight w:val="841" w:hRule="atLeast"/>
          <w:jc w:val="center"/>
        </w:trPr>
        <w:tc>
          <w:tcPr>
            <w:tcW w:w="471" w:type="dxa"/>
            <w:tcBorders>
              <w:top w:val="single" w:color="000000" w:sz="8" w:space="0"/>
              <w:left w:val="single" w:color="000000" w:sz="12" w:space="0"/>
              <w:bottom w:val="single" w:color="000000" w:sz="8" w:space="0"/>
              <w:right w:val="single" w:color="000000" w:sz="4" w:space="0"/>
            </w:tcBorders>
            <w:vAlign w:val="center"/>
          </w:tcPr>
          <w:p w14:paraId="51D28227">
            <w:pPr>
              <w:keepNext w:val="0"/>
              <w:keepLines w:val="0"/>
              <w:kinsoku/>
              <w:overflowPunct/>
              <w:autoSpaceDE/>
              <w:bidi w:val="0"/>
              <w:snapToGrid w:val="0"/>
              <w:spacing w:line="360" w:lineRule="auto"/>
              <w:textAlignment w:val="auto"/>
              <w:rPr>
                <w:rFonts w:ascii="宋体" w:hAnsi="宋体" w:eastAsia="宋体" w:cs="宋体"/>
                <w:b/>
                <w:bCs w:val="0"/>
                <w:color w:val="000000"/>
                <w:sz w:val="21"/>
                <w:szCs w:val="21"/>
                <w:highlight w:val="none"/>
                <w:lang w:val="en-US" w:eastAsia="zh-CN"/>
              </w:rPr>
            </w:pPr>
            <w:r>
              <w:rPr>
                <w:rFonts w:ascii="宋体" w:hAnsi="宋体" w:eastAsia="宋体" w:cs="宋体"/>
                <w:b w:val="0"/>
                <w:bCs/>
                <w:color w:val="000000"/>
                <w:sz w:val="21"/>
                <w:szCs w:val="21"/>
                <w:lang w:val="en-US" w:eastAsia="zh-CN"/>
              </w:rPr>
              <w:t>30</w:t>
            </w:r>
          </w:p>
        </w:tc>
        <w:tc>
          <w:tcPr>
            <w:tcW w:w="8902" w:type="dxa"/>
            <w:gridSpan w:val="2"/>
            <w:tcBorders>
              <w:top w:val="single" w:color="000000" w:sz="8" w:space="0"/>
              <w:left w:val="single" w:color="000000" w:sz="4" w:space="0"/>
              <w:bottom w:val="single" w:color="000000" w:sz="8" w:space="0"/>
              <w:right w:val="single" w:color="000000" w:sz="12" w:space="0"/>
            </w:tcBorders>
            <w:vAlign w:val="center"/>
          </w:tcPr>
          <w:p w14:paraId="01BBDFEF">
            <w:pPr>
              <w:spacing w:line="360" w:lineRule="auto"/>
              <w:rPr>
                <w:rFonts w:ascii="宋体" w:hAnsi="宋体" w:eastAsia="宋体" w:cs="宋体"/>
                <w:b/>
                <w:bCs/>
                <w:kern w:val="0"/>
                <w:sz w:val="21"/>
                <w:szCs w:val="21"/>
              </w:rPr>
            </w:pPr>
            <w:r>
              <w:rPr>
                <w:rFonts w:ascii="宋体" w:hAnsi="宋体" w:cs="宋体"/>
                <w:b/>
                <w:bCs/>
                <w:kern w:val="0"/>
                <w:sz w:val="21"/>
                <w:szCs w:val="21"/>
              </w:rPr>
              <w:t>注：</w:t>
            </w:r>
            <w:r>
              <w:rPr>
                <w:rFonts w:ascii="宋体" w:hAnsi="宋体" w:eastAsia="宋体" w:cs="宋体"/>
                <w:b/>
                <w:bCs/>
                <w:kern w:val="0"/>
                <w:sz w:val="21"/>
                <w:szCs w:val="21"/>
              </w:rPr>
              <w:t>1</w:t>
            </w:r>
            <w:r>
              <w:rPr>
                <w:rFonts w:ascii="宋体" w:hAnsi="宋体" w:cs="宋体"/>
                <w:b/>
                <w:bCs/>
                <w:kern w:val="0"/>
                <w:sz w:val="21"/>
                <w:szCs w:val="21"/>
              </w:rPr>
              <w:t>、采购的实质性要求和条件，着重提醒各供应商注意认真查看</w:t>
            </w:r>
            <w:r>
              <w:rPr>
                <w:rFonts w:ascii="宋体" w:hAnsi="宋体" w:cs="宋体"/>
                <w:b/>
                <w:bCs/>
                <w:kern w:val="0"/>
                <w:sz w:val="21"/>
                <w:szCs w:val="21"/>
                <w:lang w:eastAsia="zh-CN"/>
              </w:rPr>
              <w:t>竞争性磋商文件</w:t>
            </w:r>
            <w:r>
              <w:rPr>
                <w:rFonts w:ascii="宋体" w:hAnsi="宋体" w:cs="宋体"/>
                <w:b/>
                <w:bCs/>
                <w:kern w:val="0"/>
                <w:sz w:val="21"/>
                <w:szCs w:val="21"/>
              </w:rPr>
              <w:t>中的每一个条款及要求，因误读</w:t>
            </w:r>
            <w:r>
              <w:rPr>
                <w:rFonts w:ascii="宋体" w:hAnsi="宋体" w:cs="宋体"/>
                <w:b/>
                <w:bCs/>
                <w:kern w:val="0"/>
                <w:sz w:val="21"/>
                <w:szCs w:val="21"/>
                <w:lang w:eastAsia="zh-CN"/>
              </w:rPr>
              <w:t>竞争性磋商文件</w:t>
            </w:r>
            <w:r>
              <w:rPr>
                <w:rFonts w:ascii="宋体" w:hAnsi="宋体" w:cs="宋体"/>
                <w:b/>
                <w:bCs/>
                <w:kern w:val="0"/>
                <w:sz w:val="21"/>
                <w:szCs w:val="21"/>
              </w:rPr>
              <w:t>而造成的后果，采购人概不负责。</w:t>
            </w:r>
          </w:p>
          <w:p w14:paraId="7C5C4029">
            <w:pPr>
              <w:spacing w:line="360" w:lineRule="auto"/>
              <w:rPr>
                <w:rFonts w:ascii="宋体" w:hAnsi="宋体" w:eastAsia="宋体" w:cs="宋体"/>
                <w:b/>
                <w:bCs/>
                <w:kern w:val="0"/>
                <w:sz w:val="21"/>
                <w:szCs w:val="21"/>
              </w:rPr>
            </w:pPr>
            <w:r>
              <w:rPr>
                <w:rFonts w:ascii="宋体" w:hAnsi="宋体" w:eastAsia="宋体" w:cs="宋体"/>
                <w:b/>
                <w:bCs/>
                <w:kern w:val="0"/>
                <w:sz w:val="21"/>
                <w:szCs w:val="21"/>
                <w:lang w:val="en-US" w:eastAsia="zh-CN"/>
              </w:rPr>
              <w:t>2</w:t>
            </w:r>
            <w:r>
              <w:rPr>
                <w:rFonts w:ascii="宋体" w:hAnsi="宋体" w:cs="宋体"/>
                <w:b/>
                <w:bCs/>
                <w:kern w:val="0"/>
                <w:sz w:val="21"/>
                <w:szCs w:val="21"/>
              </w:rPr>
              <w:t>、除法律、法规和规章规定外，竞争性磋商文件中用“拒绝”、“不接受”、“无效”、“不得”等文字规定，对其中任何一条的偏离，在评审时将其视为无效文件。未用上述文字规定或符号标注的条款为非实质性要求条款</w:t>
            </w:r>
            <w:r>
              <w:rPr>
                <w:rFonts w:ascii="宋体" w:hAnsi="宋体" w:eastAsia="宋体" w:cs="宋体"/>
                <w:b/>
                <w:bCs/>
                <w:kern w:val="0"/>
                <w:sz w:val="21"/>
                <w:szCs w:val="21"/>
              </w:rPr>
              <w:t>(</w:t>
            </w:r>
            <w:r>
              <w:rPr>
                <w:rFonts w:ascii="宋体" w:hAnsi="宋体" w:cs="宋体"/>
                <w:b/>
                <w:bCs/>
                <w:kern w:val="0"/>
                <w:sz w:val="21"/>
                <w:szCs w:val="21"/>
              </w:rPr>
              <w:t>即一般条款</w:t>
            </w:r>
            <w:r>
              <w:rPr>
                <w:rFonts w:ascii="宋体" w:hAnsi="宋体" w:eastAsia="宋体" w:cs="宋体"/>
                <w:b/>
                <w:bCs/>
                <w:kern w:val="0"/>
                <w:sz w:val="21"/>
                <w:szCs w:val="21"/>
              </w:rPr>
              <w:t>)</w:t>
            </w:r>
            <w:r>
              <w:rPr>
                <w:rFonts w:ascii="宋体" w:hAnsi="宋体" w:cs="宋体"/>
                <w:b/>
                <w:bCs/>
                <w:kern w:val="0"/>
                <w:sz w:val="21"/>
                <w:szCs w:val="21"/>
              </w:rPr>
              <w:t>。</w:t>
            </w:r>
          </w:p>
          <w:p w14:paraId="75802DE6">
            <w:pPr>
              <w:keepNext w:val="0"/>
              <w:keepLines w:val="0"/>
              <w:kinsoku/>
              <w:overflowPunct/>
              <w:autoSpaceDE/>
              <w:bidi w:val="0"/>
              <w:snapToGrid w:val="0"/>
              <w:spacing w:line="360" w:lineRule="auto"/>
              <w:jc w:val="left"/>
              <w:textAlignment w:val="auto"/>
              <w:rPr>
                <w:rFonts w:ascii="宋体" w:hAnsi="宋体" w:eastAsia="宋体" w:cs="宋体"/>
                <w:b/>
                <w:bCs/>
                <w:color w:val="FF0000"/>
                <w:sz w:val="21"/>
                <w:szCs w:val="21"/>
                <w:highlight w:val="none"/>
                <w:lang w:eastAsia="zh-CN"/>
              </w:rPr>
            </w:pPr>
            <w:r>
              <w:rPr>
                <w:rFonts w:ascii="宋体" w:hAnsi="宋体" w:eastAsia="宋体" w:cs="宋体"/>
                <w:b/>
                <w:bCs/>
                <w:color w:val="FF0000"/>
                <w:kern w:val="0"/>
                <w:sz w:val="21"/>
                <w:szCs w:val="21"/>
                <w:lang w:val="en-US" w:eastAsia="zh-CN"/>
              </w:rPr>
              <w:t>3</w:t>
            </w:r>
            <w:r>
              <w:rPr>
                <w:rFonts w:ascii="宋体" w:hAnsi="宋体" w:cs="宋体"/>
                <w:b/>
                <w:bCs/>
                <w:color w:val="FF0000"/>
                <w:kern w:val="0"/>
                <w:sz w:val="21"/>
                <w:szCs w:val="21"/>
              </w:rPr>
              <w:t>、</w:t>
            </w:r>
            <w:r>
              <w:rPr>
                <w:rFonts w:ascii="宋体" w:hAnsi="宋体" w:cs="宋体"/>
                <w:b/>
                <w:bCs/>
                <w:color w:val="FF0000"/>
                <w:sz w:val="21"/>
                <w:szCs w:val="21"/>
              </w:rPr>
              <w:t>供应商</w:t>
            </w:r>
            <w:r>
              <w:rPr>
                <w:rFonts w:ascii="宋体" w:hAnsi="宋体" w:cs="宋体"/>
                <w:b/>
                <w:bCs/>
                <w:color w:val="FF0000"/>
                <w:kern w:val="0"/>
                <w:sz w:val="21"/>
                <w:szCs w:val="21"/>
              </w:rPr>
              <w:t>响应文件中的报价为一次报价，各供应商进行二次报价（磋商），</w:t>
            </w:r>
            <w:r>
              <w:rPr>
                <w:rFonts w:ascii="宋体" w:hAnsi="宋体" w:cs="宋体"/>
                <w:b/>
                <w:bCs/>
                <w:color w:val="FF0000"/>
                <w:kern w:val="0"/>
                <w:sz w:val="21"/>
                <w:szCs w:val="21"/>
                <w:lang w:val="en-US" w:eastAsia="zh-CN"/>
              </w:rPr>
              <w:t>均</w:t>
            </w:r>
            <w:r>
              <w:rPr>
                <w:rFonts w:ascii="宋体" w:hAnsi="宋体" w:cs="宋体"/>
                <w:b/>
                <w:bCs/>
                <w:color w:val="FF0000"/>
                <w:kern w:val="0"/>
                <w:sz w:val="21"/>
                <w:szCs w:val="21"/>
              </w:rPr>
              <w:t>不得高于</w:t>
            </w:r>
            <w:r>
              <w:rPr>
                <w:rFonts w:ascii="宋体" w:hAnsi="宋体" w:cs="宋体"/>
                <w:b/>
                <w:bCs/>
                <w:color w:val="FF0000"/>
                <w:kern w:val="0"/>
                <w:sz w:val="21"/>
                <w:szCs w:val="21"/>
                <w:lang w:val="en-US" w:eastAsia="zh-CN"/>
              </w:rPr>
              <w:t>最高限价</w:t>
            </w:r>
            <w:r>
              <w:rPr>
                <w:rFonts w:ascii="宋体" w:hAnsi="宋体" w:cs="宋体"/>
                <w:b/>
                <w:bCs/>
                <w:color w:val="FF0000"/>
                <w:kern w:val="0"/>
                <w:sz w:val="21"/>
                <w:szCs w:val="21"/>
              </w:rPr>
              <w:t>，</w:t>
            </w:r>
            <w:r>
              <w:rPr>
                <w:rFonts w:ascii="宋体" w:hAnsi="宋体" w:cs="宋体"/>
                <w:b/>
                <w:bCs/>
                <w:color w:val="FF0000"/>
                <w:kern w:val="0"/>
                <w:sz w:val="21"/>
                <w:szCs w:val="21"/>
                <w:lang w:val="en-US" w:eastAsia="zh-CN"/>
              </w:rPr>
              <w:t>磋商报价</w:t>
            </w:r>
            <w:r>
              <w:rPr>
                <w:rFonts w:ascii="宋体" w:hAnsi="宋体" w:cs="宋体"/>
                <w:b/>
                <w:bCs/>
                <w:color w:val="FF0000"/>
                <w:sz w:val="21"/>
                <w:szCs w:val="21"/>
              </w:rPr>
              <w:t>以最终磋商报价作为评审价</w:t>
            </w:r>
            <w:r>
              <w:rPr>
                <w:rFonts w:ascii="宋体" w:hAnsi="宋体" w:cs="宋体"/>
                <w:b/>
                <w:bCs/>
                <w:color w:val="FF0000"/>
                <w:sz w:val="21"/>
                <w:szCs w:val="21"/>
                <w:lang w:eastAsia="zh-CN"/>
              </w:rPr>
              <w:t>。</w:t>
            </w:r>
          </w:p>
          <w:p w14:paraId="3FC94CC9">
            <w:pPr>
              <w:keepNext w:val="0"/>
              <w:keepLines w:val="0"/>
              <w:kinsoku/>
              <w:overflowPunct/>
              <w:autoSpaceDE/>
              <w:bidi w:val="0"/>
              <w:snapToGrid w:val="0"/>
              <w:spacing w:line="360" w:lineRule="auto"/>
              <w:jc w:val="left"/>
              <w:textAlignment w:val="auto"/>
              <w:rPr>
                <w:rFonts w:ascii="宋体" w:hAnsi="宋体" w:eastAsia="宋体" w:cs="宋体"/>
                <w:b/>
                <w:bCs/>
                <w:color w:val="FF0000"/>
                <w:sz w:val="21"/>
                <w:szCs w:val="21"/>
                <w:highlight w:val="none"/>
                <w:lang w:val="en-US" w:eastAsia="zh-CN"/>
              </w:rPr>
            </w:pPr>
            <w:r>
              <w:rPr>
                <w:rFonts w:ascii="宋体" w:hAnsi="宋体" w:cs="宋体"/>
                <w:b/>
                <w:bCs/>
                <w:color w:val="FF0000"/>
                <w:sz w:val="21"/>
                <w:szCs w:val="21"/>
                <w:highlight w:val="yellow"/>
                <w:lang w:val="en-US" w:eastAsia="zh-CN"/>
              </w:rPr>
              <w:t>注：最终轮磋商报价须在政采云系统上传价格调整后的工程量报价</w:t>
            </w:r>
            <w:r>
              <w:rPr>
                <w:rFonts w:ascii="宋体" w:hAnsi="宋体" w:eastAsia="宋体" w:cs="宋体"/>
                <w:b/>
                <w:bCs/>
                <w:color w:val="FF0000"/>
                <w:sz w:val="21"/>
                <w:szCs w:val="21"/>
                <w:highlight w:val="yellow"/>
                <w:lang w:val="en-US" w:eastAsia="zh-CN"/>
              </w:rPr>
              <w:t>PDF</w:t>
            </w:r>
            <w:r>
              <w:rPr>
                <w:rFonts w:ascii="宋体" w:hAnsi="宋体" w:cs="宋体"/>
                <w:b/>
                <w:bCs/>
                <w:color w:val="FF0000"/>
                <w:sz w:val="21"/>
                <w:szCs w:val="21"/>
                <w:highlight w:val="yellow"/>
                <w:lang w:val="en-US" w:eastAsia="zh-CN"/>
              </w:rPr>
              <w:t>清单。（因上传时间较短，各潜在供应商可提前编制准备最终工程量报价清单）</w:t>
            </w:r>
          </w:p>
        </w:tc>
      </w:tr>
      <w:tr w14:paraId="3CE4FF90">
        <w:tblPrEx>
          <w:tblCellMar>
            <w:top w:w="0" w:type="dxa"/>
            <w:left w:w="108" w:type="dxa"/>
            <w:bottom w:w="0" w:type="dxa"/>
            <w:right w:w="108" w:type="dxa"/>
          </w:tblCellMar>
        </w:tblPrEx>
        <w:trPr>
          <w:trHeight w:val="841" w:hRule="atLeast"/>
          <w:jc w:val="center"/>
        </w:trPr>
        <w:tc>
          <w:tcPr>
            <w:tcW w:w="9373" w:type="dxa"/>
            <w:gridSpan w:val="3"/>
            <w:tcBorders>
              <w:top w:val="single" w:color="000000" w:sz="8" w:space="0"/>
              <w:left w:val="single" w:color="000000" w:sz="12" w:space="0"/>
              <w:bottom w:val="single" w:color="000000" w:sz="12" w:space="0"/>
              <w:right w:val="single" w:color="000000" w:sz="12" w:space="0"/>
            </w:tcBorders>
            <w:vAlign w:val="center"/>
          </w:tcPr>
          <w:p w14:paraId="6B09B4C2">
            <w:pPr>
              <w:keepNext w:val="0"/>
              <w:keepLines w:val="0"/>
              <w:kinsoku/>
              <w:overflowPunct/>
              <w:autoSpaceDE/>
              <w:bidi w:val="0"/>
              <w:snapToGrid w:val="0"/>
              <w:spacing w:line="360" w:lineRule="auto"/>
              <w:jc w:val="left"/>
              <w:textAlignment w:val="auto"/>
              <w:rPr>
                <w:rFonts w:ascii="宋体" w:hAnsi="宋体" w:eastAsia="宋体" w:cs="宋体"/>
                <w:b/>
                <w:bCs w:val="0"/>
                <w:color w:val="000000"/>
                <w:kern w:val="2"/>
                <w:sz w:val="21"/>
                <w:szCs w:val="21"/>
                <w:highlight w:val="none"/>
                <w:lang w:val="en-US" w:eastAsia="zh-CN" w:bidi="ar-SA"/>
              </w:rPr>
            </w:pPr>
            <w:r>
              <w:rPr>
                <w:rFonts w:ascii="宋体" w:hAnsi="宋体" w:cs="宋体"/>
                <w:b/>
                <w:bCs w:val="0"/>
                <w:color w:val="000000"/>
                <w:sz w:val="21"/>
                <w:szCs w:val="21"/>
              </w:rPr>
              <w:t>备注</w:t>
            </w:r>
            <w:r>
              <w:rPr>
                <w:rFonts w:ascii="宋体" w:hAnsi="宋体" w:cs="宋体"/>
                <w:b/>
                <w:bCs w:val="0"/>
                <w:color w:val="000000"/>
                <w:sz w:val="21"/>
                <w:szCs w:val="21"/>
                <w:lang w:eastAsia="zh-CN"/>
              </w:rPr>
              <w:t>：</w:t>
            </w:r>
            <w:r>
              <w:rPr>
                <w:rFonts w:ascii="宋体" w:hAnsi="宋体" w:cs="宋体"/>
                <w:b/>
                <w:bCs w:val="0"/>
                <w:color w:val="000000"/>
                <w:sz w:val="21"/>
                <w:szCs w:val="21"/>
              </w:rPr>
              <w:t>供应商使用相同</w:t>
            </w:r>
            <w:r>
              <w:rPr>
                <w:rFonts w:ascii="宋体" w:hAnsi="宋体" w:eastAsia="宋体" w:cs="宋体"/>
                <w:b/>
                <w:bCs w:val="0"/>
                <w:color w:val="000000"/>
                <w:sz w:val="21"/>
                <w:szCs w:val="21"/>
              </w:rPr>
              <w:t>IP</w:t>
            </w:r>
            <w:r>
              <w:rPr>
                <w:rFonts w:ascii="宋体" w:hAnsi="宋体" w:cs="宋体"/>
                <w:b/>
                <w:bCs w:val="0"/>
                <w:color w:val="000000"/>
                <w:sz w:val="21"/>
                <w:szCs w:val="21"/>
              </w:rPr>
              <w:t>地址的，一经发现，</w:t>
            </w:r>
            <w:r>
              <w:rPr>
                <w:rFonts w:ascii="宋体" w:hAnsi="宋体" w:cs="宋体"/>
                <w:b/>
                <w:bCs w:val="0"/>
                <w:color w:val="000000"/>
                <w:sz w:val="21"/>
                <w:szCs w:val="21"/>
                <w:lang w:eastAsia="zh-CN"/>
              </w:rPr>
              <w:t>相关</w:t>
            </w:r>
            <w:r>
              <w:rPr>
                <w:rFonts w:ascii="宋体" w:hAnsi="宋体" w:cs="宋体"/>
                <w:b/>
                <w:bCs w:val="0"/>
                <w:color w:val="000000"/>
                <w:sz w:val="21"/>
                <w:szCs w:val="21"/>
              </w:rPr>
              <w:t>部门将进一步核实，查实后按串通响应处理</w:t>
            </w:r>
            <w:r>
              <w:rPr>
                <w:rFonts w:ascii="宋体" w:hAnsi="宋体" w:cs="宋体"/>
                <w:b/>
                <w:bCs w:val="0"/>
                <w:color w:val="000000"/>
                <w:sz w:val="21"/>
                <w:szCs w:val="21"/>
                <w:lang w:eastAsia="zh-CN"/>
              </w:rPr>
              <w:t>。</w:t>
            </w:r>
          </w:p>
        </w:tc>
      </w:tr>
    </w:tbl>
    <w:p w14:paraId="11E305B5">
      <w:pPr>
        <w:numPr>
          <w:ilvl w:val="0"/>
          <w:numId w:val="0"/>
        </w:numPr>
        <w:spacing w:before="312" w:after="312" w:line="440" w:lineRule="exact"/>
        <w:jc w:val="center"/>
        <w:outlineLvl w:val="1"/>
        <w:rPr>
          <w:rFonts w:ascii="宋体" w:hAnsi="宋体"/>
          <w:b/>
          <w:color w:val="000000"/>
          <w:sz w:val="28"/>
          <w:szCs w:val="32"/>
          <w:highlight w:val="none"/>
        </w:rPr>
      </w:pPr>
      <w:r>
        <w:br w:type="page"/>
      </w:r>
      <w:r>
        <w:rPr>
          <w:rFonts w:ascii="宋体" w:hAnsi="宋体"/>
          <w:b/>
          <w:color w:val="000000"/>
          <w:sz w:val="28"/>
          <w:szCs w:val="28"/>
        </w:rPr>
        <w:t>二、供应商须知</w:t>
      </w:r>
    </w:p>
    <w:p w14:paraId="29EED4BB">
      <w:pPr>
        <w:numPr>
          <w:ilvl w:val="0"/>
          <w:numId w:val="0"/>
        </w:numPr>
        <w:spacing w:line="440" w:lineRule="exact"/>
        <w:jc w:val="center"/>
        <w:outlineLvl w:val="2"/>
        <w:rPr>
          <w:rFonts w:ascii="宋体" w:hAnsi="宋体"/>
          <w:color w:val="000000"/>
          <w:sz w:val="28"/>
          <w:szCs w:val="28"/>
          <w:highlight w:val="none"/>
        </w:rPr>
      </w:pPr>
      <w:r>
        <w:rPr>
          <w:rFonts w:ascii="宋体" w:hAnsi="宋体"/>
          <w:b/>
          <w:color w:val="000000"/>
          <w:sz w:val="28"/>
          <w:szCs w:val="28"/>
        </w:rPr>
        <w:t>（一）</w:t>
      </w:r>
      <w:r>
        <w:rPr>
          <w:rFonts w:ascii="宋体" w:hAnsi="宋体"/>
          <w:b/>
          <w:color w:val="000000"/>
          <w:sz w:val="28"/>
          <w:szCs w:val="32"/>
        </w:rPr>
        <w:t>总  则</w:t>
      </w:r>
    </w:p>
    <w:p w14:paraId="42E7E705">
      <w:pPr>
        <w:snapToGrid w:val="0"/>
        <w:spacing w:line="440" w:lineRule="exact"/>
        <w:ind w:firstLine="420"/>
        <w:rPr>
          <w:rFonts w:ascii="宋体" w:hAnsi="宋体"/>
          <w:b/>
          <w:color w:val="000000"/>
          <w:szCs w:val="21"/>
          <w:highlight w:val="none"/>
        </w:rPr>
      </w:pPr>
      <w:r>
        <w:rPr>
          <w:rFonts w:ascii="宋体" w:hAnsi="宋体"/>
          <w:b/>
          <w:color w:val="000000"/>
          <w:szCs w:val="21"/>
        </w:rPr>
        <w:t>1.项目概况</w:t>
      </w:r>
    </w:p>
    <w:p w14:paraId="33411E96">
      <w:pPr>
        <w:snapToGrid w:val="0"/>
        <w:spacing w:line="440" w:lineRule="exact"/>
        <w:ind w:firstLine="420"/>
        <w:rPr>
          <w:rFonts w:ascii="宋体" w:hAnsi="宋体"/>
          <w:color w:val="000000"/>
          <w:szCs w:val="21"/>
          <w:highlight w:val="none"/>
          <w:u w:val="single"/>
        </w:rPr>
      </w:pPr>
      <w:r>
        <w:rPr>
          <w:rFonts w:ascii="宋体" w:hAnsi="宋体"/>
          <w:color w:val="000000"/>
          <w:szCs w:val="21"/>
        </w:rPr>
        <w:t>1.1本次采购采购项目名称：见供应商须知前附表。</w:t>
      </w:r>
    </w:p>
    <w:p w14:paraId="6568F30A">
      <w:pPr>
        <w:snapToGrid w:val="0"/>
        <w:spacing w:line="440" w:lineRule="exact"/>
        <w:ind w:firstLine="420"/>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项目编号：见供应商须知前附表。</w:t>
      </w:r>
    </w:p>
    <w:p w14:paraId="59475594">
      <w:pPr>
        <w:snapToGrid w:val="0"/>
        <w:spacing w:line="440" w:lineRule="exact"/>
        <w:ind w:firstLine="420"/>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采购人：见供应商须知前附表。</w:t>
      </w:r>
    </w:p>
    <w:p w14:paraId="2E0C307D">
      <w:pPr>
        <w:snapToGrid w:val="0"/>
        <w:spacing w:line="440" w:lineRule="exact"/>
        <w:ind w:firstLine="420"/>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供货期（服务周期）：见供应商须知前附表。</w:t>
      </w:r>
    </w:p>
    <w:p w14:paraId="540ECB7D">
      <w:pPr>
        <w:snapToGrid w:val="0"/>
        <w:spacing w:line="440" w:lineRule="exact"/>
        <w:ind w:firstLine="420"/>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供货地点：见供应商须知前附表。</w:t>
      </w:r>
    </w:p>
    <w:p w14:paraId="72FDD53F">
      <w:pPr>
        <w:snapToGrid w:val="0"/>
        <w:spacing w:line="440" w:lineRule="exact"/>
        <w:ind w:firstLine="420"/>
        <w:rPr>
          <w:rFonts w:ascii="宋体" w:hAnsi="宋体"/>
          <w:color w:val="000000"/>
          <w:szCs w:val="21"/>
          <w:highlight w:val="none"/>
          <w:u w:val="single"/>
        </w:rPr>
      </w:pPr>
      <w:r>
        <w:rPr>
          <w:rFonts w:ascii="宋体" w:hAnsi="宋体"/>
          <w:color w:val="000000"/>
          <w:szCs w:val="21"/>
        </w:rPr>
        <w:t>1.2采购人及联系人: 见供应商须知前附表。</w:t>
      </w:r>
    </w:p>
    <w:p w14:paraId="21D2CB86">
      <w:pPr>
        <w:snapToGrid w:val="0"/>
        <w:spacing w:line="440" w:lineRule="exact"/>
        <w:ind w:firstLine="525"/>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代理机构及联系人: 见供应商须知前附表。</w:t>
      </w:r>
    </w:p>
    <w:p w14:paraId="40C0B723">
      <w:pPr>
        <w:snapToGrid w:val="0"/>
        <w:spacing w:line="440" w:lineRule="exact"/>
        <w:ind w:firstLine="420"/>
        <w:rPr>
          <w:rFonts w:ascii="宋体" w:hAnsi="宋体"/>
          <w:color w:val="000000"/>
          <w:szCs w:val="21"/>
          <w:highlight w:val="none"/>
        </w:rPr>
      </w:pPr>
      <w:r>
        <w:rPr>
          <w:rFonts w:ascii="宋体" w:hAnsi="宋体"/>
          <w:color w:val="000000"/>
          <w:szCs w:val="21"/>
        </w:rPr>
        <w:t>1.3资金来源：见供应商须知前附表。</w:t>
      </w:r>
    </w:p>
    <w:p w14:paraId="0B6A9E7A">
      <w:pPr>
        <w:snapToGrid w:val="0"/>
        <w:spacing w:line="440" w:lineRule="exact"/>
        <w:ind w:firstLine="420"/>
        <w:rPr>
          <w:rFonts w:ascii="宋体" w:hAnsi="宋体"/>
          <w:color w:val="000000"/>
          <w:szCs w:val="21"/>
          <w:highlight w:val="none"/>
        </w:rPr>
      </w:pPr>
      <w:r>
        <w:rPr>
          <w:rFonts w:ascii="宋体" w:hAnsi="宋体"/>
          <w:color w:val="000000"/>
          <w:szCs w:val="21"/>
        </w:rPr>
        <w:t>1.4本项目预算：见供应商须知前附表。</w:t>
      </w:r>
    </w:p>
    <w:p w14:paraId="6DF67E34">
      <w:pPr>
        <w:snapToGrid w:val="0"/>
        <w:spacing w:line="440" w:lineRule="exact"/>
        <w:ind w:firstLine="420"/>
        <w:rPr>
          <w:rFonts w:ascii="宋体" w:hAnsi="宋体"/>
          <w:color w:val="000000"/>
          <w:szCs w:val="21"/>
          <w:highlight w:val="none"/>
        </w:rPr>
      </w:pPr>
      <w:r>
        <w:rPr>
          <w:rFonts w:ascii="宋体" w:hAnsi="宋体"/>
          <w:color w:val="000000"/>
          <w:szCs w:val="21"/>
        </w:rPr>
        <w:t>1.5本项目控制价：见供应商须知前附表。</w:t>
      </w:r>
    </w:p>
    <w:p w14:paraId="1C50A09C">
      <w:pPr>
        <w:snapToGrid w:val="0"/>
        <w:spacing w:line="440" w:lineRule="exact"/>
        <w:ind w:firstLine="420"/>
        <w:rPr>
          <w:rFonts w:ascii="宋体" w:hAnsi="宋体"/>
          <w:b/>
          <w:color w:val="000000"/>
          <w:szCs w:val="21"/>
          <w:highlight w:val="none"/>
        </w:rPr>
      </w:pPr>
      <w:r>
        <w:rPr>
          <w:rFonts w:ascii="宋体" w:hAnsi="宋体"/>
          <w:b/>
          <w:color w:val="000000"/>
          <w:szCs w:val="21"/>
        </w:rPr>
        <w:t>2.采购范围：</w:t>
      </w:r>
    </w:p>
    <w:p w14:paraId="64BB19F3">
      <w:pPr>
        <w:snapToGrid w:val="0"/>
        <w:spacing w:line="440" w:lineRule="exact"/>
        <w:ind w:firstLine="420"/>
        <w:rPr>
          <w:rFonts w:ascii="宋体" w:hAnsi="宋体"/>
          <w:color w:val="000000"/>
          <w:szCs w:val="21"/>
          <w:highlight w:val="none"/>
          <w:u w:val="single"/>
        </w:rPr>
      </w:pPr>
      <w:r>
        <w:rPr>
          <w:rFonts w:ascii="宋体" w:hAnsi="宋体"/>
          <w:color w:val="000000"/>
          <w:szCs w:val="21"/>
        </w:rPr>
        <w:t>2.1 采购内容：见供应商须知前附表。</w:t>
      </w:r>
    </w:p>
    <w:p w14:paraId="74021872">
      <w:pPr>
        <w:snapToGrid w:val="0"/>
        <w:spacing w:line="440" w:lineRule="exact"/>
        <w:ind w:firstLine="420"/>
        <w:rPr>
          <w:rFonts w:ascii="宋体" w:hAnsi="宋体"/>
          <w:color w:val="000000"/>
          <w:szCs w:val="21"/>
          <w:highlight w:val="none"/>
        </w:rPr>
      </w:pPr>
      <w:r>
        <w:rPr>
          <w:rFonts w:ascii="宋体" w:hAnsi="宋体"/>
          <w:color w:val="000000"/>
          <w:szCs w:val="21"/>
        </w:rPr>
        <w:t>2.2 技术要求：详见</w:t>
      </w:r>
      <w:r>
        <w:rPr>
          <w:rFonts w:ascii="宋体" w:hAnsi="宋体"/>
          <w:color w:val="000000"/>
          <w:szCs w:val="21"/>
          <w:lang w:eastAsia="zh-CN"/>
        </w:rPr>
        <w:t>采购文件</w:t>
      </w:r>
      <w:r>
        <w:rPr>
          <w:rFonts w:ascii="宋体" w:hAnsi="宋体"/>
          <w:color w:val="000000"/>
          <w:szCs w:val="21"/>
        </w:rPr>
        <w:t>第四章采购内容及技术要求。</w:t>
      </w:r>
    </w:p>
    <w:p w14:paraId="59EB14AC">
      <w:pPr>
        <w:snapToGrid w:val="0"/>
        <w:spacing w:line="440" w:lineRule="exact"/>
        <w:ind w:firstLine="420"/>
        <w:rPr>
          <w:rFonts w:ascii="宋体" w:hAnsi="宋体"/>
          <w:b/>
          <w:color w:val="000000"/>
          <w:szCs w:val="21"/>
          <w:highlight w:val="none"/>
        </w:rPr>
      </w:pPr>
      <w:r>
        <w:rPr>
          <w:rFonts w:ascii="宋体" w:hAnsi="宋体"/>
          <w:b/>
          <w:color w:val="000000"/>
          <w:szCs w:val="21"/>
        </w:rPr>
        <w:t>3.标包划分：</w:t>
      </w:r>
    </w:p>
    <w:p w14:paraId="732C52B5">
      <w:pPr>
        <w:snapToGrid w:val="0"/>
        <w:spacing w:line="440" w:lineRule="exact"/>
        <w:ind w:firstLine="420"/>
        <w:jc w:val="left"/>
        <w:rPr>
          <w:rFonts w:ascii="宋体" w:hAnsi="宋体"/>
          <w:color w:val="000000"/>
          <w:szCs w:val="21"/>
          <w:highlight w:val="none"/>
        </w:rPr>
      </w:pPr>
      <w:r>
        <w:rPr>
          <w:rFonts w:ascii="宋体" w:hAnsi="宋体"/>
          <w:color w:val="000000"/>
          <w:szCs w:val="21"/>
        </w:rPr>
        <w:t>3.1本项目划分：</w:t>
      </w:r>
      <w:r>
        <w:rPr>
          <w:rFonts w:ascii="宋体" w:hAnsi="宋体"/>
          <w:color w:val="000000"/>
          <w:szCs w:val="21"/>
          <w:u w:val="single"/>
        </w:rPr>
        <w:t xml:space="preserve"> </w:t>
      </w:r>
      <w:r>
        <w:rPr>
          <w:rFonts w:ascii="宋体" w:hAnsi="宋体"/>
          <w:color w:val="000000"/>
          <w:szCs w:val="21"/>
          <w:u w:val="single"/>
          <w:lang w:val="en-US" w:eastAsia="zh-CN"/>
        </w:rPr>
        <w:t>1</w:t>
      </w:r>
      <w:r>
        <w:rPr>
          <w:rFonts w:ascii="宋体" w:hAnsi="宋体"/>
          <w:color w:val="000000"/>
          <w:szCs w:val="21"/>
          <w:u w:val="single"/>
        </w:rPr>
        <w:t xml:space="preserve"> </w:t>
      </w:r>
      <w:r>
        <w:rPr>
          <w:rFonts w:ascii="宋体" w:hAnsi="宋体"/>
          <w:color w:val="000000"/>
          <w:szCs w:val="21"/>
        </w:rPr>
        <w:t xml:space="preserve"> </w:t>
      </w:r>
      <w:r>
        <w:rPr>
          <w:color w:val="000000"/>
          <w:szCs w:val="21"/>
        </w:rPr>
        <w:t>个标包</w:t>
      </w:r>
      <w:r>
        <w:rPr>
          <w:rFonts w:ascii="宋体" w:hAnsi="宋体" w:cs="宋体"/>
          <w:color w:val="000000"/>
          <w:kern w:val="0"/>
          <w:szCs w:val="21"/>
        </w:rPr>
        <w:t>。</w:t>
      </w:r>
    </w:p>
    <w:p w14:paraId="0DEA06CA">
      <w:pPr>
        <w:snapToGrid w:val="0"/>
        <w:spacing w:line="440" w:lineRule="exact"/>
        <w:ind w:firstLine="420"/>
        <w:rPr>
          <w:rFonts w:ascii="宋体" w:hAnsi="宋体"/>
          <w:b/>
          <w:color w:val="000000"/>
          <w:szCs w:val="21"/>
          <w:highlight w:val="none"/>
        </w:rPr>
      </w:pPr>
      <w:r>
        <w:rPr>
          <w:rFonts w:ascii="宋体" w:hAnsi="宋体"/>
          <w:b/>
          <w:color w:val="000000"/>
          <w:szCs w:val="21"/>
        </w:rPr>
        <w:t>4.采购方式：</w:t>
      </w:r>
    </w:p>
    <w:p w14:paraId="0227FD7E">
      <w:pPr>
        <w:snapToGrid w:val="0"/>
        <w:spacing w:line="440" w:lineRule="exact"/>
        <w:ind w:firstLine="420"/>
        <w:rPr>
          <w:rFonts w:ascii="宋体" w:hAnsi="宋体"/>
          <w:color w:val="000000"/>
          <w:szCs w:val="21"/>
          <w:highlight w:val="none"/>
        </w:rPr>
      </w:pPr>
      <w:r>
        <w:rPr>
          <w:rFonts w:ascii="宋体" w:hAnsi="宋体"/>
          <w:color w:val="000000"/>
          <w:szCs w:val="21"/>
        </w:rPr>
        <w:t>4.1本项目采购方式：见供应商须知前附表。</w:t>
      </w:r>
    </w:p>
    <w:p w14:paraId="130400F2">
      <w:pPr>
        <w:snapToGrid w:val="0"/>
        <w:spacing w:line="440" w:lineRule="exact"/>
        <w:ind w:firstLine="420"/>
        <w:rPr>
          <w:rFonts w:ascii="宋体" w:hAnsi="宋体"/>
          <w:b/>
          <w:color w:val="000000"/>
          <w:szCs w:val="21"/>
          <w:highlight w:val="none"/>
        </w:rPr>
      </w:pPr>
      <w:r>
        <w:rPr>
          <w:rFonts w:ascii="宋体" w:hAnsi="宋体"/>
          <w:b/>
          <w:color w:val="000000"/>
          <w:szCs w:val="21"/>
        </w:rPr>
        <w:t>5.计价方式：</w:t>
      </w:r>
    </w:p>
    <w:p w14:paraId="0CAAB5BF">
      <w:pPr>
        <w:snapToGrid w:val="0"/>
        <w:spacing w:line="440" w:lineRule="exact"/>
        <w:ind w:firstLine="420"/>
        <w:rPr>
          <w:rFonts w:ascii="宋体" w:hAnsi="宋体"/>
          <w:color w:val="000000"/>
          <w:szCs w:val="21"/>
          <w:highlight w:val="yellow"/>
        </w:rPr>
      </w:pPr>
      <w:r>
        <w:rPr>
          <w:rFonts w:ascii="宋体" w:hAnsi="宋体"/>
          <w:color w:val="000000"/>
          <w:szCs w:val="21"/>
        </w:rPr>
        <w:t>5.1本次采购项目合同采用</w:t>
      </w:r>
      <w:r>
        <w:rPr>
          <w:rFonts w:ascii="宋体" w:hAnsi="宋体"/>
          <w:color w:val="000000"/>
          <w:szCs w:val="21"/>
          <w:u w:val="single"/>
        </w:rPr>
        <w:t xml:space="preserve">   </w:t>
      </w:r>
      <w:r>
        <w:rPr>
          <w:rFonts w:ascii="宋体" w:hAnsi="宋体"/>
          <w:b/>
          <w:bCs/>
          <w:color w:val="000000"/>
          <w:szCs w:val="21"/>
          <w:u w:val="single"/>
        </w:rPr>
        <w:t>固定</w:t>
      </w:r>
      <w:r>
        <w:rPr>
          <w:rFonts w:ascii="宋体" w:hAnsi="宋体"/>
          <w:b/>
          <w:bCs/>
          <w:color w:val="000000"/>
          <w:szCs w:val="21"/>
          <w:u w:val="single"/>
          <w:lang w:val="en-US" w:eastAsia="zh-CN"/>
        </w:rPr>
        <w:t>总价</w:t>
      </w:r>
      <w:r>
        <w:rPr>
          <w:rFonts w:ascii="宋体" w:hAnsi="宋体"/>
          <w:color w:val="000000"/>
          <w:szCs w:val="21"/>
          <w:u w:val="single"/>
        </w:rPr>
        <w:t>。</w:t>
      </w:r>
    </w:p>
    <w:p w14:paraId="31E3ED81">
      <w:pPr>
        <w:snapToGrid w:val="0"/>
        <w:spacing w:line="440" w:lineRule="exact"/>
        <w:ind w:firstLine="420"/>
        <w:rPr>
          <w:rFonts w:ascii="宋体" w:hAnsi="宋体"/>
          <w:b/>
          <w:color w:val="000000"/>
          <w:szCs w:val="21"/>
          <w:highlight w:val="none"/>
        </w:rPr>
      </w:pPr>
      <w:r>
        <w:rPr>
          <w:rFonts w:ascii="宋体" w:hAnsi="宋体"/>
          <w:b/>
          <w:color w:val="000000"/>
          <w:szCs w:val="21"/>
        </w:rPr>
        <w:t>6.评审办法：</w:t>
      </w:r>
    </w:p>
    <w:p w14:paraId="7040E71A">
      <w:pPr>
        <w:snapToGrid w:val="0"/>
        <w:spacing w:line="440" w:lineRule="exact"/>
        <w:ind w:firstLine="420"/>
        <w:rPr>
          <w:rFonts w:ascii="宋体" w:hAnsi="宋体"/>
          <w:color w:val="000000"/>
          <w:szCs w:val="21"/>
          <w:highlight w:val="none"/>
        </w:rPr>
      </w:pPr>
      <w:r>
        <w:rPr>
          <w:rFonts w:ascii="宋体" w:hAnsi="宋体"/>
          <w:color w:val="000000"/>
          <w:szCs w:val="21"/>
        </w:rPr>
        <w:t>6.1本次采购评审采用</w:t>
      </w:r>
      <w:r>
        <w:rPr>
          <w:rFonts w:ascii="宋体" w:hAnsi="宋体"/>
          <w:color w:val="000000"/>
          <w:szCs w:val="21"/>
          <w:u w:val="single"/>
        </w:rPr>
        <w:t xml:space="preserve">  </w:t>
      </w:r>
      <w:r>
        <w:rPr>
          <w:rFonts w:ascii="宋体" w:hAnsi="宋体"/>
          <w:b/>
          <w:bCs/>
          <w:color w:val="000000"/>
          <w:szCs w:val="21"/>
          <w:u w:val="single"/>
        </w:rPr>
        <w:t>符合</w:t>
      </w:r>
      <w:r>
        <w:rPr>
          <w:rFonts w:ascii="宋体" w:hAnsi="宋体"/>
          <w:b/>
          <w:bCs/>
          <w:color w:val="000000"/>
          <w:szCs w:val="21"/>
          <w:u w:val="single"/>
          <w:lang w:eastAsia="zh-CN"/>
        </w:rPr>
        <w:t>磋商文件</w:t>
      </w:r>
      <w:r>
        <w:rPr>
          <w:rFonts w:ascii="宋体" w:hAnsi="宋体"/>
          <w:b/>
          <w:bCs/>
          <w:color w:val="000000"/>
          <w:szCs w:val="21"/>
          <w:u w:val="single"/>
        </w:rPr>
        <w:t>的综合评分法</w:t>
      </w:r>
      <w:r>
        <w:rPr>
          <w:rFonts w:ascii="宋体" w:hAnsi="宋体"/>
          <w:color w:val="000000"/>
          <w:szCs w:val="21"/>
          <w:u w:val="single"/>
        </w:rPr>
        <w:t xml:space="preserve"> </w:t>
      </w:r>
      <w:r>
        <w:rPr>
          <w:rFonts w:ascii="宋体" w:hAnsi="宋体"/>
          <w:color w:val="000000"/>
          <w:szCs w:val="21"/>
        </w:rPr>
        <w:t>（详见第三章评审办法）</w:t>
      </w:r>
    </w:p>
    <w:p w14:paraId="002FA98F">
      <w:pPr>
        <w:snapToGrid w:val="0"/>
        <w:spacing w:line="440" w:lineRule="exact"/>
        <w:ind w:firstLine="420"/>
        <w:rPr>
          <w:rFonts w:ascii="宋体" w:hAnsi="宋体"/>
          <w:b/>
          <w:color w:val="000000"/>
          <w:szCs w:val="21"/>
          <w:highlight w:val="none"/>
        </w:rPr>
      </w:pPr>
      <w:r>
        <w:rPr>
          <w:rFonts w:ascii="宋体" w:hAnsi="宋体"/>
          <w:b/>
          <w:color w:val="000000"/>
          <w:szCs w:val="21"/>
        </w:rPr>
        <w:t>7.供应商资格：</w:t>
      </w:r>
    </w:p>
    <w:p w14:paraId="4BF688DF">
      <w:pPr>
        <w:snapToGrid w:val="0"/>
        <w:spacing w:line="440" w:lineRule="exact"/>
        <w:ind w:firstLine="420"/>
        <w:rPr>
          <w:rFonts w:ascii="宋体" w:hAnsi="宋体"/>
          <w:color w:val="000000"/>
          <w:szCs w:val="21"/>
          <w:highlight w:val="none"/>
        </w:rPr>
      </w:pPr>
      <w:r>
        <w:rPr>
          <w:rFonts w:ascii="宋体" w:hAnsi="宋体"/>
          <w:color w:val="000000"/>
          <w:szCs w:val="21"/>
        </w:rPr>
        <w:t>7.1参与采购活动的供应商必须是满足《中华人民共和国政府采购法》规定条件的法人、其他组织或者自然人：</w:t>
      </w:r>
    </w:p>
    <w:p w14:paraId="75B88FA3">
      <w:pPr>
        <w:snapToGrid w:val="0"/>
        <w:spacing w:line="440" w:lineRule="exact"/>
        <w:ind w:firstLine="420"/>
        <w:rPr>
          <w:rFonts w:ascii="宋体" w:hAnsi="宋体"/>
          <w:color w:val="000000"/>
          <w:szCs w:val="21"/>
          <w:highlight w:val="none"/>
        </w:rPr>
      </w:pPr>
      <w:r>
        <w:rPr>
          <w:rFonts w:ascii="宋体" w:hAnsi="宋体"/>
          <w:color w:val="000000"/>
          <w:szCs w:val="21"/>
        </w:rPr>
        <w:t>7.2由于政府采购项目的差异性，供应商在参与具体政府采购项目活动时，应仔细阅读该项目的资质要求,具体见供应商须知前附表。</w:t>
      </w:r>
    </w:p>
    <w:p w14:paraId="24B571CC">
      <w:pPr>
        <w:snapToGrid w:val="0"/>
        <w:spacing w:line="440" w:lineRule="exact"/>
        <w:ind w:firstLine="420"/>
        <w:rPr>
          <w:rFonts w:ascii="宋体" w:hAnsi="宋体"/>
          <w:color w:val="000000"/>
          <w:szCs w:val="21"/>
          <w:highlight w:val="none"/>
        </w:rPr>
      </w:pPr>
      <w:r>
        <w:rPr>
          <w:rFonts w:ascii="宋体" w:hAnsi="宋体"/>
          <w:color w:val="000000"/>
          <w:szCs w:val="21"/>
        </w:rPr>
        <w:t>7.3根据电子化政府采购的特点，各供应商应在响应文件开启前确保成为</w:t>
      </w:r>
      <w:r>
        <w:rPr>
          <w:rFonts w:ascii="宋体" w:hAnsi="宋体" w:cs="Times New Roman"/>
          <w:color w:val="000000"/>
          <w:szCs w:val="21"/>
        </w:rPr>
        <w:t>新疆维吾尔自治区政府采购网正式注册入库供应商（已在政采云平台其他省份入驻的供应商无须重复注册</w:t>
      </w:r>
      <w:r>
        <w:rPr>
          <w:rFonts w:ascii="宋体" w:hAnsi="宋体" w:cs="宋体"/>
          <w:sz w:val="21"/>
          <w:szCs w:val="21"/>
        </w:rPr>
        <w:t>）</w:t>
      </w:r>
      <w:r>
        <w:rPr>
          <w:rFonts w:ascii="宋体" w:hAnsi="宋体"/>
          <w:color w:val="000000"/>
          <w:szCs w:val="21"/>
        </w:rPr>
        <w:t>，并完成CA数字证书申领。因未注册入库、未办理CA数字证书等原因造成无法响应或响应失败等后果由供应商自行承担。</w:t>
      </w:r>
    </w:p>
    <w:p w14:paraId="327A2295">
      <w:pPr>
        <w:snapToGrid w:val="0"/>
        <w:spacing w:line="440" w:lineRule="exact"/>
        <w:ind w:firstLine="420"/>
        <w:rPr>
          <w:rFonts w:ascii="宋体" w:hAnsi="宋体"/>
          <w:color w:val="000000"/>
          <w:szCs w:val="21"/>
          <w:highlight w:val="none"/>
        </w:rPr>
      </w:pPr>
      <w:r>
        <w:rPr>
          <w:rFonts w:ascii="宋体" w:hAnsi="宋体"/>
          <w:color w:val="000000"/>
          <w:szCs w:val="21"/>
        </w:rPr>
        <w:t>7.4供应商必须确保自己在信息库中注册的信息真实、准确，并保证响应文件中的有关信息与库中的信息相一致。否则，供应商因此蒙受损失，采购人概不负责。</w:t>
      </w:r>
    </w:p>
    <w:p w14:paraId="2F9BC5D6">
      <w:pPr>
        <w:spacing w:line="440" w:lineRule="exact"/>
        <w:ind w:firstLine="420"/>
        <w:rPr>
          <w:b/>
          <w:color w:val="000000"/>
          <w:szCs w:val="21"/>
          <w:highlight w:val="none"/>
        </w:rPr>
      </w:pPr>
      <w:r>
        <w:rPr>
          <w:b/>
          <w:color w:val="000000"/>
          <w:szCs w:val="21"/>
        </w:rPr>
        <w:t>8. 响应费用</w:t>
      </w:r>
    </w:p>
    <w:p w14:paraId="7892F6D8">
      <w:pPr>
        <w:snapToGrid w:val="0"/>
        <w:spacing w:line="440" w:lineRule="exact"/>
        <w:ind w:firstLine="420"/>
        <w:rPr>
          <w:rFonts w:ascii="宋体" w:hAnsi="宋体"/>
          <w:color w:val="000000"/>
          <w:szCs w:val="21"/>
          <w:highlight w:val="none"/>
        </w:rPr>
      </w:pPr>
      <w:r>
        <w:rPr>
          <w:rFonts w:ascii="宋体" w:hAnsi="宋体"/>
          <w:color w:val="000000"/>
          <w:szCs w:val="21"/>
        </w:rPr>
        <w:t>8.1供应商准备和参加磋商活动发生的费用自理。</w:t>
      </w:r>
    </w:p>
    <w:p w14:paraId="0280B066">
      <w:pPr>
        <w:spacing w:line="440" w:lineRule="exact"/>
        <w:ind w:firstLine="420"/>
        <w:rPr>
          <w:b/>
          <w:color w:val="000000"/>
          <w:szCs w:val="21"/>
          <w:highlight w:val="none"/>
        </w:rPr>
      </w:pPr>
      <w:r>
        <w:rPr>
          <w:b/>
          <w:color w:val="000000"/>
          <w:szCs w:val="21"/>
        </w:rPr>
        <w:t>9. 踏勘现场</w:t>
      </w:r>
    </w:p>
    <w:p w14:paraId="726DDE1C">
      <w:pPr>
        <w:spacing w:line="440" w:lineRule="exact"/>
        <w:ind w:firstLine="409"/>
        <w:rPr>
          <w:rFonts w:ascii="宋体" w:hAnsi="宋体"/>
          <w:color w:val="000000"/>
          <w:szCs w:val="21"/>
          <w:highlight w:val="none"/>
        </w:rPr>
      </w:pPr>
      <w:r>
        <w:rPr>
          <w:rFonts w:ascii="宋体" w:hAnsi="宋体"/>
          <w:color w:val="000000"/>
          <w:szCs w:val="21"/>
        </w:rPr>
        <w:t>9.1 供应商须知前附表规定组织踏勘现场的，采购人按供应商须知前附表规定的时间、地点组织供应商踏勘项目现场。</w:t>
      </w:r>
      <w:r>
        <w:rPr>
          <w:rFonts w:ascii="宋体" w:hAnsi="宋体"/>
          <w:color w:val="000000"/>
          <w:szCs w:val="21"/>
          <w:lang w:eastAsia="zh-CN"/>
        </w:rPr>
        <w:t>如需踏勘现场，</w:t>
      </w:r>
      <w:r>
        <w:rPr>
          <w:color w:val="000000"/>
          <w:lang w:eastAsia="zh-CN"/>
        </w:rPr>
        <w:t>供应商自行踏勘现场的，可咨询本项目采购人或采购代理机构联系人。</w:t>
      </w:r>
      <w:r>
        <w:rPr>
          <w:rFonts w:ascii="宋体" w:hAnsi="宋体"/>
          <w:b/>
          <w:bCs/>
          <w:color w:val="000000"/>
          <w:szCs w:val="21"/>
        </w:rPr>
        <w:t xml:space="preserve"> </w:t>
      </w:r>
    </w:p>
    <w:p w14:paraId="43B3E3E8">
      <w:pPr>
        <w:spacing w:line="440" w:lineRule="exact"/>
        <w:ind w:firstLine="409"/>
        <w:rPr>
          <w:rFonts w:ascii="宋体" w:hAnsi="宋体"/>
          <w:color w:val="000000"/>
          <w:szCs w:val="21"/>
          <w:highlight w:val="none"/>
        </w:rPr>
      </w:pPr>
      <w:r>
        <w:rPr>
          <w:rFonts w:ascii="宋体" w:hAnsi="宋体"/>
          <w:color w:val="000000"/>
          <w:szCs w:val="21"/>
        </w:rPr>
        <w:t>9.2 供应商踏勘现场发生的费用自理。</w:t>
      </w:r>
    </w:p>
    <w:p w14:paraId="1B3FD173">
      <w:pPr>
        <w:spacing w:line="440" w:lineRule="exact"/>
        <w:ind w:firstLine="409"/>
        <w:rPr>
          <w:rFonts w:ascii="宋体" w:hAnsi="宋体"/>
          <w:color w:val="000000"/>
          <w:szCs w:val="21"/>
          <w:highlight w:val="none"/>
        </w:rPr>
      </w:pPr>
      <w:r>
        <w:rPr>
          <w:rFonts w:ascii="宋体" w:hAnsi="宋体"/>
          <w:color w:val="000000"/>
          <w:szCs w:val="21"/>
        </w:rPr>
        <w:t>9.3 除采购人的原因外，供应商自行负责在踏勘现场中所发生的人员伤亡和财产损失。</w:t>
      </w:r>
    </w:p>
    <w:p w14:paraId="3554E4C1">
      <w:pPr>
        <w:spacing w:line="440" w:lineRule="exact"/>
        <w:ind w:firstLine="409"/>
        <w:rPr>
          <w:rFonts w:ascii="宋体" w:hAnsi="宋体"/>
          <w:color w:val="000000"/>
          <w:szCs w:val="21"/>
          <w:highlight w:val="none"/>
        </w:rPr>
      </w:pPr>
      <w:r>
        <w:rPr>
          <w:rFonts w:ascii="宋体" w:hAnsi="宋体"/>
          <w:color w:val="000000"/>
          <w:szCs w:val="21"/>
        </w:rPr>
        <w:t xml:space="preserve">9.4 </w:t>
      </w:r>
      <w:r>
        <w:rPr>
          <w:rFonts w:ascii="宋体" w:hAnsi="宋体" w:cs="Times New Roman"/>
          <w:color w:val="000000"/>
          <w:szCs w:val="21"/>
        </w:rPr>
        <w:t>组织供应商对现场及周围环境进行踏勘，以便供应商获取有关编制响应文件和签署合同所涉及现场的资料。</w:t>
      </w:r>
      <w:r>
        <w:rPr>
          <w:rFonts w:ascii="宋体" w:hAnsi="宋体"/>
          <w:color w:val="000000"/>
          <w:szCs w:val="21"/>
        </w:rPr>
        <w:t>采购人在踏勘现场中介绍的场地和相关的周边环境情况，供供应商在编制响应文件时参考，采购人不对供应商据此作出的判断和决策负责。</w:t>
      </w:r>
    </w:p>
    <w:p w14:paraId="1425E972">
      <w:pPr>
        <w:spacing w:line="440" w:lineRule="exact"/>
        <w:ind w:firstLine="420"/>
        <w:rPr>
          <w:b/>
          <w:color w:val="000000"/>
          <w:szCs w:val="21"/>
          <w:highlight w:val="none"/>
        </w:rPr>
      </w:pPr>
      <w:r>
        <w:rPr>
          <w:b/>
          <w:color w:val="000000"/>
          <w:szCs w:val="21"/>
        </w:rPr>
        <w:t>10. 响应预备会</w:t>
      </w:r>
    </w:p>
    <w:p w14:paraId="5C5FED0A">
      <w:pPr>
        <w:spacing w:line="440" w:lineRule="exact"/>
        <w:ind w:firstLine="409"/>
        <w:rPr>
          <w:rFonts w:ascii="宋体" w:hAnsi="宋体"/>
          <w:color w:val="000000"/>
          <w:szCs w:val="21"/>
          <w:highlight w:val="none"/>
        </w:rPr>
      </w:pPr>
      <w:r>
        <w:rPr>
          <w:rFonts w:ascii="宋体" w:hAnsi="宋体"/>
          <w:color w:val="000000"/>
          <w:szCs w:val="21"/>
        </w:rPr>
        <w:t>10.1供应商须知前附表规定召开响应预备会的，采购人按供应商须知前附表规定的时间和地点召开响应预备会，澄清供应商提出的问题。</w:t>
      </w:r>
    </w:p>
    <w:p w14:paraId="7E55F29C">
      <w:pPr>
        <w:spacing w:line="440" w:lineRule="exact"/>
        <w:ind w:firstLine="409"/>
        <w:rPr>
          <w:rFonts w:ascii="宋体" w:hAnsi="宋体"/>
          <w:color w:val="000000"/>
          <w:szCs w:val="21"/>
          <w:highlight w:val="none"/>
        </w:rPr>
      </w:pPr>
      <w:r>
        <w:rPr>
          <w:rFonts w:ascii="宋体" w:hAnsi="宋体"/>
          <w:color w:val="000000"/>
          <w:szCs w:val="21"/>
        </w:rPr>
        <w:t>10.2供应商应在供应商须知前附表规定的时间前，将提出的问题送达采购人，以便采购人澄清。</w:t>
      </w:r>
    </w:p>
    <w:p w14:paraId="6A29106B">
      <w:pPr>
        <w:spacing w:line="440" w:lineRule="exact"/>
        <w:ind w:firstLine="409"/>
        <w:rPr>
          <w:rFonts w:ascii="宋体" w:hAnsi="宋体"/>
          <w:color w:val="000000"/>
          <w:szCs w:val="21"/>
          <w:highlight w:val="none"/>
        </w:rPr>
      </w:pPr>
      <w:r>
        <w:rPr>
          <w:rFonts w:ascii="宋体" w:hAnsi="宋体"/>
          <w:color w:val="000000"/>
          <w:szCs w:val="21"/>
        </w:rPr>
        <w:t>10.3采购人在供应商须知前附表规定的时间，将对供应商所提的问题进行澄清。该澄清内容为</w:t>
      </w:r>
      <w:r>
        <w:rPr>
          <w:rFonts w:ascii="宋体" w:hAnsi="宋体"/>
          <w:color w:val="000000"/>
          <w:szCs w:val="21"/>
          <w:lang w:eastAsia="zh-CN"/>
        </w:rPr>
        <w:t>采购文件</w:t>
      </w:r>
      <w:r>
        <w:rPr>
          <w:rFonts w:ascii="宋体" w:hAnsi="宋体"/>
          <w:color w:val="000000"/>
          <w:szCs w:val="21"/>
        </w:rPr>
        <w:t>的组成部分。</w:t>
      </w:r>
    </w:p>
    <w:p w14:paraId="417D3A25">
      <w:pPr>
        <w:spacing w:line="440" w:lineRule="exact"/>
        <w:ind w:firstLine="420"/>
        <w:rPr>
          <w:b/>
          <w:color w:val="000000"/>
          <w:szCs w:val="21"/>
          <w:highlight w:val="none"/>
        </w:rPr>
      </w:pPr>
      <w:r>
        <w:rPr>
          <w:b/>
          <w:color w:val="000000"/>
          <w:szCs w:val="21"/>
        </w:rPr>
        <w:t>11. 联合响应</w:t>
      </w:r>
    </w:p>
    <w:p w14:paraId="5D386788">
      <w:pPr>
        <w:spacing w:line="440" w:lineRule="exact"/>
        <w:ind w:firstLine="409"/>
        <w:rPr>
          <w:rFonts w:ascii="宋体" w:hAnsi="宋体"/>
          <w:color w:val="000000"/>
          <w:szCs w:val="21"/>
          <w:highlight w:val="none"/>
        </w:rPr>
      </w:pPr>
      <w:r>
        <w:rPr>
          <w:rFonts w:ascii="宋体" w:hAnsi="宋体"/>
          <w:color w:val="000000"/>
          <w:szCs w:val="21"/>
        </w:rPr>
        <w:t>11.1 两个以上供应商可以组成一个响应联合体，以一个供应商的身份响应。以联合体形式参加磋商的，联合体各方均应当符合《政府采购法》第二十二条规定的条件。采购人根据采购项目的特殊要求规定供应商特定条件的，联合体各方中至少应当有一方符合采购人规定的特定条件。</w:t>
      </w:r>
    </w:p>
    <w:p w14:paraId="3755EA42">
      <w:pPr>
        <w:spacing w:line="400" w:lineRule="exact"/>
        <w:ind w:firstLine="409"/>
        <w:rPr>
          <w:rFonts w:ascii="宋体" w:hAnsi="宋体"/>
          <w:color w:val="000000"/>
          <w:szCs w:val="21"/>
          <w:highlight w:val="none"/>
        </w:rPr>
      </w:pPr>
      <w:r>
        <w:rPr>
          <w:rFonts w:ascii="宋体" w:hAnsi="宋体"/>
          <w:color w:val="000000"/>
          <w:szCs w:val="21"/>
        </w:rPr>
        <w:t>11.2联合体各方之间应当签订共同响应协议，明确约定联合体各方承担的工作和相应的责任，并将共同响应协议连同响应文件一并提交采购人。联合体各方签订共同响应协议后，不得再以自己名义单独在同一项目中响应，也不得组成新的联合体参加同一项目响应。</w:t>
      </w:r>
    </w:p>
    <w:p w14:paraId="4927EA19">
      <w:pPr>
        <w:spacing w:line="400" w:lineRule="exact"/>
        <w:ind w:firstLine="411"/>
        <w:rPr>
          <w:rFonts w:ascii="宋体" w:hAnsi="宋体"/>
          <w:color w:val="000000"/>
          <w:szCs w:val="21"/>
          <w:highlight w:val="none"/>
        </w:rPr>
      </w:pPr>
      <w:r>
        <w:rPr>
          <w:rFonts w:ascii="宋体" w:hAnsi="宋体"/>
          <w:color w:val="000000"/>
          <w:szCs w:val="21"/>
        </w:rPr>
        <w:t>11.3 联合体应当确定其中一个单位为响应的全权代表，负责参加磋商的一切事务，并承担响应及履约中应承担的全部责任与义务。</w:t>
      </w:r>
    </w:p>
    <w:p w14:paraId="7E484B16">
      <w:pPr>
        <w:pStyle w:val="9"/>
        <w:spacing w:before="0" w:after="0" w:line="400" w:lineRule="exact"/>
        <w:ind w:left="0" w:firstLine="424"/>
        <w:rPr>
          <w:rFonts w:ascii="宋体" w:hAnsi="宋体"/>
          <w:color w:val="000000"/>
          <w:szCs w:val="21"/>
          <w:highlight w:val="none"/>
        </w:rPr>
      </w:pPr>
      <w:r>
        <w:rPr>
          <w:rFonts w:ascii="宋体" w:hAnsi="宋体"/>
          <w:color w:val="000000"/>
          <w:szCs w:val="21"/>
        </w:rPr>
        <w:t>11.4 联合体各方应当共同与采购人签订采购合同，就采购合同约定的事项对采购人承担连带责任。</w:t>
      </w:r>
    </w:p>
    <w:p w14:paraId="27DD6563">
      <w:pPr>
        <w:spacing w:line="440" w:lineRule="exact"/>
        <w:ind w:firstLine="411"/>
        <w:jc w:val="left"/>
        <w:rPr>
          <w:rFonts w:ascii="宋体" w:hAnsi="宋体"/>
          <w:b/>
          <w:color w:val="000000"/>
          <w:szCs w:val="21"/>
          <w:highlight w:val="none"/>
        </w:rPr>
      </w:pPr>
      <w:r>
        <w:rPr>
          <w:rFonts w:ascii="宋体" w:hAnsi="宋体"/>
          <w:b/>
          <w:color w:val="000000"/>
          <w:szCs w:val="21"/>
        </w:rPr>
        <w:t>12.采购代理服务费</w:t>
      </w:r>
      <w:r>
        <w:rPr>
          <w:rFonts w:ascii="宋体" w:hAnsi="宋体"/>
          <w:b/>
          <w:color w:val="000000"/>
          <w:szCs w:val="21"/>
          <w:lang w:eastAsia="zh-CN"/>
        </w:rPr>
        <w:t>（</w:t>
      </w:r>
      <w:r>
        <w:rPr>
          <w:rFonts w:ascii="宋体" w:hAnsi="宋体"/>
          <w:b/>
          <w:color w:val="000000"/>
          <w:szCs w:val="21"/>
          <w:lang w:val="en-US" w:eastAsia="zh-CN"/>
        </w:rPr>
        <w:t>详见供应商须知</w:t>
      </w:r>
      <w:r>
        <w:rPr>
          <w:rFonts w:ascii="宋体" w:hAnsi="宋体" w:cs="Times New Roman"/>
          <w:b/>
          <w:color w:val="000000"/>
          <w:szCs w:val="21"/>
          <w:lang w:val="en-US" w:eastAsia="zh-CN"/>
        </w:rPr>
        <w:t>前附表</w:t>
      </w:r>
      <w:r>
        <w:rPr>
          <w:rFonts w:ascii="宋体" w:hAnsi="宋体"/>
          <w:b/>
          <w:color w:val="000000"/>
          <w:szCs w:val="21"/>
          <w:lang w:eastAsia="zh-CN"/>
        </w:rPr>
        <w:t>）</w:t>
      </w:r>
    </w:p>
    <w:p w14:paraId="0176748D">
      <w:pPr>
        <w:spacing w:line="440" w:lineRule="exact"/>
        <w:ind w:firstLine="420"/>
        <w:rPr>
          <w:b/>
          <w:color w:val="000000"/>
          <w:szCs w:val="21"/>
          <w:highlight w:val="none"/>
        </w:rPr>
      </w:pPr>
      <w:r>
        <w:rPr>
          <w:b/>
          <w:color w:val="000000"/>
          <w:szCs w:val="21"/>
        </w:rPr>
        <w:t>13.供应商应注意的事项</w:t>
      </w:r>
    </w:p>
    <w:p w14:paraId="1BE16E2A">
      <w:pPr>
        <w:spacing w:line="440" w:lineRule="exact"/>
        <w:ind w:firstLine="420"/>
        <w:rPr>
          <w:rFonts w:ascii="宋体" w:hAnsi="宋体"/>
          <w:bCs/>
          <w:color w:val="000000"/>
          <w:szCs w:val="21"/>
          <w:highlight w:val="none"/>
        </w:rPr>
      </w:pPr>
      <w:r>
        <w:rPr>
          <w:rFonts w:ascii="宋体" w:hAnsi="宋体" w:cs="宋体"/>
          <w:color w:val="000000"/>
          <w:szCs w:val="21"/>
        </w:rPr>
        <w:t>13.1供应商一旦按规定缴纳了磋商保证金并参加磋商，即被认为接受了本</w:t>
      </w:r>
      <w:r>
        <w:rPr>
          <w:rFonts w:ascii="宋体" w:hAnsi="宋体" w:cs="宋体"/>
          <w:color w:val="000000"/>
          <w:szCs w:val="21"/>
          <w:lang w:eastAsia="zh-CN"/>
        </w:rPr>
        <w:t>采购</w:t>
      </w:r>
      <w:r>
        <w:rPr>
          <w:rFonts w:ascii="宋体" w:hAnsi="宋体" w:cs="宋体"/>
          <w:color w:val="000000"/>
          <w:szCs w:val="21"/>
        </w:rPr>
        <w:t>文件中的所有条件和规定。供应商必须严格按</w:t>
      </w:r>
      <w:r>
        <w:rPr>
          <w:rFonts w:ascii="宋体" w:hAnsi="宋体" w:cs="宋体"/>
          <w:color w:val="000000"/>
          <w:szCs w:val="21"/>
          <w:lang w:eastAsia="zh-CN"/>
        </w:rPr>
        <w:t>采购文件</w:t>
      </w:r>
      <w:r>
        <w:rPr>
          <w:rFonts w:ascii="宋体" w:hAnsi="宋体" w:cs="宋体"/>
          <w:color w:val="000000"/>
          <w:szCs w:val="21"/>
        </w:rPr>
        <w:t>的要求编制响应文件，响应文件宜编制页码和目录，以便磋商小组成员审核。否则，由此产生的一切后果由供应商承担。</w:t>
      </w:r>
    </w:p>
    <w:p w14:paraId="2E87DE5F">
      <w:pPr>
        <w:spacing w:line="440" w:lineRule="exact"/>
        <w:ind w:firstLine="420"/>
        <w:rPr>
          <w:rFonts w:ascii="宋体" w:hAnsi="宋体"/>
          <w:bCs/>
          <w:color w:val="000000"/>
          <w:szCs w:val="21"/>
          <w:highlight w:val="none"/>
        </w:rPr>
      </w:pPr>
      <w:r>
        <w:rPr>
          <w:rFonts w:ascii="宋体" w:hAnsi="宋体"/>
          <w:bCs/>
          <w:color w:val="000000"/>
          <w:szCs w:val="21"/>
        </w:rPr>
        <w:t>13.</w:t>
      </w:r>
      <w:r>
        <w:rPr>
          <w:rFonts w:ascii="宋体" w:hAnsi="宋体"/>
          <w:bCs/>
          <w:color w:val="000000"/>
          <w:szCs w:val="21"/>
          <w:lang w:val="en-US" w:eastAsia="zh-CN"/>
        </w:rPr>
        <w:t>2</w:t>
      </w:r>
      <w:r>
        <w:rPr>
          <w:rFonts w:ascii="宋体" w:hAnsi="宋体"/>
          <w:bCs/>
          <w:color w:val="000000"/>
          <w:szCs w:val="21"/>
        </w:rPr>
        <w:t xml:space="preserve"> 供应商对采购内容中规定的技术参数、规格等要求必须完全响应或优于</w:t>
      </w:r>
      <w:r>
        <w:rPr>
          <w:rFonts w:ascii="宋体" w:hAnsi="宋体"/>
          <w:bCs/>
          <w:color w:val="000000"/>
          <w:szCs w:val="21"/>
          <w:lang w:eastAsia="zh-CN"/>
        </w:rPr>
        <w:t>采购文件</w:t>
      </w:r>
      <w:r>
        <w:rPr>
          <w:rFonts w:ascii="宋体" w:hAnsi="宋体"/>
          <w:bCs/>
          <w:color w:val="000000"/>
          <w:szCs w:val="21"/>
        </w:rPr>
        <w:t>中的要求。</w:t>
      </w:r>
    </w:p>
    <w:p w14:paraId="15084688">
      <w:pPr>
        <w:spacing w:line="440" w:lineRule="exact"/>
        <w:ind w:firstLine="411"/>
        <w:rPr>
          <w:rFonts w:ascii="宋体" w:hAnsi="宋体"/>
          <w:bCs/>
          <w:color w:val="000000"/>
          <w:szCs w:val="21"/>
          <w:highlight w:val="none"/>
        </w:rPr>
      </w:pPr>
      <w:r>
        <w:rPr>
          <w:rFonts w:ascii="宋体" w:hAnsi="宋体"/>
          <w:bCs/>
          <w:color w:val="000000"/>
          <w:szCs w:val="21"/>
        </w:rPr>
        <w:t>13.</w:t>
      </w:r>
      <w:r>
        <w:rPr>
          <w:rFonts w:ascii="宋体" w:hAnsi="宋体"/>
          <w:bCs/>
          <w:color w:val="000000"/>
          <w:szCs w:val="21"/>
          <w:lang w:val="en-US" w:eastAsia="zh-CN"/>
        </w:rPr>
        <w:t>3</w:t>
      </w:r>
      <w:r>
        <w:rPr>
          <w:rFonts w:ascii="宋体" w:hAnsi="宋体"/>
          <w:bCs/>
          <w:color w:val="000000"/>
          <w:szCs w:val="21"/>
        </w:rPr>
        <w:t>所有供应商的磋商保证金都应在</w:t>
      </w:r>
      <w:r>
        <w:rPr>
          <w:rFonts w:ascii="宋体" w:hAnsi="宋体"/>
          <w:bCs/>
          <w:color w:val="000000"/>
          <w:szCs w:val="21"/>
          <w:lang w:eastAsia="zh-CN"/>
        </w:rPr>
        <w:t>采购文件</w:t>
      </w:r>
      <w:r>
        <w:rPr>
          <w:rFonts w:ascii="宋体" w:hAnsi="宋体"/>
          <w:bCs/>
          <w:color w:val="000000"/>
          <w:szCs w:val="21"/>
        </w:rPr>
        <w:t>规定的磋商保证金缴纳截止日期前缴纳。</w:t>
      </w:r>
    </w:p>
    <w:p w14:paraId="26089B21">
      <w:pPr>
        <w:spacing w:line="440" w:lineRule="exact"/>
        <w:ind w:firstLine="411"/>
        <w:rPr>
          <w:rFonts w:ascii="宋体" w:hAnsi="宋体"/>
          <w:bCs/>
          <w:color w:val="000000"/>
          <w:szCs w:val="21"/>
          <w:highlight w:val="none"/>
        </w:rPr>
      </w:pPr>
      <w:r>
        <w:rPr>
          <w:rFonts w:ascii="宋体" w:hAnsi="宋体"/>
          <w:bCs/>
          <w:color w:val="000000"/>
          <w:szCs w:val="21"/>
        </w:rPr>
        <w:t>13.</w:t>
      </w:r>
      <w:r>
        <w:rPr>
          <w:rFonts w:ascii="宋体" w:hAnsi="宋体"/>
          <w:bCs/>
          <w:color w:val="000000"/>
          <w:szCs w:val="21"/>
          <w:lang w:val="en-US" w:eastAsia="zh-CN"/>
        </w:rPr>
        <w:t>4</w:t>
      </w:r>
      <w:r>
        <w:rPr>
          <w:rFonts w:ascii="宋体" w:hAnsi="宋体"/>
          <w:bCs/>
          <w:color w:val="000000"/>
          <w:szCs w:val="21"/>
        </w:rPr>
        <w:t>单位负责人为同一人或者存在直接控股、管理关系的不同供应商，不得参加同一合同项下的政府采购活动。</w:t>
      </w:r>
      <w:r>
        <w:rPr>
          <w:rFonts w:ascii="宋体" w:hAnsi="宋体" w:cs="宋体"/>
          <w:color w:val="000000"/>
          <w:szCs w:val="21"/>
        </w:rPr>
        <w:t>为采购项目提供整体设计、规范编制或者项目管理、监理、检测等服务的供应商，不得再参加该采购项目的其他采购活动。</w:t>
      </w:r>
    </w:p>
    <w:p w14:paraId="4A2F2D51">
      <w:pPr>
        <w:snapToGrid w:val="0"/>
        <w:spacing w:line="440" w:lineRule="exact"/>
        <w:ind w:firstLine="420"/>
        <w:rPr>
          <w:rFonts w:ascii="宋体" w:hAnsi="宋体"/>
          <w:color w:val="0000FF"/>
          <w:szCs w:val="21"/>
          <w:highlight w:val="none"/>
        </w:rPr>
      </w:pPr>
      <w:r>
        <w:rPr>
          <w:rFonts w:ascii="宋体" w:hAnsi="宋体"/>
          <w:bCs/>
          <w:color w:val="000000"/>
          <w:szCs w:val="21"/>
        </w:rPr>
        <w:t>13.</w:t>
      </w:r>
      <w:r>
        <w:rPr>
          <w:rFonts w:ascii="宋体" w:hAnsi="宋体"/>
          <w:bCs/>
          <w:color w:val="000000"/>
          <w:szCs w:val="21"/>
          <w:lang w:val="en-US" w:eastAsia="zh-CN"/>
        </w:rPr>
        <w:t>5</w:t>
      </w:r>
      <w:r>
        <w:rPr>
          <w:rFonts w:ascii="宋体" w:hAnsi="宋体" w:cs="宋体"/>
          <w:color w:val="000000"/>
          <w:szCs w:val="21"/>
        </w:rPr>
        <w:t>各供应商在响应文件开启前应确保成为新疆维吾尔自治区政府采购网正式注册入库供应商，（已在政采云平台其他省份入驻的供应商无须重复注册）并完成</w:t>
      </w:r>
      <w:r>
        <w:rPr>
          <w:rFonts w:ascii="宋体" w:hAnsi="宋体" w:eastAsia="宋体" w:cs="宋体"/>
          <w:color w:val="000000"/>
          <w:szCs w:val="21"/>
        </w:rPr>
        <w:t>CA</w:t>
      </w:r>
      <w:r>
        <w:rPr>
          <w:rFonts w:ascii="宋体" w:hAnsi="宋体" w:cs="宋体"/>
          <w:color w:val="000000"/>
          <w:szCs w:val="21"/>
        </w:rPr>
        <w:t>数字证书申领。因未注册入库、未办理</w:t>
      </w:r>
      <w:r>
        <w:rPr>
          <w:rFonts w:ascii="宋体" w:hAnsi="宋体" w:eastAsia="宋体" w:cs="宋体"/>
          <w:color w:val="000000"/>
          <w:szCs w:val="21"/>
        </w:rPr>
        <w:t>CA</w:t>
      </w:r>
      <w:r>
        <w:rPr>
          <w:rFonts w:ascii="宋体" w:hAnsi="宋体" w:cs="宋体"/>
          <w:color w:val="000000"/>
          <w:szCs w:val="21"/>
        </w:rPr>
        <w:t>数字证书等原因造成无法响应或响应失败等后果由供应商自行承担。</w:t>
      </w:r>
    </w:p>
    <w:p w14:paraId="513F6E77">
      <w:pPr>
        <w:spacing w:line="440" w:lineRule="exact"/>
        <w:ind w:firstLine="420"/>
        <w:rPr>
          <w:rFonts w:ascii="宋体" w:hAnsi="宋体"/>
          <w:bCs/>
          <w:color w:val="000000"/>
          <w:szCs w:val="21"/>
          <w:highlight w:val="none"/>
        </w:rPr>
      </w:pPr>
      <w:r>
        <w:rPr>
          <w:rFonts w:ascii="宋体" w:hAnsi="宋体"/>
          <w:bCs/>
          <w:color w:val="000000"/>
          <w:szCs w:val="21"/>
        </w:rPr>
        <w:t>13.</w:t>
      </w:r>
      <w:r>
        <w:rPr>
          <w:rFonts w:ascii="宋体" w:hAnsi="宋体"/>
          <w:bCs/>
          <w:color w:val="000000"/>
          <w:szCs w:val="21"/>
          <w:lang w:val="en-US" w:eastAsia="zh-CN"/>
        </w:rPr>
        <w:t>6</w:t>
      </w:r>
      <w:r>
        <w:rPr>
          <w:rFonts w:ascii="宋体" w:hAnsi="宋体"/>
          <w:bCs/>
          <w:color w:val="000000"/>
          <w:szCs w:val="21"/>
        </w:rPr>
        <w:t xml:space="preserve">  供应商被视为充分熟悉本采购项目所在地的与履行合同有关的各种情况，包括但不限于：</w:t>
      </w:r>
    </w:p>
    <w:p w14:paraId="36D9962E">
      <w:pPr>
        <w:spacing w:line="400" w:lineRule="exact"/>
        <w:ind w:firstLine="315"/>
        <w:rPr>
          <w:rFonts w:ascii="宋体" w:hAnsi="宋体"/>
          <w:bCs/>
          <w:color w:val="000000"/>
          <w:szCs w:val="21"/>
          <w:highlight w:val="none"/>
        </w:rPr>
      </w:pPr>
      <w:r>
        <w:rPr>
          <w:rFonts w:ascii="宋体" w:hAnsi="宋体"/>
          <w:bCs/>
          <w:color w:val="000000"/>
          <w:szCs w:val="21"/>
        </w:rPr>
        <w:t>（1）国家对本次响应货物和服务的生产、安装调试、验收、维修等有关法律、法规及行业管理标准；</w:t>
      </w:r>
    </w:p>
    <w:p w14:paraId="4B21C1E7">
      <w:pPr>
        <w:spacing w:line="400" w:lineRule="exact"/>
        <w:ind w:firstLine="315"/>
        <w:rPr>
          <w:rFonts w:ascii="宋体" w:hAnsi="宋体"/>
          <w:bCs/>
          <w:color w:val="000000"/>
          <w:szCs w:val="21"/>
          <w:highlight w:val="none"/>
        </w:rPr>
      </w:pPr>
      <w:r>
        <w:rPr>
          <w:rFonts w:ascii="宋体" w:hAnsi="宋体"/>
          <w:bCs/>
          <w:color w:val="000000"/>
          <w:szCs w:val="21"/>
        </w:rPr>
        <w:t>（2）</w:t>
      </w:r>
      <w:r>
        <w:rPr>
          <w:rFonts w:ascii="宋体" w:hAnsi="宋体"/>
          <w:bCs/>
          <w:color w:val="000000"/>
          <w:szCs w:val="21"/>
          <w:lang w:eastAsia="zh-CN"/>
        </w:rPr>
        <w:t>本地区</w:t>
      </w:r>
      <w:r>
        <w:rPr>
          <w:rFonts w:ascii="宋体" w:hAnsi="宋体"/>
          <w:bCs/>
          <w:color w:val="000000"/>
          <w:szCs w:val="21"/>
        </w:rPr>
        <w:t>有关管理部门的相关规定；</w:t>
      </w:r>
    </w:p>
    <w:p w14:paraId="716A3383">
      <w:pPr>
        <w:spacing w:line="400" w:lineRule="exact"/>
        <w:ind w:firstLine="315"/>
        <w:rPr>
          <w:rFonts w:ascii="宋体" w:hAnsi="宋体"/>
          <w:bCs/>
          <w:color w:val="000000"/>
          <w:szCs w:val="21"/>
          <w:highlight w:val="none"/>
        </w:rPr>
      </w:pPr>
      <w:r>
        <w:rPr>
          <w:rFonts w:ascii="宋体" w:hAnsi="宋体"/>
          <w:bCs/>
          <w:color w:val="000000"/>
          <w:szCs w:val="21"/>
        </w:rPr>
        <w:t>（3）采购人的相关场地情况、基础建设、电力供应情况及相关设计标准。</w:t>
      </w:r>
    </w:p>
    <w:p w14:paraId="7E3806AF">
      <w:pPr>
        <w:spacing w:line="400" w:lineRule="exact"/>
        <w:ind w:firstLine="315"/>
        <w:rPr>
          <w:rFonts w:ascii="宋体" w:hAnsi="宋体"/>
          <w:bCs/>
          <w:color w:val="000000"/>
          <w:szCs w:val="21"/>
          <w:highlight w:val="none"/>
        </w:rPr>
      </w:pPr>
      <w:r>
        <w:rPr>
          <w:rFonts w:ascii="宋体" w:hAnsi="宋体"/>
          <w:bCs/>
          <w:color w:val="000000"/>
          <w:szCs w:val="21"/>
        </w:rPr>
        <w:t>本</w:t>
      </w:r>
      <w:r>
        <w:rPr>
          <w:rFonts w:ascii="宋体" w:hAnsi="宋体"/>
          <w:bCs/>
          <w:color w:val="000000"/>
          <w:szCs w:val="21"/>
          <w:lang w:eastAsia="zh-CN"/>
        </w:rPr>
        <w:t>采购文件</w:t>
      </w:r>
      <w:r>
        <w:rPr>
          <w:rFonts w:ascii="宋体" w:hAnsi="宋体"/>
          <w:bCs/>
          <w:color w:val="000000"/>
          <w:szCs w:val="21"/>
        </w:rPr>
        <w:t>不再对上述情况进行描述。</w:t>
      </w:r>
    </w:p>
    <w:p w14:paraId="0D093B23">
      <w:pPr>
        <w:numPr>
          <w:ilvl w:val="0"/>
          <w:numId w:val="0"/>
        </w:numPr>
        <w:spacing w:before="312" w:after="312" w:line="440" w:lineRule="exact"/>
        <w:jc w:val="center"/>
        <w:outlineLvl w:val="2"/>
        <w:rPr>
          <w:rFonts w:ascii="宋体" w:hAnsi="宋体" w:eastAsia="宋体"/>
          <w:b/>
          <w:color w:val="000000"/>
          <w:sz w:val="28"/>
          <w:szCs w:val="28"/>
          <w:highlight w:val="none"/>
          <w:lang w:eastAsia="zh-CN"/>
        </w:rPr>
      </w:pPr>
      <w:r>
        <w:rPr>
          <w:rFonts w:ascii="宋体" w:hAnsi="宋体"/>
          <w:b/>
          <w:color w:val="000000"/>
          <w:sz w:val="28"/>
          <w:szCs w:val="28"/>
        </w:rPr>
        <w:t>（二）</w:t>
      </w:r>
      <w:r>
        <w:rPr>
          <w:rFonts w:ascii="宋体" w:hAnsi="宋体"/>
          <w:b/>
          <w:color w:val="000000"/>
          <w:sz w:val="28"/>
          <w:szCs w:val="28"/>
          <w:lang w:eastAsia="zh-CN"/>
        </w:rPr>
        <w:t>磋商文件</w:t>
      </w:r>
    </w:p>
    <w:p w14:paraId="36C99E21">
      <w:pPr>
        <w:spacing w:line="440" w:lineRule="exact"/>
        <w:ind w:firstLine="420"/>
        <w:rPr>
          <w:b/>
          <w:color w:val="000000"/>
          <w:szCs w:val="21"/>
          <w:highlight w:val="none"/>
        </w:rPr>
      </w:pPr>
      <w:r>
        <w:rPr>
          <w:b/>
          <w:color w:val="000000"/>
          <w:szCs w:val="21"/>
        </w:rPr>
        <w:t xml:space="preserve">15. </w:t>
      </w:r>
      <w:r>
        <w:rPr>
          <w:b/>
          <w:color w:val="000000"/>
          <w:szCs w:val="21"/>
          <w:lang w:eastAsia="zh-CN"/>
        </w:rPr>
        <w:t>采购文件</w:t>
      </w:r>
      <w:r>
        <w:rPr>
          <w:b/>
          <w:color w:val="000000"/>
          <w:szCs w:val="21"/>
        </w:rPr>
        <w:t>的编制依据</w:t>
      </w:r>
    </w:p>
    <w:p w14:paraId="2A07DE3E">
      <w:pPr>
        <w:spacing w:line="440" w:lineRule="exact"/>
        <w:ind w:firstLine="420"/>
        <w:rPr>
          <w:rFonts w:ascii="宋体" w:hAnsi="宋体"/>
          <w:color w:val="000000"/>
          <w:szCs w:val="21"/>
          <w:highlight w:val="none"/>
        </w:rPr>
      </w:pPr>
      <w:r>
        <w:rPr>
          <w:rFonts w:ascii="宋体" w:hAnsi="宋体"/>
          <w:color w:val="000000"/>
          <w:szCs w:val="21"/>
        </w:rPr>
        <w:t>根据《中华人民共和国政府采购法》、《政府采购货物和服务招标投标管理办法》和《</w:t>
      </w:r>
      <w:r>
        <w:rPr>
          <w:rFonts w:ascii="宋体" w:hAnsi="宋体"/>
          <w:color w:val="000000"/>
          <w:szCs w:val="21"/>
          <w:lang w:eastAsia="zh-CN"/>
        </w:rPr>
        <w:t>中华人民共和国民法典</w:t>
      </w:r>
      <w:r>
        <w:rPr>
          <w:rFonts w:ascii="宋体" w:hAnsi="宋体"/>
          <w:color w:val="000000"/>
          <w:szCs w:val="21"/>
        </w:rPr>
        <w:t>》</w:t>
      </w:r>
      <w:r>
        <w:rPr>
          <w:rFonts w:ascii="宋体" w:hAnsi="宋体"/>
          <w:color w:val="000000"/>
          <w:spacing w:val="-2"/>
          <w:szCs w:val="21"/>
        </w:rPr>
        <w:t>等相关法律法规和规章及部、省、市级规范性文件的规定，编制本</w:t>
      </w:r>
      <w:r>
        <w:rPr>
          <w:rFonts w:ascii="宋体" w:hAnsi="宋体"/>
          <w:color w:val="000000"/>
          <w:spacing w:val="-2"/>
          <w:szCs w:val="21"/>
          <w:lang w:eastAsia="zh-CN"/>
        </w:rPr>
        <w:t>采购文件</w:t>
      </w:r>
      <w:r>
        <w:rPr>
          <w:rFonts w:ascii="宋体" w:hAnsi="宋体"/>
          <w:color w:val="000000"/>
          <w:spacing w:val="-2"/>
          <w:szCs w:val="21"/>
        </w:rPr>
        <w:t>。</w:t>
      </w:r>
    </w:p>
    <w:p w14:paraId="51970551">
      <w:pPr>
        <w:spacing w:line="440" w:lineRule="exact"/>
        <w:ind w:firstLine="420"/>
        <w:rPr>
          <w:b/>
          <w:color w:val="000000"/>
          <w:szCs w:val="21"/>
          <w:highlight w:val="none"/>
        </w:rPr>
      </w:pPr>
      <w:r>
        <w:rPr>
          <w:b/>
          <w:color w:val="000000"/>
          <w:szCs w:val="21"/>
        </w:rPr>
        <w:t xml:space="preserve">16. </w:t>
      </w:r>
      <w:r>
        <w:rPr>
          <w:b/>
          <w:color w:val="000000"/>
          <w:szCs w:val="21"/>
          <w:lang w:eastAsia="zh-CN"/>
        </w:rPr>
        <w:t>磋商文件</w:t>
      </w:r>
      <w:r>
        <w:rPr>
          <w:b/>
          <w:color w:val="000000"/>
          <w:szCs w:val="21"/>
        </w:rPr>
        <w:t>的组成</w:t>
      </w:r>
    </w:p>
    <w:p w14:paraId="19CE32C2">
      <w:pPr>
        <w:spacing w:line="440" w:lineRule="exact"/>
        <w:ind w:firstLine="420"/>
        <w:rPr>
          <w:rFonts w:ascii="宋体" w:hAnsi="宋体"/>
          <w:color w:val="000000"/>
          <w:szCs w:val="21"/>
          <w:highlight w:val="none"/>
        </w:rPr>
      </w:pPr>
      <w:r>
        <w:rPr>
          <w:rFonts w:ascii="宋体" w:hAnsi="宋体"/>
          <w:color w:val="000000"/>
          <w:szCs w:val="21"/>
        </w:rPr>
        <w:t xml:space="preserve">16.1 </w:t>
      </w:r>
      <w:r>
        <w:rPr>
          <w:rFonts w:ascii="宋体" w:hAnsi="宋体"/>
          <w:color w:val="000000"/>
          <w:szCs w:val="21"/>
          <w:lang w:eastAsia="zh-CN"/>
        </w:rPr>
        <w:t>磋商文件</w:t>
      </w:r>
      <w:r>
        <w:rPr>
          <w:rFonts w:ascii="宋体" w:hAnsi="宋体"/>
          <w:color w:val="000000"/>
          <w:szCs w:val="21"/>
        </w:rPr>
        <w:t>包括内容：</w:t>
      </w:r>
    </w:p>
    <w:p w14:paraId="0AAF3ABC">
      <w:pPr>
        <w:spacing w:line="440" w:lineRule="exact"/>
        <w:ind w:firstLine="1470"/>
        <w:rPr>
          <w:rFonts w:ascii="宋体" w:hAnsi="宋体"/>
          <w:color w:val="000000"/>
          <w:szCs w:val="21"/>
          <w:highlight w:val="none"/>
        </w:rPr>
      </w:pPr>
      <w:r>
        <w:rPr>
          <w:rFonts w:ascii="宋体" w:hAnsi="宋体"/>
          <w:color w:val="000000"/>
          <w:szCs w:val="21"/>
        </w:rPr>
        <w:t xml:space="preserve">第一章  </w:t>
      </w:r>
      <w:r>
        <w:rPr>
          <w:b w:val="0"/>
          <w:bCs/>
          <w:color w:val="000000"/>
          <w:szCs w:val="21"/>
          <w:lang w:eastAsia="zh-CN"/>
        </w:rPr>
        <w:t>磋商</w:t>
      </w:r>
      <w:r>
        <w:rPr>
          <w:rFonts w:ascii="宋体" w:hAnsi="宋体"/>
          <w:color w:val="000000"/>
          <w:szCs w:val="21"/>
        </w:rPr>
        <w:t>公告</w:t>
      </w:r>
    </w:p>
    <w:p w14:paraId="785FFFB4">
      <w:pPr>
        <w:spacing w:line="440" w:lineRule="exact"/>
        <w:ind w:firstLine="1470"/>
        <w:rPr>
          <w:rFonts w:ascii="宋体" w:hAnsi="宋体"/>
          <w:color w:val="000000"/>
          <w:szCs w:val="21"/>
          <w:highlight w:val="none"/>
        </w:rPr>
      </w:pPr>
      <w:r>
        <w:rPr>
          <w:rFonts w:ascii="宋体" w:hAnsi="宋体"/>
          <w:color w:val="000000"/>
          <w:szCs w:val="21"/>
        </w:rPr>
        <w:t>第二章  响应须知</w:t>
      </w:r>
    </w:p>
    <w:p w14:paraId="279726EB">
      <w:pPr>
        <w:spacing w:line="440" w:lineRule="exact"/>
        <w:ind w:firstLine="1470"/>
        <w:rPr>
          <w:rFonts w:ascii="宋体" w:hAnsi="宋体"/>
          <w:color w:val="000000"/>
          <w:szCs w:val="21"/>
          <w:highlight w:val="none"/>
        </w:rPr>
      </w:pPr>
      <w:r>
        <w:rPr>
          <w:rFonts w:ascii="宋体" w:hAnsi="宋体"/>
          <w:color w:val="000000"/>
          <w:szCs w:val="21"/>
        </w:rPr>
        <w:t>第三章  评审办法</w:t>
      </w:r>
    </w:p>
    <w:p w14:paraId="2B4B6A12">
      <w:pPr>
        <w:spacing w:line="440" w:lineRule="exact"/>
        <w:ind w:firstLine="1470"/>
        <w:rPr>
          <w:rFonts w:ascii="宋体" w:hAnsi="宋体"/>
          <w:color w:val="000000"/>
          <w:szCs w:val="21"/>
          <w:highlight w:val="none"/>
        </w:rPr>
      </w:pPr>
      <w:r>
        <w:rPr>
          <w:rFonts w:ascii="宋体" w:hAnsi="宋体"/>
          <w:color w:val="000000"/>
          <w:szCs w:val="21"/>
        </w:rPr>
        <w:t>第四章  采购内容及技术要求</w:t>
      </w:r>
    </w:p>
    <w:p w14:paraId="02C28C00">
      <w:pPr>
        <w:spacing w:line="440" w:lineRule="exact"/>
        <w:ind w:firstLine="1470"/>
        <w:rPr>
          <w:rFonts w:ascii="宋体" w:hAnsi="宋体"/>
          <w:color w:val="000000"/>
          <w:szCs w:val="21"/>
          <w:highlight w:val="none"/>
        </w:rPr>
      </w:pPr>
      <w:r>
        <w:rPr>
          <w:rFonts w:ascii="宋体" w:hAnsi="宋体"/>
          <w:color w:val="000000"/>
          <w:szCs w:val="21"/>
        </w:rPr>
        <w:t>第五章  合同条款及格式</w:t>
      </w:r>
    </w:p>
    <w:p w14:paraId="135D5D10">
      <w:pPr>
        <w:spacing w:line="440" w:lineRule="exact"/>
        <w:ind w:firstLine="1470"/>
        <w:rPr>
          <w:rFonts w:ascii="宋体" w:hAnsi="宋体"/>
          <w:color w:val="000000"/>
          <w:szCs w:val="21"/>
          <w:highlight w:val="none"/>
        </w:rPr>
      </w:pPr>
      <w:r>
        <w:rPr>
          <w:rFonts w:ascii="宋体" w:hAnsi="宋体"/>
          <w:color w:val="000000"/>
          <w:szCs w:val="21"/>
        </w:rPr>
        <w:t>第六章  响应文件格式文本</w:t>
      </w:r>
    </w:p>
    <w:p w14:paraId="2844CCB6">
      <w:pPr>
        <w:spacing w:line="440" w:lineRule="exact"/>
        <w:rPr>
          <w:rFonts w:ascii="宋体" w:hAnsi="宋体"/>
          <w:color w:val="000000"/>
          <w:szCs w:val="21"/>
          <w:highlight w:val="none"/>
        </w:rPr>
      </w:pPr>
      <w:r>
        <w:rPr>
          <w:rFonts w:ascii="宋体" w:hAnsi="宋体" w:cs="宋体"/>
          <w:color w:val="000000"/>
          <w:szCs w:val="21"/>
        </w:rPr>
        <w:t xml:space="preserve">   </w:t>
      </w:r>
      <w:r>
        <w:rPr>
          <w:rFonts w:ascii="宋体" w:hAnsi="宋体"/>
          <w:color w:val="000000"/>
          <w:szCs w:val="21"/>
        </w:rPr>
        <w:t>16.2 除16.1内容外，采购答疑亦为</w:t>
      </w:r>
      <w:r>
        <w:rPr>
          <w:rFonts w:ascii="宋体" w:hAnsi="宋体"/>
          <w:color w:val="000000"/>
          <w:szCs w:val="21"/>
          <w:lang w:eastAsia="zh-CN"/>
        </w:rPr>
        <w:t>采购文件</w:t>
      </w:r>
      <w:r>
        <w:rPr>
          <w:rFonts w:ascii="宋体" w:hAnsi="宋体"/>
          <w:color w:val="000000"/>
          <w:szCs w:val="21"/>
        </w:rPr>
        <w:t>的组成部分，对采购人和供应商起约束作用。</w:t>
      </w:r>
    </w:p>
    <w:p w14:paraId="7DDAAC30">
      <w:pPr>
        <w:pStyle w:val="52"/>
        <w:spacing w:line="400" w:lineRule="exact"/>
        <w:rPr>
          <w:color w:val="000000"/>
          <w:szCs w:val="21"/>
          <w:highlight w:val="none"/>
          <w:lang w:val="en-US"/>
        </w:rPr>
      </w:pPr>
      <w:r>
        <w:rPr>
          <w:rFonts w:cs="宋体"/>
          <w:color w:val="000000"/>
          <w:szCs w:val="21"/>
        </w:rPr>
        <w:t xml:space="preserve">   </w:t>
      </w:r>
      <w:r>
        <w:rPr>
          <w:color w:val="000000"/>
          <w:szCs w:val="21"/>
        </w:rPr>
        <w:t>16.3供应商应仔细阅读和检查</w:t>
      </w:r>
      <w:r>
        <w:rPr>
          <w:color w:val="000000"/>
          <w:szCs w:val="21"/>
          <w:lang w:eastAsia="zh-CN"/>
        </w:rPr>
        <w:t>采购文件</w:t>
      </w:r>
      <w:r>
        <w:rPr>
          <w:color w:val="000000"/>
          <w:szCs w:val="21"/>
        </w:rPr>
        <w:t>的全部内容。如发现缺页或附件不全，应及时向采购人提出，以便补齐。如有疑问，供应商</w:t>
      </w:r>
      <w:r>
        <w:rPr>
          <w:color w:val="000000"/>
          <w:szCs w:val="21"/>
          <w:u w:val="none"/>
        </w:rPr>
        <w:t>应在</w:t>
      </w:r>
      <w:r>
        <w:rPr>
          <w:rFonts w:ascii="宋体" w:hAnsi="宋体"/>
          <w:color w:val="000000"/>
          <w:szCs w:val="21"/>
        </w:rPr>
        <w:t>以书面形式一次性向采购人和采购代理机构提出同一环节的质疑</w:t>
      </w:r>
      <w:r>
        <w:rPr>
          <w:color w:val="000000"/>
          <w:szCs w:val="21"/>
        </w:rPr>
        <w:t>。</w:t>
      </w:r>
    </w:p>
    <w:p w14:paraId="2705D46C">
      <w:pPr>
        <w:spacing w:line="440" w:lineRule="exact"/>
        <w:rPr>
          <w:rFonts w:ascii="宋体" w:hAnsi="宋体"/>
          <w:color w:val="000000"/>
          <w:szCs w:val="21"/>
          <w:highlight w:val="none"/>
        </w:rPr>
      </w:pPr>
      <w:r>
        <w:rPr>
          <w:rFonts w:ascii="宋体" w:hAnsi="宋体" w:cs="宋体"/>
          <w:color w:val="000000"/>
          <w:szCs w:val="21"/>
        </w:rPr>
        <w:t xml:space="preserve">   </w:t>
      </w:r>
      <w:r>
        <w:rPr>
          <w:rFonts w:ascii="宋体" w:hAnsi="宋体"/>
          <w:color w:val="000000"/>
          <w:szCs w:val="21"/>
        </w:rPr>
        <w:t>16.4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ascii="宋体" w:hAnsi="宋体"/>
          <w:color w:val="000000"/>
          <w:szCs w:val="21"/>
          <w:lang w:val="en-US" w:eastAsia="zh-CN"/>
        </w:rPr>
        <w:t>新疆</w:t>
      </w:r>
      <w:r>
        <w:rPr>
          <w:rFonts w:ascii="宋体" w:hAnsi="宋体"/>
          <w:color w:val="000000"/>
          <w:szCs w:val="21"/>
        </w:rPr>
        <w:t>政府采购网下载专区下载。</w:t>
      </w:r>
      <w:r>
        <w:rPr>
          <w:rFonts w:ascii="宋体" w:hAnsi="宋体"/>
          <w:color w:val="000000"/>
          <w:szCs w:val="21"/>
          <w:lang w:eastAsia="zh-CN"/>
        </w:rPr>
        <w:t>采购文件</w:t>
      </w:r>
      <w:r>
        <w:rPr>
          <w:rFonts w:ascii="宋体" w:hAnsi="宋体"/>
          <w:color w:val="000000"/>
          <w:szCs w:val="21"/>
        </w:rPr>
        <w:t>的澄清将在</w:t>
      </w:r>
      <w:r>
        <w:rPr>
          <w:rFonts w:ascii="宋体" w:hAnsi="宋体"/>
          <w:color w:val="000000"/>
          <w:szCs w:val="21"/>
          <w:lang w:eastAsia="zh-CN"/>
        </w:rPr>
        <w:t>政采云平台“更正公告”栏目予以公告</w:t>
      </w:r>
      <w:r>
        <w:rPr>
          <w:rFonts w:ascii="宋体" w:hAnsi="宋体"/>
          <w:color w:val="000000"/>
          <w:szCs w:val="21"/>
        </w:rPr>
        <w:t>，但不指明澄清问题的来源。如果澄清内容影响响应文件编制的，将相应延长响应文件递交截止时间。</w:t>
      </w:r>
    </w:p>
    <w:p w14:paraId="6E59F03A">
      <w:pPr>
        <w:spacing w:line="440" w:lineRule="exact"/>
        <w:ind w:firstLine="420"/>
        <w:rPr>
          <w:rFonts w:ascii="宋体" w:hAnsi="宋体"/>
          <w:b/>
          <w:bCs/>
          <w:color w:val="000000"/>
          <w:szCs w:val="21"/>
          <w:highlight w:val="none"/>
        </w:rPr>
      </w:pPr>
      <w:r>
        <w:rPr>
          <w:rFonts w:ascii="宋体" w:hAnsi="宋体"/>
          <w:b/>
          <w:bCs/>
          <w:color w:val="000000"/>
          <w:szCs w:val="21"/>
        </w:rPr>
        <w:t xml:space="preserve">17. </w:t>
      </w:r>
      <w:r>
        <w:rPr>
          <w:rFonts w:ascii="宋体" w:hAnsi="宋体"/>
          <w:b/>
          <w:bCs/>
          <w:color w:val="000000"/>
          <w:szCs w:val="21"/>
          <w:lang w:eastAsia="zh-CN"/>
        </w:rPr>
        <w:t>磋商文件</w:t>
      </w:r>
      <w:r>
        <w:rPr>
          <w:rFonts w:ascii="宋体" w:hAnsi="宋体"/>
          <w:b/>
          <w:bCs/>
          <w:color w:val="000000"/>
          <w:szCs w:val="21"/>
        </w:rPr>
        <w:t>的修改、补充、解释</w:t>
      </w:r>
    </w:p>
    <w:p w14:paraId="2500A9A9">
      <w:pPr>
        <w:spacing w:line="400" w:lineRule="exact"/>
        <w:ind w:firstLine="315"/>
        <w:rPr>
          <w:rFonts w:ascii="宋体" w:hAnsi="宋体" w:cs="宋体"/>
          <w:color w:val="000000"/>
          <w:szCs w:val="21"/>
          <w:highlight w:val="none"/>
        </w:rPr>
      </w:pPr>
      <w:r>
        <w:rPr>
          <w:rFonts w:ascii="宋体" w:hAnsi="宋体" w:cs="宋体"/>
          <w:color w:val="000000"/>
          <w:szCs w:val="21"/>
        </w:rPr>
        <w:t>17.1</w:t>
      </w:r>
      <w:r>
        <w:rPr>
          <w:rFonts w:ascii="宋体" w:hAnsi="宋体" w:cs="宋体"/>
          <w:color w:val="000000"/>
          <w:szCs w:val="21"/>
          <w:lang w:eastAsia="zh-CN"/>
        </w:rPr>
        <w:t>磋商文件</w:t>
      </w:r>
      <w:r>
        <w:rPr>
          <w:rFonts w:ascii="宋体" w:hAnsi="宋体" w:cs="宋体"/>
          <w:color w:val="000000"/>
          <w:szCs w:val="21"/>
        </w:rPr>
        <w:t>发出后，采购人在规定的响应文件递交截止时间前可对</w:t>
      </w:r>
      <w:r>
        <w:rPr>
          <w:rFonts w:ascii="宋体" w:hAnsi="宋体" w:cs="宋体"/>
          <w:color w:val="000000"/>
          <w:szCs w:val="21"/>
          <w:lang w:eastAsia="zh-CN"/>
        </w:rPr>
        <w:t>采购文件</w:t>
      </w:r>
      <w:r>
        <w:rPr>
          <w:rFonts w:ascii="宋体" w:hAnsi="宋体" w:cs="宋体"/>
          <w:color w:val="000000"/>
          <w:szCs w:val="21"/>
        </w:rPr>
        <w:t>进行必要的修改和补充，并以</w:t>
      </w:r>
      <w:r>
        <w:rPr>
          <w:rFonts w:ascii="宋体" w:hAnsi="宋体" w:cs="宋体"/>
          <w:color w:val="000000"/>
          <w:szCs w:val="21"/>
          <w:lang w:eastAsia="zh-CN"/>
        </w:rPr>
        <w:t>更正</w:t>
      </w:r>
      <w:r>
        <w:rPr>
          <w:rFonts w:ascii="宋体" w:hAnsi="宋体" w:cs="宋体"/>
          <w:color w:val="000000"/>
          <w:szCs w:val="21"/>
        </w:rPr>
        <w:t>公告形式在</w:t>
      </w:r>
      <w:r>
        <w:rPr>
          <w:rFonts w:ascii="宋体" w:hAnsi="宋体" w:cs="宋体"/>
          <w:color w:val="000000"/>
          <w:szCs w:val="21"/>
          <w:lang w:eastAsia="zh-CN"/>
        </w:rPr>
        <w:t>政采云平台</w:t>
      </w:r>
      <w:r>
        <w:rPr>
          <w:rFonts w:ascii="宋体" w:hAnsi="宋体" w:cs="宋体"/>
          <w:color w:val="000000"/>
          <w:szCs w:val="21"/>
        </w:rPr>
        <w:t xml:space="preserve"> “</w:t>
      </w:r>
      <w:r>
        <w:rPr>
          <w:rFonts w:ascii="宋体" w:hAnsi="宋体" w:cs="宋体"/>
          <w:color w:val="000000"/>
          <w:szCs w:val="21"/>
          <w:lang w:eastAsia="zh-CN"/>
        </w:rPr>
        <w:t>更正公告</w:t>
      </w:r>
      <w:r>
        <w:rPr>
          <w:rFonts w:ascii="宋体" w:hAnsi="宋体" w:cs="宋体"/>
          <w:color w:val="000000"/>
          <w:szCs w:val="21"/>
        </w:rPr>
        <w:t>”栏目予以公告，请各位供应商注意查看有关澄清内容，如不及时查看造成后果由供应商自负。</w:t>
      </w:r>
      <w:r>
        <w:rPr>
          <w:rFonts w:ascii="宋体" w:hAnsi="宋体" w:cs="宋体"/>
          <w:color w:val="000000"/>
          <w:szCs w:val="21"/>
          <w:lang w:eastAsia="zh-CN"/>
        </w:rPr>
        <w:t>采购文件</w:t>
      </w:r>
      <w:r>
        <w:rPr>
          <w:rFonts w:ascii="宋体" w:hAnsi="宋体" w:cs="宋体"/>
          <w:color w:val="000000"/>
          <w:szCs w:val="21"/>
        </w:rPr>
        <w:t>的修改、补充等内容作为</w:t>
      </w:r>
      <w:r>
        <w:rPr>
          <w:rFonts w:ascii="宋体" w:hAnsi="宋体" w:cs="宋体"/>
          <w:color w:val="000000"/>
          <w:szCs w:val="21"/>
          <w:lang w:eastAsia="zh-CN"/>
        </w:rPr>
        <w:t>采购文件</w:t>
      </w:r>
      <w:r>
        <w:rPr>
          <w:rFonts w:ascii="宋体" w:hAnsi="宋体" w:cs="宋体"/>
          <w:color w:val="000000"/>
          <w:szCs w:val="21"/>
        </w:rPr>
        <w:t>的组成部分，具有约束作用。</w:t>
      </w:r>
    </w:p>
    <w:p w14:paraId="7C554898">
      <w:pPr>
        <w:spacing w:line="400" w:lineRule="exact"/>
        <w:ind w:firstLine="315"/>
        <w:rPr>
          <w:rFonts w:ascii="宋体" w:hAnsi="宋体" w:cs="宋体"/>
          <w:color w:val="000000"/>
          <w:szCs w:val="21"/>
          <w:highlight w:val="none"/>
        </w:rPr>
      </w:pPr>
      <w:r>
        <w:rPr>
          <w:rFonts w:ascii="宋体" w:hAnsi="宋体" w:cs="宋体"/>
          <w:color w:val="000000"/>
          <w:szCs w:val="21"/>
        </w:rPr>
        <w:t>17.2 采购代理机构可视采购具体情况对已发出的采购文件进行必要的澄清、修改或者补充。澄清、修改或者补充的内容可能影响响应文件编制的，应当在响应文件递交截止时间至少</w:t>
      </w:r>
      <w:r>
        <w:rPr>
          <w:rFonts w:ascii="宋体" w:hAnsi="宋体" w:cs="宋体"/>
          <w:color w:val="000000"/>
          <w:szCs w:val="21"/>
          <w:lang w:val="en-US" w:eastAsia="zh-CN"/>
        </w:rPr>
        <w:t>3</w:t>
      </w:r>
      <w:r>
        <w:rPr>
          <w:rFonts w:ascii="宋体" w:hAnsi="宋体" w:cs="宋体"/>
          <w:color w:val="000000"/>
          <w:szCs w:val="21"/>
        </w:rPr>
        <w:t>日前，在原公告发布媒体上发布澄清公告，澄清或者修改的内容为采购文件的组成部分；不足</w:t>
      </w:r>
      <w:r>
        <w:rPr>
          <w:rFonts w:ascii="宋体" w:hAnsi="宋体" w:cs="宋体"/>
          <w:color w:val="000000"/>
          <w:szCs w:val="21"/>
          <w:lang w:val="en-US" w:eastAsia="zh-CN"/>
        </w:rPr>
        <w:t>3</w:t>
      </w:r>
      <w:r>
        <w:rPr>
          <w:rFonts w:ascii="宋体" w:hAnsi="宋体" w:cs="宋体"/>
          <w:color w:val="000000"/>
          <w:szCs w:val="21"/>
        </w:rPr>
        <w:t>日的，应当顺延提交响应文件的截止时间。</w:t>
      </w:r>
      <w:r>
        <w:rPr>
          <w:rFonts w:ascii="宋体" w:hAnsi="宋体" w:cs="宋体"/>
          <w:color w:val="000000"/>
          <w:szCs w:val="21"/>
          <w:lang w:val="en-US" w:eastAsia="zh-CN"/>
        </w:rPr>
        <w:t xml:space="preserve">  </w:t>
      </w:r>
      <w:r>
        <w:rPr>
          <w:rFonts w:ascii="宋体" w:hAnsi="宋体" w:cs="宋体"/>
          <w:color w:val="000000"/>
          <w:szCs w:val="21"/>
        </w:rPr>
        <w:t xml:space="preserve"> </w:t>
      </w:r>
      <w:r>
        <w:rPr>
          <w:rFonts w:ascii="宋体" w:hAnsi="宋体" w:cs="宋体"/>
          <w:bCs/>
          <w:color w:val="000000"/>
          <w:szCs w:val="21"/>
        </w:rPr>
        <w:t>17.</w:t>
      </w:r>
      <w:r>
        <w:rPr>
          <w:rFonts w:ascii="宋体" w:hAnsi="宋体" w:cs="宋体"/>
          <w:bCs/>
          <w:color w:val="000000"/>
          <w:szCs w:val="21"/>
          <w:lang w:val="en-US" w:eastAsia="zh-CN"/>
        </w:rPr>
        <w:t>3</w:t>
      </w:r>
      <w:r>
        <w:rPr>
          <w:rFonts w:ascii="宋体" w:hAnsi="宋体" w:cs="宋体"/>
          <w:bCs/>
          <w:color w:val="000000"/>
          <w:szCs w:val="21"/>
        </w:rPr>
        <w:t xml:space="preserve"> </w:t>
      </w:r>
      <w:r>
        <w:rPr>
          <w:rFonts w:ascii="宋体" w:hAnsi="宋体" w:cs="宋体"/>
          <w:color w:val="000000"/>
          <w:szCs w:val="21"/>
        </w:rPr>
        <w:t>供应商在规定的时间内未对采购文件提出疑问、质疑或要求澄清的，将视其为无异议。</w:t>
      </w:r>
    </w:p>
    <w:p w14:paraId="4CD01711">
      <w:pPr>
        <w:spacing w:line="400" w:lineRule="exact"/>
        <w:ind w:firstLine="420"/>
        <w:rPr>
          <w:rFonts w:ascii="宋体" w:hAnsi="宋体" w:eastAsia="宋体" w:cs="宋体"/>
          <w:bCs/>
          <w:color w:val="000000"/>
          <w:szCs w:val="21"/>
          <w:highlight w:val="none"/>
          <w:lang w:val="en-US" w:eastAsia="zh-CN"/>
        </w:rPr>
      </w:pPr>
      <w:r>
        <w:rPr>
          <w:rFonts w:ascii="宋体" w:hAnsi="宋体" w:cs="宋体"/>
          <w:bCs/>
          <w:color w:val="000000"/>
          <w:szCs w:val="21"/>
        </w:rPr>
        <w:t>17.</w:t>
      </w:r>
      <w:r>
        <w:rPr>
          <w:rFonts w:ascii="宋体" w:hAnsi="宋体" w:cs="宋体"/>
          <w:bCs/>
          <w:color w:val="000000"/>
          <w:szCs w:val="21"/>
          <w:lang w:val="en-US" w:eastAsia="zh-CN"/>
        </w:rPr>
        <w:t>4</w:t>
      </w:r>
      <w:r>
        <w:rPr>
          <w:rFonts w:ascii="宋体" w:hAnsi="宋体" w:cs="宋体"/>
          <w:bCs/>
          <w:color w:val="000000"/>
          <w:szCs w:val="21"/>
        </w:rPr>
        <w:t xml:space="preserve"> </w:t>
      </w:r>
      <w:r>
        <w:rPr>
          <w:rFonts w:ascii="宋体" w:hAnsi="宋体" w:cs="宋体"/>
          <w:bCs/>
          <w:color w:val="000000"/>
          <w:szCs w:val="21"/>
          <w:lang w:eastAsia="zh-CN"/>
        </w:rPr>
        <w:t>磋商文件</w:t>
      </w:r>
      <w:r>
        <w:rPr>
          <w:rFonts w:ascii="宋体" w:hAnsi="宋体" w:cs="宋体"/>
          <w:bCs/>
          <w:color w:val="000000"/>
          <w:szCs w:val="21"/>
        </w:rPr>
        <w:t>的解释</w:t>
      </w:r>
      <w:r>
        <w:rPr>
          <w:rFonts w:ascii="宋体" w:hAnsi="宋体" w:cs="宋体"/>
          <w:bCs/>
          <w:color w:val="000000"/>
          <w:szCs w:val="21"/>
          <w:lang w:val="en-US" w:eastAsia="zh-CN"/>
        </w:rPr>
        <w:t xml:space="preserve"> </w:t>
      </w:r>
    </w:p>
    <w:p w14:paraId="49B46A45">
      <w:pPr>
        <w:spacing w:line="400" w:lineRule="exact"/>
        <w:ind w:firstLine="420"/>
        <w:rPr>
          <w:rFonts w:ascii="宋体" w:hAnsi="宋体" w:cs="宋体"/>
          <w:color w:val="000000"/>
          <w:szCs w:val="21"/>
          <w:highlight w:val="none"/>
        </w:rPr>
      </w:pPr>
      <w:r>
        <w:rPr>
          <w:rFonts w:ascii="宋体" w:hAnsi="宋体" w:cs="宋体"/>
          <w:color w:val="000000"/>
          <w:szCs w:val="21"/>
        </w:rPr>
        <w:t>本</w:t>
      </w:r>
      <w:r>
        <w:rPr>
          <w:rFonts w:ascii="宋体" w:hAnsi="宋体" w:cs="宋体"/>
          <w:color w:val="000000"/>
          <w:szCs w:val="21"/>
          <w:lang w:eastAsia="zh-CN"/>
        </w:rPr>
        <w:t>磋商文件</w:t>
      </w:r>
      <w:r>
        <w:rPr>
          <w:rFonts w:ascii="宋体" w:hAnsi="宋体" w:cs="宋体"/>
          <w:color w:val="000000"/>
          <w:szCs w:val="21"/>
        </w:rPr>
        <w:t>由采购人（或其委托的采购代理机构）负责解释。</w:t>
      </w:r>
    </w:p>
    <w:p w14:paraId="404F7BCA">
      <w:pPr>
        <w:spacing w:line="400" w:lineRule="exact"/>
        <w:rPr>
          <w:rFonts w:ascii="宋体" w:hAnsi="宋体" w:cs="宋体"/>
          <w:b/>
          <w:color w:val="000000"/>
          <w:szCs w:val="21"/>
          <w:highlight w:val="none"/>
        </w:rPr>
      </w:pPr>
      <w:r>
        <w:rPr>
          <w:rFonts w:ascii="宋体" w:hAnsi="宋体" w:cs="宋体"/>
          <w:b/>
          <w:color w:val="000000"/>
          <w:szCs w:val="21"/>
        </w:rPr>
        <w:t xml:space="preserve">   </w:t>
      </w:r>
      <w:r>
        <w:rPr>
          <w:b/>
          <w:color w:val="000000"/>
          <w:szCs w:val="21"/>
        </w:rPr>
        <w:t xml:space="preserve">18. </w:t>
      </w:r>
      <w:r>
        <w:rPr>
          <w:rFonts w:ascii="宋体" w:hAnsi="宋体" w:cs="宋体"/>
          <w:b/>
          <w:color w:val="000000"/>
          <w:szCs w:val="21"/>
          <w:lang w:eastAsia="zh-CN"/>
        </w:rPr>
        <w:t>磋商文件</w:t>
      </w:r>
      <w:r>
        <w:rPr>
          <w:rFonts w:ascii="宋体" w:hAnsi="宋体" w:cs="宋体"/>
          <w:b/>
          <w:color w:val="000000"/>
          <w:szCs w:val="21"/>
        </w:rPr>
        <w:t>的发出</w:t>
      </w:r>
    </w:p>
    <w:p w14:paraId="07F92338">
      <w:pPr>
        <w:spacing w:line="400" w:lineRule="exact"/>
        <w:ind w:firstLine="315"/>
        <w:rPr>
          <w:rFonts w:ascii="宋体" w:hAnsi="宋体" w:cs="宋体"/>
          <w:color w:val="000000"/>
          <w:szCs w:val="21"/>
          <w:highlight w:val="green"/>
        </w:rPr>
      </w:pPr>
      <w:r>
        <w:rPr>
          <w:rFonts w:ascii="宋体" w:hAnsi="宋体" w:cs="宋体"/>
          <w:color w:val="000000"/>
          <w:szCs w:val="21"/>
        </w:rPr>
        <w:t xml:space="preserve">18.1  </w:t>
      </w:r>
      <w:r>
        <w:rPr>
          <w:rFonts w:ascii="宋体" w:hAnsi="宋体" w:cs="宋体"/>
          <w:color w:val="000000"/>
          <w:szCs w:val="21"/>
          <w:lang w:eastAsia="zh-CN"/>
        </w:rPr>
        <w:t>磋商文件</w:t>
      </w:r>
      <w:r>
        <w:rPr>
          <w:rFonts w:ascii="宋体" w:hAnsi="宋体" w:cs="宋体"/>
          <w:color w:val="000000"/>
          <w:szCs w:val="21"/>
        </w:rPr>
        <w:t>、</w:t>
      </w:r>
      <w:r>
        <w:rPr>
          <w:rFonts w:ascii="宋体" w:hAnsi="宋体" w:cs="宋体"/>
          <w:color w:val="000000"/>
          <w:szCs w:val="21"/>
          <w:lang w:eastAsia="zh-CN"/>
        </w:rPr>
        <w:t>磋商文件</w:t>
      </w:r>
      <w:r>
        <w:rPr>
          <w:rFonts w:ascii="宋体" w:hAnsi="宋体" w:cs="宋体"/>
          <w:color w:val="000000"/>
          <w:szCs w:val="21"/>
        </w:rPr>
        <w:t>的澄清、修改、补充及采购答疑等均应报</w:t>
      </w:r>
      <w:r>
        <w:rPr>
          <w:rFonts w:ascii="宋体" w:hAnsi="宋体" w:cs="宋体"/>
          <w:color w:val="000000"/>
          <w:szCs w:val="21"/>
          <w:lang w:eastAsia="zh-CN"/>
        </w:rPr>
        <w:t>相关部门</w:t>
      </w:r>
      <w:r>
        <w:rPr>
          <w:rFonts w:ascii="宋体" w:hAnsi="宋体" w:cs="宋体"/>
          <w:color w:val="000000"/>
          <w:szCs w:val="21"/>
        </w:rPr>
        <w:t>备案后，方可发出。</w:t>
      </w:r>
    </w:p>
    <w:p w14:paraId="1FB82306">
      <w:pPr>
        <w:spacing w:line="440" w:lineRule="exact"/>
        <w:ind w:firstLine="279"/>
        <w:rPr>
          <w:rFonts w:ascii="宋体" w:hAnsi="宋体"/>
          <w:color w:val="000000"/>
          <w:szCs w:val="21"/>
          <w:highlight w:val="none"/>
        </w:rPr>
      </w:pPr>
      <w:r>
        <w:rPr>
          <w:b/>
          <w:color w:val="000000"/>
          <w:szCs w:val="21"/>
        </w:rPr>
        <w:t xml:space="preserve">19. </w:t>
      </w:r>
      <w:r>
        <w:rPr>
          <w:rFonts w:ascii="宋体" w:hAnsi="宋体"/>
          <w:color w:val="000000"/>
          <w:szCs w:val="21"/>
        </w:rPr>
        <w:t>凡需要设置样品情形时，必须明确是否需要随样品提交检测报告，并明确检测机构的要求、检测内容、</w:t>
      </w:r>
      <w:r>
        <w:rPr>
          <w:rFonts w:ascii="宋体" w:hAnsi="宋体"/>
          <w:b w:val="0"/>
          <w:bCs w:val="0"/>
          <w:color w:val="000000"/>
          <w:szCs w:val="21"/>
        </w:rPr>
        <w:t>成交样品封存</w:t>
      </w:r>
      <w:r>
        <w:rPr>
          <w:rFonts w:ascii="宋体" w:hAnsi="宋体"/>
          <w:color w:val="000000"/>
          <w:szCs w:val="21"/>
        </w:rPr>
        <w:t>等事项。（磋商小组无法判断样品是否合格且样品需要提供给第三方权威检测机构检测的,在供应商提供采购人认可的第三方权威检测机构检测报告后，磋商小组推荐的成交候选人方可生效，采购人或代理机构发布成交结果公告。</w:t>
      </w:r>
    </w:p>
    <w:p w14:paraId="2E714838">
      <w:pPr>
        <w:spacing w:line="400" w:lineRule="exact"/>
        <w:ind w:firstLine="420"/>
        <w:rPr>
          <w:rFonts w:ascii="宋体" w:hAnsi="宋体"/>
          <w:color w:val="000000"/>
          <w:szCs w:val="21"/>
          <w:highlight w:val="none"/>
        </w:rPr>
      </w:pPr>
      <w:r>
        <w:rPr>
          <w:rFonts w:ascii="宋体" w:hAnsi="宋体"/>
          <w:color w:val="000000"/>
          <w:szCs w:val="21"/>
          <w:lang w:eastAsia="zh-CN"/>
        </w:rPr>
        <w:t>采购文件</w:t>
      </w:r>
      <w:r>
        <w:rPr>
          <w:rFonts w:ascii="宋体" w:hAnsi="宋体"/>
          <w:color w:val="000000"/>
          <w:szCs w:val="21"/>
        </w:rPr>
        <w:t>中应明确样品送检方式、检测费用支付方法、供应商在规定时间内无法提供第三方权威检测机构检测报告的处理方式。（</w:t>
      </w:r>
      <w:r>
        <w:rPr>
          <w:rFonts w:ascii="宋体" w:hAnsi="宋体"/>
          <w:color w:val="000000"/>
          <w:szCs w:val="21"/>
          <w:lang w:eastAsia="zh-CN"/>
        </w:rPr>
        <w:t>采购人</w:t>
      </w:r>
      <w:r>
        <w:rPr>
          <w:rFonts w:ascii="宋体" w:hAnsi="宋体"/>
          <w:color w:val="000000"/>
          <w:szCs w:val="21"/>
        </w:rPr>
        <w:t>根据项目需求按上述要求自行描述）</w:t>
      </w:r>
    </w:p>
    <w:p w14:paraId="51465E1D">
      <w:pPr>
        <w:numPr>
          <w:ilvl w:val="0"/>
          <w:numId w:val="0"/>
        </w:numPr>
        <w:spacing w:before="312" w:after="312" w:line="440" w:lineRule="exact"/>
        <w:jc w:val="center"/>
        <w:outlineLvl w:val="2"/>
        <w:rPr>
          <w:rFonts w:ascii="宋体" w:hAnsi="宋体"/>
          <w:b/>
          <w:color w:val="000000"/>
          <w:sz w:val="28"/>
          <w:szCs w:val="28"/>
          <w:highlight w:val="none"/>
        </w:rPr>
      </w:pPr>
      <w:r>
        <w:rPr>
          <w:rFonts w:ascii="宋体" w:hAnsi="宋体"/>
          <w:b/>
          <w:color w:val="000000"/>
          <w:sz w:val="28"/>
          <w:szCs w:val="28"/>
        </w:rPr>
        <w:t>（三）响应文件的编制</w:t>
      </w:r>
    </w:p>
    <w:p w14:paraId="50ED1B6C">
      <w:pPr>
        <w:spacing w:line="440" w:lineRule="exact"/>
        <w:ind w:firstLine="304"/>
        <w:rPr>
          <w:rFonts w:ascii="宋体" w:hAnsi="宋体" w:cs="宋体"/>
          <w:b/>
          <w:color w:val="000000"/>
          <w:szCs w:val="21"/>
          <w:highlight w:val="none"/>
        </w:rPr>
      </w:pPr>
      <w:r>
        <w:rPr>
          <w:b/>
          <w:color w:val="000000"/>
          <w:szCs w:val="21"/>
        </w:rPr>
        <w:t xml:space="preserve">20. </w:t>
      </w:r>
      <w:r>
        <w:rPr>
          <w:rFonts w:ascii="宋体" w:hAnsi="宋体" w:cs="宋体"/>
          <w:b/>
          <w:color w:val="000000"/>
          <w:szCs w:val="21"/>
        </w:rPr>
        <w:t>响应的语言及度量衡单位</w:t>
      </w:r>
    </w:p>
    <w:p w14:paraId="66619733">
      <w:pPr>
        <w:spacing w:line="440" w:lineRule="exact"/>
        <w:ind w:firstLine="283"/>
        <w:rPr>
          <w:rFonts w:ascii="宋体" w:hAnsi="宋体"/>
          <w:color w:val="000000"/>
          <w:szCs w:val="21"/>
          <w:highlight w:val="none"/>
        </w:rPr>
      </w:pPr>
      <w:r>
        <w:rPr>
          <w:rFonts w:ascii="宋体" w:hAnsi="宋体"/>
          <w:color w:val="000000"/>
          <w:szCs w:val="21"/>
        </w:rPr>
        <w:t>20.1</w:t>
      </w:r>
      <w:r>
        <w:rPr>
          <w:rFonts w:ascii="宋体" w:hAnsi="宋体" w:cs="宋体"/>
          <w:color w:val="000000"/>
          <w:szCs w:val="21"/>
        </w:rPr>
        <w:t>供应商提交的响应文件、技术文件和资料，以及供应商与采购人就有关响应的所有来往函电均应使用中文。响应文件中若有英文或其他语言文字的资料，应提供相应的中文翻译资料。对不同文本响应文件的解释发生异议的，以中文文本为准。</w:t>
      </w:r>
    </w:p>
    <w:p w14:paraId="73DEB06D">
      <w:pPr>
        <w:spacing w:line="440" w:lineRule="exact"/>
        <w:ind w:firstLine="283"/>
        <w:rPr>
          <w:rFonts w:ascii="宋体" w:hAnsi="宋体"/>
          <w:color w:val="000000"/>
          <w:szCs w:val="21"/>
          <w:highlight w:val="none"/>
        </w:rPr>
      </w:pPr>
      <w:r>
        <w:rPr>
          <w:rFonts w:ascii="宋体" w:hAnsi="宋体" w:cs="宋体"/>
          <w:color w:val="000000"/>
          <w:szCs w:val="21"/>
        </w:rPr>
        <w:t xml:space="preserve"> </w:t>
      </w:r>
      <w:r>
        <w:rPr>
          <w:rFonts w:ascii="宋体" w:hAnsi="宋体"/>
          <w:color w:val="000000"/>
          <w:szCs w:val="21"/>
        </w:rPr>
        <w:t>20.2除</w:t>
      </w:r>
      <w:r>
        <w:rPr>
          <w:rFonts w:ascii="宋体" w:hAnsi="宋体"/>
          <w:color w:val="000000"/>
          <w:szCs w:val="21"/>
          <w:lang w:eastAsia="zh-CN"/>
        </w:rPr>
        <w:t>采购文件</w:t>
      </w:r>
      <w:r>
        <w:rPr>
          <w:rFonts w:ascii="宋体" w:hAnsi="宋体"/>
          <w:color w:val="000000"/>
          <w:szCs w:val="21"/>
        </w:rPr>
        <w:t>中另有规定外，响应文件所使用的度量衡均须采用法定计量单位。</w:t>
      </w:r>
    </w:p>
    <w:p w14:paraId="50219D24">
      <w:pPr>
        <w:spacing w:line="400" w:lineRule="exact"/>
        <w:ind w:firstLine="417"/>
        <w:rPr>
          <w:rFonts w:ascii="宋体" w:hAnsi="宋体" w:eastAsia="宋体" w:cs="Times New Roman"/>
          <w:b/>
          <w:bCs/>
          <w:color w:val="0000FF"/>
          <w:szCs w:val="21"/>
          <w:highlight w:val="none"/>
        </w:rPr>
      </w:pPr>
      <w:r>
        <w:rPr>
          <w:rFonts w:ascii="宋体" w:hAnsi="宋体" w:eastAsia="宋体" w:cs="Times New Roman"/>
          <w:b/>
          <w:bCs/>
          <w:color w:val="0000FF"/>
          <w:szCs w:val="21"/>
        </w:rPr>
        <w:t xml:space="preserve">21. </w:t>
      </w:r>
      <w:r>
        <w:rPr>
          <w:rFonts w:ascii="宋体" w:hAnsi="宋体" w:cs="Times New Roman"/>
          <w:b/>
          <w:bCs/>
          <w:color w:val="0000FF"/>
          <w:szCs w:val="21"/>
        </w:rPr>
        <w:t>响应文件的组成</w:t>
      </w:r>
    </w:p>
    <w:p w14:paraId="6CB11768">
      <w:pPr>
        <w:spacing w:line="400" w:lineRule="exact"/>
        <w:ind w:firstLine="417"/>
        <w:rPr>
          <w:rFonts w:ascii="宋体" w:hAnsi="宋体" w:eastAsia="宋体" w:cs="Times New Roman"/>
          <w:color w:val="0000FF"/>
          <w:szCs w:val="21"/>
          <w:highlight w:val="none"/>
        </w:rPr>
      </w:pPr>
      <w:r>
        <w:rPr>
          <w:rFonts w:ascii="宋体" w:hAnsi="宋体" w:cs="Times New Roman"/>
          <w:color w:val="0000FF"/>
          <w:szCs w:val="21"/>
        </w:rPr>
        <w:t>资格证明文件和商务及技术文件两部分。</w:t>
      </w:r>
    </w:p>
    <w:p w14:paraId="07A41A6E">
      <w:pPr>
        <w:spacing w:line="400" w:lineRule="exact"/>
        <w:ind w:firstLine="417"/>
        <w:rPr>
          <w:rFonts w:ascii="宋体" w:hAnsi="宋体" w:eastAsia="宋体" w:cs="Times New Roman"/>
          <w:b/>
          <w:bCs/>
          <w:color w:val="0000FF"/>
          <w:szCs w:val="21"/>
          <w:highlight w:val="none"/>
          <w:lang w:eastAsia="zh-CN"/>
        </w:rPr>
      </w:pPr>
      <w:r>
        <w:rPr>
          <w:rFonts w:ascii="宋体" w:hAnsi="宋体" w:eastAsia="宋体" w:cs="Times New Roman"/>
          <w:b/>
          <w:bCs/>
          <w:color w:val="0000FF"/>
          <w:szCs w:val="21"/>
        </w:rPr>
        <w:t>21.1</w:t>
      </w:r>
      <w:r>
        <w:rPr>
          <w:rFonts w:ascii="宋体" w:hAnsi="宋体" w:cs="Times New Roman"/>
          <w:b/>
          <w:bCs/>
          <w:color w:val="0000FF"/>
          <w:szCs w:val="21"/>
        </w:rPr>
        <w:t>资格证明文件</w:t>
      </w:r>
      <w:r>
        <w:rPr>
          <w:rFonts w:ascii="宋体" w:hAnsi="宋体" w:cs="Times New Roman"/>
          <w:b/>
          <w:bCs/>
          <w:color w:val="0000FF"/>
          <w:szCs w:val="21"/>
          <w:lang w:eastAsia="zh-CN"/>
        </w:rPr>
        <w:t>（包括但不限于）</w:t>
      </w:r>
    </w:p>
    <w:p w14:paraId="74FCE475">
      <w:pPr>
        <w:spacing w:line="400" w:lineRule="exact"/>
        <w:ind w:firstLine="417"/>
        <w:rPr>
          <w:rFonts w:ascii="宋体" w:hAnsi="宋体" w:eastAsia="宋体" w:cs="Times New Roman"/>
          <w:b/>
          <w:bCs/>
          <w:color w:val="0000FF"/>
          <w:szCs w:val="21"/>
          <w:highlight w:val="none"/>
        </w:rPr>
      </w:pPr>
      <w:r>
        <w:rPr>
          <w:rFonts w:ascii="宋体" w:hAnsi="宋体" w:cs="Times New Roman"/>
          <w:b/>
          <w:bCs/>
          <w:color w:val="0000FF"/>
          <w:szCs w:val="21"/>
        </w:rPr>
        <w:t>资格证明</w:t>
      </w:r>
      <w:r>
        <w:rPr>
          <w:rFonts w:ascii="宋体" w:hAnsi="宋体" w:cs="Times New Roman"/>
          <w:b/>
          <w:bCs/>
          <w:color w:val="0000FF"/>
          <w:szCs w:val="21"/>
          <w:lang w:eastAsia="zh-CN"/>
        </w:rPr>
        <w:t>文件</w:t>
      </w:r>
      <w:r>
        <w:rPr>
          <w:rFonts w:ascii="宋体" w:hAnsi="宋体" w:cs="Times New Roman"/>
          <w:b/>
          <w:bCs/>
          <w:color w:val="0000FF"/>
          <w:szCs w:val="21"/>
        </w:rPr>
        <w:t>是证明供应商有资格参加磋商和成交后有能力履行合同的文件，这些文件应能满足采购的要求，否则作无效响应处理。</w:t>
      </w:r>
    </w:p>
    <w:p w14:paraId="653CE27C">
      <w:pPr>
        <w:numPr>
          <w:ilvl w:val="0"/>
          <w:numId w:val="0"/>
        </w:numPr>
        <w:spacing w:line="440" w:lineRule="exact"/>
        <w:ind w:left="0" w:firstLine="0"/>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1</w:t>
      </w:r>
      <w:r>
        <w:rPr>
          <w:rFonts w:ascii="宋体" w:hAnsi="宋体" w:cs="宋体"/>
          <w:b/>
          <w:bCs/>
          <w:color w:val="0000FF"/>
          <w:szCs w:val="21"/>
          <w:lang w:val="en-US" w:eastAsia="zh-CN"/>
        </w:rPr>
        <w:t>、具备三证合一营业执照副本；</w:t>
      </w:r>
    </w:p>
    <w:p w14:paraId="00F91C44">
      <w:pPr>
        <w:numPr>
          <w:ilvl w:val="0"/>
          <w:numId w:val="0"/>
        </w:numPr>
        <w:spacing w:line="440" w:lineRule="exact"/>
        <w:ind w:left="0" w:firstLine="0"/>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2</w:t>
      </w:r>
      <w:r>
        <w:rPr>
          <w:rFonts w:ascii="宋体" w:hAnsi="宋体" w:cs="宋体"/>
          <w:b/>
          <w:bCs/>
          <w:color w:val="0000FF"/>
          <w:szCs w:val="21"/>
          <w:lang w:val="en-US" w:eastAsia="zh-CN"/>
        </w:rPr>
        <w:t>、法定代表人响应需提供法定代表人资格证明书，委托代理人响应需提供法定代表人授权委托书；</w:t>
      </w:r>
    </w:p>
    <w:p w14:paraId="73AA9CBE">
      <w:pPr>
        <w:numPr>
          <w:ilvl w:val="0"/>
          <w:numId w:val="0"/>
        </w:numPr>
        <w:spacing w:line="440" w:lineRule="exact"/>
        <w:ind w:left="0" w:firstLine="0"/>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3</w:t>
      </w:r>
      <w:r>
        <w:rPr>
          <w:rFonts w:ascii="宋体" w:hAnsi="宋体" w:cs="宋体"/>
          <w:b/>
          <w:bCs/>
          <w:color w:val="0000FF"/>
          <w:szCs w:val="21"/>
          <w:lang w:val="en-US" w:eastAsia="zh-CN"/>
        </w:rPr>
        <w:t xml:space="preserve">、供应商须提供供应商（被授权在职人员）近 </w:t>
      </w:r>
      <w:r>
        <w:rPr>
          <w:rFonts w:ascii="宋体" w:hAnsi="宋体" w:eastAsia="宋体" w:cs="宋体"/>
          <w:b/>
          <w:bCs/>
          <w:color w:val="0000FF"/>
          <w:szCs w:val="21"/>
          <w:lang w:val="en-US" w:eastAsia="zh-CN"/>
        </w:rPr>
        <w:t xml:space="preserve">6 </w:t>
      </w:r>
      <w:r>
        <w:rPr>
          <w:rFonts w:ascii="宋体" w:hAnsi="宋体" w:cs="宋体"/>
          <w:b/>
          <w:bCs/>
          <w:color w:val="0000FF"/>
          <w:szCs w:val="21"/>
          <w:lang w:val="en-US" w:eastAsia="zh-CN"/>
        </w:rPr>
        <w:t>个月内任意一个月有效的社保证明；</w:t>
      </w:r>
    </w:p>
    <w:p w14:paraId="02FD9FF6">
      <w:pPr>
        <w:numPr>
          <w:ilvl w:val="0"/>
          <w:numId w:val="0"/>
        </w:numPr>
        <w:spacing w:line="440" w:lineRule="exact"/>
        <w:ind w:left="0" w:firstLine="0"/>
        <w:rPr>
          <w:rFonts w:ascii="宋体" w:hAnsi="宋体" w:eastAsia="宋体" w:cs="宋体"/>
          <w:color w:val="0000FF"/>
          <w:lang w:val="en-US" w:eastAsia="zh-CN"/>
        </w:rPr>
      </w:pPr>
      <w:r>
        <w:rPr>
          <w:rFonts w:ascii="宋体" w:hAnsi="宋体" w:cs="宋体"/>
          <w:b/>
          <w:bCs/>
          <w:color w:val="0000FF"/>
          <w:szCs w:val="21"/>
          <w:lang w:val="en-US" w:eastAsia="zh-CN"/>
        </w:rPr>
        <w:t>4、未被“信用中国 ”（www.creditchina.gov.cn）、中国政府采购网（www.ccgp.gov.cn） 列入失信被执行人、重大税收违法案件当事人名单、政府采购严重违法失信行为记录名单（提供查询结果网页截图并加盖供应商公章）；</w:t>
      </w:r>
    </w:p>
    <w:p w14:paraId="507511FB">
      <w:pPr>
        <w:spacing w:line="440" w:lineRule="exact"/>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5、供应商须具备</w:t>
      </w:r>
      <w:r>
        <w:rPr>
          <w:rFonts w:hint="eastAsia" w:ascii="宋体" w:hAnsi="宋体" w:cs="宋体"/>
          <w:b/>
          <w:bCs/>
          <w:color w:val="0000FF"/>
          <w:szCs w:val="21"/>
          <w:lang w:val="en-US" w:eastAsia="zh-CN"/>
        </w:rPr>
        <w:t>建筑装修装饰工程专业承包二级及以上资质、有效的安全生产许可证；项目负责人具备建筑工程专业二级（含）以上注册建造师执业资格且具有有效的安全生产考核证；</w:t>
      </w:r>
    </w:p>
    <w:p w14:paraId="26162606">
      <w:pPr>
        <w:spacing w:line="440" w:lineRule="exact"/>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6、磋商保证金汇款凭证或保函等保证金交纳证明材料；</w:t>
      </w:r>
    </w:p>
    <w:p w14:paraId="48277C29">
      <w:pPr>
        <w:numPr>
          <w:ilvl w:val="0"/>
          <w:numId w:val="0"/>
        </w:numPr>
        <w:spacing w:line="440" w:lineRule="exact"/>
        <w:ind w:left="0" w:firstLine="0"/>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7、</w:t>
      </w:r>
      <w:r>
        <w:rPr>
          <w:rFonts w:ascii="宋体" w:hAnsi="宋体" w:cs="宋体"/>
          <w:b/>
          <w:bCs/>
          <w:color w:val="0000FF"/>
          <w:kern w:val="2"/>
          <w:sz w:val="21"/>
          <w:szCs w:val="21"/>
          <w:lang w:val="en-US" w:eastAsia="zh-CN" w:bidi="ar-SA"/>
        </w:rPr>
        <w:t>提供承建商为中小企业的《中小企业声明函》；</w:t>
      </w:r>
    </w:p>
    <w:p w14:paraId="52A41AF4">
      <w:pPr>
        <w:numPr>
          <w:ilvl w:val="0"/>
          <w:numId w:val="0"/>
        </w:numPr>
        <w:spacing w:line="440" w:lineRule="exact"/>
        <w:ind w:left="0" w:firstLine="0"/>
        <w:rPr>
          <w:rFonts w:ascii="宋体" w:hAnsi="宋体" w:cs="宋体"/>
          <w:b/>
          <w:bCs/>
          <w:color w:val="0000FF"/>
          <w:szCs w:val="21"/>
          <w:highlight w:val="none"/>
          <w:lang w:val="en-US" w:eastAsia="zh-CN"/>
        </w:rPr>
      </w:pPr>
      <w:r>
        <w:rPr>
          <w:rFonts w:ascii="宋体" w:hAnsi="宋体" w:cs="宋体"/>
          <w:b/>
          <w:bCs/>
          <w:color w:val="0000FF"/>
          <w:szCs w:val="21"/>
          <w:lang w:val="en-US" w:eastAsia="zh-CN"/>
        </w:rPr>
        <w:t>8、供应商关联单位的说明；</w:t>
      </w:r>
    </w:p>
    <w:p w14:paraId="61F6DB91">
      <w:pPr>
        <w:numPr>
          <w:ilvl w:val="0"/>
          <w:numId w:val="0"/>
        </w:numPr>
        <w:spacing w:line="440" w:lineRule="exact"/>
        <w:ind w:left="0" w:firstLine="0"/>
        <w:rPr>
          <w:rFonts w:ascii="宋体" w:hAnsi="宋体" w:eastAsia="宋体" w:cs="宋体"/>
          <w:b/>
          <w:bCs/>
          <w:color w:val="0000FF"/>
          <w:kern w:val="2"/>
          <w:sz w:val="21"/>
          <w:szCs w:val="21"/>
          <w:lang w:val="en-US" w:eastAsia="zh-CN" w:bidi="ar-SA"/>
        </w:rPr>
      </w:pPr>
      <w:r>
        <w:rPr>
          <w:rFonts w:ascii="宋体" w:hAnsi="宋体" w:cs="宋体"/>
          <w:b/>
          <w:bCs/>
          <w:color w:val="0000FF"/>
          <w:szCs w:val="21"/>
          <w:lang w:val="en-US" w:eastAsia="zh-CN"/>
        </w:rPr>
        <w:t>9、</w:t>
      </w:r>
      <w:r>
        <w:rPr>
          <w:rFonts w:ascii="宋体" w:hAnsi="宋体" w:cs="宋体"/>
          <w:b/>
          <w:bCs/>
          <w:color w:val="0000FF"/>
          <w:kern w:val="2"/>
          <w:sz w:val="21"/>
          <w:szCs w:val="21"/>
          <w:lang w:val="en-US" w:eastAsia="zh-CN" w:bidi="ar-SA"/>
        </w:rPr>
        <w:t>供应商须知资料表要求的其他资格证明文件；</w:t>
      </w:r>
    </w:p>
    <w:p w14:paraId="4959915D">
      <w:pPr>
        <w:spacing w:line="440" w:lineRule="exact"/>
        <w:ind w:firstLine="308"/>
        <w:rPr>
          <w:rFonts w:ascii="Times New Roman" w:hAnsi="Times New Roman" w:eastAsia="宋体" w:cs="Times New Roman"/>
          <w:color w:val="000000"/>
          <w:szCs w:val="21"/>
          <w:highlight w:val="none"/>
        </w:rPr>
      </w:pPr>
      <w:r>
        <w:rPr>
          <w:rFonts w:ascii="宋体" w:hAnsi="宋体" w:cs="宋体"/>
          <w:b/>
          <w:color w:val="000000"/>
          <w:szCs w:val="21"/>
        </w:rPr>
        <w:t>21.2</w:t>
      </w:r>
      <w:r>
        <w:rPr>
          <w:rFonts w:ascii="宋体" w:hAnsi="宋体" w:cs="宋体"/>
          <w:b/>
          <w:color w:val="000000"/>
          <w:szCs w:val="21"/>
          <w:lang w:val="en-US" w:eastAsia="zh-CN"/>
        </w:rPr>
        <w:t xml:space="preserve"> 商务及技术文件</w:t>
      </w:r>
      <w:r>
        <w:rPr>
          <w:rFonts w:ascii="宋体" w:hAnsi="宋体"/>
          <w:b/>
          <w:color w:val="000000"/>
          <w:szCs w:val="21"/>
          <w:lang w:eastAsia="zh-CN"/>
        </w:rPr>
        <w:t>（包括但不限于）</w:t>
      </w:r>
    </w:p>
    <w:p w14:paraId="7EB06250">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1</w:t>
      </w:r>
      <w:r>
        <w:rPr>
          <w:rFonts w:ascii="宋体" w:hAnsi="宋体" w:cs="宋体"/>
          <w:b/>
          <w:bCs/>
          <w:color w:val="0000FF"/>
          <w:szCs w:val="21"/>
          <w:lang w:val="en-US" w:eastAsia="zh-CN"/>
        </w:rPr>
        <w:t>、响应函</w:t>
      </w:r>
    </w:p>
    <w:p w14:paraId="1AFFEB23">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2</w:t>
      </w:r>
      <w:r>
        <w:rPr>
          <w:rFonts w:ascii="宋体" w:hAnsi="宋体" w:cs="宋体"/>
          <w:b/>
          <w:bCs/>
          <w:color w:val="0000FF"/>
          <w:szCs w:val="21"/>
          <w:lang w:val="en-US" w:eastAsia="zh-CN"/>
        </w:rPr>
        <w:t>、报价一览表</w:t>
      </w:r>
    </w:p>
    <w:p w14:paraId="1827B244">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3</w:t>
      </w:r>
      <w:r>
        <w:rPr>
          <w:rFonts w:ascii="宋体" w:hAnsi="宋体" w:cs="宋体"/>
          <w:b/>
          <w:bCs/>
          <w:color w:val="0000FF"/>
          <w:szCs w:val="21"/>
          <w:lang w:val="en-US" w:eastAsia="zh-CN"/>
        </w:rPr>
        <w:t>、响应分项报价表</w:t>
      </w:r>
    </w:p>
    <w:p w14:paraId="50439F30">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4</w:t>
      </w:r>
      <w:r>
        <w:rPr>
          <w:rFonts w:ascii="宋体" w:hAnsi="宋体" w:cs="宋体"/>
          <w:b/>
          <w:bCs/>
          <w:color w:val="0000FF"/>
          <w:szCs w:val="21"/>
          <w:lang w:val="en-US" w:eastAsia="zh-CN"/>
        </w:rPr>
        <w:t>、技术规格偏离表</w:t>
      </w:r>
    </w:p>
    <w:p w14:paraId="592C65E0">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5</w:t>
      </w:r>
      <w:r>
        <w:rPr>
          <w:rFonts w:ascii="宋体" w:hAnsi="宋体" w:cs="宋体"/>
          <w:b/>
          <w:bCs/>
          <w:color w:val="0000FF"/>
          <w:szCs w:val="21"/>
          <w:lang w:val="en-US" w:eastAsia="zh-CN"/>
        </w:rPr>
        <w:t>、商务条款偏离表</w:t>
      </w:r>
    </w:p>
    <w:p w14:paraId="2FC63D56">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6</w:t>
      </w:r>
      <w:r>
        <w:rPr>
          <w:rFonts w:ascii="宋体" w:hAnsi="宋体" w:cs="宋体"/>
          <w:b/>
          <w:bCs/>
          <w:color w:val="0000FF"/>
          <w:szCs w:val="21"/>
          <w:lang w:val="en-US" w:eastAsia="zh-CN"/>
        </w:rPr>
        <w:t>、供应商基本情况表</w:t>
      </w:r>
    </w:p>
    <w:p w14:paraId="65802B4E">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7、评分标准和细则中商务部分证明材料</w:t>
      </w:r>
    </w:p>
    <w:p w14:paraId="5AEAC776">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8、评分标准和细则中技术部分证明材料</w:t>
      </w:r>
    </w:p>
    <w:p w14:paraId="793FF41D">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9、供应商认为有必要提供的其他证明材料</w:t>
      </w:r>
    </w:p>
    <w:p w14:paraId="46A310DA">
      <w:pPr>
        <w:spacing w:line="400" w:lineRule="exact"/>
        <w:ind w:firstLine="417"/>
        <w:rPr>
          <w:rFonts w:ascii="宋体" w:hAnsi="宋体" w:eastAsia="宋体" w:cs="宋体"/>
          <w:b/>
          <w:bCs/>
          <w:color w:val="0000FF"/>
          <w:szCs w:val="21"/>
          <w:highlight w:val="none"/>
          <w:lang w:eastAsia="zh-CN"/>
        </w:rPr>
      </w:pPr>
      <w:r>
        <w:rPr>
          <w:rFonts w:ascii="宋体" w:hAnsi="宋体" w:cs="宋体"/>
          <w:b/>
          <w:bCs/>
          <w:color w:val="0000FF"/>
          <w:kern w:val="0"/>
          <w:szCs w:val="21"/>
          <w:u w:val="single"/>
        </w:rPr>
        <w:t>注：以上材料须</w:t>
      </w:r>
      <w:r>
        <w:rPr>
          <w:rFonts w:ascii="宋体" w:hAnsi="宋体" w:cs="宋体"/>
          <w:b/>
          <w:bCs/>
          <w:color w:val="0000FF"/>
          <w:kern w:val="0"/>
          <w:szCs w:val="21"/>
          <w:u w:val="single"/>
          <w:lang w:eastAsia="zh-CN"/>
        </w:rPr>
        <w:t>逐页</w:t>
      </w:r>
      <w:r>
        <w:rPr>
          <w:rFonts w:ascii="宋体" w:hAnsi="宋体" w:cs="宋体"/>
          <w:b/>
          <w:bCs/>
          <w:color w:val="0000FF"/>
          <w:kern w:val="0"/>
          <w:szCs w:val="21"/>
          <w:u w:val="single"/>
        </w:rPr>
        <w:t>加盖单位公章</w:t>
      </w:r>
      <w:r>
        <w:rPr>
          <w:rFonts w:ascii="宋体" w:hAnsi="宋体" w:cs="宋体"/>
          <w:b/>
          <w:bCs/>
          <w:color w:val="0000FF"/>
          <w:kern w:val="0"/>
          <w:szCs w:val="21"/>
          <w:u w:val="single"/>
          <w:lang w:eastAsia="zh-CN"/>
        </w:rPr>
        <w:t>。</w:t>
      </w:r>
    </w:p>
    <w:p w14:paraId="569AF8FB">
      <w:pPr>
        <w:spacing w:line="400" w:lineRule="exact"/>
        <w:ind w:firstLine="417"/>
        <w:rPr>
          <w:rFonts w:ascii="宋体" w:hAnsi="宋体" w:eastAsia="宋体" w:cs="Times New Roman"/>
          <w:color w:val="000000"/>
          <w:szCs w:val="21"/>
          <w:highlight w:val="none"/>
          <w:lang w:eastAsia="zh-CN"/>
        </w:rPr>
      </w:pPr>
      <w:r>
        <w:rPr>
          <w:rFonts w:ascii="宋体" w:hAnsi="宋体"/>
          <w:color w:val="000000"/>
          <w:szCs w:val="21"/>
        </w:rPr>
        <w:t>21.</w:t>
      </w:r>
      <w:r>
        <w:rPr>
          <w:rFonts w:ascii="宋体" w:hAnsi="宋体"/>
          <w:color w:val="000000"/>
          <w:szCs w:val="21"/>
          <w:lang w:val="en-US" w:eastAsia="zh-CN"/>
        </w:rPr>
        <w:t>3</w:t>
      </w:r>
      <w:r>
        <w:rPr>
          <w:rFonts w:ascii="宋体" w:hAnsi="宋体" w:cs="Times New Roman"/>
          <w:color w:val="000000"/>
          <w:szCs w:val="21"/>
          <w:lang w:eastAsia="zh-CN"/>
        </w:rPr>
        <w:t>响应文件的要求</w:t>
      </w:r>
    </w:p>
    <w:p w14:paraId="06CC0012">
      <w:pPr>
        <w:spacing w:line="400" w:lineRule="exact"/>
        <w:ind w:firstLine="417"/>
        <w:rPr>
          <w:rFonts w:ascii="宋体" w:hAnsi="宋体" w:eastAsia="宋体" w:cs="Times New Roman"/>
          <w:color w:val="000000"/>
          <w:szCs w:val="21"/>
          <w:highlight w:val="none"/>
          <w:lang w:eastAsia="zh-CN"/>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1</w:t>
      </w:r>
      <w:r>
        <w:rPr>
          <w:rFonts w:ascii="宋体" w:hAnsi="宋体" w:cs="Times New Roman"/>
          <w:color w:val="000000"/>
          <w:szCs w:val="21"/>
          <w:lang w:eastAsia="zh-CN"/>
        </w:rPr>
        <w:t>）供应商应仔细阅读采购文件的所有内容，按照采购文件的要求详细编制响应文件，所提交的全部资料必须真实有效，并且要保证字迹清晰易于辨认。响应文件应对采购文件实质性内容作出响应，否则按无效响应处理。</w:t>
      </w:r>
    </w:p>
    <w:p w14:paraId="74A36F25">
      <w:pPr>
        <w:spacing w:line="400" w:lineRule="exact"/>
        <w:ind w:firstLine="417"/>
        <w:rPr>
          <w:rFonts w:ascii="宋体" w:hAnsi="宋体" w:eastAsia="宋体" w:cs="Times New Roman"/>
          <w:color w:val="000000"/>
          <w:szCs w:val="21"/>
          <w:highlight w:val="none"/>
          <w:lang w:eastAsia="zh-CN"/>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2</w:t>
      </w:r>
      <w:r>
        <w:rPr>
          <w:rFonts w:ascii="宋体" w:hAnsi="宋体" w:cs="Times New Roman"/>
          <w:color w:val="000000"/>
          <w:szCs w:val="21"/>
          <w:lang w:eastAsia="zh-CN"/>
        </w:rPr>
        <w:t>）响应文件格式应按本采购文件第六章格式要求编制，不得对采购文件格式进行增删更改，否则按无效响应处理。</w:t>
      </w:r>
    </w:p>
    <w:p w14:paraId="261A7CD8">
      <w:pPr>
        <w:spacing w:line="400" w:lineRule="exact"/>
        <w:ind w:firstLine="417"/>
        <w:rPr>
          <w:rFonts w:ascii="宋体" w:hAnsi="宋体" w:eastAsia="宋体" w:cs="Times New Roman"/>
          <w:color w:val="000000"/>
          <w:szCs w:val="21"/>
          <w:highlight w:val="none"/>
          <w:lang w:eastAsia="zh-CN"/>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3</w:t>
      </w:r>
      <w:r>
        <w:rPr>
          <w:rFonts w:ascii="宋体" w:hAnsi="宋体" w:cs="Times New Roman"/>
          <w:color w:val="000000"/>
          <w:szCs w:val="21"/>
          <w:lang w:eastAsia="zh-CN"/>
        </w:rPr>
        <w:t xml:space="preserve">）对采购文件格式可更改的例外情况：采购文件第六章附件格式要求中明确规定表格中行数不够用时可按相同格式增加行数，其他一切内容和格式不得更改。 </w:t>
      </w:r>
    </w:p>
    <w:p w14:paraId="27D054EF">
      <w:pPr>
        <w:spacing w:line="400" w:lineRule="exact"/>
        <w:ind w:firstLine="417"/>
        <w:rPr>
          <w:rFonts w:ascii="宋体" w:hAnsi="宋体" w:eastAsia="宋体" w:cs="Times New Roman"/>
          <w:color w:val="000000"/>
          <w:szCs w:val="21"/>
          <w:highlight w:val="none"/>
          <w:lang w:eastAsia="zh-CN"/>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4</w:t>
      </w:r>
      <w:r>
        <w:rPr>
          <w:rFonts w:ascii="宋体" w:hAnsi="宋体" w:cs="Times New Roman"/>
          <w:color w:val="000000"/>
          <w:szCs w:val="21"/>
          <w:lang w:eastAsia="zh-CN"/>
        </w:rPr>
        <w:t>）响应文件为电子响应文件，电子响应文件按“政采云供应商项目采购</w:t>
      </w:r>
      <w:r>
        <w:rPr>
          <w:rFonts w:ascii="宋体" w:hAnsi="宋体" w:eastAsia="宋体" w:cs="Times New Roman"/>
          <w:color w:val="000000"/>
          <w:szCs w:val="21"/>
          <w:lang w:eastAsia="zh-CN"/>
        </w:rPr>
        <w:t>-</w:t>
      </w:r>
      <w:r>
        <w:rPr>
          <w:rFonts w:ascii="宋体" w:hAnsi="宋体" w:cs="Times New Roman"/>
          <w:color w:val="000000"/>
          <w:szCs w:val="21"/>
          <w:lang w:eastAsia="zh-CN"/>
        </w:rPr>
        <w:t>电子招投标操作指南”及本采购文件要求制作、加密传输。</w:t>
      </w:r>
    </w:p>
    <w:p w14:paraId="5AAC993F">
      <w:pPr>
        <w:spacing w:line="400" w:lineRule="exact"/>
        <w:ind w:firstLine="417"/>
        <w:rPr>
          <w:rFonts w:ascii="宋体" w:hAnsi="宋体"/>
          <w:color w:val="000000"/>
          <w:szCs w:val="21"/>
          <w:highlight w:val="none"/>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5</w:t>
      </w:r>
      <w:r>
        <w:rPr>
          <w:rFonts w:ascii="宋体" w:hAnsi="宋体" w:cs="Times New Roman"/>
          <w:color w:val="000000"/>
          <w:szCs w:val="21"/>
          <w:lang w:eastAsia="zh-CN"/>
        </w:rPr>
        <w:t>）响应文件未在响应文件递交截止时间前完成传输的，视为响应文件撤回；响应文件未按时解密，亦视为响应文件撤回。</w:t>
      </w:r>
    </w:p>
    <w:p w14:paraId="765C18CB">
      <w:pPr>
        <w:spacing w:line="440" w:lineRule="exact"/>
        <w:ind w:firstLine="420"/>
        <w:rPr>
          <w:rFonts w:ascii="宋体" w:hAnsi="宋体"/>
          <w:color w:val="000000"/>
          <w:szCs w:val="21"/>
          <w:highlight w:val="none"/>
        </w:rPr>
      </w:pPr>
      <w:r>
        <w:rPr>
          <w:rFonts w:ascii="宋体" w:hAnsi="宋体"/>
          <w:b/>
          <w:color w:val="000000"/>
          <w:szCs w:val="21"/>
        </w:rPr>
        <w:t>22</w:t>
      </w:r>
      <w:r>
        <w:rPr>
          <w:rFonts w:ascii="宋体" w:hAnsi="宋体"/>
          <w:color w:val="000000"/>
          <w:szCs w:val="21"/>
        </w:rPr>
        <w:t>.</w:t>
      </w:r>
      <w:r>
        <w:rPr>
          <w:rFonts w:ascii="宋体" w:hAnsi="宋体"/>
          <w:b/>
          <w:color w:val="000000"/>
          <w:szCs w:val="21"/>
          <w:lang w:eastAsia="zh-CN"/>
        </w:rPr>
        <w:t>磋商</w:t>
      </w:r>
      <w:r>
        <w:rPr>
          <w:rFonts w:ascii="宋体" w:hAnsi="宋体"/>
          <w:b/>
          <w:color w:val="000000"/>
          <w:szCs w:val="21"/>
        </w:rPr>
        <w:t>报价</w:t>
      </w:r>
    </w:p>
    <w:p w14:paraId="23D26CFE">
      <w:pPr>
        <w:spacing w:line="440" w:lineRule="exact"/>
        <w:ind w:firstLine="420"/>
        <w:rPr>
          <w:rFonts w:ascii="宋体" w:hAnsi="宋体"/>
          <w:color w:val="000000"/>
          <w:szCs w:val="21"/>
          <w:highlight w:val="none"/>
        </w:rPr>
      </w:pPr>
      <w:r>
        <w:rPr>
          <w:rFonts w:ascii="宋体" w:hAnsi="宋体"/>
          <w:color w:val="000000"/>
          <w:szCs w:val="21"/>
        </w:rPr>
        <w:t>22.1磋商报价文件中的单价和总价全部采用人民币表示。</w:t>
      </w:r>
    </w:p>
    <w:p w14:paraId="6778DA3A">
      <w:pPr>
        <w:spacing w:line="440" w:lineRule="exact"/>
        <w:ind w:firstLine="420"/>
        <w:rPr>
          <w:rFonts w:ascii="宋体" w:hAnsi="宋体" w:eastAsia="宋体" w:cs="Times New Roman"/>
          <w:color w:val="000000"/>
          <w:szCs w:val="21"/>
          <w:highlight w:val="none"/>
        </w:rPr>
      </w:pPr>
      <w:r>
        <w:rPr>
          <w:rFonts w:ascii="宋体" w:hAnsi="宋体"/>
          <w:color w:val="000000"/>
          <w:szCs w:val="21"/>
        </w:rPr>
        <w:t>22.</w:t>
      </w:r>
      <w:r>
        <w:rPr>
          <w:rFonts w:ascii="宋体" w:hAnsi="宋体" w:eastAsia="宋体" w:cs="Times New Roman"/>
          <w:color w:val="000000"/>
          <w:szCs w:val="21"/>
        </w:rPr>
        <w:t>2</w:t>
      </w:r>
      <w:r>
        <w:rPr>
          <w:rFonts w:ascii="宋体" w:hAnsi="宋体" w:cs="Times New Roman"/>
          <w:color w:val="000000"/>
          <w:szCs w:val="21"/>
        </w:rPr>
        <w:t>磋商报价表上应清楚地标明供应商拟提供</w:t>
      </w:r>
      <w:r>
        <w:rPr>
          <w:rFonts w:ascii="宋体" w:hAnsi="宋体" w:cs="Times New Roman"/>
          <w:color w:val="000000"/>
          <w:szCs w:val="21"/>
          <w:lang w:val="en-US" w:eastAsia="zh-CN"/>
        </w:rPr>
        <w:t>服务（货物）</w:t>
      </w:r>
      <w:r>
        <w:rPr>
          <w:rFonts w:ascii="宋体" w:hAnsi="宋体" w:cs="Times New Roman"/>
          <w:color w:val="000000"/>
          <w:szCs w:val="21"/>
        </w:rPr>
        <w:t>的名称、数量、单价和总价。</w:t>
      </w:r>
    </w:p>
    <w:p w14:paraId="55A79C6E">
      <w:pPr>
        <w:spacing w:line="440" w:lineRule="exact"/>
        <w:ind w:firstLine="420"/>
        <w:rPr>
          <w:rFonts w:ascii="宋体" w:hAnsi="宋体" w:eastAsia="宋体" w:cs="Times New Roman"/>
          <w:color w:val="000000"/>
          <w:szCs w:val="21"/>
          <w:highlight w:val="none"/>
          <w:lang w:eastAsia="zh-CN"/>
        </w:rPr>
      </w:pPr>
      <w:r>
        <w:rPr>
          <w:rFonts w:ascii="宋体" w:hAnsi="宋体" w:eastAsia="宋体" w:cs="Times New Roman"/>
          <w:color w:val="000000"/>
          <w:szCs w:val="21"/>
        </w:rPr>
        <w:t>22.3</w:t>
      </w:r>
      <w:r>
        <w:rPr>
          <w:rFonts w:ascii="宋体" w:hAnsi="宋体" w:cs="Times New Roman"/>
          <w:color w:val="000000"/>
          <w:szCs w:val="21"/>
        </w:rPr>
        <w:t>本项目报价为分次报价，供应商响应文件中的报价作为第一次报价；以最终磋商报价作为评审价</w:t>
      </w:r>
      <w:r>
        <w:rPr>
          <w:rFonts w:ascii="宋体" w:hAnsi="宋体" w:cs="Times New Roman"/>
          <w:color w:val="000000"/>
          <w:szCs w:val="21"/>
          <w:lang w:eastAsia="zh-CN"/>
        </w:rPr>
        <w:t>。</w:t>
      </w:r>
    </w:p>
    <w:p w14:paraId="5FB0CBDC">
      <w:pPr>
        <w:spacing w:line="440" w:lineRule="exact"/>
        <w:ind w:firstLine="420"/>
        <w:rPr>
          <w:rFonts w:ascii="宋体" w:hAnsi="宋体" w:eastAsia="宋体"/>
          <w:color w:val="000000"/>
          <w:szCs w:val="21"/>
          <w:highlight w:val="none"/>
          <w:lang w:eastAsia="zh-CN"/>
        </w:rPr>
      </w:pPr>
      <w:r>
        <w:rPr>
          <w:rFonts w:ascii="宋体" w:hAnsi="宋体" w:eastAsia="宋体" w:cs="Times New Roman"/>
          <w:color w:val="000000"/>
          <w:szCs w:val="21"/>
        </w:rPr>
        <w:t>22.4</w:t>
      </w:r>
      <w:r>
        <w:rPr>
          <w:rFonts w:ascii="宋体" w:hAnsi="宋体" w:cs="Times New Roman"/>
          <w:color w:val="000000"/>
          <w:szCs w:val="21"/>
        </w:rPr>
        <w:t>磋商报价应包括：货物及服务本身价格、人工费</w:t>
      </w:r>
      <w:r>
        <w:rPr>
          <w:rFonts w:ascii="宋体" w:hAnsi="宋体" w:cs="Times New Roman"/>
          <w:color w:val="000000"/>
          <w:szCs w:val="21"/>
          <w:lang w:eastAsia="zh-CN"/>
        </w:rPr>
        <w:t>、</w:t>
      </w:r>
      <w:r>
        <w:rPr>
          <w:rFonts w:ascii="宋体" w:hAnsi="宋体" w:cs="Times New Roman"/>
          <w:color w:val="000000"/>
          <w:szCs w:val="21"/>
        </w:rPr>
        <w:t>培训费</w:t>
      </w:r>
      <w:r>
        <w:rPr>
          <w:rFonts w:ascii="宋体" w:hAnsi="宋体" w:cs="Times New Roman"/>
          <w:color w:val="000000"/>
          <w:szCs w:val="21"/>
          <w:lang w:eastAsia="zh-CN"/>
        </w:rPr>
        <w:t>、</w:t>
      </w:r>
      <w:r>
        <w:rPr>
          <w:rFonts w:ascii="宋体" w:hAnsi="宋体" w:cs="Times New Roman"/>
          <w:color w:val="000000"/>
          <w:szCs w:val="21"/>
        </w:rPr>
        <w:t>保险费用、包装费、运输费用、二次搬运费、装卸费</w:t>
      </w:r>
      <w:r>
        <w:rPr>
          <w:rFonts w:ascii="宋体" w:hAnsi="宋体" w:cs="Times New Roman"/>
          <w:color w:val="000000"/>
          <w:szCs w:val="21"/>
          <w:lang w:eastAsia="zh-CN"/>
        </w:rPr>
        <w:t>、</w:t>
      </w:r>
      <w:r>
        <w:rPr>
          <w:rFonts w:ascii="宋体" w:hAnsi="宋体" w:cs="Times New Roman"/>
          <w:color w:val="000000"/>
          <w:szCs w:val="21"/>
        </w:rPr>
        <w:t>损耗、税金费用、自检费</w:t>
      </w:r>
      <w:r>
        <w:rPr>
          <w:rFonts w:ascii="宋体" w:hAnsi="宋体" w:cs="Times New Roman"/>
          <w:color w:val="000000"/>
          <w:szCs w:val="21"/>
          <w:lang w:eastAsia="zh-CN"/>
        </w:rPr>
        <w:t>、</w:t>
      </w:r>
      <w:r>
        <w:rPr>
          <w:rFonts w:ascii="宋体" w:hAnsi="宋体" w:cs="Times New Roman"/>
          <w:color w:val="000000"/>
          <w:szCs w:val="21"/>
        </w:rPr>
        <w:t>随产品备品备件费、专用工具费、随产品资料费、安装费、调试费、自检费及验收合格前和质保期内发生的一切费用、应当提供的伴随服务</w:t>
      </w:r>
      <w:r>
        <w:rPr>
          <w:rFonts w:ascii="宋体" w:hAnsi="宋体" w:eastAsia="宋体" w:cs="Times New Roman"/>
          <w:color w:val="000000"/>
          <w:szCs w:val="21"/>
        </w:rPr>
        <w:t>/</w:t>
      </w:r>
      <w:r>
        <w:rPr>
          <w:rFonts w:ascii="宋体" w:hAnsi="宋体" w:cs="Times New Roman"/>
          <w:color w:val="000000"/>
          <w:szCs w:val="21"/>
        </w:rPr>
        <w:t>售后服务费用</w:t>
      </w:r>
      <w:r>
        <w:rPr>
          <w:rFonts w:ascii="宋体" w:hAnsi="宋体" w:cs="Times New Roman"/>
          <w:color w:val="000000"/>
          <w:szCs w:val="21"/>
          <w:lang w:eastAsia="zh-CN"/>
        </w:rPr>
        <w:t>。</w:t>
      </w:r>
      <w:r>
        <w:rPr>
          <w:rFonts w:ascii="宋体" w:hAnsi="宋体" w:cs="Times New Roman"/>
          <w:color w:val="000000"/>
          <w:szCs w:val="21"/>
        </w:rPr>
        <w:t>完</w:t>
      </w:r>
      <w:r>
        <w:rPr>
          <w:rFonts w:ascii="宋体" w:hAnsi="宋体"/>
          <w:szCs w:val="21"/>
        </w:rPr>
        <w:t>成该项目的人工费、社保统筹费、保险费、材料费、机具使用费、管理费、利润、税金、风险费等所有费用</w:t>
      </w:r>
      <w:r>
        <w:rPr>
          <w:rFonts w:ascii="宋体" w:hAnsi="宋体"/>
          <w:szCs w:val="21"/>
          <w:lang w:eastAsia="zh-CN"/>
        </w:rPr>
        <w:t>，</w:t>
      </w:r>
      <w:r>
        <w:rPr>
          <w:rFonts w:ascii="宋体" w:hAnsi="宋体"/>
          <w:szCs w:val="21"/>
        </w:rPr>
        <w:t>以及供应商在服务管理过程中可能发生的各种费用均包括在磋商报价中。供应商应自行增加正常运行及使用所必需但磋商文件没有包含的所有部件、工具、版权、专利等一切费用，如果供应商在成交并签署合同后，在实施过程中有任何遗漏，均由成交供应商免费提供，买方将不再支付任何费用。</w:t>
      </w:r>
    </w:p>
    <w:p w14:paraId="769BE40C">
      <w:pPr>
        <w:spacing w:line="440" w:lineRule="exact"/>
        <w:ind w:firstLine="420"/>
        <w:rPr>
          <w:rFonts w:ascii="宋体" w:hAnsi="宋体"/>
          <w:color w:val="000000"/>
          <w:szCs w:val="21"/>
          <w:highlight w:val="none"/>
        </w:rPr>
      </w:pPr>
      <w:r>
        <w:rPr>
          <w:rFonts w:ascii="宋体" w:hAnsi="宋体"/>
          <w:color w:val="000000"/>
          <w:szCs w:val="21"/>
        </w:rPr>
        <w:t>22.5磋商报价的价格是货物交货地验收价格，其总价即为履行合同</w:t>
      </w:r>
      <w:r>
        <w:rPr>
          <w:rFonts w:ascii="宋体" w:hAnsi="宋体" w:cs="Times New Roman"/>
          <w:szCs w:val="21"/>
        </w:rPr>
        <w:t>的固定总价。</w:t>
      </w:r>
    </w:p>
    <w:p w14:paraId="4E615303">
      <w:pPr>
        <w:spacing w:line="440" w:lineRule="exact"/>
        <w:ind w:firstLine="420"/>
        <w:rPr>
          <w:rFonts w:ascii="宋体" w:hAnsi="宋体"/>
          <w:color w:val="000000"/>
          <w:szCs w:val="21"/>
          <w:highlight w:val="none"/>
        </w:rPr>
      </w:pPr>
      <w:r>
        <w:rPr>
          <w:rFonts w:ascii="宋体" w:hAnsi="宋体"/>
          <w:color w:val="000000"/>
          <w:szCs w:val="21"/>
        </w:rPr>
        <w:t>22.6技术要求中规定的安装、调试和培训费用应包括在响应报价中。响应文件报价为含税价，采购人不再为此次采购支付任何费用。</w:t>
      </w:r>
    </w:p>
    <w:p w14:paraId="52A469AE">
      <w:pPr>
        <w:spacing w:line="440" w:lineRule="exact"/>
        <w:ind w:firstLine="420"/>
        <w:rPr>
          <w:rFonts w:ascii="宋体" w:hAnsi="宋体"/>
          <w:color w:val="000000"/>
          <w:szCs w:val="21"/>
          <w:highlight w:val="none"/>
        </w:rPr>
      </w:pPr>
      <w:r>
        <w:rPr>
          <w:rFonts w:ascii="宋体" w:hAnsi="宋体"/>
          <w:color w:val="000000"/>
          <w:szCs w:val="21"/>
        </w:rPr>
        <w:t>22.7磋商报价应由法定代表人或被授权人签署。</w:t>
      </w:r>
    </w:p>
    <w:p w14:paraId="6B73896C">
      <w:pPr>
        <w:spacing w:line="440" w:lineRule="exact"/>
        <w:ind w:firstLine="420"/>
        <w:rPr>
          <w:rFonts w:ascii="宋体" w:hAnsi="宋体"/>
          <w:bCs/>
          <w:color w:val="000000"/>
          <w:szCs w:val="21"/>
          <w:highlight w:val="none"/>
        </w:rPr>
      </w:pPr>
      <w:r>
        <w:rPr>
          <w:rFonts w:ascii="宋体" w:hAnsi="宋体"/>
          <w:bCs/>
          <w:color w:val="000000"/>
          <w:szCs w:val="21"/>
        </w:rPr>
        <w:t>22.8</w:t>
      </w:r>
      <w:r>
        <w:rPr>
          <w:rFonts w:ascii="宋体" w:hAnsi="宋体" w:cs="宋体"/>
          <w:b/>
          <w:color w:val="000000"/>
          <w:szCs w:val="21"/>
        </w:rPr>
        <w:t>供应商磋商总报价，不得高于本次采购设置的最高限价，</w:t>
      </w:r>
      <w:r>
        <w:rPr>
          <w:rFonts w:ascii="宋体" w:hAnsi="宋体" w:cs="宋体"/>
          <w:b/>
          <w:bCs/>
          <w:color w:val="000000"/>
          <w:szCs w:val="21"/>
        </w:rPr>
        <w:t>否则将作为无效响应处理。</w:t>
      </w:r>
    </w:p>
    <w:p w14:paraId="322324AD">
      <w:pPr>
        <w:spacing w:line="440" w:lineRule="exact"/>
        <w:ind w:firstLine="420"/>
        <w:rPr>
          <w:rFonts w:ascii="宋体" w:hAnsi="宋体"/>
          <w:color w:val="000000"/>
          <w:szCs w:val="21"/>
          <w:highlight w:val="none"/>
        </w:rPr>
      </w:pPr>
      <w:r>
        <w:rPr>
          <w:rFonts w:ascii="宋体" w:hAnsi="宋体"/>
          <w:color w:val="000000"/>
          <w:szCs w:val="21"/>
        </w:rPr>
        <w:t>22.9如响应文件中未列明全面实现响应货物功能而必须配置的配套或辅助设施及相应技术措施的费用，这些费用将被视为已包含在总响应价中。</w:t>
      </w:r>
    </w:p>
    <w:p w14:paraId="0AB73F39">
      <w:pPr>
        <w:spacing w:line="440" w:lineRule="exact"/>
        <w:ind w:firstLine="420"/>
        <w:rPr>
          <w:rFonts w:ascii="宋体" w:hAnsi="宋体"/>
          <w:color w:val="000000"/>
          <w:szCs w:val="21"/>
          <w:highlight w:val="none"/>
        </w:rPr>
      </w:pPr>
      <w:r>
        <w:rPr>
          <w:rFonts w:ascii="宋体" w:hAnsi="宋体"/>
          <w:color w:val="000000"/>
          <w:szCs w:val="21"/>
        </w:rPr>
        <w:t>22.10总响应价中不得包含</w:t>
      </w:r>
      <w:r>
        <w:rPr>
          <w:rFonts w:ascii="宋体" w:hAnsi="宋体"/>
          <w:color w:val="000000"/>
          <w:szCs w:val="21"/>
          <w:lang w:eastAsia="zh-CN"/>
        </w:rPr>
        <w:t>采购文件</w:t>
      </w:r>
      <w:r>
        <w:rPr>
          <w:rFonts w:ascii="宋体" w:hAnsi="宋体"/>
          <w:color w:val="000000"/>
          <w:szCs w:val="21"/>
        </w:rPr>
        <w:t>要求以外的内容，否则，在评审时不予核减，但在授予合同时，采购人有权将这部分价格从其成交价格中扣除。</w:t>
      </w:r>
    </w:p>
    <w:p w14:paraId="5B381B27">
      <w:pPr>
        <w:spacing w:line="440" w:lineRule="exact"/>
        <w:ind w:firstLine="403"/>
        <w:rPr>
          <w:rFonts w:ascii="宋体" w:hAnsi="宋体" w:eastAsia="宋体"/>
          <w:color w:val="000000"/>
          <w:szCs w:val="21"/>
          <w:highlight w:val="none"/>
          <w:lang w:val="en-US" w:eastAsia="zh-CN"/>
        </w:rPr>
      </w:pPr>
      <w:r>
        <w:rPr>
          <w:rFonts w:ascii="宋体" w:hAnsi="宋体"/>
          <w:color w:val="000000"/>
          <w:szCs w:val="21"/>
        </w:rPr>
        <w:t>22.11总响应价中不得缺漏</w:t>
      </w:r>
      <w:r>
        <w:rPr>
          <w:rFonts w:ascii="宋体" w:hAnsi="宋体"/>
          <w:color w:val="000000"/>
          <w:szCs w:val="21"/>
          <w:lang w:eastAsia="zh-CN"/>
        </w:rPr>
        <w:t>采购文件</w:t>
      </w:r>
      <w:r>
        <w:rPr>
          <w:rFonts w:ascii="宋体" w:hAnsi="宋体"/>
          <w:color w:val="000000"/>
          <w:szCs w:val="21"/>
        </w:rPr>
        <w:t>所要求的内容，否则，评审时将有效响应中该项内容的最高价计入其评审总价，但在授予合同时，缺漏项目的报价视作已含在其他项目的报价中，这些项目将作为免费赠送而包含在合同内。</w:t>
      </w:r>
      <w:r>
        <w:rPr>
          <w:rFonts w:ascii="宋体" w:hAnsi="宋体"/>
          <w:color w:val="000000"/>
          <w:szCs w:val="21"/>
          <w:lang w:val="en-US" w:eastAsia="zh-CN"/>
        </w:rPr>
        <w:t xml:space="preserve">    </w:t>
      </w:r>
    </w:p>
    <w:p w14:paraId="55906D90">
      <w:pPr>
        <w:spacing w:line="440" w:lineRule="exact"/>
        <w:ind w:firstLine="403"/>
        <w:rPr>
          <w:rFonts w:ascii="宋体" w:hAnsi="宋体"/>
          <w:color w:val="000000"/>
          <w:szCs w:val="21"/>
          <w:highlight w:val="none"/>
        </w:rPr>
      </w:pPr>
      <w:r>
        <w:rPr>
          <w:rFonts w:ascii="宋体" w:hAnsi="宋体"/>
          <w:color w:val="000000"/>
          <w:szCs w:val="21"/>
        </w:rPr>
        <w:t>22.12供应商不得对从第三方采购货物的随机备品、备件另行收费，否则在计算评审价时这部分费用将不予扣除，在授予合同时将从成交价格中扣除该部分费用。</w:t>
      </w:r>
    </w:p>
    <w:p w14:paraId="03082D9F">
      <w:pPr>
        <w:spacing w:line="440" w:lineRule="exact"/>
        <w:ind w:firstLine="403"/>
        <w:rPr>
          <w:rFonts w:ascii="宋体" w:hAnsi="宋体"/>
          <w:color w:val="000000"/>
          <w:szCs w:val="21"/>
          <w:highlight w:val="none"/>
        </w:rPr>
      </w:pPr>
      <w:r>
        <w:rPr>
          <w:rFonts w:ascii="宋体" w:hAnsi="宋体"/>
          <w:color w:val="000000"/>
          <w:szCs w:val="21"/>
        </w:rPr>
        <w:t>22.13供应商应根据货物的技术状况列出随机备品备件的清单和数量，并将该备品备件价格计入总响应价，若所提供的产品无需备件，则应在响应文件中说明；无论供应商在报价中列明随机备品备件的数量及价格多少，在质保期内采购人均无需为维护维修保养所需的专用工具和备品备件另行支付费用。</w:t>
      </w:r>
    </w:p>
    <w:p w14:paraId="3A80D931">
      <w:pPr>
        <w:spacing w:line="440" w:lineRule="exact"/>
        <w:ind w:firstLine="420"/>
        <w:rPr>
          <w:rFonts w:ascii="宋体" w:hAnsi="宋体"/>
          <w:b/>
          <w:color w:val="000000"/>
          <w:szCs w:val="21"/>
          <w:highlight w:val="none"/>
        </w:rPr>
      </w:pPr>
      <w:r>
        <w:rPr>
          <w:rFonts w:ascii="宋体" w:hAnsi="宋体"/>
          <w:b/>
          <w:color w:val="000000"/>
          <w:szCs w:val="21"/>
        </w:rPr>
        <w:t>23. 磋商有效期</w:t>
      </w:r>
    </w:p>
    <w:p w14:paraId="4FE16AFB">
      <w:pPr>
        <w:spacing w:line="440" w:lineRule="exact"/>
        <w:ind w:firstLine="420"/>
        <w:rPr>
          <w:rFonts w:ascii="宋体" w:hAnsi="宋体"/>
          <w:color w:val="000000"/>
          <w:szCs w:val="21"/>
          <w:highlight w:val="none"/>
        </w:rPr>
      </w:pPr>
      <w:r>
        <w:rPr>
          <w:rFonts w:ascii="宋体" w:hAnsi="宋体"/>
          <w:color w:val="000000"/>
          <w:szCs w:val="21"/>
        </w:rPr>
        <w:t>23.1 除供应商须知前附表另有规定外</w:t>
      </w:r>
      <w:r>
        <w:rPr>
          <w:rFonts w:ascii="宋体" w:hAnsi="宋体" w:cs="Times New Roman"/>
          <w:color w:val="000000"/>
          <w:szCs w:val="21"/>
        </w:rPr>
        <w:t>，</w:t>
      </w:r>
      <w:r>
        <w:rPr>
          <w:rFonts w:ascii="宋体" w:hAnsi="宋体" w:cs="Times New Roman"/>
          <w:b/>
          <w:bCs/>
          <w:color w:val="000000"/>
          <w:szCs w:val="21"/>
          <w:u w:val="single"/>
        </w:rPr>
        <w:t>磋商有效期为</w:t>
      </w:r>
      <w:r>
        <w:rPr>
          <w:rFonts w:ascii="宋体" w:hAnsi="宋体" w:eastAsia="宋体" w:cs="Times New Roman"/>
          <w:b/>
          <w:bCs/>
          <w:color w:val="000000"/>
          <w:szCs w:val="21"/>
          <w:u w:val="single"/>
        </w:rPr>
        <w:t>60</w:t>
      </w:r>
      <w:r>
        <w:rPr>
          <w:rFonts w:ascii="宋体" w:hAnsi="宋体" w:cs="Times New Roman"/>
          <w:b/>
          <w:bCs/>
          <w:color w:val="000000"/>
          <w:szCs w:val="21"/>
          <w:u w:val="single"/>
        </w:rPr>
        <w:t>天</w:t>
      </w:r>
      <w:r>
        <w:rPr>
          <w:rFonts w:ascii="宋体" w:hAnsi="宋体" w:cs="Times New Roman"/>
          <w:color w:val="000000"/>
          <w:szCs w:val="21"/>
        </w:rPr>
        <w:t>。</w:t>
      </w:r>
    </w:p>
    <w:p w14:paraId="40EC465C">
      <w:pPr>
        <w:spacing w:line="440" w:lineRule="exact"/>
        <w:ind w:firstLine="420"/>
        <w:rPr>
          <w:rFonts w:ascii="宋体" w:hAnsi="宋体"/>
          <w:color w:val="000000"/>
          <w:szCs w:val="21"/>
          <w:highlight w:val="none"/>
        </w:rPr>
      </w:pPr>
      <w:r>
        <w:rPr>
          <w:rFonts w:ascii="宋体" w:hAnsi="宋体"/>
          <w:color w:val="000000"/>
          <w:szCs w:val="21"/>
        </w:rPr>
        <w:t>23.2在磋商有效期内，供应商撤销或修改其响应文件的，应承担</w:t>
      </w:r>
      <w:r>
        <w:rPr>
          <w:rFonts w:ascii="宋体" w:hAnsi="宋体"/>
          <w:color w:val="000000"/>
          <w:szCs w:val="21"/>
          <w:lang w:eastAsia="zh-CN"/>
        </w:rPr>
        <w:t>采购文件</w:t>
      </w:r>
      <w:r>
        <w:rPr>
          <w:rFonts w:ascii="宋体" w:hAnsi="宋体"/>
          <w:color w:val="000000"/>
          <w:szCs w:val="21"/>
        </w:rPr>
        <w:t>和法律规定的责任。</w:t>
      </w:r>
    </w:p>
    <w:p w14:paraId="0914C011">
      <w:pPr>
        <w:spacing w:line="440" w:lineRule="exact"/>
        <w:ind w:firstLine="420"/>
        <w:rPr>
          <w:rFonts w:ascii="宋体" w:hAnsi="宋体"/>
          <w:color w:val="000000"/>
          <w:szCs w:val="21"/>
          <w:highlight w:val="none"/>
        </w:rPr>
      </w:pPr>
      <w:r>
        <w:rPr>
          <w:rFonts w:ascii="宋体" w:hAnsi="宋体"/>
          <w:color w:val="000000"/>
          <w:szCs w:val="21"/>
        </w:rPr>
        <w:t>23.3出现特殊情况需要延长磋商有效期的，采购人以书面形式通知所有供应商延长磋商有效期。供应商同意延长的，应相应延长其磋商保证金的有效期，但不得要求或被允许修改或撤销其响应文件；供应商拒绝延长的，其响应失效，但供应商有权收回其磋商保证金。</w:t>
      </w:r>
    </w:p>
    <w:p w14:paraId="68CB4D6A">
      <w:pPr>
        <w:spacing w:line="440" w:lineRule="exact"/>
        <w:ind w:firstLine="403"/>
        <w:rPr>
          <w:rFonts w:ascii="宋体" w:hAnsi="宋体"/>
          <w:b/>
          <w:color w:val="000000"/>
          <w:szCs w:val="21"/>
          <w:highlight w:val="none"/>
        </w:rPr>
      </w:pPr>
      <w:r>
        <w:rPr>
          <w:rFonts w:ascii="宋体" w:hAnsi="宋体"/>
          <w:b/>
          <w:color w:val="000000"/>
          <w:szCs w:val="21"/>
        </w:rPr>
        <w:t>24. 磋商保证金</w:t>
      </w:r>
    </w:p>
    <w:p w14:paraId="3103BB32">
      <w:pPr>
        <w:spacing w:line="400" w:lineRule="exact"/>
        <w:ind w:firstLine="420"/>
        <w:rPr>
          <w:rFonts w:ascii="宋体" w:hAnsi="宋体"/>
          <w:color w:val="000000"/>
          <w:szCs w:val="21"/>
          <w:highlight w:val="none"/>
        </w:rPr>
      </w:pPr>
      <w:r>
        <w:rPr>
          <w:rFonts w:ascii="宋体" w:hAnsi="宋体"/>
          <w:color w:val="000000"/>
          <w:szCs w:val="21"/>
        </w:rPr>
        <w:t>24.1供应商须知前附表规定递交磋商保证金的，供应商在递交响应文件的同时，应按供应商须知前附表规定的金额、担保形式和第六章“响应文件格式”规定的磋商保证金格式递交磋商保证金，并作为其响应文件的组成部分。供应商不按要求提交磋商保证金的，磋商小组将否决其响应。</w:t>
      </w:r>
    </w:p>
    <w:p w14:paraId="00E09AC9">
      <w:pPr>
        <w:spacing w:line="400" w:lineRule="exact"/>
        <w:ind w:firstLine="420"/>
        <w:rPr>
          <w:rFonts w:ascii="宋体" w:hAnsi="宋体"/>
          <w:color w:val="000000"/>
          <w:szCs w:val="21"/>
          <w:highlight w:val="none"/>
        </w:rPr>
      </w:pPr>
      <w:r>
        <w:rPr>
          <w:rFonts w:ascii="宋体" w:hAnsi="宋体"/>
          <w:color w:val="000000"/>
          <w:szCs w:val="21"/>
        </w:rPr>
        <w:t>24.2自成交通知书发出之日起5个工作日内退还未成交供应商的磋商保证金，自政府采购合同签订之日起5个工作日内退还成交供应商的磋商保证金。</w:t>
      </w:r>
    </w:p>
    <w:p w14:paraId="25D2B488">
      <w:pPr>
        <w:spacing w:line="400" w:lineRule="exact"/>
        <w:ind w:firstLine="420"/>
        <w:rPr>
          <w:rFonts w:ascii="宋体" w:hAnsi="宋体"/>
          <w:color w:val="000000"/>
          <w:szCs w:val="21"/>
          <w:highlight w:val="none"/>
        </w:rPr>
      </w:pPr>
      <w:r>
        <w:rPr>
          <w:rFonts w:ascii="宋体" w:hAnsi="宋体"/>
          <w:color w:val="000000"/>
          <w:szCs w:val="21"/>
        </w:rPr>
        <w:t xml:space="preserve">24.3有下列情形之一的，磋商保证金将不予退还： </w:t>
      </w:r>
    </w:p>
    <w:p w14:paraId="0FA41F32">
      <w:pPr>
        <w:spacing w:line="400" w:lineRule="exact"/>
        <w:ind w:firstLine="420"/>
        <w:rPr>
          <w:rFonts w:ascii="宋体" w:hAnsi="宋体"/>
          <w:color w:val="000000"/>
          <w:szCs w:val="21"/>
          <w:highlight w:val="none"/>
        </w:rPr>
      </w:pPr>
      <w:r>
        <w:rPr>
          <w:rFonts w:ascii="宋体" w:hAnsi="宋体"/>
          <w:color w:val="000000"/>
          <w:szCs w:val="21"/>
        </w:rPr>
        <w:t>（1）供应商在规定的磋商有效期内撤回或修改其响应文件；</w:t>
      </w:r>
    </w:p>
    <w:p w14:paraId="2082BF2F">
      <w:pPr>
        <w:spacing w:line="400" w:lineRule="exact"/>
        <w:ind w:firstLine="420"/>
        <w:rPr>
          <w:rFonts w:ascii="宋体" w:hAnsi="宋体"/>
          <w:color w:val="000000"/>
          <w:szCs w:val="21"/>
          <w:highlight w:val="none"/>
        </w:rPr>
      </w:pPr>
      <w:r>
        <w:rPr>
          <w:rFonts w:ascii="宋体" w:hAnsi="宋体"/>
          <w:color w:val="000000"/>
          <w:szCs w:val="21"/>
        </w:rPr>
        <w:t>（2）</w:t>
      </w:r>
      <w:r>
        <w:rPr>
          <w:rFonts w:ascii="宋体" w:hAnsi="宋体"/>
          <w:color w:val="000000"/>
          <w:szCs w:val="21"/>
          <w:lang w:eastAsia="zh-CN"/>
        </w:rPr>
        <w:t>成交</w:t>
      </w:r>
      <w:r>
        <w:rPr>
          <w:rFonts w:ascii="宋体" w:hAnsi="宋体"/>
          <w:color w:val="000000"/>
          <w:szCs w:val="21"/>
        </w:rPr>
        <w:t>通知书发出后三十天内，成交供应商无正当理由拒签合同协议书或未按</w:t>
      </w:r>
      <w:r>
        <w:rPr>
          <w:rFonts w:ascii="宋体" w:hAnsi="宋体"/>
          <w:color w:val="000000"/>
          <w:szCs w:val="21"/>
          <w:lang w:eastAsia="zh-CN"/>
        </w:rPr>
        <w:t>采购文件</w:t>
      </w:r>
      <w:r>
        <w:rPr>
          <w:rFonts w:ascii="宋体" w:hAnsi="宋体"/>
          <w:color w:val="000000"/>
          <w:szCs w:val="21"/>
        </w:rPr>
        <w:t>规定提交履约担保。</w:t>
      </w:r>
    </w:p>
    <w:p w14:paraId="08FAA74E">
      <w:pPr>
        <w:spacing w:line="400" w:lineRule="exact"/>
        <w:ind w:firstLine="420"/>
        <w:rPr>
          <w:rFonts w:ascii="宋体" w:hAnsi="宋体"/>
          <w:color w:val="000000"/>
          <w:szCs w:val="21"/>
          <w:highlight w:val="none"/>
        </w:rPr>
      </w:pPr>
      <w:r>
        <w:rPr>
          <w:rFonts w:ascii="宋体" w:hAnsi="宋体"/>
          <w:color w:val="000000"/>
          <w:szCs w:val="21"/>
        </w:rPr>
        <w:t>（3）提供虚假材料谋取成交的；</w:t>
      </w:r>
    </w:p>
    <w:p w14:paraId="3FC78DD0">
      <w:pPr>
        <w:spacing w:line="400" w:lineRule="exact"/>
        <w:ind w:firstLine="420"/>
        <w:rPr>
          <w:rFonts w:ascii="宋体" w:hAnsi="宋体"/>
          <w:color w:val="000000"/>
          <w:szCs w:val="21"/>
          <w:highlight w:val="none"/>
        </w:rPr>
      </w:pPr>
      <w:r>
        <w:rPr>
          <w:rFonts w:ascii="宋体" w:hAnsi="宋体"/>
          <w:color w:val="000000"/>
          <w:szCs w:val="21"/>
        </w:rPr>
        <w:t>（4）经查实属于陪标、串通响应的等。</w:t>
      </w:r>
    </w:p>
    <w:p w14:paraId="16E7CD0C">
      <w:pPr>
        <w:spacing w:line="400" w:lineRule="exact"/>
        <w:ind w:firstLine="420"/>
        <w:rPr>
          <w:rFonts w:ascii="宋体" w:hAnsi="宋体"/>
          <w:color w:val="000000"/>
          <w:szCs w:val="21"/>
          <w:highlight w:val="none"/>
        </w:rPr>
      </w:pPr>
      <w:r>
        <w:rPr>
          <w:rFonts w:ascii="宋体" w:hAnsi="宋体"/>
          <w:color w:val="000000"/>
          <w:szCs w:val="21"/>
        </w:rPr>
        <w:t>24.4磋商保证金按</w:t>
      </w:r>
      <w:r>
        <w:rPr>
          <w:rFonts w:ascii="宋体" w:hAnsi="宋体"/>
          <w:color w:val="000000"/>
          <w:szCs w:val="21"/>
          <w:lang w:eastAsia="zh-CN"/>
        </w:rPr>
        <w:t>供应商须知前附表第</w:t>
      </w:r>
      <w:r>
        <w:rPr>
          <w:rFonts w:ascii="宋体" w:hAnsi="宋体"/>
          <w:color w:val="000000"/>
          <w:szCs w:val="21"/>
          <w:lang w:val="en-US" w:eastAsia="zh-CN"/>
        </w:rPr>
        <w:t>24条</w:t>
      </w:r>
      <w:r>
        <w:rPr>
          <w:rFonts w:ascii="宋体" w:hAnsi="宋体"/>
          <w:color w:val="000000"/>
          <w:szCs w:val="21"/>
        </w:rPr>
        <w:t>规定执行。</w:t>
      </w:r>
    </w:p>
    <w:p w14:paraId="12672B1C">
      <w:pPr>
        <w:pStyle w:val="2"/>
        <w:bidi w:val="0"/>
        <w:jc w:val="center"/>
        <w:rPr>
          <w:color w:val="000000"/>
          <w:sz w:val="28"/>
          <w:szCs w:val="28"/>
          <w:highlight w:val="none"/>
        </w:rPr>
      </w:pPr>
      <w:r>
        <w:rPr>
          <w:color w:val="000000"/>
          <w:sz w:val="28"/>
          <w:szCs w:val="28"/>
        </w:rPr>
        <w:t>（四）响应文件的制作、上传及递交要求</w:t>
      </w:r>
    </w:p>
    <w:p w14:paraId="58A5CEB5">
      <w:pPr>
        <w:snapToGrid w:val="0"/>
        <w:spacing w:line="360" w:lineRule="auto"/>
        <w:ind w:firstLine="420"/>
        <w:rPr>
          <w:rFonts w:ascii="宋体" w:hAnsi="宋体" w:eastAsia="宋体" w:cs="宋体"/>
          <w:b/>
          <w:color w:val="000000"/>
          <w:sz w:val="21"/>
          <w:szCs w:val="21"/>
          <w:highlight w:val="none"/>
        </w:rPr>
      </w:pPr>
      <w:r>
        <w:rPr>
          <w:rFonts w:ascii="宋体" w:hAnsi="宋体" w:eastAsia="宋体" w:cs="宋体"/>
          <w:b/>
          <w:bCs/>
          <w:color w:val="000000"/>
          <w:sz w:val="21"/>
          <w:szCs w:val="21"/>
          <w:lang w:val="en-US" w:eastAsia="zh-CN"/>
        </w:rPr>
        <w:t>25.</w:t>
      </w:r>
      <w:r>
        <w:rPr>
          <w:rFonts w:ascii="宋体" w:hAnsi="宋体" w:cs="宋体"/>
          <w:b/>
          <w:bCs/>
          <w:color w:val="000000"/>
          <w:sz w:val="21"/>
          <w:szCs w:val="21"/>
        </w:rPr>
        <w:t>响应文件的制作要求</w:t>
      </w:r>
    </w:p>
    <w:p w14:paraId="1819DE87">
      <w:pPr>
        <w:pStyle w:val="49"/>
        <w:snapToGrid w:val="0"/>
        <w:spacing w:line="360" w:lineRule="auto"/>
        <w:rPr>
          <w:rFonts w:ascii="宋体" w:hAnsi="宋体" w:eastAsia="宋体" w:cs="宋体"/>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1</w:t>
      </w:r>
      <w:r>
        <w:rPr>
          <w:rFonts w:ascii="宋体" w:hAnsi="宋体" w:cs="宋体"/>
          <w:b w:val="0"/>
          <w:bCs/>
          <w:color w:val="000000"/>
          <w:sz w:val="21"/>
          <w:szCs w:val="21"/>
        </w:rPr>
        <w:t>）供应商应按照响应文件组成内容及项目采购需求和</w:t>
      </w:r>
      <w:r>
        <w:rPr>
          <w:rFonts w:ascii="宋体" w:hAnsi="宋体" w:cs="宋体"/>
          <w:b w:val="0"/>
          <w:bCs/>
          <w:color w:val="000000"/>
          <w:sz w:val="21"/>
          <w:szCs w:val="21"/>
          <w:lang w:eastAsia="zh-CN"/>
        </w:rPr>
        <w:t>新疆</w:t>
      </w:r>
      <w:r>
        <w:rPr>
          <w:rFonts w:ascii="宋体" w:hAnsi="宋体" w:cs="宋体"/>
          <w:b w:val="0"/>
          <w:bCs/>
          <w:color w:val="000000"/>
          <w:sz w:val="21"/>
          <w:szCs w:val="21"/>
        </w:rPr>
        <w:t>政府采购云平台要求制作响应文件，不按采购文件和</w:t>
      </w:r>
      <w:r>
        <w:rPr>
          <w:rFonts w:ascii="宋体" w:hAnsi="宋体" w:cs="宋体"/>
          <w:b w:val="0"/>
          <w:bCs/>
          <w:color w:val="000000"/>
          <w:sz w:val="21"/>
          <w:szCs w:val="21"/>
          <w:lang w:eastAsia="zh-CN"/>
        </w:rPr>
        <w:t>新疆</w:t>
      </w:r>
      <w:r>
        <w:rPr>
          <w:rFonts w:ascii="宋体" w:hAnsi="宋体" w:cs="宋体"/>
          <w:b w:val="0"/>
          <w:bCs/>
          <w:color w:val="000000"/>
          <w:sz w:val="21"/>
          <w:szCs w:val="21"/>
        </w:rPr>
        <w:t>政府采购云平台要求制作响应文件的将视情况处理（拒收等），由此产生的责任由供应商自行承担。</w:t>
      </w:r>
    </w:p>
    <w:p w14:paraId="463EF194">
      <w:pPr>
        <w:pStyle w:val="49"/>
        <w:snapToGrid w:val="0"/>
        <w:spacing w:line="360" w:lineRule="auto"/>
        <w:ind w:firstLine="420"/>
        <w:rPr>
          <w:rFonts w:ascii="宋体" w:hAnsi="宋体" w:eastAsia="宋体" w:cs="宋体"/>
          <w:b w:val="0"/>
          <w:color w:val="000000"/>
          <w:sz w:val="21"/>
          <w:szCs w:val="21"/>
          <w:highlight w:val="none"/>
        </w:rPr>
      </w:pPr>
      <w:r>
        <w:rPr>
          <w:rFonts w:ascii="宋体" w:hAnsi="宋体" w:cs="宋体"/>
          <w:bCs/>
          <w:color w:val="000000"/>
          <w:sz w:val="21"/>
          <w:szCs w:val="21"/>
        </w:rPr>
        <w:t>电子响应文件部分：供应商应根据“政采云供应商项目采购</w:t>
      </w:r>
      <w:r>
        <w:rPr>
          <w:rFonts w:ascii="宋体" w:hAnsi="宋体" w:eastAsia="宋体" w:cs="宋体"/>
          <w:bCs/>
          <w:color w:val="000000"/>
          <w:sz w:val="21"/>
          <w:szCs w:val="21"/>
        </w:rPr>
        <w:t>-</w:t>
      </w:r>
      <w:r>
        <w:rPr>
          <w:rFonts w:ascii="宋体" w:hAnsi="宋体" w:cs="宋体"/>
          <w:bCs/>
          <w:color w:val="000000"/>
          <w:sz w:val="21"/>
          <w:szCs w:val="21"/>
        </w:rPr>
        <w:t>电子招投标操作指南”及本采购文件规定的格式和顺序编制电子响应文件并进行关联定位。本文件《第六章 响应文件格式》中有提供格式的，供应商应按照格式进行编制（格式中要求提供相关证明材料的还需后附相关证明材料），并按格式要求在指定位置根据要求进行签章，否则视为未提供；本文件《第六章响应文件格式》未提供格式的，请供应商自行拟定格式，并加盖单位公章，否则视为未提供。</w:t>
      </w:r>
    </w:p>
    <w:p w14:paraId="6FF6E8DE">
      <w:pPr>
        <w:pStyle w:val="49"/>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2</w:t>
      </w:r>
      <w:r>
        <w:rPr>
          <w:rFonts w:ascii="宋体" w:hAnsi="宋体" w:cs="宋体"/>
          <w:b w:val="0"/>
          <w:bCs/>
          <w:color w:val="000000"/>
          <w:sz w:val="21"/>
          <w:szCs w:val="21"/>
        </w:rPr>
        <w:t>）供应商应对所提供的全部资料的真实性、有效性承担法律责任，电子响应文件中所须加盖公章部分均采用</w:t>
      </w:r>
      <w:r>
        <w:rPr>
          <w:rFonts w:ascii="宋体" w:hAnsi="宋体" w:eastAsia="宋体" w:cs="宋体"/>
          <w:b w:val="0"/>
          <w:bCs/>
          <w:color w:val="000000"/>
          <w:sz w:val="21"/>
          <w:szCs w:val="21"/>
        </w:rPr>
        <w:t>CA</w:t>
      </w:r>
      <w:r>
        <w:rPr>
          <w:rFonts w:ascii="宋体" w:hAnsi="宋体" w:cs="宋体"/>
          <w:b w:val="0"/>
          <w:bCs/>
          <w:color w:val="000000"/>
          <w:sz w:val="21"/>
          <w:szCs w:val="21"/>
        </w:rPr>
        <w:t>签章。</w:t>
      </w:r>
    </w:p>
    <w:p w14:paraId="2DC1F60F">
      <w:pPr>
        <w:pStyle w:val="49"/>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3</w:t>
      </w:r>
      <w:r>
        <w:rPr>
          <w:rFonts w:ascii="宋体" w:hAnsi="宋体" w:cs="宋体"/>
          <w:b w:val="0"/>
          <w:bCs/>
          <w:color w:val="000000"/>
          <w:sz w:val="21"/>
          <w:szCs w:val="21"/>
        </w:rPr>
        <w:t>）响应文件以及供应商与采购组织机构就有关响应事宜的所有来往函电，均应以中文汉语书写。除签字、盖章、专用名称等特殊情形外，以中文汉语以外的文字表述的响应文件视同未提供。</w:t>
      </w:r>
    </w:p>
    <w:p w14:paraId="376C28E3">
      <w:pPr>
        <w:pStyle w:val="49"/>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4</w:t>
      </w:r>
      <w:r>
        <w:rPr>
          <w:rFonts w:ascii="宋体" w:hAnsi="宋体" w:cs="宋体"/>
          <w:b w:val="0"/>
          <w:bCs/>
          <w:color w:val="000000"/>
          <w:sz w:val="21"/>
          <w:szCs w:val="21"/>
        </w:rPr>
        <w:t>）响应计量单位，采购文件已有明确规定的，使用采购文件规定的计量单位；采购文件没有规定的，应采用中华人民共和国法定计量单位（货币单位：人民币元）。</w:t>
      </w:r>
    </w:p>
    <w:p w14:paraId="7DF66CFE">
      <w:pPr>
        <w:pStyle w:val="49"/>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5</w:t>
      </w:r>
      <w:r>
        <w:rPr>
          <w:rFonts w:ascii="宋体" w:hAnsi="宋体" w:cs="宋体"/>
          <w:b w:val="0"/>
          <w:bCs/>
          <w:color w:val="000000"/>
          <w:sz w:val="21"/>
          <w:szCs w:val="21"/>
        </w:rPr>
        <w:t>）若供应商不按采购文件的要求提供资格审查材料，其风险由供应商自行承担。</w:t>
      </w:r>
    </w:p>
    <w:p w14:paraId="7AAE62A9">
      <w:pPr>
        <w:pStyle w:val="49"/>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6</w:t>
      </w:r>
      <w:r>
        <w:rPr>
          <w:rFonts w:ascii="宋体" w:hAnsi="宋体" w:cs="宋体"/>
          <w:b w:val="0"/>
          <w:bCs/>
          <w:color w:val="000000"/>
          <w:sz w:val="21"/>
          <w:szCs w:val="21"/>
        </w:rPr>
        <w:t>）与本次响应无关的内容请不要制作在内，确保响应文件有针对性、简洁明了。</w:t>
      </w:r>
    </w:p>
    <w:p w14:paraId="65F1BCBD">
      <w:pPr>
        <w:snapToGrid w:val="0"/>
        <w:spacing w:line="360" w:lineRule="auto"/>
        <w:ind w:firstLine="420"/>
        <w:rPr>
          <w:rFonts w:ascii="宋体" w:hAnsi="宋体" w:eastAsia="宋体" w:cs="宋体"/>
          <w:b/>
          <w:color w:val="000000"/>
          <w:sz w:val="21"/>
          <w:szCs w:val="21"/>
          <w:highlight w:val="none"/>
        </w:rPr>
      </w:pPr>
      <w:r>
        <w:rPr>
          <w:rFonts w:ascii="宋体" w:hAnsi="宋体" w:eastAsia="宋体" w:cs="宋体"/>
          <w:b/>
          <w:bCs/>
          <w:color w:val="000000"/>
          <w:sz w:val="21"/>
          <w:szCs w:val="21"/>
          <w:lang w:val="en-US" w:eastAsia="zh-CN"/>
        </w:rPr>
        <w:t>26.</w:t>
      </w:r>
      <w:r>
        <w:rPr>
          <w:rFonts w:ascii="宋体" w:hAnsi="宋体" w:cs="宋体"/>
          <w:b/>
          <w:bCs/>
          <w:color w:val="000000"/>
          <w:sz w:val="21"/>
          <w:szCs w:val="21"/>
        </w:rPr>
        <w:t>响应文件的上传</w:t>
      </w:r>
    </w:p>
    <w:p w14:paraId="46F4E392">
      <w:pPr>
        <w:pStyle w:val="49"/>
        <w:snapToGrid w:val="0"/>
        <w:spacing w:line="360" w:lineRule="auto"/>
        <w:rPr>
          <w:rFonts w:ascii="宋体" w:hAnsi="宋体" w:eastAsia="宋体" w:cs="宋体"/>
          <w:b/>
          <w:bCs/>
          <w:color w:val="000000"/>
          <w:sz w:val="21"/>
          <w:szCs w:val="21"/>
          <w:highlight w:val="none"/>
        </w:rPr>
      </w:pPr>
      <w:r>
        <w:rPr>
          <w:rFonts w:ascii="宋体" w:hAnsi="宋体" w:cs="宋体"/>
          <w:b/>
          <w:bCs/>
          <w:color w:val="000000"/>
          <w:sz w:val="21"/>
          <w:szCs w:val="21"/>
        </w:rPr>
        <w:t>（</w:t>
      </w:r>
      <w:r>
        <w:rPr>
          <w:rFonts w:ascii="宋体" w:hAnsi="宋体" w:eastAsia="宋体" w:cs="宋体"/>
          <w:b/>
          <w:bCs/>
          <w:color w:val="000000"/>
          <w:sz w:val="21"/>
          <w:szCs w:val="21"/>
        </w:rPr>
        <w:t>1</w:t>
      </w:r>
      <w:r>
        <w:rPr>
          <w:rFonts w:ascii="宋体" w:hAnsi="宋体" w:cs="宋体"/>
          <w:b/>
          <w:bCs/>
          <w:color w:val="000000"/>
          <w:sz w:val="21"/>
          <w:szCs w:val="21"/>
        </w:rPr>
        <w:t>）</w:t>
      </w:r>
      <w:r>
        <w:rPr>
          <w:rFonts w:ascii="宋体" w:hAnsi="宋体" w:cs="宋体"/>
          <w:b/>
          <w:bCs/>
          <w:color w:val="000000"/>
          <w:sz w:val="21"/>
          <w:szCs w:val="21"/>
          <w:lang w:bidi="zh-CN"/>
        </w:rPr>
        <w:t>电子加密响应文件（“</w:t>
      </w:r>
      <w:r>
        <w:rPr>
          <w:rFonts w:ascii="宋体" w:hAnsi="宋体" w:eastAsia="宋体" w:cs="宋体"/>
          <w:b/>
          <w:bCs/>
          <w:color w:val="000000"/>
          <w:sz w:val="21"/>
          <w:szCs w:val="21"/>
          <w:lang w:bidi="zh-CN"/>
        </w:rPr>
        <w:t>.jmbs”</w:t>
      </w:r>
      <w:r>
        <w:rPr>
          <w:rFonts w:ascii="宋体" w:hAnsi="宋体" w:cs="宋体"/>
          <w:b/>
          <w:bCs/>
          <w:color w:val="000000"/>
          <w:sz w:val="21"/>
          <w:szCs w:val="21"/>
          <w:lang w:bidi="zh-CN"/>
        </w:rPr>
        <w:t>格式）</w:t>
      </w:r>
      <w:r>
        <w:rPr>
          <w:rFonts w:ascii="宋体" w:hAnsi="宋体" w:cs="宋体"/>
          <w:b/>
          <w:bCs/>
          <w:color w:val="000000"/>
          <w:sz w:val="21"/>
          <w:szCs w:val="21"/>
        </w:rPr>
        <w:t>：</w:t>
      </w:r>
    </w:p>
    <w:p w14:paraId="5F45DD1F">
      <w:pPr>
        <w:pStyle w:val="49"/>
        <w:snapToGrid w:val="0"/>
        <w:spacing w:line="360" w:lineRule="auto"/>
        <w:ind w:firstLine="525"/>
        <w:rPr>
          <w:rFonts w:ascii="宋体" w:hAnsi="宋体" w:eastAsia="宋体" w:cs="宋体"/>
          <w:b w:val="0"/>
          <w:bCs/>
          <w:color w:val="000000"/>
          <w:sz w:val="21"/>
          <w:szCs w:val="21"/>
          <w:highlight w:val="none"/>
          <w:lang w:bidi="zh-CN"/>
        </w:rPr>
      </w:pPr>
      <w:r>
        <w:rPr>
          <w:rFonts w:ascii="宋体" w:hAnsi="宋体" w:eastAsia="宋体" w:cs="宋体"/>
          <w:b w:val="0"/>
          <w:bCs/>
          <w:color w:val="000000"/>
          <w:sz w:val="21"/>
          <w:szCs w:val="21"/>
          <w:lang w:bidi="zh-CN"/>
        </w:rPr>
        <w:t>a.</w:t>
      </w:r>
      <w:r>
        <w:rPr>
          <w:rFonts w:ascii="宋体" w:hAnsi="宋体" w:eastAsia="宋体" w:cs="宋体"/>
          <w:b w:val="0"/>
          <w:bCs/>
          <w:color w:val="000000"/>
          <w:kern w:val="0"/>
          <w:sz w:val="21"/>
          <w:szCs w:val="21"/>
        </w:rPr>
        <w:t xml:space="preserve"> </w:t>
      </w:r>
      <w:r>
        <w:rPr>
          <w:rFonts w:ascii="宋体" w:hAnsi="宋体" w:cs="宋体"/>
          <w:b w:val="0"/>
          <w:bCs/>
          <w:color w:val="000000"/>
          <w:sz w:val="21"/>
          <w:szCs w:val="21"/>
          <w:lang w:bidi="zh-CN"/>
        </w:rPr>
        <w:t>供应商应在响应文件递交截止时间前将电子加密响应文件成功上传递交至新疆政府采购云平台，否则响应无效；</w:t>
      </w:r>
    </w:p>
    <w:p w14:paraId="4BEE5118">
      <w:pPr>
        <w:pStyle w:val="49"/>
        <w:snapToGrid w:val="0"/>
        <w:spacing w:line="360" w:lineRule="auto"/>
        <w:ind w:firstLine="525"/>
        <w:rPr>
          <w:rFonts w:ascii="宋体" w:hAnsi="宋体" w:eastAsia="宋体" w:cs="宋体"/>
          <w:b w:val="0"/>
          <w:bCs/>
          <w:color w:val="000000"/>
          <w:sz w:val="21"/>
          <w:szCs w:val="21"/>
          <w:highlight w:val="none"/>
          <w:lang w:bidi="zh-CN"/>
        </w:rPr>
      </w:pPr>
      <w:r>
        <w:rPr>
          <w:rFonts w:ascii="宋体" w:hAnsi="宋体" w:eastAsia="宋体" w:cs="宋体"/>
          <w:b w:val="0"/>
          <w:bCs/>
          <w:color w:val="000000"/>
          <w:sz w:val="21"/>
          <w:szCs w:val="21"/>
          <w:lang w:bidi="zh-CN"/>
        </w:rPr>
        <w:t>b.</w:t>
      </w:r>
      <w:r>
        <w:rPr>
          <w:rFonts w:ascii="宋体" w:hAnsi="宋体" w:cs="宋体"/>
          <w:b w:val="0"/>
          <w:bCs/>
          <w:color w:val="000000"/>
          <w:sz w:val="21"/>
          <w:szCs w:val="21"/>
          <w:lang w:bidi="zh-CN"/>
        </w:rPr>
        <w:t>供应商成功上传电子加密响应文件后，可自行打印响应文件接收回执。</w:t>
      </w:r>
    </w:p>
    <w:p w14:paraId="58A9741E">
      <w:pPr>
        <w:pStyle w:val="49"/>
        <w:snapToGrid w:val="0"/>
        <w:spacing w:line="360" w:lineRule="auto"/>
        <w:rPr>
          <w:rFonts w:ascii="宋体" w:hAnsi="宋体" w:eastAsia="宋体" w:cs="宋体"/>
          <w:b/>
          <w:bCs/>
          <w:color w:val="000000"/>
          <w:sz w:val="21"/>
          <w:szCs w:val="21"/>
          <w:highlight w:val="none"/>
          <w:lang w:bidi="zh-CN"/>
        </w:rPr>
      </w:pPr>
      <w:r>
        <w:rPr>
          <w:rFonts w:ascii="宋体" w:hAnsi="宋体" w:cs="宋体"/>
          <w:b/>
          <w:bCs/>
          <w:color w:val="000000"/>
          <w:sz w:val="21"/>
          <w:szCs w:val="21"/>
        </w:rPr>
        <w:t>（</w:t>
      </w:r>
      <w:r>
        <w:rPr>
          <w:rFonts w:ascii="宋体" w:hAnsi="宋体" w:eastAsia="宋体" w:cs="宋体"/>
          <w:b/>
          <w:bCs/>
          <w:color w:val="000000"/>
          <w:sz w:val="21"/>
          <w:szCs w:val="21"/>
        </w:rPr>
        <w:t>2</w:t>
      </w:r>
      <w:r>
        <w:rPr>
          <w:rFonts w:ascii="宋体" w:hAnsi="宋体" w:cs="宋体"/>
          <w:b/>
          <w:bCs/>
          <w:color w:val="000000"/>
          <w:sz w:val="21"/>
          <w:szCs w:val="21"/>
        </w:rPr>
        <w:t>）</w:t>
      </w:r>
      <w:r>
        <w:rPr>
          <w:rFonts w:ascii="宋体" w:hAnsi="宋体" w:cs="宋体"/>
          <w:b/>
          <w:bCs/>
          <w:color w:val="000000"/>
          <w:sz w:val="21"/>
          <w:szCs w:val="21"/>
          <w:lang w:bidi="zh-CN"/>
        </w:rPr>
        <w:t>备份响应文件（“</w:t>
      </w:r>
      <w:r>
        <w:rPr>
          <w:rFonts w:ascii="宋体" w:hAnsi="宋体" w:eastAsia="宋体" w:cs="宋体"/>
          <w:b/>
          <w:bCs/>
          <w:color w:val="000000"/>
          <w:sz w:val="21"/>
          <w:szCs w:val="21"/>
          <w:lang w:bidi="zh-CN"/>
        </w:rPr>
        <w:t>.bfbs”</w:t>
      </w:r>
      <w:r>
        <w:rPr>
          <w:rFonts w:ascii="宋体" w:hAnsi="宋体" w:cs="宋体"/>
          <w:b/>
          <w:bCs/>
          <w:color w:val="000000"/>
          <w:sz w:val="21"/>
          <w:szCs w:val="21"/>
          <w:lang w:bidi="zh-CN"/>
        </w:rPr>
        <w:t>格式）：</w:t>
      </w:r>
    </w:p>
    <w:p w14:paraId="5E385622">
      <w:pPr>
        <w:pStyle w:val="49"/>
        <w:snapToGrid w:val="0"/>
        <w:spacing w:line="360" w:lineRule="auto"/>
        <w:ind w:firstLine="525"/>
        <w:rPr>
          <w:rFonts w:ascii="宋体" w:hAnsi="宋体" w:eastAsia="宋体" w:cs="宋体"/>
          <w:color w:val="000000"/>
          <w:sz w:val="21"/>
          <w:szCs w:val="21"/>
          <w:highlight w:val="none"/>
          <w:lang w:val="en-US" w:bidi="zh-CN"/>
        </w:rPr>
      </w:pPr>
      <w:r>
        <w:rPr>
          <w:rFonts w:ascii="宋体" w:hAnsi="宋体" w:eastAsia="宋体" w:cs="宋体"/>
          <w:b w:val="0"/>
          <w:bCs/>
          <w:color w:val="000000"/>
          <w:sz w:val="21"/>
          <w:szCs w:val="21"/>
          <w:lang w:bidi="zh-CN"/>
        </w:rPr>
        <w:t>a.</w:t>
      </w:r>
      <w:r>
        <w:rPr>
          <w:rFonts w:ascii="宋体" w:hAnsi="宋体" w:cs="宋体"/>
          <w:b w:val="0"/>
          <w:bCs/>
          <w:color w:val="000000"/>
          <w:sz w:val="21"/>
          <w:szCs w:val="21"/>
          <w:lang w:bidi="zh-CN"/>
        </w:rPr>
        <w:t>供应商可以将备份响应文件打包压缩并加密，压缩包命名为“</w:t>
      </w:r>
      <w:r>
        <w:rPr>
          <w:rFonts w:ascii="宋体" w:hAnsi="宋体" w:eastAsia="宋体" w:cs="宋体"/>
          <w:b w:val="0"/>
          <w:bCs/>
          <w:color w:val="000000"/>
          <w:sz w:val="21"/>
          <w:szCs w:val="21"/>
          <w:lang w:bidi="zh-CN"/>
        </w:rPr>
        <w:t>XX</w:t>
      </w:r>
      <w:r>
        <w:rPr>
          <w:rFonts w:ascii="宋体" w:hAnsi="宋体" w:cs="宋体"/>
          <w:b w:val="0"/>
          <w:bCs/>
          <w:color w:val="000000"/>
          <w:sz w:val="21"/>
          <w:szCs w:val="21"/>
          <w:lang w:bidi="zh-CN"/>
        </w:rPr>
        <w:t>单位备份响应文件”，加密密码由供应商自行保管；送达时间以采购代理机构实际接收时间为准。</w:t>
      </w:r>
      <w:r>
        <w:rPr>
          <w:rFonts w:ascii="宋体" w:hAnsi="宋体" w:cs="宋体"/>
          <w:color w:val="000000"/>
          <w:sz w:val="21"/>
          <w:szCs w:val="21"/>
          <w:lang w:bidi="zh-CN"/>
        </w:rPr>
        <w:t>“备份响应文件”以响应文件递交截止时间前指定接收邮箱最终收到的文件为准，逾期或未按要求提供的视为未提供，建议供应商提前</w:t>
      </w:r>
      <w:r>
        <w:rPr>
          <w:rFonts w:ascii="宋体" w:hAnsi="宋体" w:eastAsia="宋体" w:cs="宋体"/>
          <w:color w:val="000000"/>
          <w:sz w:val="21"/>
          <w:szCs w:val="21"/>
          <w:lang w:bidi="zh-CN"/>
        </w:rPr>
        <w:t>1</w:t>
      </w:r>
      <w:r>
        <w:rPr>
          <w:rFonts w:ascii="宋体" w:hAnsi="宋体" w:cs="宋体"/>
          <w:color w:val="000000"/>
          <w:sz w:val="21"/>
          <w:szCs w:val="21"/>
          <w:lang w:bidi="zh-CN"/>
        </w:rPr>
        <w:t>日办理邮件提供事宜</w:t>
      </w:r>
      <w:r>
        <w:rPr>
          <w:rFonts w:ascii="宋体" w:hAnsi="宋体" w:cs="宋体"/>
          <w:color w:val="000000"/>
          <w:sz w:val="21"/>
          <w:szCs w:val="21"/>
        </w:rPr>
        <w:t>（</w:t>
      </w:r>
      <w:r>
        <w:rPr>
          <w:rFonts w:ascii="宋体" w:hAnsi="宋体" w:cs="宋体"/>
          <w:b/>
          <w:bCs/>
          <w:color w:val="000000"/>
          <w:sz w:val="21"/>
          <w:szCs w:val="21"/>
          <w:lang w:val="en-US" w:eastAsia="zh-CN"/>
        </w:rPr>
        <w:t>接收人邮箱：1499247858@qq.com，</w:t>
      </w:r>
      <w:r>
        <w:rPr>
          <w:rFonts w:ascii="宋体" w:hAnsi="宋体" w:cs="宋体"/>
          <w:color w:val="000000"/>
          <w:sz w:val="21"/>
          <w:szCs w:val="21"/>
          <w:lang w:val="en-US" w:eastAsia="zh-CN" w:bidi="zh-CN"/>
        </w:rPr>
        <w:t>联系人：施女士   联系电话：19990496023</w:t>
      </w:r>
    </w:p>
    <w:p w14:paraId="0A3E7B65">
      <w:pPr>
        <w:pStyle w:val="49"/>
        <w:snapToGrid w:val="0"/>
        <w:spacing w:line="360" w:lineRule="auto"/>
        <w:ind w:firstLine="525"/>
      </w:pPr>
      <w:r>
        <w:rPr>
          <w:rFonts w:ascii="宋体" w:hAnsi="宋体" w:eastAsia="宋体" w:cs="宋体"/>
          <w:b w:val="0"/>
          <w:bCs/>
          <w:color w:val="000000"/>
          <w:sz w:val="21"/>
          <w:szCs w:val="21"/>
          <w:lang w:bidi="zh-CN"/>
        </w:rPr>
        <w:t>b.</w:t>
      </w:r>
      <w:r>
        <w:rPr>
          <w:rFonts w:ascii="宋体" w:hAnsi="宋体" w:cs="宋体"/>
          <w:b w:val="0"/>
          <w:bCs/>
          <w:color w:val="000000"/>
          <w:sz w:val="21"/>
          <w:szCs w:val="21"/>
          <w:lang w:bidi="zh-CN"/>
        </w:rPr>
        <w:t>通过“新疆政府采购云平台”成功上传递交的“电子加密响应文件”已按时解密的，“备份响应文件”自动失效。响应文件递交截止时间前，供应商仅递交了“备份响应文件”而未将“电子加密响应文件”成功上传至“政府采购云平台”的，响应无效。</w:t>
      </w:r>
    </w:p>
    <w:p w14:paraId="1E9F745E">
      <w:pPr>
        <w:snapToGrid w:val="0"/>
        <w:spacing w:line="360" w:lineRule="auto"/>
        <w:ind w:firstLine="420"/>
        <w:rPr>
          <w:rFonts w:ascii="宋体" w:hAnsi="宋体" w:eastAsia="宋体" w:cs="宋体"/>
          <w:b/>
          <w:color w:val="000000"/>
          <w:sz w:val="21"/>
          <w:szCs w:val="21"/>
          <w:highlight w:val="none"/>
        </w:rPr>
      </w:pPr>
      <w:r>
        <w:rPr>
          <w:rFonts w:ascii="宋体" w:hAnsi="宋体" w:eastAsia="宋体" w:cs="宋体"/>
          <w:b/>
          <w:bCs/>
          <w:color w:val="000000"/>
          <w:sz w:val="21"/>
          <w:szCs w:val="21"/>
          <w:lang w:val="en-US" w:eastAsia="zh-CN"/>
        </w:rPr>
        <w:t>27.</w:t>
      </w:r>
      <w:r>
        <w:rPr>
          <w:rFonts w:ascii="宋体" w:hAnsi="宋体" w:cs="宋体"/>
          <w:b/>
          <w:color w:val="000000"/>
          <w:sz w:val="21"/>
          <w:szCs w:val="21"/>
        </w:rPr>
        <w:t>响应文件的递交要求</w:t>
      </w:r>
    </w:p>
    <w:p w14:paraId="30ABE233">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rPr>
        <w:t>（</w:t>
      </w:r>
      <w:r>
        <w:rPr>
          <w:rFonts w:ascii="宋体" w:hAnsi="宋体" w:eastAsia="宋体" w:cs="宋体"/>
          <w:color w:val="000000"/>
          <w:sz w:val="21"/>
          <w:szCs w:val="21"/>
        </w:rPr>
        <w:t>1</w:t>
      </w:r>
      <w:r>
        <w:rPr>
          <w:rFonts w:ascii="宋体" w:hAnsi="宋体" w:cs="宋体"/>
          <w:color w:val="000000"/>
          <w:sz w:val="21"/>
          <w:szCs w:val="21"/>
        </w:rPr>
        <w:t>）供应商须按照采购文件和政采云平台的要求编制并加密响应文件。在响应文件递交截止时间以前完成响应文件的传输递交，截止时间后递交的响应文件，将被拒收。</w:t>
      </w:r>
    </w:p>
    <w:p w14:paraId="24C94C96">
      <w:pPr>
        <w:tabs>
          <w:tab w:val="left" w:pos="1418"/>
        </w:tabs>
        <w:autoSpaceDE w:val="0"/>
        <w:snapToGrid w:val="0"/>
        <w:spacing w:line="360" w:lineRule="auto"/>
        <w:ind w:firstLine="420"/>
        <w:rPr>
          <w:rFonts w:ascii="宋体" w:hAnsi="宋体" w:cs="宋体"/>
          <w:color w:val="000000"/>
          <w:szCs w:val="21"/>
          <w:highlight w:val="none"/>
        </w:rPr>
      </w:pPr>
      <w:r>
        <w:rPr>
          <w:rFonts w:ascii="宋体" w:hAnsi="宋体" w:cs="宋体"/>
          <w:color w:val="000000"/>
          <w:sz w:val="21"/>
          <w:szCs w:val="21"/>
        </w:rPr>
        <w:t>（</w:t>
      </w:r>
      <w:r>
        <w:rPr>
          <w:rFonts w:ascii="宋体" w:hAnsi="宋体" w:eastAsia="宋体" w:cs="宋体"/>
          <w:color w:val="000000"/>
          <w:sz w:val="21"/>
          <w:szCs w:val="21"/>
          <w:lang w:val="en-US" w:eastAsia="zh-CN"/>
        </w:rPr>
        <w:t>2</w:t>
      </w:r>
      <w:r>
        <w:rPr>
          <w:rFonts w:ascii="宋体" w:hAnsi="宋体" w:cs="宋体"/>
          <w:color w:val="000000"/>
          <w:sz w:val="21"/>
          <w:szCs w:val="21"/>
        </w:rPr>
        <w:t>）如有特殊情况，采购组织机构延长截止时间和响应文件开启时间，采购组织机构和供应商的权利和义务将受到新的截止时间和响应文件开启时间的约束。</w:t>
      </w:r>
    </w:p>
    <w:p w14:paraId="33AB07A9">
      <w:pPr>
        <w:snapToGrid w:val="0"/>
        <w:spacing w:line="360" w:lineRule="auto"/>
        <w:ind w:firstLine="420"/>
        <w:rPr>
          <w:rFonts w:ascii="宋体" w:hAnsi="宋体" w:eastAsia="宋体" w:cs="宋体"/>
          <w:b/>
          <w:bCs/>
          <w:color w:val="000000"/>
          <w:sz w:val="21"/>
          <w:szCs w:val="21"/>
          <w:highlight w:val="none"/>
          <w:lang w:val="en-US" w:eastAsia="zh-CN"/>
        </w:rPr>
      </w:pPr>
      <w:r>
        <w:rPr>
          <w:rFonts w:ascii="宋体" w:hAnsi="宋体" w:eastAsia="宋体" w:cs="宋体"/>
          <w:b/>
          <w:bCs/>
          <w:color w:val="000000"/>
          <w:sz w:val="21"/>
          <w:szCs w:val="21"/>
          <w:lang w:val="en-US" w:eastAsia="zh-CN"/>
        </w:rPr>
        <w:t>28</w:t>
      </w:r>
      <w:r>
        <w:rPr>
          <w:rFonts w:ascii="宋体" w:hAnsi="宋体" w:cs="宋体"/>
          <w:b/>
          <w:bCs/>
          <w:color w:val="000000"/>
          <w:sz w:val="21"/>
          <w:szCs w:val="21"/>
          <w:lang w:val="en-US" w:eastAsia="zh-CN"/>
        </w:rPr>
        <w:t>．响应文件的补充、修改与撤回</w:t>
      </w:r>
    </w:p>
    <w:p w14:paraId="529E1BEE">
      <w:pPr>
        <w:tabs>
          <w:tab w:val="left" w:pos="960"/>
          <w:tab w:val="left" w:pos="1418"/>
        </w:tabs>
        <w:autoSpaceDE w:val="0"/>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rPr>
        <w:t>供应商应当在响应文件递交截止时间前完成电子交易文件的传输递交，响应文件递交截止时间前可以补充、修改或者撤回电子交易文件。补充或者修改电子交易文件的，应当先行撤回原文件，补充、修改后重新传输递交。响应文件递交截止时间前未完成传输的，视为响应文件撤回。响应文件递交截止时间后传输递交的响应文件，“政府采购云平台”将予以拒收。响应文件递交截止时间后，供应商不得修改（补充）或撤回其响应文件。</w:t>
      </w:r>
    </w:p>
    <w:p w14:paraId="68637578">
      <w:pPr>
        <w:keepNext w:val="0"/>
        <w:keepLines w:val="0"/>
        <w:pageBreakBefore w:val="0"/>
        <w:widowControl w:val="0"/>
        <w:numPr>
          <w:ilvl w:val="0"/>
          <w:numId w:val="0"/>
        </w:numPr>
        <w:kinsoku/>
        <w:overflowPunct/>
        <w:autoSpaceDE/>
        <w:bidi w:val="0"/>
        <w:snapToGrid/>
        <w:spacing w:before="313" w:after="313" w:line="440" w:lineRule="exact"/>
        <w:jc w:val="center"/>
        <w:textAlignment w:val="auto"/>
        <w:outlineLvl w:val="2"/>
        <w:rPr>
          <w:rFonts w:ascii="黑体" w:hAnsi="黑体" w:eastAsia="黑体"/>
          <w:color w:val="000000"/>
          <w:sz w:val="28"/>
          <w:szCs w:val="28"/>
          <w:highlight w:val="none"/>
        </w:rPr>
      </w:pPr>
      <w:r>
        <w:rPr>
          <w:rFonts w:ascii="黑体" w:hAnsi="黑体" w:eastAsia="黑体"/>
          <w:color w:val="000000"/>
          <w:sz w:val="28"/>
          <w:szCs w:val="28"/>
        </w:rPr>
        <w:t>（五）开 标、评审和定标</w:t>
      </w:r>
    </w:p>
    <w:p w14:paraId="6BCD975B">
      <w:pPr>
        <w:snapToGrid w:val="0"/>
        <w:spacing w:line="360" w:lineRule="auto"/>
        <w:ind w:firstLine="420"/>
        <w:rPr>
          <w:rFonts w:ascii="宋体" w:hAnsi="宋体" w:eastAsia="宋体" w:cs="宋体"/>
          <w:b/>
          <w:bCs/>
          <w:color w:val="000000"/>
          <w:sz w:val="21"/>
          <w:szCs w:val="21"/>
          <w:highlight w:val="none"/>
          <w:lang w:val="en-US" w:eastAsia="zh-CN"/>
        </w:rPr>
      </w:pPr>
      <w:r>
        <w:rPr>
          <w:rFonts w:ascii="宋体" w:hAnsi="宋体" w:eastAsia="宋体" w:cs="宋体"/>
          <w:b/>
          <w:bCs/>
          <w:color w:val="000000"/>
          <w:sz w:val="21"/>
          <w:szCs w:val="21"/>
          <w:lang w:val="en-US" w:eastAsia="zh-CN"/>
        </w:rPr>
        <w:t xml:space="preserve">29. </w:t>
      </w:r>
      <w:r>
        <w:rPr>
          <w:rFonts w:ascii="宋体" w:hAnsi="宋体" w:cs="宋体"/>
          <w:b/>
          <w:bCs/>
          <w:color w:val="000000"/>
          <w:sz w:val="21"/>
          <w:szCs w:val="21"/>
          <w:lang w:val="en-US" w:eastAsia="zh-CN"/>
        </w:rPr>
        <w:t>开启响应文件</w:t>
      </w:r>
    </w:p>
    <w:p w14:paraId="2EF8E71E">
      <w:pPr>
        <w:snapToGrid w:val="0"/>
        <w:spacing w:line="360" w:lineRule="auto"/>
        <w:ind w:firstLine="420"/>
        <w:rPr>
          <w:rFonts w:ascii="宋体" w:hAnsi="宋体" w:eastAsia="宋体" w:cs="宋体"/>
          <w:b/>
          <w:bCs/>
          <w:color w:val="000000"/>
          <w:sz w:val="21"/>
          <w:szCs w:val="21"/>
          <w:highlight w:val="none"/>
          <w:lang w:val="en-US" w:eastAsia="zh-CN"/>
        </w:rPr>
      </w:pPr>
      <w:r>
        <w:rPr>
          <w:rFonts w:ascii="宋体" w:hAnsi="宋体" w:eastAsia="宋体" w:cs="宋体"/>
          <w:b/>
          <w:bCs/>
          <w:color w:val="000000"/>
          <w:sz w:val="21"/>
          <w:szCs w:val="21"/>
          <w:lang w:val="en-US" w:eastAsia="zh-CN"/>
        </w:rPr>
        <w:t>29.1</w:t>
      </w:r>
      <w:r>
        <w:rPr>
          <w:rFonts w:ascii="宋体" w:hAnsi="宋体" w:cs="宋体"/>
          <w:b/>
          <w:bCs/>
          <w:color w:val="000000"/>
          <w:sz w:val="21"/>
          <w:szCs w:val="21"/>
          <w:lang w:val="en-US" w:eastAsia="zh-CN"/>
        </w:rPr>
        <w:t>开启响应文件邀请</w:t>
      </w:r>
    </w:p>
    <w:p w14:paraId="04803760">
      <w:pPr>
        <w:pStyle w:val="52"/>
        <w:snapToGrid w:val="0"/>
        <w:spacing w:line="360" w:lineRule="auto"/>
        <w:ind w:firstLine="420"/>
        <w:rPr>
          <w:rFonts w:ascii="宋体" w:hAnsi="宋体" w:eastAsia="宋体" w:cs="宋体"/>
          <w:b w:val="0"/>
          <w:bCs/>
          <w:color w:val="000000"/>
          <w:sz w:val="21"/>
          <w:szCs w:val="21"/>
          <w:highlight w:val="none"/>
        </w:rPr>
      </w:pPr>
      <w:r>
        <w:rPr>
          <w:rFonts w:ascii="宋体" w:hAnsi="宋体" w:cs="宋体"/>
          <w:b w:val="0"/>
          <w:bCs/>
          <w:color w:val="000000"/>
          <w:sz w:val="21"/>
          <w:szCs w:val="21"/>
          <w:lang w:eastAsia="zh-CN"/>
        </w:rPr>
        <w:t>（</w:t>
      </w:r>
      <w:r>
        <w:rPr>
          <w:rFonts w:eastAsia="宋体" w:cs="宋体"/>
          <w:b w:val="0"/>
          <w:bCs/>
          <w:color w:val="000000"/>
          <w:sz w:val="21"/>
          <w:szCs w:val="21"/>
          <w:lang w:val="en-US" w:eastAsia="zh-CN"/>
        </w:rPr>
        <w:t>1</w:t>
      </w:r>
      <w:r>
        <w:rPr>
          <w:rFonts w:ascii="宋体" w:hAnsi="宋体" w:cs="宋体"/>
          <w:b w:val="0"/>
          <w:bCs/>
          <w:color w:val="000000"/>
          <w:sz w:val="21"/>
          <w:szCs w:val="21"/>
          <w:lang w:eastAsia="zh-CN"/>
        </w:rPr>
        <w:t>）</w:t>
      </w:r>
      <w:r>
        <w:rPr>
          <w:rFonts w:ascii="宋体" w:hAnsi="宋体" w:cs="宋体"/>
          <w:b w:val="0"/>
          <w:bCs/>
          <w:color w:val="000000"/>
          <w:sz w:val="21"/>
          <w:szCs w:val="21"/>
        </w:rPr>
        <w:t>开启响应文件准备：本项目开启响应文件的准备工作由采购组织机构负责落实，响应文件开启过程由采购组织机构负责记录；</w:t>
      </w:r>
    </w:p>
    <w:p w14:paraId="5F946CBA">
      <w:pPr>
        <w:pStyle w:val="52"/>
        <w:snapToGrid w:val="0"/>
        <w:spacing w:line="360" w:lineRule="auto"/>
        <w:ind w:firstLine="420"/>
        <w:rPr>
          <w:rFonts w:ascii="宋体" w:hAnsi="宋体" w:eastAsia="宋体" w:cs="宋体"/>
          <w:b w:val="0"/>
          <w:bCs/>
          <w:color w:val="000000"/>
          <w:sz w:val="21"/>
          <w:szCs w:val="21"/>
          <w:highlight w:val="none"/>
        </w:rPr>
      </w:pPr>
      <w:r>
        <w:rPr>
          <w:rFonts w:ascii="宋体" w:hAnsi="宋体" w:cs="宋体"/>
          <w:b w:val="0"/>
          <w:bCs/>
          <w:color w:val="000000"/>
          <w:sz w:val="21"/>
          <w:szCs w:val="21"/>
          <w:lang w:eastAsia="zh-CN"/>
        </w:rPr>
        <w:t>（</w:t>
      </w:r>
      <w:r>
        <w:rPr>
          <w:rFonts w:eastAsia="宋体" w:cs="宋体"/>
          <w:b w:val="0"/>
          <w:bCs/>
          <w:color w:val="000000"/>
          <w:sz w:val="21"/>
          <w:szCs w:val="21"/>
          <w:lang w:val="en-US" w:eastAsia="zh-CN"/>
        </w:rPr>
        <w:t>2</w:t>
      </w:r>
      <w:r>
        <w:rPr>
          <w:rFonts w:ascii="宋体" w:hAnsi="宋体" w:cs="宋体"/>
          <w:b w:val="0"/>
          <w:bCs/>
          <w:color w:val="000000"/>
          <w:sz w:val="21"/>
          <w:szCs w:val="21"/>
          <w:lang w:val="en-US" w:eastAsia="zh-CN"/>
        </w:rPr>
        <w:t>）</w:t>
      </w:r>
      <w:r>
        <w:rPr>
          <w:rFonts w:ascii="宋体" w:hAnsi="宋体" w:cs="宋体"/>
          <w:b w:val="0"/>
          <w:bCs/>
          <w:color w:val="000000"/>
          <w:sz w:val="21"/>
          <w:szCs w:val="21"/>
        </w:rPr>
        <w:t>开启响应文件主持：本项目开启响应文件由采购人或者采购代理机构主持；</w:t>
      </w:r>
    </w:p>
    <w:p w14:paraId="013CD35F">
      <w:pPr>
        <w:pStyle w:val="52"/>
        <w:snapToGrid w:val="0"/>
        <w:spacing w:line="360" w:lineRule="auto"/>
        <w:ind w:firstLine="420"/>
        <w:rPr>
          <w:rFonts w:ascii="宋体" w:hAnsi="宋体" w:eastAsia="宋体" w:cs="宋体"/>
          <w:b w:val="0"/>
          <w:color w:val="000000"/>
          <w:sz w:val="21"/>
          <w:szCs w:val="21"/>
          <w:highlight w:val="none"/>
        </w:rPr>
      </w:pPr>
      <w:r>
        <w:rPr>
          <w:rFonts w:ascii="宋体" w:hAnsi="宋体" w:cs="宋体"/>
          <w:b w:val="0"/>
          <w:color w:val="000000"/>
          <w:sz w:val="21"/>
          <w:szCs w:val="21"/>
          <w:lang w:eastAsia="zh-CN"/>
        </w:rPr>
        <w:t>（</w:t>
      </w:r>
      <w:r>
        <w:rPr>
          <w:rFonts w:eastAsia="宋体" w:cs="宋体"/>
          <w:b w:val="0"/>
          <w:color w:val="000000"/>
          <w:sz w:val="21"/>
          <w:szCs w:val="21"/>
          <w:lang w:val="en-US" w:eastAsia="zh-CN"/>
        </w:rPr>
        <w:t>3</w:t>
      </w:r>
      <w:r>
        <w:rPr>
          <w:rFonts w:ascii="宋体" w:hAnsi="宋体" w:cs="宋体"/>
          <w:b w:val="0"/>
          <w:color w:val="000000"/>
          <w:sz w:val="21"/>
          <w:szCs w:val="21"/>
          <w:lang w:eastAsia="zh-CN"/>
        </w:rPr>
        <w:t>）</w:t>
      </w:r>
      <w:r>
        <w:rPr>
          <w:rFonts w:ascii="宋体" w:hAnsi="宋体" w:cs="宋体"/>
          <w:b w:val="0"/>
          <w:color w:val="000000"/>
          <w:sz w:val="21"/>
          <w:szCs w:val="21"/>
        </w:rPr>
        <w:t>开启响应文件邀请：本项目采用电子交易，采购组织机构将按照采购文件规定的时间通过“</w:t>
      </w:r>
      <w:r>
        <w:rPr>
          <w:rFonts w:ascii="宋体" w:hAnsi="宋体" w:cs="宋体"/>
          <w:b w:val="0"/>
          <w:color w:val="000000"/>
          <w:sz w:val="21"/>
          <w:szCs w:val="21"/>
          <w:lang w:eastAsia="zh-CN"/>
        </w:rPr>
        <w:t>新疆</w:t>
      </w:r>
      <w:r>
        <w:rPr>
          <w:rFonts w:ascii="宋体" w:hAnsi="宋体" w:cs="宋体"/>
          <w:b w:val="0"/>
          <w:color w:val="000000"/>
          <w:sz w:val="21"/>
          <w:szCs w:val="21"/>
        </w:rPr>
        <w:t>政府采购云平台，网址：</w:t>
      </w:r>
      <w:r>
        <w:fldChar w:fldCharType="begin"/>
      </w:r>
      <w:r>
        <w:instrText xml:space="preserve"> HYPERLINK "http://www.zcygov.cn/" \h </w:instrText>
      </w:r>
      <w:r>
        <w:fldChar w:fldCharType="separate"/>
      </w:r>
      <w:r>
        <w:rPr>
          <w:rStyle w:val="26"/>
          <w:rFonts w:eastAsia="宋体" w:cs="宋体"/>
          <w:b w:val="0"/>
          <w:color w:val="000000"/>
          <w:sz w:val="21"/>
          <w:szCs w:val="21"/>
          <w:u w:val="none"/>
        </w:rPr>
        <w:t>www.zcygov.cn</w:t>
      </w:r>
      <w:r>
        <w:rPr>
          <w:rStyle w:val="26"/>
          <w:rFonts w:eastAsia="宋体" w:cs="宋体"/>
          <w:b w:val="0"/>
          <w:color w:val="000000"/>
          <w:sz w:val="21"/>
          <w:szCs w:val="21"/>
          <w:u w:val="none"/>
        </w:rPr>
        <w:fldChar w:fldCharType="end"/>
      </w:r>
      <w:r>
        <w:rPr>
          <w:rFonts w:eastAsia="宋体" w:cs="宋体"/>
          <w:b w:val="0"/>
          <w:color w:val="000000"/>
          <w:sz w:val="21"/>
          <w:szCs w:val="21"/>
        </w:rPr>
        <w:t>”</w:t>
      </w:r>
      <w:r>
        <w:rPr>
          <w:rFonts w:ascii="宋体" w:hAnsi="宋体" w:cs="宋体"/>
          <w:b w:val="0"/>
          <w:color w:val="000000"/>
          <w:sz w:val="21"/>
          <w:szCs w:val="21"/>
        </w:rPr>
        <w:t>组织开启响应文件、开启响应响应文件，所有供应商均应当准时在线参加。</w:t>
      </w:r>
    </w:p>
    <w:p w14:paraId="4E409E3A">
      <w:pPr>
        <w:pStyle w:val="52"/>
        <w:snapToGrid w:val="0"/>
        <w:spacing w:line="360" w:lineRule="auto"/>
        <w:ind w:firstLine="420"/>
        <w:rPr>
          <w:rFonts w:ascii="宋体" w:hAnsi="宋体" w:eastAsia="宋体" w:cs="宋体"/>
          <w:b w:val="0"/>
          <w:color w:val="000000"/>
          <w:sz w:val="21"/>
          <w:szCs w:val="21"/>
          <w:highlight w:val="none"/>
        </w:rPr>
      </w:pPr>
      <w:r>
        <w:rPr>
          <w:rFonts w:ascii="宋体" w:hAnsi="宋体" w:cs="宋体"/>
          <w:b w:val="0"/>
          <w:color w:val="000000"/>
          <w:sz w:val="21"/>
          <w:szCs w:val="21"/>
          <w:lang w:eastAsia="zh-CN"/>
        </w:rPr>
        <w:t>（</w:t>
      </w:r>
      <w:r>
        <w:rPr>
          <w:rFonts w:eastAsia="宋体" w:cs="宋体"/>
          <w:b w:val="0"/>
          <w:color w:val="000000"/>
          <w:sz w:val="21"/>
          <w:szCs w:val="21"/>
          <w:lang w:val="en-US" w:eastAsia="zh-CN"/>
        </w:rPr>
        <w:t>4</w:t>
      </w:r>
      <w:r>
        <w:rPr>
          <w:rFonts w:ascii="宋体" w:hAnsi="宋体" w:cs="宋体"/>
          <w:b w:val="0"/>
          <w:color w:val="000000"/>
          <w:sz w:val="21"/>
          <w:szCs w:val="21"/>
          <w:lang w:eastAsia="zh-CN"/>
        </w:rPr>
        <w:t>）</w:t>
      </w:r>
      <w:r>
        <w:rPr>
          <w:rFonts w:ascii="宋体" w:hAnsi="宋体" w:cs="宋体"/>
          <w:b w:val="0"/>
          <w:color w:val="000000"/>
          <w:sz w:val="21"/>
          <w:szCs w:val="21"/>
        </w:rPr>
        <w:t>供应商对响应文件开启过程和响应文件开启记录有疑义，以及认为采购人、采购代理机构相关工作人员有需要回避的情形的，应当场提出询问或回避申请。供应商未参加开启响应文件的视同认可开启响应文件结果，事后不得对采购相关人员、响应文件开启过程和开启响应文件结果提出异议，同时供应商因未在线参加开启响应文件而导致响应文件无法按时解密等一切后果由供应商自行承担。</w:t>
      </w:r>
    </w:p>
    <w:p w14:paraId="3C105E20">
      <w:pPr>
        <w:numPr>
          <w:ilvl w:val="0"/>
          <w:numId w:val="0"/>
        </w:numPr>
        <w:snapToGrid w:val="0"/>
        <w:spacing w:line="360" w:lineRule="auto"/>
        <w:ind w:firstLine="420"/>
        <w:outlineLvl w:val="2"/>
        <w:rPr>
          <w:rFonts w:ascii="宋体" w:hAnsi="宋体" w:eastAsia="宋体" w:cs="宋体"/>
          <w:b/>
          <w:color w:val="000000"/>
          <w:sz w:val="21"/>
          <w:szCs w:val="21"/>
          <w:highlight w:val="none"/>
        </w:rPr>
      </w:pPr>
      <w:r>
        <w:rPr>
          <w:rFonts w:ascii="宋体" w:hAnsi="宋体" w:eastAsia="宋体" w:cs="宋体"/>
          <w:b/>
          <w:color w:val="000000"/>
          <w:sz w:val="21"/>
          <w:szCs w:val="21"/>
          <w:lang w:val="en-US" w:eastAsia="zh-CN"/>
        </w:rPr>
        <w:t>29.2</w:t>
      </w:r>
      <w:r>
        <w:rPr>
          <w:rFonts w:ascii="宋体" w:hAnsi="宋体" w:cs="宋体"/>
          <w:b/>
          <w:bCs/>
          <w:color w:val="000000"/>
          <w:sz w:val="21"/>
          <w:szCs w:val="21"/>
        </w:rPr>
        <w:t>开启响应文件程序（先资格、商务技术后报价）</w:t>
      </w:r>
    </w:p>
    <w:p w14:paraId="6CA85455">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lang w:eastAsia="zh-CN"/>
        </w:rPr>
        <w:t>（</w:t>
      </w:r>
      <w:r>
        <w:rPr>
          <w:rFonts w:ascii="宋体" w:hAnsi="宋体" w:eastAsia="宋体" w:cs="宋体"/>
          <w:color w:val="000000"/>
          <w:sz w:val="21"/>
          <w:szCs w:val="21"/>
          <w:lang w:val="en-US" w:eastAsia="zh-CN"/>
        </w:rPr>
        <w:t>1</w:t>
      </w:r>
      <w:r>
        <w:rPr>
          <w:rFonts w:ascii="宋体" w:hAnsi="宋体" w:cs="宋体"/>
          <w:color w:val="000000"/>
          <w:sz w:val="21"/>
          <w:szCs w:val="21"/>
          <w:lang w:eastAsia="zh-CN"/>
        </w:rPr>
        <w:t>）</w:t>
      </w:r>
      <w:r>
        <w:rPr>
          <w:rFonts w:ascii="宋体" w:hAnsi="宋体" w:cs="宋体"/>
          <w:color w:val="000000"/>
          <w:sz w:val="21"/>
          <w:szCs w:val="21"/>
        </w:rPr>
        <w:t>响应文件开启时间到后，主持人宣布响应文件开启会议开始。</w:t>
      </w:r>
    </w:p>
    <w:p w14:paraId="5286C01E">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lang w:eastAsia="zh-CN"/>
        </w:rPr>
        <w:t>（</w:t>
      </w:r>
      <w:r>
        <w:rPr>
          <w:rFonts w:ascii="宋体" w:hAnsi="宋体" w:eastAsia="宋体" w:cs="宋体"/>
          <w:color w:val="000000"/>
          <w:sz w:val="21"/>
          <w:szCs w:val="21"/>
          <w:lang w:val="en-US" w:eastAsia="zh-CN"/>
        </w:rPr>
        <w:t>2</w:t>
      </w:r>
      <w:r>
        <w:rPr>
          <w:rFonts w:ascii="宋体" w:hAnsi="宋体" w:cs="宋体"/>
          <w:color w:val="000000"/>
          <w:sz w:val="21"/>
          <w:szCs w:val="21"/>
          <w:lang w:eastAsia="zh-CN"/>
        </w:rPr>
        <w:t>）</w:t>
      </w:r>
      <w:r>
        <w:rPr>
          <w:rFonts w:ascii="宋体" w:hAnsi="宋体" w:cs="宋体"/>
          <w:color w:val="000000"/>
          <w:kern w:val="0"/>
          <w:sz w:val="21"/>
          <w:szCs w:val="21"/>
        </w:rPr>
        <w:t>响应文件解密（</w:t>
      </w:r>
      <w:r>
        <w:rPr>
          <w:rFonts w:ascii="宋体" w:hAnsi="宋体" w:cs="宋体"/>
          <w:b/>
          <w:color w:val="000000"/>
          <w:kern w:val="0"/>
          <w:sz w:val="21"/>
          <w:szCs w:val="21"/>
        </w:rPr>
        <w:t>解密规定见《供应商须知前附表》</w:t>
      </w:r>
      <w:r>
        <w:rPr>
          <w:rFonts w:ascii="宋体" w:hAnsi="宋体" w:cs="宋体"/>
          <w:color w:val="000000"/>
          <w:kern w:val="0"/>
          <w:sz w:val="21"/>
          <w:szCs w:val="21"/>
        </w:rPr>
        <w:t>）</w:t>
      </w:r>
      <w:r>
        <w:rPr>
          <w:rFonts w:ascii="宋体" w:hAnsi="宋体" w:cs="宋体"/>
          <w:color w:val="000000"/>
          <w:sz w:val="21"/>
          <w:szCs w:val="21"/>
        </w:rPr>
        <w:t>。</w:t>
      </w:r>
    </w:p>
    <w:p w14:paraId="472EFC5C">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lang w:eastAsia="zh-CN"/>
        </w:rPr>
        <w:t>（</w:t>
      </w:r>
      <w:r>
        <w:rPr>
          <w:rFonts w:ascii="宋体" w:hAnsi="宋体" w:eastAsia="宋体" w:cs="宋体"/>
          <w:color w:val="000000"/>
          <w:sz w:val="21"/>
          <w:szCs w:val="21"/>
          <w:lang w:val="en-US" w:eastAsia="zh-CN"/>
        </w:rPr>
        <w:t>3</w:t>
      </w:r>
      <w:r>
        <w:rPr>
          <w:rFonts w:ascii="宋体" w:hAnsi="宋体" w:cs="宋体"/>
          <w:color w:val="000000"/>
          <w:sz w:val="21"/>
          <w:szCs w:val="21"/>
          <w:lang w:eastAsia="zh-CN"/>
        </w:rPr>
        <w:t>）</w:t>
      </w:r>
      <w:r>
        <w:rPr>
          <w:rFonts w:ascii="宋体" w:hAnsi="宋体" w:cs="宋体"/>
          <w:color w:val="000000"/>
          <w:kern w:val="0"/>
          <w:sz w:val="21"/>
          <w:szCs w:val="21"/>
        </w:rPr>
        <w:t>响应文件解密异常情况处理（</w:t>
      </w:r>
      <w:r>
        <w:rPr>
          <w:rFonts w:ascii="宋体" w:hAnsi="宋体" w:cs="宋体"/>
          <w:b/>
          <w:color w:val="000000"/>
          <w:kern w:val="0"/>
          <w:sz w:val="21"/>
          <w:szCs w:val="21"/>
        </w:rPr>
        <w:t>处理办法见《供应商须知前附表》</w:t>
      </w:r>
      <w:r>
        <w:rPr>
          <w:rFonts w:ascii="宋体" w:hAnsi="宋体" w:cs="宋体"/>
          <w:color w:val="000000"/>
          <w:kern w:val="0"/>
          <w:sz w:val="21"/>
          <w:szCs w:val="21"/>
        </w:rPr>
        <w:t>）</w:t>
      </w:r>
      <w:r>
        <w:rPr>
          <w:rFonts w:ascii="宋体" w:hAnsi="宋体" w:cs="宋体"/>
          <w:color w:val="000000"/>
          <w:sz w:val="21"/>
          <w:szCs w:val="21"/>
        </w:rPr>
        <w:t>。</w:t>
      </w:r>
    </w:p>
    <w:p w14:paraId="5963EA85">
      <w:pPr>
        <w:snapToGrid w:val="0"/>
        <w:spacing w:line="360" w:lineRule="auto"/>
        <w:ind w:firstLine="420"/>
        <w:rPr>
          <w:rFonts w:ascii="宋体" w:hAnsi="宋体" w:eastAsia="宋体" w:cs="宋体"/>
          <w:color w:val="000000"/>
          <w:kern w:val="0"/>
          <w:sz w:val="21"/>
          <w:szCs w:val="21"/>
          <w:highlight w:val="none"/>
          <w:lang w:eastAsia="zh-CN"/>
        </w:rPr>
      </w:pPr>
      <w:r>
        <w:rPr>
          <w:rFonts w:ascii="宋体" w:hAnsi="宋体" w:cs="宋体"/>
          <w:color w:val="000000"/>
          <w:kern w:val="0"/>
          <w:sz w:val="21"/>
          <w:szCs w:val="21"/>
          <w:lang w:eastAsia="zh-CN"/>
        </w:rPr>
        <w:t>（</w:t>
      </w:r>
      <w:r>
        <w:rPr>
          <w:rFonts w:ascii="宋体" w:hAnsi="宋体" w:eastAsia="宋体" w:cs="宋体"/>
          <w:color w:val="000000"/>
          <w:kern w:val="0"/>
          <w:sz w:val="21"/>
          <w:szCs w:val="21"/>
          <w:lang w:val="en-US" w:eastAsia="zh-CN"/>
        </w:rPr>
        <w:t>4</w:t>
      </w:r>
      <w:r>
        <w:rPr>
          <w:rFonts w:ascii="宋体" w:hAnsi="宋体" w:cs="宋体"/>
          <w:color w:val="000000"/>
          <w:kern w:val="0"/>
          <w:sz w:val="21"/>
          <w:szCs w:val="21"/>
          <w:lang w:eastAsia="zh-CN"/>
        </w:rPr>
        <w:t>）</w:t>
      </w:r>
      <w:r>
        <w:rPr>
          <w:rFonts w:ascii="宋体" w:hAnsi="宋体" w:cs="宋体"/>
          <w:color w:val="000000"/>
          <w:kern w:val="0"/>
          <w:sz w:val="21"/>
          <w:szCs w:val="21"/>
        </w:rPr>
        <w:t>公布响应文件解密情况（响应文件成功解密的供应商名单等信息）</w:t>
      </w:r>
      <w:r>
        <w:rPr>
          <w:rFonts w:ascii="宋体" w:hAnsi="宋体" w:cs="宋体"/>
          <w:color w:val="000000"/>
          <w:kern w:val="0"/>
          <w:sz w:val="21"/>
          <w:szCs w:val="21"/>
          <w:lang w:eastAsia="zh-CN"/>
        </w:rPr>
        <w:t>。</w:t>
      </w:r>
    </w:p>
    <w:p w14:paraId="7BE38BC0">
      <w:pPr>
        <w:snapToGrid w:val="0"/>
        <w:spacing w:line="360" w:lineRule="auto"/>
        <w:ind w:firstLine="420"/>
        <w:jc w:val="left"/>
        <w:rPr>
          <w:rFonts w:ascii="宋体" w:hAnsi="宋体" w:eastAsia="宋体" w:cs="宋体"/>
          <w:color w:val="000000"/>
          <w:sz w:val="21"/>
          <w:szCs w:val="21"/>
          <w:highlight w:val="none"/>
        </w:rPr>
      </w:pPr>
      <w:r>
        <w:rPr>
          <w:rFonts w:ascii="宋体" w:hAnsi="宋体" w:cs="宋体"/>
          <w:color w:val="000000"/>
          <w:kern w:val="0"/>
          <w:sz w:val="21"/>
          <w:szCs w:val="21"/>
          <w:lang w:eastAsia="zh-CN"/>
        </w:rPr>
        <w:t>（</w:t>
      </w:r>
      <w:r>
        <w:rPr>
          <w:rFonts w:ascii="宋体" w:hAnsi="宋体" w:eastAsia="宋体" w:cs="宋体"/>
          <w:color w:val="000000"/>
          <w:kern w:val="0"/>
          <w:sz w:val="21"/>
          <w:szCs w:val="21"/>
          <w:lang w:val="en-US" w:eastAsia="zh-CN"/>
        </w:rPr>
        <w:t>5</w:t>
      </w:r>
      <w:r>
        <w:rPr>
          <w:rFonts w:ascii="宋体" w:hAnsi="宋体" w:cs="宋体"/>
          <w:color w:val="000000"/>
          <w:kern w:val="0"/>
          <w:sz w:val="21"/>
          <w:szCs w:val="21"/>
          <w:lang w:eastAsia="zh-CN"/>
        </w:rPr>
        <w:t>）</w:t>
      </w:r>
      <w:r>
        <w:rPr>
          <w:rFonts w:ascii="宋体" w:hAnsi="宋体" w:cs="宋体"/>
          <w:color w:val="000000"/>
          <w:kern w:val="0"/>
          <w:sz w:val="21"/>
          <w:szCs w:val="21"/>
        </w:rPr>
        <w:t>开启标书信息（资格</w:t>
      </w:r>
      <w:r>
        <w:rPr>
          <w:rFonts w:ascii="宋体" w:hAnsi="宋体" w:cs="宋体"/>
          <w:color w:val="000000"/>
          <w:kern w:val="0"/>
          <w:sz w:val="21"/>
          <w:szCs w:val="21"/>
          <w:lang w:eastAsia="zh-CN"/>
        </w:rPr>
        <w:t>证明</w:t>
      </w:r>
      <w:r>
        <w:rPr>
          <w:rFonts w:ascii="宋体" w:hAnsi="宋体" w:cs="宋体"/>
          <w:color w:val="000000"/>
          <w:kern w:val="0"/>
          <w:sz w:val="21"/>
          <w:szCs w:val="21"/>
        </w:rPr>
        <w:t>文件、商务技术文件）。标书信息开启后，首先由采购人或采购代理机构</w:t>
      </w:r>
      <w:r>
        <w:rPr>
          <w:rFonts w:ascii="宋体" w:hAnsi="宋体" w:cs="宋体"/>
          <w:color w:val="000000"/>
          <w:kern w:val="0"/>
          <w:sz w:val="21"/>
          <w:szCs w:val="21"/>
          <w:lang w:eastAsia="zh-CN"/>
        </w:rPr>
        <w:t>或评审小组</w:t>
      </w:r>
      <w:r>
        <w:rPr>
          <w:rFonts w:ascii="宋体" w:hAnsi="宋体" w:cs="宋体"/>
          <w:color w:val="000000"/>
          <w:kern w:val="0"/>
          <w:sz w:val="21"/>
          <w:szCs w:val="21"/>
        </w:rPr>
        <w:t>依法对供应商的资格</w:t>
      </w:r>
      <w:r>
        <w:rPr>
          <w:rFonts w:ascii="宋体" w:hAnsi="宋体" w:cs="宋体"/>
          <w:color w:val="000000"/>
          <w:kern w:val="0"/>
          <w:sz w:val="21"/>
          <w:szCs w:val="21"/>
          <w:lang w:eastAsia="zh-CN"/>
        </w:rPr>
        <w:t>证明</w:t>
      </w:r>
      <w:r>
        <w:rPr>
          <w:rFonts w:ascii="宋体" w:hAnsi="宋体" w:cs="宋体"/>
          <w:color w:val="000000"/>
          <w:kern w:val="0"/>
          <w:sz w:val="21"/>
          <w:szCs w:val="21"/>
        </w:rPr>
        <w:t>文件进行审查（具体见本章“</w:t>
      </w:r>
      <w:r>
        <w:rPr>
          <w:rFonts w:ascii="宋体" w:hAnsi="宋体" w:eastAsia="宋体" w:cs="宋体"/>
          <w:color w:val="000000"/>
          <w:kern w:val="0"/>
          <w:sz w:val="21"/>
          <w:szCs w:val="21"/>
          <w:lang w:val="en-US" w:eastAsia="zh-CN"/>
        </w:rPr>
        <w:t>29.3</w:t>
      </w:r>
      <w:r>
        <w:rPr>
          <w:rFonts w:ascii="宋体" w:hAnsi="宋体" w:eastAsia="宋体" w:cs="宋体"/>
          <w:color w:val="000000"/>
          <w:kern w:val="0"/>
          <w:sz w:val="21"/>
          <w:szCs w:val="21"/>
        </w:rPr>
        <w:t xml:space="preserve"> </w:t>
      </w:r>
      <w:r>
        <w:rPr>
          <w:rFonts w:ascii="宋体" w:hAnsi="宋体" w:cs="宋体"/>
          <w:color w:val="000000"/>
          <w:kern w:val="0"/>
          <w:sz w:val="21"/>
          <w:szCs w:val="21"/>
        </w:rPr>
        <w:t>供应商资格审查”）， 审查结束公布供应商的资格符合情况。资格审查未获通过的供应商，其商务技术文件及报价文件不再进入评审。</w:t>
      </w:r>
    </w:p>
    <w:p w14:paraId="0B467D17">
      <w:pPr>
        <w:snapToGrid w:val="0"/>
        <w:spacing w:line="360" w:lineRule="auto"/>
        <w:ind w:firstLine="420"/>
        <w:jc w:val="left"/>
        <w:rPr>
          <w:rFonts w:ascii="宋体" w:hAnsi="宋体" w:eastAsia="宋体" w:cs="宋体"/>
          <w:color w:val="000000"/>
          <w:sz w:val="21"/>
          <w:szCs w:val="21"/>
          <w:highlight w:val="none"/>
        </w:rPr>
      </w:pPr>
      <w:r>
        <w:rPr>
          <w:rFonts w:ascii="宋体" w:hAnsi="宋体" w:cs="宋体"/>
          <w:color w:val="000000"/>
          <w:kern w:val="0"/>
          <w:sz w:val="21"/>
          <w:szCs w:val="21"/>
          <w:lang w:eastAsia="zh-CN"/>
        </w:rPr>
        <w:t>（</w:t>
      </w:r>
      <w:r>
        <w:rPr>
          <w:rFonts w:ascii="宋体" w:hAnsi="宋体" w:eastAsia="宋体" w:cs="宋体"/>
          <w:color w:val="000000"/>
          <w:kern w:val="0"/>
          <w:sz w:val="21"/>
          <w:szCs w:val="21"/>
          <w:lang w:val="en-US" w:eastAsia="zh-CN"/>
        </w:rPr>
        <w:t>6</w:t>
      </w:r>
      <w:r>
        <w:rPr>
          <w:rFonts w:ascii="宋体" w:hAnsi="宋体" w:cs="宋体"/>
          <w:color w:val="000000"/>
          <w:kern w:val="0"/>
          <w:sz w:val="21"/>
          <w:szCs w:val="21"/>
          <w:lang w:eastAsia="zh-CN"/>
        </w:rPr>
        <w:t>）</w:t>
      </w:r>
      <w:r>
        <w:rPr>
          <w:rFonts w:ascii="宋体" w:hAnsi="宋体" w:cs="宋体"/>
          <w:color w:val="000000"/>
          <w:kern w:val="0"/>
          <w:sz w:val="21"/>
          <w:szCs w:val="21"/>
        </w:rPr>
        <w:t>商务技术评审结束后，主持人公布商务技术评审无效供应商名单和商务技术评审有效供应商名单及其商务技术得分情况</w:t>
      </w:r>
      <w:r>
        <w:rPr>
          <w:rFonts w:ascii="宋体" w:hAnsi="宋体" w:cs="宋体"/>
          <w:color w:val="000000"/>
          <w:sz w:val="21"/>
          <w:szCs w:val="21"/>
        </w:rPr>
        <w:t>。</w:t>
      </w:r>
      <w:r>
        <w:rPr>
          <w:rFonts w:ascii="宋体" w:hAnsi="宋体" w:cs="宋体"/>
          <w:color w:val="000000"/>
          <w:kern w:val="0"/>
          <w:sz w:val="21"/>
          <w:szCs w:val="21"/>
        </w:rPr>
        <w:t>商务技术评审无效的供应商，其报价不再进入评审。</w:t>
      </w:r>
    </w:p>
    <w:p w14:paraId="79ECFB71">
      <w:pPr>
        <w:snapToGrid w:val="0"/>
        <w:spacing w:line="360" w:lineRule="auto"/>
        <w:ind w:firstLine="420"/>
        <w:jc w:val="left"/>
        <w:rPr>
          <w:rFonts w:ascii="宋体" w:hAnsi="宋体" w:eastAsia="宋体" w:cs="宋体"/>
          <w:color w:val="000000"/>
          <w:sz w:val="21"/>
          <w:szCs w:val="21"/>
          <w:highlight w:val="none"/>
        </w:rPr>
      </w:pPr>
      <w:r>
        <w:rPr>
          <w:rFonts w:ascii="宋体" w:hAnsi="宋体" w:cs="宋体"/>
          <w:color w:val="000000"/>
          <w:kern w:val="0"/>
          <w:sz w:val="21"/>
          <w:szCs w:val="21"/>
          <w:lang w:eastAsia="zh-CN"/>
        </w:rPr>
        <w:t>（</w:t>
      </w:r>
      <w:r>
        <w:rPr>
          <w:rFonts w:ascii="宋体" w:hAnsi="宋体" w:eastAsia="宋体" w:cs="宋体"/>
          <w:color w:val="000000"/>
          <w:kern w:val="0"/>
          <w:sz w:val="21"/>
          <w:szCs w:val="21"/>
          <w:lang w:val="en-US" w:eastAsia="zh-CN"/>
        </w:rPr>
        <w:t>7</w:t>
      </w:r>
      <w:r>
        <w:rPr>
          <w:rFonts w:ascii="宋体" w:hAnsi="宋体" w:cs="宋体"/>
          <w:color w:val="000000"/>
          <w:kern w:val="0"/>
          <w:sz w:val="21"/>
          <w:szCs w:val="21"/>
          <w:lang w:eastAsia="zh-CN"/>
        </w:rPr>
        <w:t>）</w:t>
      </w:r>
      <w:r>
        <w:rPr>
          <w:rFonts w:ascii="宋体" w:hAnsi="宋体" w:cs="宋体"/>
          <w:color w:val="000000"/>
          <w:kern w:val="0"/>
          <w:sz w:val="21"/>
          <w:szCs w:val="21"/>
        </w:rPr>
        <w:t>开启有效供应商的报价，公布报价一览表有关内容，</w:t>
      </w:r>
      <w:r>
        <w:rPr>
          <w:rFonts w:ascii="宋体" w:hAnsi="宋体" w:cs="宋体"/>
          <w:color w:val="000000"/>
          <w:sz w:val="21"/>
          <w:szCs w:val="21"/>
          <w:lang w:bidi="zh-CN"/>
        </w:rPr>
        <w:t>并【开启签字时段】，供应商对开启响应文件纪录进行在线签字确认（不予确认的应说明理由，否则视为无异议）</w:t>
      </w:r>
      <w:r>
        <w:rPr>
          <w:rFonts w:ascii="宋体" w:hAnsi="宋体" w:cs="宋体"/>
          <w:color w:val="000000"/>
          <w:kern w:val="0"/>
          <w:sz w:val="21"/>
          <w:szCs w:val="21"/>
        </w:rPr>
        <w:t>。开启响应文件结束后，由磋商小组对报价的合理性、准确性等进行审查核实</w:t>
      </w:r>
      <w:r>
        <w:rPr>
          <w:rFonts w:ascii="宋体" w:hAnsi="宋体" w:cs="宋体"/>
          <w:color w:val="000000"/>
          <w:sz w:val="21"/>
          <w:szCs w:val="21"/>
        </w:rPr>
        <w:t>。</w:t>
      </w:r>
    </w:p>
    <w:p w14:paraId="1EBA1D5B">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lang w:eastAsia="zh-CN"/>
        </w:rPr>
        <w:t>（</w:t>
      </w:r>
      <w:r>
        <w:rPr>
          <w:rFonts w:ascii="宋体" w:hAnsi="宋体" w:eastAsia="宋体" w:cs="宋体"/>
          <w:color w:val="000000"/>
          <w:sz w:val="21"/>
          <w:szCs w:val="21"/>
          <w:lang w:val="en-US" w:eastAsia="zh-CN"/>
        </w:rPr>
        <w:t>8</w:t>
      </w:r>
      <w:r>
        <w:rPr>
          <w:rFonts w:ascii="宋体" w:hAnsi="宋体" w:cs="宋体"/>
          <w:color w:val="000000"/>
          <w:sz w:val="21"/>
          <w:szCs w:val="21"/>
          <w:lang w:eastAsia="zh-CN"/>
        </w:rPr>
        <w:t>）</w:t>
      </w:r>
      <w:r>
        <w:rPr>
          <w:rFonts w:ascii="宋体" w:hAnsi="宋体" w:cs="宋体"/>
          <w:color w:val="000000"/>
          <w:kern w:val="0"/>
          <w:sz w:val="21"/>
          <w:szCs w:val="21"/>
        </w:rPr>
        <w:t>评审结束后，采购代理机构在系统上公布评审结果。</w:t>
      </w:r>
    </w:p>
    <w:p w14:paraId="3CCDF85D">
      <w:pPr>
        <w:snapToGrid w:val="0"/>
        <w:spacing w:line="360" w:lineRule="auto"/>
        <w:ind w:left="480" w:firstLine="0"/>
        <w:rPr>
          <w:rFonts w:ascii="宋体" w:hAnsi="宋体" w:eastAsia="宋体" w:cs="宋体"/>
          <w:b/>
          <w:color w:val="000000"/>
          <w:sz w:val="21"/>
          <w:szCs w:val="21"/>
          <w:highlight w:val="none"/>
        </w:rPr>
      </w:pPr>
      <w:r>
        <w:rPr>
          <w:rFonts w:ascii="宋体" w:hAnsi="宋体" w:cs="宋体"/>
          <w:b/>
          <w:color w:val="000000"/>
          <w:sz w:val="21"/>
          <w:szCs w:val="21"/>
        </w:rPr>
        <w:t>特别情况说明：</w:t>
      </w:r>
    </w:p>
    <w:p w14:paraId="7DBAC648">
      <w:pPr>
        <w:snapToGrid w:val="0"/>
        <w:spacing w:line="360" w:lineRule="auto"/>
        <w:ind w:firstLine="371"/>
        <w:jc w:val="left"/>
        <w:rPr>
          <w:rFonts w:ascii="宋体" w:hAnsi="宋体" w:eastAsia="宋体" w:cs="宋体"/>
          <w:b/>
          <w:color w:val="000000"/>
          <w:kern w:val="0"/>
          <w:sz w:val="21"/>
          <w:szCs w:val="21"/>
          <w:highlight w:val="none"/>
        </w:rPr>
      </w:pPr>
      <w:r>
        <w:rPr>
          <w:rFonts w:ascii="宋体" w:hAnsi="宋体" w:cs="宋体"/>
          <w:b/>
          <w:color w:val="000000"/>
          <w:kern w:val="0"/>
          <w:sz w:val="21"/>
          <w:szCs w:val="21"/>
        </w:rPr>
        <w:t>（</w:t>
      </w:r>
      <w:r>
        <w:rPr>
          <w:rFonts w:ascii="宋体" w:hAnsi="宋体" w:eastAsia="宋体" w:cs="宋体"/>
          <w:b/>
          <w:color w:val="000000"/>
          <w:kern w:val="0"/>
          <w:sz w:val="21"/>
          <w:szCs w:val="21"/>
        </w:rPr>
        <w:t>1</w:t>
      </w:r>
      <w:r>
        <w:rPr>
          <w:rFonts w:ascii="宋体" w:hAnsi="宋体" w:cs="宋体"/>
          <w:b/>
          <w:color w:val="000000"/>
          <w:kern w:val="0"/>
          <w:sz w:val="21"/>
          <w:szCs w:val="21"/>
        </w:rPr>
        <w:t>）本项目采用电子交易，如遇“</w:t>
      </w:r>
      <w:r>
        <w:rPr>
          <w:rFonts w:ascii="宋体" w:hAnsi="宋体" w:cs="宋体"/>
          <w:b/>
          <w:color w:val="000000"/>
          <w:kern w:val="0"/>
          <w:sz w:val="21"/>
          <w:szCs w:val="21"/>
          <w:lang w:eastAsia="zh-CN"/>
        </w:rPr>
        <w:t>新疆</w:t>
      </w:r>
      <w:r>
        <w:rPr>
          <w:rFonts w:ascii="宋体" w:hAnsi="宋体" w:cs="宋体"/>
          <w:b/>
          <w:color w:val="000000"/>
          <w:kern w:val="0"/>
          <w:sz w:val="21"/>
          <w:szCs w:val="21"/>
        </w:rPr>
        <w:t>政府采购云平台”电子化开启响应文件或评审程序调整的，按调整后程序执行。</w:t>
      </w:r>
    </w:p>
    <w:p w14:paraId="6F3A21B6">
      <w:pPr>
        <w:snapToGrid w:val="0"/>
        <w:spacing w:line="360" w:lineRule="auto"/>
        <w:ind w:firstLine="371"/>
        <w:jc w:val="left"/>
        <w:rPr>
          <w:rFonts w:ascii="宋体" w:hAnsi="宋体" w:eastAsia="宋体" w:cs="宋体"/>
          <w:b/>
          <w:color w:val="000000"/>
          <w:kern w:val="0"/>
          <w:sz w:val="21"/>
          <w:szCs w:val="21"/>
          <w:highlight w:val="none"/>
        </w:rPr>
      </w:pPr>
      <w:r>
        <w:rPr>
          <w:rFonts w:ascii="宋体" w:hAnsi="宋体" w:cs="宋体"/>
          <w:b/>
          <w:color w:val="000000"/>
          <w:kern w:val="0"/>
          <w:sz w:val="21"/>
          <w:szCs w:val="21"/>
        </w:rPr>
        <w:t>（</w:t>
      </w:r>
      <w:r>
        <w:rPr>
          <w:rFonts w:ascii="宋体" w:hAnsi="宋体" w:eastAsia="宋体" w:cs="宋体"/>
          <w:b/>
          <w:color w:val="000000"/>
          <w:kern w:val="0"/>
          <w:sz w:val="21"/>
          <w:szCs w:val="21"/>
        </w:rPr>
        <w:t>2</w:t>
      </w:r>
      <w:r>
        <w:rPr>
          <w:rFonts w:ascii="宋体" w:hAnsi="宋体" w:cs="宋体"/>
          <w:b/>
          <w:color w:val="000000"/>
          <w:kern w:val="0"/>
          <w:sz w:val="21"/>
          <w:szCs w:val="21"/>
        </w:rPr>
        <w:t>）响应文件开启过程中需要相关当事人进行签字或盖章确认的材料将通过“政府采购云平台”进行，若因“政府采购云平台”技术问题无法进行签字或盖章确认的，采购组织机构将通过电子邮件等形式予以确认，</w:t>
      </w:r>
      <w:r>
        <w:rPr>
          <w:rFonts w:ascii="宋体" w:hAnsi="宋体" w:cs="宋体"/>
          <w:b/>
          <w:color w:val="000000"/>
          <w:kern w:val="0"/>
          <w:sz w:val="21"/>
          <w:szCs w:val="21"/>
          <w:u w:val="single"/>
        </w:rPr>
        <w:t>请供应商保证办理响应事宜人员电话畅通、网络在线，签字或盖章确认的时间为</w:t>
      </w:r>
      <w:r>
        <w:rPr>
          <w:rFonts w:ascii="宋体" w:hAnsi="宋体" w:eastAsia="宋体" w:cs="宋体"/>
          <w:b/>
          <w:color w:val="000000"/>
          <w:kern w:val="0"/>
          <w:sz w:val="21"/>
          <w:szCs w:val="21"/>
          <w:u w:val="single"/>
        </w:rPr>
        <w:t>20</w:t>
      </w:r>
      <w:r>
        <w:rPr>
          <w:rFonts w:ascii="宋体" w:hAnsi="宋体" w:cs="宋体"/>
          <w:b/>
          <w:color w:val="000000"/>
          <w:kern w:val="0"/>
          <w:sz w:val="21"/>
          <w:szCs w:val="21"/>
          <w:u w:val="single"/>
        </w:rPr>
        <w:t>分钟。如未及时签字或盖章确认的，视为无异议</w:t>
      </w:r>
      <w:r>
        <w:rPr>
          <w:rFonts w:ascii="宋体" w:hAnsi="宋体" w:cs="宋体"/>
          <w:b/>
          <w:color w:val="000000"/>
          <w:kern w:val="0"/>
          <w:sz w:val="21"/>
          <w:szCs w:val="21"/>
        </w:rPr>
        <w:t>。</w:t>
      </w:r>
    </w:p>
    <w:p w14:paraId="22847093">
      <w:pPr>
        <w:snapToGrid w:val="0"/>
        <w:spacing w:line="360" w:lineRule="auto"/>
        <w:ind w:firstLine="420"/>
        <w:rPr>
          <w:rFonts w:ascii="宋体" w:hAnsi="宋体" w:eastAsia="宋体" w:cs="宋体"/>
          <w:b/>
          <w:color w:val="000000"/>
          <w:kern w:val="0"/>
          <w:sz w:val="21"/>
          <w:szCs w:val="21"/>
          <w:highlight w:val="none"/>
        </w:rPr>
      </w:pPr>
      <w:r>
        <w:rPr>
          <w:rFonts w:ascii="宋体" w:hAnsi="宋体" w:eastAsia="宋体" w:cs="宋体"/>
          <w:b/>
          <w:color w:val="000000"/>
          <w:kern w:val="0"/>
          <w:sz w:val="21"/>
          <w:szCs w:val="21"/>
          <w:lang w:val="en-US" w:eastAsia="zh-CN"/>
        </w:rPr>
        <w:t>29.3</w:t>
      </w:r>
      <w:r>
        <w:rPr>
          <w:rFonts w:ascii="宋体" w:hAnsi="宋体" w:eastAsia="宋体" w:cs="宋体"/>
          <w:b/>
          <w:color w:val="000000"/>
          <w:kern w:val="0"/>
          <w:sz w:val="21"/>
          <w:szCs w:val="21"/>
        </w:rPr>
        <w:t xml:space="preserve"> </w:t>
      </w:r>
      <w:r>
        <w:rPr>
          <w:rFonts w:ascii="宋体" w:hAnsi="宋体" w:cs="宋体"/>
          <w:b/>
          <w:color w:val="000000"/>
          <w:kern w:val="0"/>
          <w:sz w:val="21"/>
          <w:szCs w:val="21"/>
        </w:rPr>
        <w:t>供应商资格审查：</w:t>
      </w:r>
    </w:p>
    <w:p w14:paraId="2EEC3FB8">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rPr>
        <w:t>（</w:t>
      </w:r>
      <w:r>
        <w:rPr>
          <w:rFonts w:ascii="宋体" w:hAnsi="宋体" w:eastAsia="宋体" w:cs="宋体"/>
          <w:color w:val="000000"/>
          <w:sz w:val="21"/>
          <w:szCs w:val="21"/>
        </w:rPr>
        <w:t>1</w:t>
      </w:r>
      <w:r>
        <w:rPr>
          <w:rFonts w:ascii="宋体" w:hAnsi="宋体" w:cs="宋体"/>
          <w:color w:val="000000"/>
          <w:sz w:val="21"/>
          <w:szCs w:val="21"/>
        </w:rPr>
        <w:t>）</w:t>
      </w:r>
      <w:r>
        <w:rPr>
          <w:rFonts w:ascii="宋体" w:hAnsi="宋体" w:cs="宋体"/>
          <w:bCs/>
          <w:color w:val="000000"/>
          <w:kern w:val="0"/>
          <w:sz w:val="21"/>
          <w:szCs w:val="21"/>
        </w:rPr>
        <w:t>开启响应文件（标书信息开启）后，采购人或采购代理机构</w:t>
      </w:r>
      <w:r>
        <w:rPr>
          <w:rFonts w:ascii="宋体" w:hAnsi="宋体" w:cs="宋体"/>
          <w:bCs/>
          <w:color w:val="000000"/>
          <w:kern w:val="0"/>
          <w:sz w:val="21"/>
          <w:szCs w:val="21"/>
          <w:lang w:eastAsia="zh-CN"/>
        </w:rPr>
        <w:t>或</w:t>
      </w:r>
      <w:r>
        <w:rPr>
          <w:rFonts w:ascii="宋体" w:hAnsi="宋体" w:cs="宋体"/>
          <w:color w:val="000000"/>
          <w:kern w:val="0"/>
          <w:sz w:val="21"/>
          <w:szCs w:val="21"/>
          <w:lang w:eastAsia="zh-CN"/>
        </w:rPr>
        <w:t>评审小组</w:t>
      </w:r>
      <w:r>
        <w:rPr>
          <w:rFonts w:ascii="宋体" w:hAnsi="宋体" w:cs="宋体"/>
          <w:bCs/>
          <w:color w:val="000000"/>
          <w:kern w:val="0"/>
          <w:sz w:val="21"/>
          <w:szCs w:val="21"/>
        </w:rPr>
        <w:t>首先依法对供应商的资格文件进行审查，审查各供应商的资格符合情况。</w:t>
      </w:r>
      <w:r>
        <w:rPr>
          <w:rFonts w:ascii="宋体" w:hAnsi="宋体" w:cs="宋体"/>
          <w:color w:val="000000"/>
          <w:sz w:val="21"/>
          <w:szCs w:val="21"/>
        </w:rPr>
        <w:t>采购人或采购代理机构</w:t>
      </w:r>
      <w:r>
        <w:rPr>
          <w:rFonts w:ascii="宋体" w:hAnsi="宋体" w:cs="宋体"/>
          <w:bCs/>
          <w:color w:val="000000"/>
          <w:kern w:val="0"/>
          <w:sz w:val="21"/>
          <w:szCs w:val="21"/>
          <w:lang w:eastAsia="zh-CN"/>
        </w:rPr>
        <w:t>或</w:t>
      </w:r>
      <w:r>
        <w:rPr>
          <w:rFonts w:ascii="宋体" w:hAnsi="宋体" w:cs="宋体"/>
          <w:color w:val="000000"/>
          <w:kern w:val="0"/>
          <w:sz w:val="21"/>
          <w:szCs w:val="21"/>
          <w:lang w:eastAsia="zh-CN"/>
        </w:rPr>
        <w:t>评审小组</w:t>
      </w:r>
      <w:r>
        <w:rPr>
          <w:rFonts w:ascii="宋体" w:hAnsi="宋体" w:cs="宋体"/>
          <w:color w:val="000000"/>
          <w:sz w:val="21"/>
          <w:szCs w:val="21"/>
        </w:rPr>
        <w:t>对供应商所提交的资格证明材料仅负审核的责任。如发现供应商所提交的资格证明材料不合法或与事实不符，采购人可取消其成交资格并追究供应商的法律责任。</w:t>
      </w:r>
    </w:p>
    <w:p w14:paraId="7A5A9688">
      <w:pPr>
        <w:pStyle w:val="49"/>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2</w:t>
      </w:r>
      <w:r>
        <w:rPr>
          <w:rFonts w:ascii="宋体" w:hAnsi="宋体" w:cs="宋体"/>
          <w:b w:val="0"/>
          <w:bCs/>
          <w:color w:val="000000"/>
          <w:sz w:val="21"/>
          <w:szCs w:val="21"/>
        </w:rPr>
        <w:t>）供应商提交的资格证明材料无法证明其符合采购文件规定的“供应商资格要求”的，采购人或采购代理机构将对其作“资格审查不合格”处理（无效响应），并不再将其响应提交磋商小组进行后续评审。</w:t>
      </w:r>
    </w:p>
    <w:p w14:paraId="5D4C733C">
      <w:pPr>
        <w:pStyle w:val="49"/>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3</w:t>
      </w:r>
      <w:r>
        <w:rPr>
          <w:rFonts w:ascii="宋体" w:hAnsi="宋体" w:cs="宋体"/>
          <w:b w:val="0"/>
          <w:bCs/>
          <w:color w:val="000000"/>
          <w:sz w:val="21"/>
          <w:szCs w:val="21"/>
        </w:rPr>
        <w:t>）</w:t>
      </w:r>
      <w:r>
        <w:rPr>
          <w:rFonts w:ascii="宋体" w:hAnsi="宋体" w:cs="宋体"/>
          <w:b w:val="0"/>
          <w:bCs/>
          <w:color w:val="000000"/>
          <w:kern w:val="0"/>
          <w:sz w:val="21"/>
          <w:szCs w:val="21"/>
        </w:rPr>
        <w:t>供应商</w:t>
      </w:r>
      <w:r>
        <w:rPr>
          <w:rFonts w:ascii="宋体" w:hAnsi="宋体" w:cs="宋体"/>
          <w:b w:val="0"/>
          <w:bCs/>
          <w:color w:val="000000"/>
          <w:sz w:val="21"/>
          <w:szCs w:val="21"/>
        </w:rPr>
        <w:t>信用记录查询与使用：</w:t>
      </w:r>
      <w:r>
        <w:rPr>
          <w:rFonts w:ascii="宋体" w:hAnsi="宋体" w:cs="宋体"/>
          <w:b w:val="0"/>
          <w:bCs/>
          <w:color w:val="000000"/>
          <w:kern w:val="0"/>
          <w:sz w:val="21"/>
          <w:szCs w:val="21"/>
        </w:rPr>
        <w:t>见《供应商须知前附表》。</w:t>
      </w:r>
    </w:p>
    <w:p w14:paraId="29A2B5F9">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30.</w:t>
      </w:r>
      <w:r>
        <w:rPr>
          <w:rFonts w:ascii="宋体" w:hAnsi="宋体"/>
          <w:color w:val="000000"/>
          <w:szCs w:val="21"/>
        </w:rPr>
        <w:t>评审工作的组织</w:t>
      </w:r>
    </w:p>
    <w:p w14:paraId="7464733D">
      <w:pPr>
        <w:widowControl/>
        <w:spacing w:line="440" w:lineRule="exact"/>
        <w:ind w:firstLine="630"/>
        <w:rPr>
          <w:rFonts w:ascii="宋体" w:hAnsi="宋体"/>
          <w:color w:val="000000"/>
          <w:szCs w:val="21"/>
          <w:highlight w:val="none"/>
        </w:rPr>
      </w:pPr>
      <w:r>
        <w:rPr>
          <w:rFonts w:ascii="宋体" w:hAnsi="宋体"/>
          <w:color w:val="000000"/>
          <w:szCs w:val="21"/>
        </w:rPr>
        <w:t>采购人或采购代理机构负责组织本项目的评审工作，并依据《政府采购货物和服务招标投标管理办法（财政部第87号令）》第四十五条的相关规定履行职责。</w:t>
      </w:r>
    </w:p>
    <w:p w14:paraId="397B3CC6">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31</w:t>
      </w:r>
      <w:r>
        <w:rPr>
          <w:rFonts w:ascii="宋体" w:hAnsi="宋体"/>
          <w:color w:val="000000"/>
          <w:szCs w:val="21"/>
        </w:rPr>
        <w:t>. 磋商小组的组建</w:t>
      </w:r>
    </w:p>
    <w:p w14:paraId="6234286C">
      <w:pPr>
        <w:widowControl/>
        <w:spacing w:line="440" w:lineRule="exact"/>
        <w:ind w:firstLine="210"/>
        <w:rPr>
          <w:rFonts w:ascii="宋体" w:hAnsi="宋体" w:eastAsia="宋体" w:cs="Times New Roman"/>
          <w:b/>
          <w:bCs/>
          <w:color w:val="000000"/>
          <w:szCs w:val="21"/>
          <w:highlight w:val="none"/>
        </w:rPr>
      </w:pPr>
      <w:r>
        <w:rPr>
          <w:rFonts w:ascii="宋体" w:hAnsi="宋体"/>
          <w:color w:val="000000"/>
          <w:szCs w:val="21"/>
          <w:lang w:val="en-US" w:eastAsia="zh-CN"/>
        </w:rPr>
        <w:t>31</w:t>
      </w:r>
      <w:r>
        <w:rPr>
          <w:rFonts w:ascii="宋体" w:hAnsi="宋体"/>
          <w:color w:val="000000"/>
          <w:szCs w:val="21"/>
        </w:rPr>
        <w:t>.1磋商小组由采购人或采购代理机构依法组建，成员由采购人代表和评审专家组成，</w:t>
      </w:r>
      <w:r>
        <w:rPr>
          <w:rFonts w:ascii="宋体" w:hAnsi="宋体"/>
          <w:b/>
          <w:bCs/>
          <w:color w:val="000000"/>
          <w:szCs w:val="21"/>
        </w:rPr>
        <w:t>成员人数为</w:t>
      </w:r>
      <w:r>
        <w:rPr>
          <w:rFonts w:ascii="宋体" w:hAnsi="宋体"/>
          <w:b/>
          <w:bCs/>
          <w:color w:val="000000"/>
          <w:szCs w:val="21"/>
          <w:lang w:val="en-US" w:eastAsia="zh-CN"/>
        </w:rPr>
        <w:t>5</w:t>
      </w:r>
      <w:r>
        <w:rPr>
          <w:rFonts w:ascii="宋体" w:hAnsi="宋体"/>
          <w:b/>
          <w:bCs/>
          <w:color w:val="000000"/>
          <w:szCs w:val="21"/>
        </w:rPr>
        <w:t>人单数，其中评审专家不少于成员总数的三分之二。</w:t>
      </w:r>
    </w:p>
    <w:p w14:paraId="5119EC3F">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31</w:t>
      </w:r>
      <w:r>
        <w:rPr>
          <w:rFonts w:ascii="宋体" w:hAnsi="宋体"/>
          <w:color w:val="000000"/>
          <w:szCs w:val="21"/>
        </w:rPr>
        <w:t>.2评审专家从</w:t>
      </w:r>
      <w:r>
        <w:rPr>
          <w:rFonts w:ascii="宋体" w:hAnsi="宋体"/>
          <w:color w:val="000000"/>
          <w:szCs w:val="21"/>
          <w:lang w:eastAsia="zh-CN"/>
        </w:rPr>
        <w:t>新疆</w:t>
      </w:r>
      <w:r>
        <w:rPr>
          <w:rFonts w:ascii="宋体" w:hAnsi="宋体"/>
          <w:color w:val="000000"/>
          <w:szCs w:val="21"/>
        </w:rPr>
        <w:t>政府采购云平台专家库中通过随机方式抽取产生。磋商小组成员名单在采购结果公告前保密。</w:t>
      </w:r>
    </w:p>
    <w:p w14:paraId="778A1EDA">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.磋商小组的职责</w:t>
      </w:r>
    </w:p>
    <w:p w14:paraId="29DBD8DE">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.1审查、评价响应文件是否符合采购文件的商务、技术等实质性要求。</w:t>
      </w:r>
    </w:p>
    <w:p w14:paraId="689B5135">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.2要求供应商对响应文件有关事项作出澄清或者说明。</w:t>
      </w:r>
    </w:p>
    <w:p w14:paraId="172F57D4">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.3对响应文件进行比较和评价。</w:t>
      </w:r>
    </w:p>
    <w:p w14:paraId="519A99AF">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.4确定成交候选人名单，以及根据采购人委托直接确定成交供应商。</w:t>
      </w:r>
    </w:p>
    <w:p w14:paraId="40DFCD0F">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.5向采购人、采购代理机构或者有关部门报告评审中发现的违法行为。</w:t>
      </w:r>
    </w:p>
    <w:p w14:paraId="20F60849">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 评审原则</w:t>
      </w:r>
    </w:p>
    <w:p w14:paraId="6861C6BE">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.1磋商小组将遵循公平、公正、科学的原则，对供应商提交的响应文件进行综合评审，磋商小组按照采购文件规定的评审细则进行评分。</w:t>
      </w:r>
    </w:p>
    <w:p w14:paraId="64C18771">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 xml:space="preserve">.2客观公正对待所有供应商，对所有响应评价均采用相同的程序和标准。 </w:t>
      </w:r>
    </w:p>
    <w:p w14:paraId="1D1F3619">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.3磋商小组成员对需要共同认定的事项存在争议的，按照少数服从多数的原则作出结论。持不同意见的磋商小组成员应当在评审报告上签署不同意见及理由，否则视为同意评审报告。</w:t>
      </w:r>
    </w:p>
    <w:p w14:paraId="2552283E">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0969DAC7">
      <w:pPr>
        <w:widowControl/>
        <w:spacing w:line="440" w:lineRule="exact"/>
        <w:ind w:firstLine="420"/>
        <w:rPr>
          <w:rFonts w:ascii="宋体" w:hAnsi="宋体"/>
          <w:color w:val="000000"/>
          <w:szCs w:val="21"/>
          <w:highlight w:val="none"/>
        </w:rPr>
      </w:pPr>
      <w:r>
        <w:rPr>
          <w:rFonts w:ascii="宋体" w:hAnsi="宋体"/>
          <w:color w:val="000000"/>
          <w:szCs w:val="21"/>
        </w:rPr>
        <w:t xml:space="preserve">非单一产品采购项目，采购人应当根据采购项目技术构成、产品价格比重等合理确定核心产品，并在采购文件中载明。多家供应商提供的核心产品品牌相同的，按前款规定处理。      </w:t>
      </w:r>
    </w:p>
    <w:p w14:paraId="5F86B07D">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34</w:t>
      </w:r>
      <w:r>
        <w:rPr>
          <w:rFonts w:ascii="宋体" w:hAnsi="宋体"/>
          <w:color w:val="000000"/>
          <w:szCs w:val="21"/>
        </w:rPr>
        <w:t>. 磋商小组成员纪律</w:t>
      </w:r>
    </w:p>
    <w:p w14:paraId="69E18CB8">
      <w:pPr>
        <w:widowControl/>
        <w:spacing w:line="440" w:lineRule="exact"/>
        <w:ind w:firstLine="420"/>
        <w:rPr>
          <w:rFonts w:ascii="宋体" w:hAnsi="宋体"/>
          <w:color w:val="000000"/>
          <w:szCs w:val="21"/>
          <w:highlight w:val="none"/>
        </w:rPr>
      </w:pPr>
      <w:r>
        <w:rPr>
          <w:rFonts w:ascii="宋体" w:hAnsi="宋体"/>
          <w:color w:val="000000"/>
          <w:szCs w:val="21"/>
        </w:rPr>
        <w:t>磋商小组成员必须严格遵守保密规定，不得泄露评审的有关情况，任何单位和个人不得干扰、影响评审的正常进行，磋商小组成员不得私下与供应商接触，不得出现政府采购活动现场组织管理办法中规定的其他禁止行为。</w:t>
      </w:r>
    </w:p>
    <w:p w14:paraId="4E5C8CFA">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评审程序</w:t>
      </w:r>
    </w:p>
    <w:p w14:paraId="11C99933">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1 在评审专家中推选磋商小组组长，采购人代表不得担任磋商小组组长。</w:t>
      </w:r>
    </w:p>
    <w:p w14:paraId="31DB8132">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2 磋商小组组长召集成员认真阅读采购文件以及相关补充、质疑、答复文件、项目书面说明等材料，熟悉采购项目的基本概况，采购项目的质量要求、数量、主要技术标准或服务需求，采购合同主要条款，响应文件无效情形，评审方法、评审依据、评审标准等。</w:t>
      </w:r>
    </w:p>
    <w:p w14:paraId="5658C5C2">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3 评审人员对符合资格的供应商的响应文件的有效性、符合性、完整性和响应程度进行审查，确定是否对采购文件作出实质性响应。</w:t>
      </w:r>
    </w:p>
    <w:p w14:paraId="3DF754C9">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4 评审人员按采购文件规定的评审方法和评审标准，依法独立对供应商响应文件进行评估、比较，并给予评价或打分，不受任何单位和个人的干预。</w:t>
      </w:r>
    </w:p>
    <w:p w14:paraId="75945EAF">
      <w:pPr>
        <w:widowControl/>
        <w:spacing w:line="440" w:lineRule="exact"/>
        <w:ind w:firstLine="420"/>
        <w:rPr>
          <w:rFonts w:ascii="宋体" w:hAnsi="宋体" w:eastAsia="宋体" w:cs="宋体"/>
          <w:color w:val="000000"/>
          <w:kern w:val="0"/>
          <w:szCs w:val="21"/>
          <w:highlight w:val="none"/>
        </w:rPr>
      </w:pPr>
      <w:r>
        <w:rPr>
          <w:rFonts w:ascii="宋体" w:hAnsi="宋体" w:cs="宋体"/>
          <w:b/>
          <w:bCs/>
          <w:color w:val="000000"/>
          <w:kern w:val="0"/>
          <w:szCs w:val="21"/>
        </w:rPr>
        <w:t>综合评分法</w:t>
      </w:r>
      <w:r>
        <w:rPr>
          <w:rFonts w:ascii="宋体" w:hAnsi="宋体" w:cs="宋体"/>
          <w:b/>
          <w:bCs/>
          <w:color w:val="000000"/>
          <w:kern w:val="0"/>
          <w:szCs w:val="21"/>
          <w:lang w:val="en-US" w:eastAsia="zh-CN"/>
        </w:rPr>
        <w:t>服务</w:t>
      </w:r>
      <w:r>
        <w:rPr>
          <w:rFonts w:ascii="宋体" w:hAnsi="宋体" w:cs="宋体"/>
          <w:b/>
          <w:bCs/>
          <w:color w:val="000000"/>
          <w:kern w:val="0"/>
          <w:szCs w:val="21"/>
        </w:rPr>
        <w:t>项目的价格分值占总分值的比重</w:t>
      </w:r>
      <w:r>
        <w:rPr>
          <w:rFonts w:ascii="宋体" w:hAnsi="宋体" w:eastAsia="宋体" w:cs="宋体"/>
          <w:b/>
          <w:bCs/>
          <w:color w:val="000000"/>
          <w:kern w:val="0"/>
          <w:szCs w:val="21"/>
        </w:rPr>
        <w:t>(</w:t>
      </w:r>
      <w:r>
        <w:rPr>
          <w:rFonts w:ascii="宋体" w:hAnsi="宋体" w:cs="宋体"/>
          <w:b/>
          <w:bCs/>
          <w:color w:val="000000"/>
          <w:kern w:val="0"/>
          <w:szCs w:val="21"/>
        </w:rPr>
        <w:t>即权值</w:t>
      </w:r>
      <w:r>
        <w:rPr>
          <w:rFonts w:ascii="宋体" w:hAnsi="宋体" w:eastAsia="宋体" w:cs="宋体"/>
          <w:b/>
          <w:bCs/>
          <w:color w:val="000000"/>
          <w:kern w:val="0"/>
          <w:szCs w:val="21"/>
        </w:rPr>
        <w:t>)</w:t>
      </w:r>
      <w:r>
        <w:rPr>
          <w:rFonts w:ascii="宋体" w:hAnsi="宋体" w:cs="宋体"/>
          <w:b/>
          <w:bCs/>
          <w:color w:val="000000"/>
          <w:kern w:val="0"/>
          <w:szCs w:val="21"/>
        </w:rPr>
        <w:t>为</w:t>
      </w:r>
      <w:r>
        <w:rPr>
          <w:rFonts w:ascii="宋体" w:hAnsi="宋体" w:eastAsia="宋体" w:cs="宋体"/>
          <w:b/>
          <w:bCs/>
          <w:color w:val="FF0000"/>
          <w:kern w:val="0"/>
          <w:szCs w:val="21"/>
          <w:lang w:val="en-US" w:eastAsia="zh-CN"/>
        </w:rPr>
        <w:t>10</w:t>
      </w:r>
      <w:r>
        <w:rPr>
          <w:rFonts w:ascii="宋体" w:hAnsi="宋体" w:cs="宋体"/>
          <w:b/>
          <w:bCs/>
          <w:color w:val="FF0000"/>
          <w:kern w:val="0"/>
          <w:szCs w:val="21"/>
          <w:lang w:val="en-US" w:eastAsia="zh-CN"/>
        </w:rPr>
        <w:t>％</w:t>
      </w:r>
      <w:r>
        <w:rPr>
          <w:rFonts w:ascii="宋体" w:hAnsi="宋体" w:cs="宋体"/>
          <w:b/>
          <w:bCs/>
          <w:color w:val="000000"/>
          <w:kern w:val="0"/>
          <w:szCs w:val="21"/>
        </w:rPr>
        <w:t>，</w:t>
      </w:r>
      <w:r>
        <w:rPr>
          <w:rFonts w:ascii="宋体" w:hAnsi="宋体" w:cs="宋体"/>
          <w:color w:val="000000"/>
          <w:kern w:val="0"/>
          <w:szCs w:val="21"/>
        </w:rPr>
        <w:t>采购项目中含不同采购对象的，以占项目资金比例最高的采购对象确定其项目属性。其价格不列为评分因素，有特殊情况需要在上述规定范围外设定价格分权重的。</w:t>
      </w:r>
    </w:p>
    <w:p w14:paraId="1F6B35C9">
      <w:pPr>
        <w:widowControl/>
        <w:spacing w:line="440" w:lineRule="exact"/>
        <w:ind w:firstLine="480"/>
        <w:rPr>
          <w:rFonts w:ascii="宋体" w:hAnsi="宋体" w:eastAsia="宋体" w:cs="宋体"/>
          <w:color w:val="000000"/>
          <w:kern w:val="0"/>
          <w:szCs w:val="21"/>
          <w:highlight w:val="none"/>
        </w:rPr>
      </w:pPr>
      <w:r>
        <w:rPr>
          <w:rFonts w:ascii="宋体" w:hAnsi="宋体" w:cs="宋体"/>
          <w:color w:val="000000"/>
          <w:kern w:val="0"/>
          <w:szCs w:val="21"/>
        </w:rPr>
        <w:t>综合评分法中的价格分统一采用低价优先法计算，即满足</w:t>
      </w:r>
      <w:r>
        <w:rPr>
          <w:rFonts w:ascii="宋体" w:hAnsi="宋体" w:cs="宋体"/>
          <w:color w:val="000000"/>
          <w:kern w:val="0"/>
          <w:szCs w:val="21"/>
          <w:lang w:eastAsia="zh-CN"/>
        </w:rPr>
        <w:t>磋商文件</w:t>
      </w:r>
      <w:r>
        <w:rPr>
          <w:rFonts w:ascii="宋体" w:hAnsi="宋体" w:cs="宋体"/>
          <w:color w:val="000000"/>
          <w:kern w:val="0"/>
          <w:szCs w:val="21"/>
        </w:rPr>
        <w:t>要求且最后报价最低的供应商的价格为</w:t>
      </w:r>
      <w:r>
        <w:rPr>
          <w:rFonts w:ascii="宋体" w:hAnsi="宋体" w:cs="宋体"/>
          <w:color w:val="000000"/>
          <w:kern w:val="0"/>
          <w:szCs w:val="21"/>
          <w:lang w:eastAsia="zh-CN"/>
        </w:rPr>
        <w:t>采购</w:t>
      </w:r>
      <w:r>
        <w:rPr>
          <w:rFonts w:ascii="宋体" w:hAnsi="宋体" w:cs="宋体"/>
          <w:color w:val="000000"/>
          <w:kern w:val="0"/>
          <w:szCs w:val="21"/>
        </w:rPr>
        <w:t>基准价，其价格分为满分。其他供应商的价格分统一按照下列公式计算：</w:t>
      </w:r>
    </w:p>
    <w:p w14:paraId="7E3ED2D1">
      <w:pPr>
        <w:widowControl/>
        <w:spacing w:line="440" w:lineRule="exact"/>
        <w:ind w:firstLine="480"/>
        <w:rPr>
          <w:rFonts w:ascii="宋体" w:hAnsi="宋体" w:eastAsia="宋体" w:cs="宋体"/>
          <w:color w:val="000000"/>
          <w:kern w:val="0"/>
          <w:szCs w:val="21"/>
          <w:highlight w:val="none"/>
        </w:rPr>
      </w:pPr>
      <w:r>
        <w:rPr>
          <w:rFonts w:ascii="宋体" w:hAnsi="宋体" w:cs="宋体"/>
          <w:color w:val="000000"/>
          <w:kern w:val="0"/>
          <w:szCs w:val="21"/>
          <w:lang w:eastAsia="zh-CN"/>
        </w:rPr>
        <w:t>响应</w:t>
      </w:r>
      <w:r>
        <w:rPr>
          <w:rFonts w:ascii="宋体" w:hAnsi="宋体" w:cs="宋体"/>
          <w:color w:val="000000"/>
          <w:kern w:val="0"/>
          <w:szCs w:val="21"/>
        </w:rPr>
        <w:t>报价得分</w:t>
      </w:r>
      <w:r>
        <w:rPr>
          <w:rFonts w:ascii="宋体" w:hAnsi="宋体" w:eastAsia="宋体" w:cs="宋体"/>
          <w:color w:val="000000"/>
          <w:kern w:val="0"/>
          <w:szCs w:val="21"/>
        </w:rPr>
        <w:t>=</w:t>
      </w:r>
      <w:r>
        <w:rPr>
          <w:rFonts w:ascii="宋体" w:hAnsi="宋体" w:cs="宋体"/>
          <w:color w:val="000000"/>
          <w:kern w:val="0"/>
          <w:szCs w:val="21"/>
        </w:rPr>
        <w:t>（基准价</w:t>
      </w:r>
      <w:r>
        <w:rPr>
          <w:rFonts w:ascii="宋体" w:hAnsi="宋体" w:eastAsia="宋体" w:cs="宋体"/>
          <w:color w:val="000000"/>
          <w:kern w:val="0"/>
          <w:szCs w:val="21"/>
        </w:rPr>
        <w:t>/</w:t>
      </w:r>
      <w:r>
        <w:rPr>
          <w:rFonts w:ascii="宋体" w:hAnsi="宋体" w:cs="宋体"/>
          <w:color w:val="000000"/>
          <w:kern w:val="0"/>
          <w:szCs w:val="21"/>
          <w:lang w:eastAsia="zh-CN"/>
        </w:rPr>
        <w:t>响应</w:t>
      </w:r>
      <w:r>
        <w:rPr>
          <w:rFonts w:ascii="宋体" w:hAnsi="宋体" w:cs="宋体"/>
          <w:color w:val="000000"/>
          <w:kern w:val="0"/>
          <w:szCs w:val="21"/>
        </w:rPr>
        <w:t>报价）</w:t>
      </w:r>
      <w:r>
        <w:rPr>
          <w:rFonts w:ascii="宋体" w:hAnsi="宋体" w:eastAsia="宋体" w:cs="宋体"/>
          <w:color w:val="000000"/>
          <w:kern w:val="0"/>
          <w:szCs w:val="21"/>
        </w:rPr>
        <w:t>×</w:t>
      </w:r>
      <w:r>
        <w:rPr>
          <w:rFonts w:ascii="宋体" w:hAnsi="宋体" w:cs="宋体"/>
          <w:color w:val="000000"/>
          <w:kern w:val="0"/>
          <w:szCs w:val="21"/>
        </w:rPr>
        <w:t>价格权值</w:t>
      </w:r>
      <w:r>
        <w:rPr>
          <w:rFonts w:ascii="宋体" w:hAnsi="宋体" w:eastAsia="宋体" w:cs="宋体"/>
          <w:color w:val="000000"/>
          <w:kern w:val="0"/>
          <w:szCs w:val="21"/>
        </w:rPr>
        <w:t>×100</w:t>
      </w:r>
    </w:p>
    <w:p w14:paraId="0DCB5A38">
      <w:pPr>
        <w:widowControl/>
        <w:spacing w:line="440" w:lineRule="exact"/>
        <w:ind w:firstLine="480"/>
        <w:rPr>
          <w:rFonts w:ascii="宋体" w:hAnsi="宋体"/>
          <w:color w:val="000000"/>
          <w:szCs w:val="21"/>
          <w:highlight w:val="none"/>
          <w:lang w:val="en-US" w:eastAsia="zh-CN"/>
        </w:rPr>
      </w:pPr>
      <w:r>
        <w:rPr>
          <w:rFonts w:ascii="宋体" w:hAnsi="宋体" w:cs="宋体"/>
          <w:color w:val="000000"/>
          <w:kern w:val="0"/>
          <w:szCs w:val="21"/>
        </w:rPr>
        <w:t>项目评审过程中，不得去掉最后报价中的最高报价和最低报价。</w:t>
      </w:r>
    </w:p>
    <w:p w14:paraId="2962671C">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5 评审人员对各供应商响应文件非实质性内容有疑议或异议，或者审查发现明显的文字或计算错误等，及时向磋商小组组长提出。经磋商小组商议认为需要供应商作出必要澄清、说明或者补正的，应当以在线询标形式要求供应商作出必要的澄清、说明或者补正。澄清、说明或者补正的内容应作为政府采购项目档案归档留存。</w:t>
      </w:r>
    </w:p>
    <w:p w14:paraId="40861A0E">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6 评审人员需对采购方工作人员唱票或统计的评审结果进行确认，现场监督员应对评审结果签署监督意见。如发现分值汇总计算错误、分项评分超出评分标准范围、客观评分不一致以及存在评分畸高、畸低（其总评分偏离平均分30%以上的）情形的，应由相关人员当场改正或作出书面说明；拒不改正又不作书面说明的，由现场监督员如实记载后存入项目档案资料。</w:t>
      </w:r>
    </w:p>
    <w:p w14:paraId="5DADCCD7">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7 磋商小组根据评审汇总情况和采购文件规定确定成交候选供应商排序名单。</w:t>
      </w:r>
    </w:p>
    <w:p w14:paraId="193F9F54">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 xml:space="preserve">8 起草评审报告，所有评审人员须在评审报告上签字确认，对自己的评审意见承担法律责任。 </w:t>
      </w:r>
    </w:p>
    <w:p w14:paraId="6599DA0C">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9 采购组织机构对磋商小组评审专家进行评价。</w:t>
      </w:r>
    </w:p>
    <w:p w14:paraId="5440FD70">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10 修改评审结果</w:t>
      </w:r>
    </w:p>
    <w:p w14:paraId="6397F4B1">
      <w:pPr>
        <w:widowControl/>
        <w:spacing w:line="440" w:lineRule="exact"/>
        <w:ind w:firstLine="210"/>
        <w:rPr>
          <w:rFonts w:ascii="宋体" w:hAnsi="宋体"/>
          <w:color w:val="000000"/>
          <w:szCs w:val="21"/>
          <w:highlight w:val="none"/>
        </w:rPr>
      </w:pPr>
      <w:r>
        <w:rPr>
          <w:rFonts w:ascii="宋体" w:hAnsi="宋体"/>
          <w:color w:val="000000"/>
          <w:szCs w:val="21"/>
        </w:rPr>
        <w:t>评审结果汇总完成后，除下列情形外，任何人不得修改评审结果：</w:t>
      </w:r>
    </w:p>
    <w:p w14:paraId="56FCB089">
      <w:pPr>
        <w:widowControl/>
        <w:spacing w:line="440" w:lineRule="exact"/>
        <w:ind w:firstLine="210"/>
        <w:rPr>
          <w:rFonts w:ascii="宋体" w:hAnsi="宋体"/>
          <w:color w:val="000000"/>
          <w:szCs w:val="21"/>
          <w:highlight w:val="none"/>
        </w:rPr>
      </w:pPr>
      <w:r>
        <w:rPr>
          <w:rFonts w:ascii="宋体" w:hAnsi="宋体"/>
          <w:color w:val="000000"/>
          <w:szCs w:val="21"/>
        </w:rPr>
        <w:t>（1）分值汇总计算错误的；</w:t>
      </w:r>
    </w:p>
    <w:p w14:paraId="38633A80">
      <w:pPr>
        <w:widowControl/>
        <w:spacing w:line="440" w:lineRule="exact"/>
        <w:ind w:firstLine="210"/>
        <w:rPr>
          <w:rFonts w:ascii="宋体" w:hAnsi="宋体"/>
          <w:color w:val="000000"/>
          <w:szCs w:val="21"/>
          <w:highlight w:val="none"/>
        </w:rPr>
      </w:pPr>
      <w:r>
        <w:rPr>
          <w:rFonts w:ascii="宋体" w:hAnsi="宋体"/>
          <w:color w:val="000000"/>
          <w:szCs w:val="21"/>
        </w:rPr>
        <w:t>（2）分项评分超出评分标准范围的；</w:t>
      </w:r>
    </w:p>
    <w:p w14:paraId="0A3623FD">
      <w:pPr>
        <w:widowControl/>
        <w:spacing w:line="440" w:lineRule="exact"/>
        <w:ind w:firstLine="210"/>
        <w:rPr>
          <w:rFonts w:ascii="宋体" w:hAnsi="宋体"/>
          <w:color w:val="000000"/>
          <w:szCs w:val="21"/>
          <w:highlight w:val="none"/>
        </w:rPr>
      </w:pPr>
      <w:r>
        <w:rPr>
          <w:rFonts w:ascii="宋体" w:hAnsi="宋体"/>
          <w:color w:val="000000"/>
          <w:szCs w:val="21"/>
        </w:rPr>
        <w:t>（3）磋商小组成员对客观评审因素评分不一致的；</w:t>
      </w:r>
    </w:p>
    <w:p w14:paraId="12ADD769">
      <w:pPr>
        <w:widowControl/>
        <w:spacing w:line="440" w:lineRule="exact"/>
        <w:ind w:firstLine="210"/>
        <w:rPr>
          <w:rFonts w:ascii="宋体" w:hAnsi="宋体"/>
          <w:color w:val="000000"/>
          <w:szCs w:val="21"/>
          <w:highlight w:val="none"/>
        </w:rPr>
      </w:pPr>
      <w:r>
        <w:rPr>
          <w:rFonts w:ascii="宋体" w:hAnsi="宋体"/>
          <w:color w:val="000000"/>
          <w:szCs w:val="21"/>
        </w:rPr>
        <w:t>（4）经磋商小组认定评分畸高、畸低的。</w:t>
      </w:r>
    </w:p>
    <w:p w14:paraId="1E8CEC38">
      <w:pPr>
        <w:widowControl/>
        <w:spacing w:line="440" w:lineRule="exact"/>
        <w:ind w:firstLine="210"/>
        <w:rPr>
          <w:rFonts w:ascii="宋体" w:hAnsi="宋体"/>
          <w:color w:val="000000"/>
          <w:szCs w:val="21"/>
          <w:highlight w:val="none"/>
        </w:rPr>
      </w:pPr>
      <w:r>
        <w:rPr>
          <w:rFonts w:ascii="宋体" w:hAnsi="宋体"/>
          <w:color w:val="000000"/>
          <w:szCs w:val="21"/>
        </w:rPr>
        <w:t>评审报告签署前，经复核发现存在以上情形之一的，磋商小组应当当场修改评审结果，并在评审报告中记载；评审报告签署后，采购人或者采购代理机构发现存在以上情形之一的，应当组织原磋商小组进行重新评审，重新评审改变评审结果的，书面报告本级财政部门。</w:t>
      </w:r>
    </w:p>
    <w:p w14:paraId="5B2AEF4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36．澄清、说明或补正的形式</w:t>
      </w:r>
    </w:p>
    <w:p w14:paraId="46FD1877">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36.1对于响应文件中含义不明确、同类问题表述不一致或者有明显文字和计算错误的内容，磋商小组将通过“政府采购云平台”在线询标的方式要求供应商在规定的时间内作出必要的澄清、说明或者补正，</w:t>
      </w:r>
      <w:r>
        <w:rPr>
          <w:rFonts w:ascii="宋体" w:hAnsi="宋体"/>
          <w:b/>
          <w:bCs/>
          <w:color w:val="000000"/>
          <w:szCs w:val="21"/>
          <w:lang w:val="en-US" w:eastAsia="zh-CN"/>
        </w:rPr>
        <w:t>供应商澄清、说明或补正时间为20分钟</w:t>
      </w:r>
      <w:r>
        <w:rPr>
          <w:rFonts w:ascii="宋体" w:hAnsi="宋体"/>
          <w:b w:val="0"/>
          <w:bCs w:val="0"/>
          <w:color w:val="000000"/>
          <w:szCs w:val="21"/>
          <w:lang w:val="en-US" w:eastAsia="zh-CN"/>
        </w:rPr>
        <w:t>。</w:t>
      </w:r>
    </w:p>
    <w:p w14:paraId="4F51247F">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36.2供应商的澄清、说明或者补正应当通过“政府采购云平台”在线答复的方式提交，并加盖公章（电子印章），或者由法定代表人（负责人）或其授权的代表签字。供应商的澄清、说明或者补正不得超出响应文件的范围或者改变响应文件的实质性内容，不接受供应商主动对响应文件的澄清、说明或者补正。</w:t>
      </w:r>
    </w:p>
    <w:p w14:paraId="6E3F630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36.3上述询标、澄清、说明和补正工作如因客观原因无法通过“政府采购云平台”在线进行的，将采用电子邮件等形式进行，请供应商保证办理响应事宜人员电话畅通、网络在线。如未及时进行澄清、说明或者补正的，视为放弃澄清、说明或者补正的权利。</w:t>
      </w:r>
    </w:p>
    <w:p w14:paraId="0C87FB0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37．错误修正的原则</w:t>
      </w:r>
    </w:p>
    <w:p w14:paraId="6AA5817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电子交易平台客户端里报价一览表录入的磋商报价或优惠率与扫描上传的报价文件信息不一致的，以扫描上传的报价文件信息为准进行修正。</w:t>
      </w:r>
    </w:p>
    <w:p w14:paraId="79EC950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响应文件报价出现前后不一致的，除采购文件另有规定外，按照下列规定修正：</w:t>
      </w:r>
    </w:p>
    <w:p w14:paraId="70ED9FF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37.1 响应函中表述的内容与报价表中不一致的，以报价表为准；报价表中的内容与报价明细表不一致的，以报价表为准；</w:t>
      </w:r>
    </w:p>
    <w:p w14:paraId="304E2C61">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37.2 响应文件中的大写金额和小写金额不一致的，以大写金额为准；</w:t>
      </w:r>
    </w:p>
    <w:p w14:paraId="52681A1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37.3 单价金额小数点或者百分比有明显错位的，以报价一览表的总价为准，并修改单价；</w:t>
      </w:r>
    </w:p>
    <w:p w14:paraId="77363C4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37.4 总价金额与按单价汇总金额不一致的，以单价金额计算结果为准；</w:t>
      </w:r>
    </w:p>
    <w:p w14:paraId="1C49729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37.5 若用文字表示的数值与用数字表示的数值不一致，以文字表示的数值为准；</w:t>
      </w:r>
    </w:p>
    <w:p w14:paraId="72AD228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37.6 如有多报（指数量超出采购文件需求）、重报（指同一货物重复报价），其磋商总价在评审过程中不予调整，如其成交，其合同价按其响应单价予以调整；</w:t>
      </w:r>
    </w:p>
    <w:p w14:paraId="1A8F35E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37.7 对不同文字文本响应文件的解释发生异议的，以中文文本为准；</w:t>
      </w:r>
    </w:p>
    <w:p w14:paraId="2A7EE8CA">
      <w:pPr>
        <w:spacing w:line="440" w:lineRule="exact"/>
        <w:ind w:firstLine="210"/>
        <w:jc w:val="left"/>
        <w:rPr>
          <w:rFonts w:ascii="宋体" w:hAnsi="宋体"/>
          <w:b/>
          <w:bCs/>
          <w:color w:val="000000"/>
          <w:szCs w:val="21"/>
          <w:highlight w:val="none"/>
          <w:lang w:val="en-US" w:eastAsia="zh-CN"/>
        </w:rPr>
      </w:pPr>
      <w:r>
        <w:rPr>
          <w:rFonts w:ascii="宋体" w:hAnsi="宋体"/>
          <w:b w:val="0"/>
          <w:bCs w:val="0"/>
          <w:color w:val="000000"/>
          <w:szCs w:val="21"/>
          <w:lang w:val="en-US" w:eastAsia="zh-CN"/>
        </w:rPr>
        <w:t>同时出现两种以上不一致的，按照前款规定的顺序修正。按上述修正错误的原则及方法调整或修正响应文件的磋商报价，供应商确认后，以调整或修正后的磋商报价为准。如供应商拒绝调整或修正的，其响应文件按无效响应处理。</w:t>
      </w:r>
      <w:r>
        <w:rPr>
          <w:rFonts w:ascii="宋体" w:hAnsi="宋体"/>
          <w:b/>
          <w:bCs/>
          <w:color w:val="000000"/>
          <w:szCs w:val="21"/>
          <w:lang w:val="en-US" w:eastAsia="zh-CN"/>
        </w:rPr>
        <w:t>修正应当采用电子询标的形式，并加盖公章（电子印章）。</w:t>
      </w:r>
    </w:p>
    <w:p w14:paraId="7EC02BF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38．无效响应文件</w:t>
      </w:r>
    </w:p>
    <w:p w14:paraId="4B313E6F">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有下列情形之一的，响应文件按无效响应处理：</w:t>
      </w:r>
    </w:p>
    <w:p w14:paraId="0DDD587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 报名的供应商与参加磋商的供应商发生实质性变更的且未提供有效证明的；</w:t>
      </w:r>
    </w:p>
    <w:p w14:paraId="07D7EB8A">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38.2供应商提交两份或两份以上内容不同的响应文件，未声明哪一份有效的；</w:t>
      </w:r>
    </w:p>
    <w:p w14:paraId="5A9607D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38.3 响应文件非供应商法定代表人签署的，未提供或提供无效的法定代表人授权书；</w:t>
      </w:r>
    </w:p>
    <w:p w14:paraId="387C7CD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38.4 未按磋商文件规定装订；</w:t>
      </w:r>
    </w:p>
    <w:p w14:paraId="69E8B5C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38.5 响应文件内容未按磋商文件规定签字或盖章的；</w:t>
      </w:r>
    </w:p>
    <w:p w14:paraId="72810EF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38.6 响应文件组成漏项或未按规定的格式编制或响应文件正、副本份数不足或内容不全或内容字迹模糊辨认不清的等而导致评审活动无法正常进行；</w:t>
      </w:r>
    </w:p>
    <w:p w14:paraId="4812FCC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38.7 供应商未按磋商文件变更通知更改响应文件的；</w:t>
      </w:r>
    </w:p>
    <w:p w14:paraId="5102B0D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38.8 《报价一览表</w:t>
      </w:r>
      <w:r>
        <w:rPr>
          <w:rFonts w:ascii="宋体" w:hAnsi="宋体" w:cs="Times New Roman"/>
          <w:b w:val="0"/>
          <w:bCs w:val="0"/>
          <w:color w:val="000000"/>
          <w:szCs w:val="21"/>
          <w:lang w:val="en-US" w:eastAsia="zh-CN"/>
        </w:rPr>
        <w:t>》和《响应分项报价表》内容不完</w:t>
      </w:r>
      <w:r>
        <w:rPr>
          <w:rFonts w:ascii="宋体" w:hAnsi="宋体"/>
          <w:b w:val="0"/>
          <w:bCs w:val="0"/>
          <w:color w:val="000000"/>
          <w:szCs w:val="21"/>
          <w:lang w:val="en-US" w:eastAsia="zh-CN"/>
        </w:rPr>
        <w:t>整且不接受修正意见或字迹不能辨认的或未提供；</w:t>
      </w:r>
    </w:p>
    <w:p w14:paraId="3B8196A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38.9 标项磋商报价超过磋商文件规定的预算金额或最高限价</w:t>
      </w:r>
    </w:p>
    <w:p w14:paraId="74E9BA6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38.10 因供应商原因编制错误造成经磋商小组修正后的报价达到或超过磋商报价的0.5%；</w:t>
      </w:r>
    </w:p>
    <w:p w14:paraId="08C02147">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38.11 供应商的报价明显低于其他通过符合性审查供应商的报价，有可能影响产品质量或者不能诚信履约的，且在规定时间内不能合理说明原因并提供证明材料的；</w:t>
      </w:r>
    </w:p>
    <w:p w14:paraId="54B57EE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38.12 未实质性响应磋商文件中条款要求的响应文件；</w:t>
      </w:r>
    </w:p>
    <w:p w14:paraId="27F17F6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38.13 不符合采购范围、技术规格、技术标准的要求无法满足采购人使用要求；</w:t>
      </w:r>
    </w:p>
    <w:p w14:paraId="3D13AF6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38.14 响应文件附有采购人不能接受的条款；</w:t>
      </w:r>
    </w:p>
    <w:p w14:paraId="30B58E8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38.15 响应文件中提供了赠品或者与本项目采购无关的其他商品、服务；</w:t>
      </w:r>
    </w:p>
    <w:p w14:paraId="11651A1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38.16 响应文件中承诺的磋商有效期少于磋商文件中载明的磋商有效期；</w:t>
      </w:r>
    </w:p>
    <w:p w14:paraId="60D48BA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38.17供应商串通响应，妨碍其他供应商的竞争行为，损害采购人或者其他供应商的合法权益；</w:t>
      </w:r>
    </w:p>
    <w:p w14:paraId="37C5B08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38.18违反国家及政府部门相关法律、法规、文件规定或经磋商小组认定的其他属于重大偏离；</w:t>
      </w:r>
    </w:p>
    <w:p w14:paraId="019277AA">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39．无效响应</w:t>
      </w:r>
    </w:p>
    <w:p w14:paraId="7491E94A">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39.1 符合磋商文件规定无效响应情形的；</w:t>
      </w:r>
    </w:p>
    <w:p w14:paraId="467659D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39.2 出现影响采购公正的违法、违规行为的；</w:t>
      </w:r>
    </w:p>
    <w:p w14:paraId="5FD063C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39.3 供应商的报价均超过最高限价，采购人不能支付的;</w:t>
      </w:r>
    </w:p>
    <w:p w14:paraId="52216A2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39.4 因重大变故，采购任务取消的。</w:t>
      </w:r>
    </w:p>
    <w:p w14:paraId="47251B41">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40．突发情况处理</w:t>
      </w:r>
    </w:p>
    <w:p w14:paraId="1B12298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40.1 采购过程中出现以下情形，导致电子交易平台无法正常运行，或者无法保证电子交易的公平、公正和安全时，采购组织机构可中止电子交易活动：</w:t>
      </w:r>
    </w:p>
    <w:p w14:paraId="240E338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 xml:space="preserve">（1）电子交易平台发生故障而无法登录访问的； </w:t>
      </w:r>
    </w:p>
    <w:p w14:paraId="7459738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（2）电子交易平台应用或数据库出现错误，不能进行正常操作的；</w:t>
      </w:r>
    </w:p>
    <w:p w14:paraId="52707C5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（3）电子交易平台发现严重安全漏洞，有潜在泄密危险的；</w:t>
      </w:r>
    </w:p>
    <w:p w14:paraId="23DC859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 xml:space="preserve">（4）病毒发作导致不能进行正常操作的； </w:t>
      </w:r>
    </w:p>
    <w:p w14:paraId="503B617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（5）其他无法保证电子交易的公平、公正和安全的情况。</w:t>
      </w:r>
    </w:p>
    <w:p w14:paraId="10CD4A8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663CFFFF">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40.2 采购代理机构或评审小组因不可抗力（不可抗力包括但不限于自然灾害、断电、传播疫病等）原因造成电子交易活动无法正常运行的，将采取以下措施：</w:t>
      </w:r>
    </w:p>
    <w:p w14:paraId="66501E6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 xml:space="preserve">（1）短时间内能消除不可抗力因素的，采购代理机构或评审小组在消除不可抗力因素后继续组织电子交易活动； </w:t>
      </w:r>
    </w:p>
    <w:p w14:paraId="4F234C5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（2）长时间内无法消除不可抗力因素的，采购代理机构或评审小组将中止电子交易活动。中止电子交易活动的，采购人应当重新组织政府采购活动。</w:t>
      </w:r>
    </w:p>
    <w:p w14:paraId="57DEC72E">
      <w:pPr>
        <w:snapToGrid w:val="0"/>
        <w:spacing w:line="360" w:lineRule="exact"/>
        <w:ind w:firstLine="421"/>
        <w:rPr>
          <w:rFonts w:ascii="宋体" w:hAnsi="宋体"/>
          <w:b/>
          <w:color w:val="000000"/>
          <w:szCs w:val="21"/>
          <w:highlight w:val="none"/>
        </w:rPr>
      </w:pPr>
      <w:r>
        <w:rPr>
          <w:rFonts w:ascii="宋体" w:hAnsi="宋体"/>
          <w:b/>
          <w:color w:val="000000"/>
          <w:szCs w:val="21"/>
          <w:lang w:val="en-US" w:eastAsia="zh-CN"/>
        </w:rPr>
        <w:t>41</w:t>
      </w:r>
      <w:r>
        <w:rPr>
          <w:rFonts w:ascii="宋体" w:hAnsi="宋体"/>
          <w:b/>
          <w:color w:val="000000"/>
          <w:szCs w:val="21"/>
        </w:rPr>
        <w:t>. 定标</w:t>
      </w:r>
    </w:p>
    <w:p w14:paraId="31A04F17">
      <w:pPr>
        <w:spacing w:line="440" w:lineRule="exact"/>
        <w:ind w:firstLine="210"/>
        <w:jc w:val="left"/>
        <w:rPr>
          <w:rFonts w:ascii="宋体" w:hAnsi="宋体"/>
          <w:b w:val="0"/>
          <w:bCs w:val="0"/>
          <w:color w:val="000000"/>
          <w:szCs w:val="21"/>
          <w:highlight w:val="none"/>
          <w:lang w:val="en-US" w:eastAsia="zh-CN"/>
        </w:rPr>
      </w:pPr>
      <w:r>
        <w:rPr>
          <w:rFonts w:ascii="宋体" w:hAnsi="宋体" w:cs="宋体"/>
          <w:color w:val="000000"/>
          <w:szCs w:val="21"/>
        </w:rPr>
        <w:t xml:space="preserve">   </w:t>
      </w:r>
      <w:r>
        <w:rPr>
          <w:rFonts w:ascii="宋体" w:hAnsi="宋体" w:cs="宋体"/>
          <w:b w:val="0"/>
          <w:bCs w:val="0"/>
          <w:color w:val="000000"/>
          <w:szCs w:val="21"/>
          <w:lang w:val="en-US" w:eastAsia="zh-CN"/>
        </w:rPr>
        <w:t xml:space="preserve"> </w:t>
      </w:r>
      <w:r>
        <w:rPr>
          <w:rFonts w:ascii="宋体" w:hAnsi="宋体"/>
          <w:b w:val="0"/>
          <w:bCs w:val="0"/>
          <w:color w:val="000000"/>
          <w:szCs w:val="21"/>
          <w:lang w:val="en-US" w:eastAsia="zh-CN"/>
        </w:rPr>
        <w:t>41.1采购结果确认（确定成交供应商）</w:t>
      </w:r>
    </w:p>
    <w:p w14:paraId="26D96B6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采购结果确认（确定成交供应商）：本项目由采购人根据磋商小组提交的《评审报告》，通过“政府采购云平台”依法确认采购结果、确定成交供应商。具体流程如下：</w:t>
      </w:r>
    </w:p>
    <w:p w14:paraId="3F35699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（1）采购代理机构将在评审结束后2个工作日内将评审报告送采购人。</w:t>
      </w:r>
    </w:p>
    <w:p w14:paraId="409B847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 xml:space="preserve">（2）采购人将在收到评审报告之日起5个工作日内，在评审报告推荐的成交候选供应商名单中按顺序确定成交供应商，并将确认意见以书面形式回复采购代理机构。 </w:t>
      </w:r>
    </w:p>
    <w:p w14:paraId="08AFD103">
      <w:pPr>
        <w:spacing w:line="440" w:lineRule="exact"/>
        <w:ind w:firstLine="210"/>
        <w:jc w:val="left"/>
        <w:rPr>
          <w:rFonts w:ascii="宋体" w:hAnsi="宋体"/>
          <w:b/>
          <w:bCs/>
          <w:color w:val="000000"/>
          <w:szCs w:val="21"/>
          <w:highlight w:val="none"/>
          <w:lang w:val="en-US" w:eastAsia="zh-CN"/>
        </w:rPr>
      </w:pPr>
      <w:r>
        <w:rPr>
          <w:rFonts w:ascii="宋体" w:hAnsi="宋体"/>
          <w:b w:val="0"/>
          <w:bCs w:val="0"/>
          <w:color w:val="000000"/>
          <w:szCs w:val="21"/>
          <w:lang w:val="en-US" w:eastAsia="zh-CN"/>
        </w:rPr>
        <w:t>41.2采购结果经采购人确认后2个工作日内，采购代理机构将在</w:t>
      </w:r>
      <w:r>
        <w:rPr>
          <w:rFonts w:ascii="宋体" w:hAnsi="宋体" w:cs="Times New Roman"/>
          <w:b/>
          <w:bCs/>
          <w:color w:val="000000"/>
          <w:szCs w:val="21"/>
          <w:lang w:val="en-US" w:eastAsia="zh-CN"/>
        </w:rPr>
        <w:t>新疆政府采购网（</w:t>
      </w:r>
      <w:r>
        <w:rPr>
          <w:rFonts w:ascii="宋体" w:hAnsi="宋体" w:eastAsia="宋体" w:cs="Times New Roman"/>
          <w:b/>
          <w:bCs/>
          <w:color w:val="000000"/>
          <w:szCs w:val="21"/>
          <w:lang w:val="en-US" w:eastAsia="zh-CN"/>
        </w:rPr>
        <w:t>www.zjzfcg.gov.cn</w:t>
      </w:r>
      <w:r>
        <w:rPr>
          <w:rFonts w:ascii="宋体" w:hAnsi="宋体" w:cs="Times New Roman"/>
          <w:b/>
          <w:bCs/>
          <w:color w:val="000000"/>
          <w:szCs w:val="21"/>
          <w:lang w:val="en-US" w:eastAsia="zh-CN"/>
        </w:rPr>
        <w:t>）、</w:t>
      </w:r>
      <w:r>
        <w:rPr>
          <w:rFonts w:ascii="宋体" w:hAnsi="宋体"/>
          <w:b/>
          <w:bCs/>
          <w:color w:val="000000"/>
          <w:szCs w:val="21"/>
          <w:lang w:val="en-US" w:eastAsia="zh-CN"/>
        </w:rPr>
        <w:t>克州公共资源交易网</w:t>
      </w:r>
      <w:r>
        <w:rPr>
          <w:rFonts w:ascii="宋体" w:hAnsi="宋体" w:cs="Times New Roman"/>
          <w:b/>
          <w:bCs/>
          <w:color w:val="000000"/>
          <w:szCs w:val="21"/>
          <w:lang w:val="en-US" w:eastAsia="zh-CN"/>
        </w:rPr>
        <w:t>上公告采购结果，成交结果公告期限为</w:t>
      </w:r>
      <w:r>
        <w:rPr>
          <w:rFonts w:ascii="宋体" w:hAnsi="宋体" w:eastAsia="宋体" w:cs="Times New Roman"/>
          <w:b/>
          <w:bCs/>
          <w:color w:val="000000"/>
          <w:szCs w:val="21"/>
          <w:lang w:val="en-US" w:eastAsia="zh-CN"/>
        </w:rPr>
        <w:t>1</w:t>
      </w:r>
      <w:r>
        <w:rPr>
          <w:rFonts w:ascii="宋体" w:hAnsi="宋体" w:cs="Times New Roman"/>
          <w:b/>
          <w:bCs/>
          <w:color w:val="000000"/>
          <w:szCs w:val="21"/>
          <w:lang w:val="en-US" w:eastAsia="zh-CN"/>
        </w:rPr>
        <w:t>个工作日。</w:t>
      </w:r>
    </w:p>
    <w:p w14:paraId="4092E2A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42. 成交通知书</w:t>
      </w:r>
    </w:p>
    <w:p w14:paraId="6382903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42.1</w:t>
      </w:r>
      <w:r>
        <w:rPr>
          <w:rFonts w:ascii="宋体" w:hAnsi="宋体" w:cs="宋体"/>
          <w:color w:val="000000"/>
          <w:szCs w:val="21"/>
        </w:rPr>
        <w:t>在</w:t>
      </w:r>
      <w:r>
        <w:rPr>
          <w:rFonts w:ascii="宋体" w:hAnsi="宋体" w:cs="宋体"/>
          <w:color w:val="000000"/>
          <w:szCs w:val="21"/>
          <w:lang w:eastAsia="zh-CN"/>
        </w:rPr>
        <w:t>成交</w:t>
      </w:r>
      <w:r>
        <w:rPr>
          <w:rFonts w:ascii="宋体" w:hAnsi="宋体" w:cs="宋体"/>
          <w:color w:val="000000"/>
          <w:szCs w:val="21"/>
        </w:rPr>
        <w:t>通知书发出前，采购人将</w:t>
      </w:r>
      <w:r>
        <w:rPr>
          <w:rFonts w:ascii="宋体" w:hAnsi="宋体" w:cs="宋体"/>
          <w:color w:val="000000"/>
          <w:szCs w:val="21"/>
          <w:lang w:eastAsia="zh-CN"/>
        </w:rPr>
        <w:t>成交</w:t>
      </w:r>
      <w:r>
        <w:rPr>
          <w:rFonts w:ascii="宋体" w:hAnsi="宋体" w:cs="宋体"/>
          <w:color w:val="000000"/>
          <w:szCs w:val="21"/>
        </w:rPr>
        <w:t>侯选人的情况在</w:t>
      </w:r>
      <w:r>
        <w:rPr>
          <w:rFonts w:ascii="宋体" w:hAnsi="宋体" w:cs="宋体"/>
          <w:color w:val="000000"/>
          <w:szCs w:val="21"/>
          <w:lang w:val="en-US" w:eastAsia="zh-CN"/>
        </w:rPr>
        <w:t>克州公共资源交易网、</w:t>
      </w:r>
      <w:r>
        <w:rPr>
          <w:rFonts w:ascii="宋体" w:hAnsi="宋体" w:cs="宋体"/>
          <w:color w:val="000000"/>
          <w:szCs w:val="21"/>
          <w:lang w:eastAsia="zh-CN"/>
        </w:rPr>
        <w:t>新疆政府采购网</w:t>
      </w:r>
      <w:r>
        <w:rPr>
          <w:rFonts w:ascii="宋体" w:hAnsi="宋体" w:cs="宋体"/>
          <w:color w:val="000000"/>
          <w:szCs w:val="21"/>
        </w:rPr>
        <w:t>予以公示，</w:t>
      </w:r>
      <w:r>
        <w:rPr>
          <w:rFonts w:ascii="宋体" w:hAnsi="宋体" w:cs="宋体"/>
          <w:b/>
          <w:bCs/>
          <w:color w:val="000000"/>
          <w:szCs w:val="21"/>
        </w:rPr>
        <w:t>公示期为</w:t>
      </w:r>
      <w:r>
        <w:rPr>
          <w:rFonts w:ascii="宋体" w:hAnsi="宋体" w:cs="宋体"/>
          <w:b/>
          <w:bCs/>
          <w:color w:val="000000"/>
          <w:szCs w:val="21"/>
          <w:lang w:eastAsia="zh-CN"/>
        </w:rPr>
        <w:t>一</w:t>
      </w:r>
      <w:r>
        <w:rPr>
          <w:rFonts w:ascii="宋体" w:hAnsi="宋体" w:cs="宋体"/>
          <w:b/>
          <w:bCs/>
          <w:color w:val="000000"/>
          <w:szCs w:val="21"/>
        </w:rPr>
        <w:t>个工作日。</w:t>
      </w:r>
      <w:r>
        <w:rPr>
          <w:rFonts w:ascii="宋体" w:hAnsi="宋体" w:cs="宋体"/>
          <w:b/>
          <w:bCs/>
          <w:color w:val="000000"/>
          <w:szCs w:val="21"/>
          <w:lang w:eastAsia="zh-CN"/>
        </w:rPr>
        <w:t>待公示期结束后，</w:t>
      </w:r>
      <w:r>
        <w:rPr>
          <w:rFonts w:ascii="宋体" w:hAnsi="宋体"/>
          <w:b w:val="0"/>
          <w:bCs w:val="0"/>
          <w:color w:val="000000"/>
          <w:szCs w:val="21"/>
          <w:lang w:val="en-US" w:eastAsia="zh-CN"/>
        </w:rPr>
        <w:t>采购组织机构向成交供应商发出成交通知书。</w:t>
      </w:r>
    </w:p>
    <w:p w14:paraId="04502D3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42.2成交通知书作为签订合同的重要依据，对采购人和成交供应商均具有法律效力。采购人改变成交结果或者成交供应商放弃成交项目的都应承担法律责任。成交供应商不得向他人转让成交项目，也不得将成交项目肢解后分别向他人转让。</w:t>
      </w:r>
    </w:p>
    <w:p w14:paraId="5A8D9D01">
      <w:pPr>
        <w:numPr>
          <w:ilvl w:val="0"/>
          <w:numId w:val="0"/>
        </w:numPr>
        <w:spacing w:before="156" w:after="0" w:line="440" w:lineRule="exact"/>
        <w:jc w:val="center"/>
        <w:outlineLvl w:val="2"/>
        <w:rPr>
          <w:rFonts w:ascii="黑体" w:hAnsi="黑体" w:eastAsia="黑体"/>
          <w:color w:val="000000"/>
          <w:sz w:val="24"/>
          <w:highlight w:val="none"/>
        </w:rPr>
      </w:pPr>
      <w:r>
        <w:rPr>
          <w:rFonts w:ascii="黑体" w:hAnsi="黑体" w:eastAsia="黑体"/>
          <w:color w:val="000000"/>
          <w:sz w:val="28"/>
          <w:szCs w:val="28"/>
        </w:rPr>
        <w:t>（六）合同的授予</w:t>
      </w:r>
    </w:p>
    <w:p w14:paraId="19F62D0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43．履约保证金</w:t>
      </w:r>
    </w:p>
    <w:p w14:paraId="6F9729A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43.1 成</w:t>
      </w:r>
      <w:r>
        <w:rPr>
          <w:rFonts w:ascii="宋体" w:hAnsi="宋体" w:cs="Times New Roman"/>
          <w:b w:val="0"/>
          <w:bCs w:val="0"/>
          <w:color w:val="000000"/>
          <w:szCs w:val="21"/>
          <w:lang w:val="en-US" w:eastAsia="zh-CN"/>
        </w:rPr>
        <w:t>交供应商在收到成交通知书</w:t>
      </w:r>
      <w:r>
        <w:rPr>
          <w:rFonts w:ascii="宋体" w:hAnsi="宋体" w:eastAsia="宋体" w:cs="Times New Roman"/>
          <w:b w:val="0"/>
          <w:bCs w:val="0"/>
          <w:color w:val="000000"/>
          <w:szCs w:val="21"/>
          <w:lang w:val="en-US" w:eastAsia="zh-CN"/>
        </w:rPr>
        <w:t>7</w:t>
      </w:r>
      <w:r>
        <w:rPr>
          <w:rFonts w:ascii="宋体" w:hAnsi="宋体" w:cs="Times New Roman"/>
          <w:b w:val="0"/>
          <w:bCs w:val="0"/>
          <w:color w:val="000000"/>
          <w:szCs w:val="21"/>
          <w:lang w:val="en-US" w:eastAsia="zh-CN"/>
        </w:rPr>
        <w:t>日内向采购人交纳</w:t>
      </w:r>
      <w:r>
        <w:rPr>
          <w:rFonts w:ascii="宋体" w:hAnsi="宋体" w:cs="Times New Roman"/>
          <w:b w:val="0"/>
          <w:bCs w:val="0"/>
          <w:color w:val="FF0000"/>
          <w:szCs w:val="21"/>
          <w:lang w:val="en-US" w:eastAsia="zh-CN"/>
        </w:rPr>
        <w:t>成交价</w:t>
      </w:r>
      <w:r>
        <w:rPr>
          <w:rFonts w:ascii="宋体" w:hAnsi="宋体" w:eastAsia="宋体" w:cs="Times New Roman"/>
          <w:b w:val="0"/>
          <w:bCs w:val="0"/>
          <w:color w:val="FF0000"/>
          <w:szCs w:val="21"/>
          <w:lang w:val="en-US" w:eastAsia="zh-CN"/>
        </w:rPr>
        <w:t>5%</w:t>
      </w:r>
      <w:r>
        <w:rPr>
          <w:rFonts w:ascii="宋体" w:hAnsi="宋体" w:cs="Times New Roman"/>
          <w:b w:val="0"/>
          <w:bCs w:val="0"/>
          <w:color w:val="FF0000"/>
          <w:szCs w:val="21"/>
          <w:lang w:val="en-US" w:eastAsia="zh-CN"/>
        </w:rPr>
        <w:t>的履约保证金</w:t>
      </w:r>
      <w:r>
        <w:rPr>
          <w:rFonts w:ascii="宋体" w:hAnsi="宋体" w:cs="Times New Roman"/>
          <w:b w:val="0"/>
          <w:bCs w:val="0"/>
          <w:color w:val="000000"/>
          <w:szCs w:val="21"/>
          <w:lang w:val="en-US" w:eastAsia="zh-CN"/>
        </w:rPr>
        <w:t>（</w:t>
      </w:r>
      <w:r>
        <w:rPr>
          <w:rFonts w:ascii="宋体" w:hAnsi="宋体"/>
          <w:b w:val="0"/>
          <w:bCs w:val="0"/>
          <w:color w:val="000000"/>
          <w:szCs w:val="21"/>
          <w:lang w:val="en-US" w:eastAsia="zh-CN"/>
        </w:rPr>
        <w:t>鼓励以银行、保险公司出具的履约保函形式提交；若以电汇、银行转账方式提交的，必须转到采购人的指定账户）。</w:t>
      </w:r>
    </w:p>
    <w:p w14:paraId="6FD063F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43.2 签订合同后，如成交供应商不按合同约定履约的，履约保证金不予退还，履约保证金不足以赔偿损失的，按实际损失赔偿。</w:t>
      </w:r>
    </w:p>
    <w:p w14:paraId="56BE6821">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43.3 如果成交供应商在建设期内没有涉及采购人的应付而未付金额或违约行为，采购人在项目验收合格后或提前终止合同后全额无息退还履约保证金。</w:t>
      </w:r>
    </w:p>
    <w:p w14:paraId="260090F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44．签订合同及公告</w:t>
      </w:r>
    </w:p>
    <w:p w14:paraId="76B2F34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44.1采购人在成交通知书发出之日起30日内与成交供应商签订合同。</w:t>
      </w:r>
    </w:p>
    <w:p w14:paraId="4E2C521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44.2成交供应商拖延、拒签合同的,取消成交资格。</w:t>
      </w:r>
    </w:p>
    <w:p w14:paraId="6CD3631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44.3 采购文件、成交供应商的响应文件及评审过程中有关澄清文件等均作为签订合同的依据。所签订的合同不得对采购文件和成交供应商的响应文件的内容作实质性修改。</w:t>
      </w:r>
    </w:p>
    <w:p w14:paraId="7578DB0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44.4采购人应当自政府采购合同签订之日起2个工作日内，在省级以上财政部门指定的政府采购信息发布媒体及相关网站上公告。</w:t>
      </w:r>
    </w:p>
    <w:p w14:paraId="49CA66B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44.5采购人应当自政府采购合同签订之日起7个工作日内，将政府采购合同副本报同级人民政府财政部门备案以及采购代理机构存档。</w:t>
      </w:r>
    </w:p>
    <w:p w14:paraId="14B87252">
      <w:pPr>
        <w:numPr>
          <w:ilvl w:val="0"/>
          <w:numId w:val="0"/>
        </w:numPr>
        <w:snapToGrid w:val="0"/>
        <w:spacing w:line="440" w:lineRule="exact"/>
        <w:jc w:val="center"/>
        <w:outlineLvl w:val="2"/>
        <w:rPr>
          <w:rFonts w:ascii="黑体" w:hAnsi="黑体" w:eastAsia="黑体"/>
          <w:color w:val="000000"/>
          <w:sz w:val="28"/>
          <w:szCs w:val="28"/>
          <w:highlight w:val="none"/>
        </w:rPr>
      </w:pPr>
      <w:r>
        <w:rPr>
          <w:rFonts w:ascii="黑体" w:hAnsi="黑体" w:eastAsia="黑体"/>
          <w:color w:val="000000"/>
          <w:sz w:val="28"/>
          <w:szCs w:val="28"/>
        </w:rPr>
        <w:t>（七）纪律和监督</w:t>
      </w:r>
    </w:p>
    <w:p w14:paraId="28B7F6D2">
      <w:pPr>
        <w:spacing w:line="440" w:lineRule="exact"/>
        <w:ind w:firstLine="308"/>
        <w:jc w:val="left"/>
        <w:rPr>
          <w:rFonts w:ascii="宋体" w:hAnsi="宋体"/>
          <w:b/>
          <w:color w:val="000000"/>
          <w:szCs w:val="21"/>
          <w:highlight w:val="none"/>
        </w:rPr>
      </w:pPr>
      <w:r>
        <w:rPr>
          <w:rFonts w:ascii="宋体" w:hAnsi="宋体"/>
          <w:b/>
          <w:color w:val="000000"/>
          <w:szCs w:val="21"/>
          <w:lang w:val="en-US" w:eastAsia="zh-CN"/>
        </w:rPr>
        <w:t>45</w:t>
      </w:r>
      <w:r>
        <w:rPr>
          <w:rFonts w:ascii="宋体" w:hAnsi="宋体"/>
          <w:b/>
          <w:color w:val="000000"/>
          <w:szCs w:val="21"/>
        </w:rPr>
        <w:t xml:space="preserve">. 对采购人的纪律要求 </w:t>
      </w:r>
    </w:p>
    <w:p w14:paraId="01D7548C">
      <w:pPr>
        <w:snapToGrid w:val="0"/>
        <w:spacing w:line="440" w:lineRule="exact"/>
        <w:ind w:firstLine="315"/>
        <w:rPr>
          <w:rFonts w:ascii="宋体" w:hAnsi="宋体"/>
          <w:color w:val="000000"/>
          <w:kern w:val="2"/>
          <w:szCs w:val="21"/>
          <w:highlight w:val="none"/>
        </w:rPr>
      </w:pPr>
      <w:r>
        <w:rPr>
          <w:rFonts w:ascii="宋体" w:hAnsi="宋体"/>
          <w:color w:val="000000"/>
          <w:kern w:val="2"/>
          <w:szCs w:val="21"/>
          <w:lang w:val="en-US" w:eastAsia="zh-CN"/>
        </w:rPr>
        <w:t>45</w:t>
      </w:r>
      <w:r>
        <w:rPr>
          <w:rFonts w:ascii="宋体" w:hAnsi="宋体"/>
          <w:color w:val="000000"/>
          <w:kern w:val="2"/>
          <w:szCs w:val="21"/>
        </w:rPr>
        <w:t xml:space="preserve">.1采购人不得泄漏采购活动中应当保密的情况和资料，不得与供应商串通损害国家利益，社会公共利益或者他人合法权益。 </w:t>
      </w:r>
    </w:p>
    <w:p w14:paraId="7BB75A12">
      <w:pPr>
        <w:spacing w:line="440" w:lineRule="exact"/>
        <w:ind w:firstLine="308"/>
        <w:jc w:val="left"/>
        <w:rPr>
          <w:rFonts w:ascii="宋体" w:hAnsi="宋体"/>
          <w:b/>
          <w:color w:val="000000"/>
          <w:szCs w:val="21"/>
          <w:highlight w:val="none"/>
        </w:rPr>
      </w:pPr>
      <w:r>
        <w:rPr>
          <w:rFonts w:ascii="宋体" w:hAnsi="宋体"/>
          <w:b/>
          <w:color w:val="000000"/>
          <w:szCs w:val="21"/>
          <w:lang w:val="en-US" w:eastAsia="zh-CN"/>
        </w:rPr>
        <w:t>46</w:t>
      </w:r>
      <w:r>
        <w:rPr>
          <w:rFonts w:ascii="宋体" w:hAnsi="宋体"/>
          <w:b/>
          <w:color w:val="000000"/>
          <w:szCs w:val="21"/>
        </w:rPr>
        <w:t xml:space="preserve">. 对供应商的纪律要求 </w:t>
      </w:r>
    </w:p>
    <w:p w14:paraId="1B4ABD28">
      <w:pPr>
        <w:snapToGrid w:val="0"/>
        <w:spacing w:line="440" w:lineRule="exact"/>
        <w:ind w:firstLine="315"/>
        <w:rPr>
          <w:rFonts w:ascii="宋体" w:hAnsi="宋体"/>
          <w:color w:val="000000"/>
          <w:kern w:val="2"/>
          <w:szCs w:val="21"/>
          <w:highlight w:val="none"/>
        </w:rPr>
      </w:pPr>
      <w:r>
        <w:rPr>
          <w:rFonts w:ascii="宋体" w:hAnsi="宋体"/>
          <w:color w:val="000000"/>
          <w:kern w:val="2"/>
          <w:szCs w:val="21"/>
          <w:lang w:val="en-US" w:eastAsia="zh-CN"/>
        </w:rPr>
        <w:t>46</w:t>
      </w:r>
      <w:r>
        <w:rPr>
          <w:rFonts w:ascii="宋体" w:hAnsi="宋体"/>
          <w:color w:val="000000"/>
          <w:kern w:val="2"/>
          <w:szCs w:val="21"/>
        </w:rPr>
        <w:t>.1供应商不得相互串通响应或者与采购人串通响应，不得向采购人或者磋商小组成员行贿谋取成交，不得以他人名义响应或者以其他方式弄虚作假骗取成交；供应商不得以任何方式干扰、影响评审工作。</w:t>
      </w:r>
    </w:p>
    <w:p w14:paraId="1FCDAD38">
      <w:pPr>
        <w:spacing w:line="440" w:lineRule="exact"/>
        <w:ind w:firstLine="308"/>
        <w:jc w:val="left"/>
        <w:rPr>
          <w:rFonts w:ascii="宋体" w:hAnsi="宋体"/>
          <w:b/>
          <w:color w:val="000000"/>
          <w:szCs w:val="21"/>
          <w:highlight w:val="none"/>
        </w:rPr>
      </w:pPr>
      <w:r>
        <w:rPr>
          <w:rFonts w:ascii="宋体" w:hAnsi="宋体"/>
          <w:b/>
          <w:color w:val="000000"/>
          <w:szCs w:val="21"/>
          <w:lang w:val="en-US" w:eastAsia="zh-CN"/>
        </w:rPr>
        <w:t>47</w:t>
      </w:r>
      <w:r>
        <w:rPr>
          <w:rFonts w:ascii="宋体" w:hAnsi="宋体"/>
          <w:b/>
          <w:color w:val="000000"/>
          <w:szCs w:val="21"/>
        </w:rPr>
        <w:t xml:space="preserve">. 对磋商小组成员的纪律要求 </w:t>
      </w:r>
    </w:p>
    <w:p w14:paraId="7C543CC0">
      <w:pPr>
        <w:snapToGrid w:val="0"/>
        <w:spacing w:line="440" w:lineRule="exact"/>
        <w:ind w:firstLine="315"/>
        <w:rPr>
          <w:rFonts w:ascii="宋体" w:hAnsi="宋体"/>
          <w:color w:val="000000"/>
          <w:kern w:val="2"/>
          <w:szCs w:val="21"/>
          <w:highlight w:val="none"/>
        </w:rPr>
      </w:pPr>
      <w:r>
        <w:rPr>
          <w:rFonts w:ascii="宋体" w:hAnsi="宋体"/>
          <w:color w:val="000000"/>
          <w:kern w:val="2"/>
          <w:szCs w:val="21"/>
          <w:lang w:val="en-US" w:eastAsia="zh-CN"/>
        </w:rPr>
        <w:t>47</w:t>
      </w:r>
      <w:r>
        <w:rPr>
          <w:rFonts w:ascii="宋体" w:hAnsi="宋体"/>
          <w:color w:val="000000"/>
          <w:kern w:val="2"/>
          <w:szCs w:val="21"/>
        </w:rPr>
        <w:t>.1磋商小组成员不得收受他人的财物或者其他好处，不得向他人透漏对响应文件的评审和比较、成交候选人的推荐情况以及评审有关的其他情况。</w:t>
      </w:r>
    </w:p>
    <w:p w14:paraId="6602AB65">
      <w:pPr>
        <w:snapToGrid w:val="0"/>
        <w:spacing w:line="440" w:lineRule="exact"/>
        <w:ind w:firstLine="315"/>
        <w:rPr>
          <w:rFonts w:ascii="宋体" w:hAnsi="宋体"/>
          <w:color w:val="000000"/>
          <w:kern w:val="2"/>
          <w:szCs w:val="21"/>
          <w:highlight w:val="none"/>
        </w:rPr>
      </w:pPr>
      <w:r>
        <w:rPr>
          <w:rFonts w:ascii="宋体" w:hAnsi="宋体"/>
          <w:color w:val="000000"/>
          <w:kern w:val="2"/>
          <w:szCs w:val="21"/>
          <w:lang w:val="en-US" w:eastAsia="zh-CN"/>
        </w:rPr>
        <w:t>47</w:t>
      </w:r>
      <w:r>
        <w:rPr>
          <w:rFonts w:ascii="宋体" w:hAnsi="宋体"/>
          <w:color w:val="000000"/>
          <w:kern w:val="2"/>
          <w:szCs w:val="21"/>
        </w:rPr>
        <w:t xml:space="preserve">.2在评审活动中，磋商小组成员不得擅离职守，影响评审程序正常进行，不得使用第三章“评审办法”没有规定的评审因素和标准进行评审。 </w:t>
      </w:r>
    </w:p>
    <w:p w14:paraId="11D856B5">
      <w:pPr>
        <w:spacing w:line="440" w:lineRule="exact"/>
        <w:ind w:firstLine="308"/>
        <w:jc w:val="left"/>
        <w:rPr>
          <w:rFonts w:ascii="宋体" w:hAnsi="宋体"/>
          <w:b/>
          <w:color w:val="000000"/>
          <w:szCs w:val="21"/>
          <w:highlight w:val="none"/>
        </w:rPr>
      </w:pPr>
      <w:r>
        <w:rPr>
          <w:rFonts w:ascii="宋体" w:hAnsi="宋体"/>
          <w:b/>
          <w:color w:val="000000"/>
          <w:szCs w:val="21"/>
          <w:lang w:val="en-US" w:eastAsia="zh-CN"/>
        </w:rPr>
        <w:t>48</w:t>
      </w:r>
      <w:r>
        <w:rPr>
          <w:rFonts w:ascii="宋体" w:hAnsi="宋体"/>
          <w:b/>
          <w:color w:val="000000"/>
          <w:szCs w:val="21"/>
        </w:rPr>
        <w:t xml:space="preserve">. 对与评审活动有关的工作人员的纪律要求 </w:t>
      </w:r>
    </w:p>
    <w:p w14:paraId="4B77BCC8">
      <w:pPr>
        <w:snapToGrid w:val="0"/>
        <w:spacing w:line="440" w:lineRule="exact"/>
        <w:ind w:firstLine="315"/>
        <w:rPr>
          <w:rFonts w:ascii="宋体" w:hAnsi="宋体"/>
          <w:color w:val="000000"/>
          <w:kern w:val="2"/>
          <w:szCs w:val="21"/>
          <w:highlight w:val="none"/>
        </w:rPr>
      </w:pPr>
      <w:r>
        <w:rPr>
          <w:rFonts w:ascii="宋体" w:hAnsi="宋体"/>
          <w:color w:val="000000"/>
          <w:kern w:val="2"/>
          <w:szCs w:val="21"/>
        </w:rPr>
        <w:t>4</w:t>
      </w:r>
      <w:r>
        <w:rPr>
          <w:rFonts w:ascii="宋体" w:hAnsi="宋体"/>
          <w:color w:val="000000"/>
          <w:kern w:val="2"/>
          <w:szCs w:val="21"/>
          <w:lang w:val="en-US" w:eastAsia="zh-CN"/>
        </w:rPr>
        <w:t>8</w:t>
      </w:r>
      <w:r>
        <w:rPr>
          <w:rFonts w:ascii="宋体" w:hAnsi="宋体"/>
          <w:color w:val="000000"/>
          <w:kern w:val="2"/>
          <w:szCs w:val="21"/>
        </w:rPr>
        <w:t>.1与评审活动有关的工作人员不得收受他人的财物或者其他好处，不得向他人透漏对响应文件的评审和比较、成交候选人的推荐情况以及评审有关的其他情况。在评审活动中，与评审活动有关的工作人员不得擅离职守，影响评审程序正常进行。</w:t>
      </w:r>
    </w:p>
    <w:p w14:paraId="66E78DB9">
      <w:pPr>
        <w:spacing w:before="156" w:after="156" w:line="500" w:lineRule="exact"/>
        <w:jc w:val="both"/>
        <w:rPr>
          <w:rFonts w:ascii="黑体" w:hAnsi="黑体" w:eastAsia="黑体"/>
          <w:color w:val="000000"/>
          <w:kern w:val="2"/>
          <w:sz w:val="28"/>
          <w:szCs w:val="28"/>
          <w:highlight w:val="none"/>
        </w:rPr>
      </w:pPr>
    </w:p>
    <w:p w14:paraId="3802B1B3">
      <w:pPr>
        <w:pStyle w:val="8"/>
        <w:rPr>
          <w:rFonts w:ascii="黑体" w:hAnsi="黑体" w:eastAsia="黑体"/>
          <w:color w:val="000000"/>
          <w:sz w:val="28"/>
          <w:szCs w:val="28"/>
          <w:highlight w:val="none"/>
        </w:rPr>
      </w:pPr>
    </w:p>
    <w:p w14:paraId="565721FC">
      <w:pPr>
        <w:spacing w:before="156" w:after="156" w:line="500" w:lineRule="exact"/>
        <w:jc w:val="center"/>
        <w:rPr>
          <w:rFonts w:ascii="黑体" w:hAnsi="黑体" w:eastAsia="黑体" w:cs="宋体"/>
          <w:color w:val="000000"/>
          <w:sz w:val="28"/>
          <w:szCs w:val="28"/>
          <w:highlight w:val="none"/>
        </w:rPr>
      </w:pPr>
      <w:r>
        <w:rPr>
          <w:rFonts w:ascii="黑体" w:hAnsi="黑体" w:eastAsia="黑体"/>
          <w:color w:val="000000"/>
          <w:sz w:val="28"/>
          <w:szCs w:val="28"/>
        </w:rPr>
        <w:t>（八）</w:t>
      </w:r>
      <w:r>
        <w:rPr>
          <w:rFonts w:ascii="黑体" w:hAnsi="黑体" w:eastAsia="黑体" w:cs="宋体"/>
          <w:color w:val="000000"/>
          <w:sz w:val="28"/>
          <w:szCs w:val="28"/>
        </w:rPr>
        <w:t>质疑与投诉</w:t>
      </w:r>
    </w:p>
    <w:p w14:paraId="7761BCB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49．质疑和投诉</w:t>
      </w:r>
    </w:p>
    <w:p w14:paraId="37D4470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49.1.供应商认为采购文件、采购过程和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31722D2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（一）对可以质疑的采购文件提出质疑的，为收到采购文件之日或者采购文件公告期限届满之日；</w:t>
      </w:r>
    </w:p>
    <w:p w14:paraId="29A0EA9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（二）对采购过程提出质疑的，为各采购程序环节结束之日；</w:t>
      </w:r>
    </w:p>
    <w:p w14:paraId="2366E57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（三）对成交或者成交结果提出质疑的，为成交或者成交结果公告期限届满之日。</w:t>
      </w:r>
    </w:p>
    <w:p w14:paraId="74B2993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7ABCF31A">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供应商为自然人的，应当由本人签字；供应商为法人或者其他组织的，应当由法定代表人、主要负责人，或者其授权代表签字或者盖章，并加盖公章。</w:t>
      </w:r>
    </w:p>
    <w:p w14:paraId="047F255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49.3供应商质疑、投诉应当有明确的请求和必要的证明材料。供应商投诉的事项不得超出已质疑事项的范围。采购人及采购代理机构按《政府采购质疑和投诉办法》进行处理供应商质疑事项。</w:t>
      </w:r>
    </w:p>
    <w:p w14:paraId="4E32950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49.4质疑供应商对采购人、采购代理机构的质疑答复不满意，或者采购人、采购代理机构未在规定期限内作出答复的，供应商可以在答复期满后15个工作日内向同级财政部门提起投诉。</w:t>
      </w:r>
    </w:p>
    <w:p w14:paraId="53E429D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49.5供应商有下列情形之一的，将其列入不良行为记录名单：</w:t>
      </w:r>
    </w:p>
    <w:p w14:paraId="47B39A6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（一）一年内三次以上质疑均查无实据的；</w:t>
      </w:r>
    </w:p>
    <w:p w14:paraId="0B7F430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（二）捏造事实或者提供虚假质疑材料的。</w:t>
      </w:r>
    </w:p>
    <w:p w14:paraId="1BF32E17">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（三）以非法手段取得证明材料。证据来源的合法性存在明显疑问，质疑人无法证明其取得方式合法的，视为以非法手段取得证明材料。</w:t>
      </w:r>
    </w:p>
    <w:p w14:paraId="0DD909EE">
      <w:pPr>
        <w:pStyle w:val="69"/>
        <w:rPr>
          <w:rFonts w:ascii="宋体" w:hAnsi="宋体"/>
          <w:b w:val="0"/>
          <w:bCs w:val="0"/>
          <w:color w:val="000000"/>
          <w:szCs w:val="21"/>
          <w:highlight w:val="none"/>
          <w:lang w:val="en-US" w:eastAsia="zh-CN"/>
        </w:rPr>
      </w:pPr>
    </w:p>
    <w:p w14:paraId="143E59D3">
      <w:pPr>
        <w:pStyle w:val="8"/>
        <w:rPr>
          <w:rFonts w:ascii="宋体" w:hAnsi="宋体" w:eastAsia="宋体" w:cs="宋体"/>
          <w:b/>
          <w:bCs/>
          <w:color w:val="000000"/>
          <w:sz w:val="21"/>
          <w:szCs w:val="21"/>
          <w:highlight w:val="none"/>
          <w:lang w:eastAsia="zh-CN"/>
        </w:rPr>
      </w:pPr>
    </w:p>
    <w:p w14:paraId="6323ECD5">
      <w:pPr>
        <w:pStyle w:val="59"/>
        <w:rPr>
          <w:rFonts w:ascii="宋体" w:hAnsi="宋体" w:eastAsia="宋体" w:cs="宋体"/>
          <w:b/>
          <w:bCs/>
          <w:color w:val="000000"/>
          <w:sz w:val="21"/>
          <w:szCs w:val="21"/>
          <w:highlight w:val="none"/>
          <w:lang w:eastAsia="zh-CN"/>
        </w:rPr>
      </w:pPr>
    </w:p>
    <w:p w14:paraId="39E6FBC6">
      <w:pPr>
        <w:rPr>
          <w:rFonts w:ascii="宋体" w:hAnsi="宋体" w:eastAsia="宋体" w:cs="宋体"/>
          <w:b/>
          <w:bCs/>
          <w:color w:val="000000"/>
          <w:sz w:val="21"/>
          <w:szCs w:val="21"/>
          <w:highlight w:val="none"/>
          <w:lang w:eastAsia="zh-CN"/>
        </w:rPr>
      </w:pPr>
    </w:p>
    <w:p w14:paraId="3EFD10B1">
      <w:pPr>
        <w:pStyle w:val="69"/>
        <w:rPr>
          <w:rFonts w:ascii="宋体" w:hAnsi="宋体" w:eastAsia="宋体" w:cs="宋体"/>
          <w:b/>
          <w:bCs/>
          <w:color w:val="000000"/>
          <w:sz w:val="21"/>
          <w:szCs w:val="21"/>
          <w:highlight w:val="none"/>
          <w:lang w:eastAsia="zh-CN"/>
        </w:rPr>
      </w:pPr>
    </w:p>
    <w:p w14:paraId="5F6CE6CD">
      <w:pPr>
        <w:pStyle w:val="69"/>
        <w:rPr>
          <w:lang w:eastAsia="zh-CN"/>
        </w:rPr>
      </w:pPr>
    </w:p>
    <w:p w14:paraId="4CD87BE3">
      <w:pPr>
        <w:pStyle w:val="69"/>
        <w:rPr>
          <w:lang w:eastAsia="zh-CN"/>
        </w:rPr>
      </w:pPr>
    </w:p>
    <w:p w14:paraId="3F4EA408">
      <w:pPr>
        <w:pStyle w:val="69"/>
        <w:rPr>
          <w:lang w:eastAsia="zh-CN"/>
        </w:rPr>
      </w:pPr>
    </w:p>
    <w:p w14:paraId="3BA4B0FE">
      <w:pPr>
        <w:pStyle w:val="69"/>
        <w:rPr>
          <w:lang w:eastAsia="zh-CN"/>
        </w:rPr>
      </w:pPr>
    </w:p>
    <w:p w14:paraId="661CAEF2">
      <w:pPr>
        <w:pStyle w:val="69"/>
        <w:rPr>
          <w:lang w:eastAsia="zh-CN"/>
        </w:rPr>
      </w:pPr>
    </w:p>
    <w:p w14:paraId="7355A9F1">
      <w:pPr>
        <w:pStyle w:val="69"/>
        <w:rPr>
          <w:lang w:eastAsia="zh-CN"/>
        </w:rPr>
      </w:pPr>
    </w:p>
    <w:p w14:paraId="1083162D">
      <w:pPr>
        <w:pStyle w:val="69"/>
        <w:rPr>
          <w:lang w:eastAsia="zh-CN"/>
        </w:rPr>
      </w:pPr>
    </w:p>
    <w:p w14:paraId="79D172B5">
      <w:pPr>
        <w:pStyle w:val="69"/>
        <w:rPr>
          <w:lang w:eastAsia="zh-CN"/>
        </w:rPr>
      </w:pPr>
    </w:p>
    <w:p w14:paraId="24BD6AB7">
      <w:pPr>
        <w:numPr>
          <w:ilvl w:val="0"/>
          <w:numId w:val="0"/>
        </w:numPr>
        <w:spacing w:line="360" w:lineRule="auto"/>
        <w:jc w:val="both"/>
        <w:outlineLvl w:val="0"/>
        <w:rPr>
          <w:rFonts w:ascii="宋体" w:hAnsi="宋体" w:eastAsia="宋体" w:cs="宋体"/>
          <w:b/>
          <w:bCs/>
          <w:color w:val="000000"/>
          <w:sz w:val="28"/>
          <w:szCs w:val="28"/>
          <w:highlight w:val="none"/>
          <w:lang w:eastAsia="zh-CN"/>
        </w:rPr>
      </w:pPr>
      <w:r>
        <w:rPr>
          <w:rFonts w:ascii="宋体" w:hAnsi="宋体" w:cs="宋体"/>
          <w:b/>
          <w:bCs/>
          <w:color w:val="000000"/>
          <w:sz w:val="28"/>
          <w:szCs w:val="28"/>
          <w:lang w:eastAsia="zh-CN"/>
        </w:rPr>
        <w:t>附件：</w:t>
      </w:r>
    </w:p>
    <w:p w14:paraId="42CAE965">
      <w:pPr>
        <w:numPr>
          <w:ilvl w:val="0"/>
          <w:numId w:val="0"/>
        </w:numPr>
        <w:spacing w:line="360" w:lineRule="auto"/>
        <w:jc w:val="center"/>
        <w:outlineLvl w:val="0"/>
        <w:rPr>
          <w:rFonts w:ascii="宋体" w:hAnsi="宋体" w:eastAsia="宋体" w:cs="宋体"/>
          <w:color w:val="000000"/>
          <w:sz w:val="21"/>
          <w:szCs w:val="21"/>
          <w:highlight w:val="none"/>
        </w:rPr>
      </w:pPr>
      <w:r>
        <w:rPr>
          <w:rFonts w:ascii="宋体" w:hAnsi="宋体" w:cs="宋体"/>
          <w:b/>
          <w:bCs/>
          <w:color w:val="000000"/>
          <w:sz w:val="28"/>
          <w:szCs w:val="28"/>
          <w:lang w:eastAsia="zh-CN"/>
        </w:rPr>
        <w:t>政府采购投诉书（范本）、质疑函范本</w:t>
      </w:r>
    </w:p>
    <w:p w14:paraId="4F3DAA57">
      <w:pPr>
        <w:keepNext w:val="0"/>
        <w:keepLines w:val="0"/>
        <w:pageBreakBefore w:val="0"/>
        <w:widowControl/>
        <w:kinsoku/>
        <w:overflowPunct/>
        <w:autoSpaceDE/>
        <w:bidi w:val="0"/>
        <w:snapToGrid/>
        <w:spacing w:line="360" w:lineRule="auto"/>
        <w:ind w:firstLine="420"/>
        <w:jc w:val="center"/>
        <w:textAlignment w:val="auto"/>
        <w:rPr>
          <w:rFonts w:ascii="宋体" w:hAnsi="宋体" w:eastAsia="宋体" w:cs="宋体"/>
          <w:b/>
          <w:bCs/>
          <w:color w:val="000000"/>
          <w:sz w:val="22"/>
          <w:szCs w:val="22"/>
          <w:highlight w:val="none"/>
          <w:lang w:val="en-US" w:eastAsia="zh-CN"/>
        </w:rPr>
      </w:pPr>
      <w:r>
        <w:rPr>
          <w:rFonts w:ascii="宋体" w:hAnsi="宋体" w:cs="宋体"/>
          <w:b/>
          <w:bCs/>
          <w:color w:val="000000"/>
          <w:sz w:val="22"/>
          <w:szCs w:val="22"/>
          <w:lang w:val="en-US" w:eastAsia="zh-CN"/>
        </w:rPr>
        <w:t>投 诉 书</w:t>
      </w:r>
    </w:p>
    <w:p w14:paraId="4C1C751D">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一、投诉相关主体基本情况</w:t>
      </w:r>
    </w:p>
    <w:p w14:paraId="7A027A5D">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投诉人：                           </w:t>
      </w:r>
    </w:p>
    <w:p w14:paraId="1325B573">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 编：             </w:t>
      </w:r>
    </w:p>
    <w:p w14:paraId="0CBE3A56">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法定代表人</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 xml:space="preserve">主要负责人：                             </w:t>
      </w:r>
    </w:p>
    <w:p w14:paraId="4C55F7D2">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联系电话：                                          </w:t>
      </w:r>
    </w:p>
    <w:p w14:paraId="04E0FD7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 编：             </w:t>
      </w:r>
    </w:p>
    <w:p w14:paraId="4E0F193A">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授权代表（如有）：                         </w:t>
      </w:r>
    </w:p>
    <w:p w14:paraId="3B5C923B">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联系电话：                                      </w:t>
      </w:r>
    </w:p>
    <w:p w14:paraId="56A52F7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 编：                  </w:t>
      </w:r>
    </w:p>
    <w:p w14:paraId="4F719897">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被投诉人</w:t>
      </w: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 xml:space="preserve">：                                </w:t>
      </w:r>
    </w:p>
    <w:p w14:paraId="07D82CFB">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 编：             </w:t>
      </w:r>
    </w:p>
    <w:p w14:paraId="6B345387">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联系人：                        联系电话：               </w:t>
      </w:r>
    </w:p>
    <w:p w14:paraId="64F9965C">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被投诉人</w:t>
      </w: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 xml:space="preserve">：                                           </w:t>
      </w:r>
    </w:p>
    <w:p w14:paraId="414C1BC9">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相关供应商（如有）：                                       </w:t>
      </w:r>
    </w:p>
    <w:p w14:paraId="4BD1857C">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邮编：                 </w:t>
      </w:r>
    </w:p>
    <w:p w14:paraId="56D413CF">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联系人：                        联系电话：               </w:t>
      </w:r>
    </w:p>
    <w:p w14:paraId="01123792">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二、投诉项目基本情况</w:t>
      </w:r>
    </w:p>
    <w:p w14:paraId="0399112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采购项目名称：</w:t>
      </w:r>
    </w:p>
    <w:p w14:paraId="771CC04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采购项目编号：        包号：</w:t>
      </w:r>
    </w:p>
    <w:p w14:paraId="4545FCC8">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采购人名称：</w:t>
      </w:r>
    </w:p>
    <w:p w14:paraId="05215C3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代理机构名称：</w:t>
      </w:r>
    </w:p>
    <w:p w14:paraId="40CD8433">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采购文件公告：是</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否 公告期限：</w:t>
      </w:r>
    </w:p>
    <w:p w14:paraId="610AD158">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采购结果公告：是</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否 公告期限：</w:t>
      </w:r>
    </w:p>
    <w:p w14:paraId="41FA842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三、质疑基本情况</w:t>
      </w:r>
    </w:p>
    <w:p w14:paraId="693B49A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投诉人于    年  月  日，向       提出质疑，</w:t>
      </w:r>
    </w:p>
    <w:p w14:paraId="68672CB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质疑事项为：</w:t>
      </w:r>
    </w:p>
    <w:p w14:paraId="734A52C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采购人</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代理机构于    年  月  日，就质疑事项做出了答复</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没有在法定期限内做出答复。</w:t>
      </w:r>
    </w:p>
    <w:p w14:paraId="3C6D71EF">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四、投诉事项具体内容</w:t>
      </w:r>
    </w:p>
    <w:p w14:paraId="15FD1684">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投诉事项</w:t>
      </w: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w:t>
      </w:r>
    </w:p>
    <w:p w14:paraId="08661F84">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事实依据：</w:t>
      </w:r>
    </w:p>
    <w:p w14:paraId="77B2E8E8">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法律依据</w:t>
      </w: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w:t>
      </w:r>
    </w:p>
    <w:p w14:paraId="16934867">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法律依据</w:t>
      </w: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w:t>
      </w:r>
    </w:p>
    <w:p w14:paraId="798E4D1C">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投诉事项</w:t>
      </w: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w:t>
      </w:r>
    </w:p>
    <w:p w14:paraId="1BFDD7ED">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w:t>
      </w:r>
    </w:p>
    <w:p w14:paraId="13FD79A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五、与投诉事项相关的投诉请求</w:t>
      </w:r>
    </w:p>
    <w:p w14:paraId="4FAC054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请求：</w:t>
      </w:r>
    </w:p>
    <w:p w14:paraId="6D52065A">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p>
    <w:p w14:paraId="7CD970C7">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签字（签章）（法人代表或负责人、代理人）：       </w:t>
      </w:r>
    </w:p>
    <w:p w14:paraId="623492A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公章（单位）：               </w:t>
      </w:r>
    </w:p>
    <w:p w14:paraId="63F3821A">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日期：</w:t>
      </w:r>
    </w:p>
    <w:p w14:paraId="77EB34EC">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附件：质疑及答复材料</w:t>
      </w:r>
    </w:p>
    <w:p w14:paraId="37D5D9E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投诉书制作说明：</w:t>
      </w:r>
    </w:p>
    <w:p w14:paraId="36229602">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投诉人应当按照《政府采购质疑和投诉办法》（财政部令第</w:t>
      </w:r>
      <w:r>
        <w:rPr>
          <w:rFonts w:ascii="宋体" w:hAnsi="宋体" w:eastAsia="宋体" w:cs="宋体"/>
          <w:color w:val="000000"/>
          <w:sz w:val="21"/>
          <w:szCs w:val="21"/>
          <w:lang w:val="en-US" w:eastAsia="zh-CN"/>
        </w:rPr>
        <w:t>94</w:t>
      </w:r>
      <w:r>
        <w:rPr>
          <w:rFonts w:ascii="宋体" w:hAnsi="宋体" w:cs="宋体"/>
          <w:color w:val="000000"/>
          <w:sz w:val="21"/>
          <w:szCs w:val="21"/>
          <w:lang w:val="en-US" w:eastAsia="zh-CN"/>
        </w:rPr>
        <w:t>号）规定提起投诉。</w:t>
      </w:r>
    </w:p>
    <w:p w14:paraId="34DE59B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投诉人提起投诉时，应当提交投诉书和必要的证明材料，并按照被投诉人和与投诉事项有关的供应商数量提供投诉书副本。</w:t>
      </w:r>
    </w:p>
    <w:p w14:paraId="2CAC14B0">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3.</w:t>
      </w:r>
      <w:r>
        <w:rPr>
          <w:rFonts w:ascii="宋体" w:hAnsi="宋体" w:cs="宋体"/>
          <w:color w:val="000000"/>
          <w:sz w:val="21"/>
          <w:szCs w:val="21"/>
          <w:lang w:val="en-US" w:eastAsia="zh-CN"/>
        </w:rPr>
        <w:t>投诉人若委托代理人进行投诉的，投诉书应按照要求列明“授权代表”的有关内容，并在附件中提交由投诉人签署的授权委托书。授权委托书应当载明代理人的姓名或者名称、代理事项、具体权限、期限和相关事项。</w:t>
      </w:r>
    </w:p>
    <w:p w14:paraId="442111A9">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4.</w:t>
      </w:r>
      <w:r>
        <w:rPr>
          <w:rFonts w:ascii="宋体" w:hAnsi="宋体" w:cs="宋体"/>
          <w:color w:val="000000"/>
          <w:sz w:val="21"/>
          <w:szCs w:val="21"/>
          <w:lang w:val="en-US" w:eastAsia="zh-CN"/>
        </w:rPr>
        <w:t>投诉人若对项目的某一分包进行投诉，投诉书应列明具体分包号。</w:t>
      </w:r>
    </w:p>
    <w:p w14:paraId="13CB4CAB">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5.</w:t>
      </w:r>
      <w:r>
        <w:rPr>
          <w:rFonts w:ascii="宋体" w:hAnsi="宋体" w:cs="宋体"/>
          <w:color w:val="000000"/>
          <w:sz w:val="21"/>
          <w:szCs w:val="21"/>
          <w:lang w:val="en-US" w:eastAsia="zh-CN"/>
        </w:rPr>
        <w:t>投诉书应简要列明质疑事项，质疑函、质疑答复等作为附件材料提供。</w:t>
      </w:r>
    </w:p>
    <w:p w14:paraId="0C72AE5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6.</w:t>
      </w:r>
      <w:r>
        <w:rPr>
          <w:rFonts w:ascii="宋体" w:hAnsi="宋体" w:cs="宋体"/>
          <w:color w:val="000000"/>
          <w:sz w:val="21"/>
          <w:szCs w:val="21"/>
          <w:lang w:val="en-US" w:eastAsia="zh-CN"/>
        </w:rPr>
        <w:t>投诉书的投诉事项应具体、明确，并由必要的事实依据和法律依据。</w:t>
      </w:r>
    </w:p>
    <w:p w14:paraId="43A4A004">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7.</w:t>
      </w:r>
      <w:r>
        <w:rPr>
          <w:rFonts w:ascii="宋体" w:hAnsi="宋体" w:cs="宋体"/>
          <w:color w:val="000000"/>
          <w:sz w:val="21"/>
          <w:szCs w:val="21"/>
          <w:lang w:val="en-US" w:eastAsia="zh-CN"/>
        </w:rPr>
        <w:t>投诉书的投诉请求应与投诉事项相关。</w:t>
      </w:r>
    </w:p>
    <w:p w14:paraId="477692B3">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b/>
          <w:bCs/>
          <w:color w:val="000000"/>
          <w:sz w:val="32"/>
          <w:szCs w:val="32"/>
          <w:highlight w:val="none"/>
        </w:rPr>
      </w:pPr>
      <w:r>
        <w:rPr>
          <w:rFonts w:ascii="宋体" w:hAnsi="宋体" w:eastAsia="宋体" w:cs="宋体"/>
          <w:color w:val="000000"/>
          <w:sz w:val="21"/>
          <w:szCs w:val="21"/>
          <w:lang w:val="en-US" w:eastAsia="zh-CN"/>
        </w:rPr>
        <w:t>8.</w:t>
      </w:r>
      <w:r>
        <w:rPr>
          <w:rFonts w:ascii="宋体" w:hAnsi="宋体" w:cs="宋体"/>
          <w:color w:val="000000"/>
          <w:sz w:val="21"/>
          <w:szCs w:val="21"/>
          <w:lang w:val="en-US" w:eastAsia="zh-CN"/>
        </w:rPr>
        <w:t>投诉人为自然人的，投诉书应当由本人签字；投诉书应当由法定代表人、主要负责人，或者其授权代表签字或者盖章，并加盖公章。</w:t>
      </w:r>
    </w:p>
    <w:p w14:paraId="37A55AC1">
      <w:pPr>
        <w:numPr>
          <w:ilvl w:val="0"/>
          <w:numId w:val="0"/>
        </w:numPr>
        <w:spacing w:line="360" w:lineRule="auto"/>
        <w:jc w:val="center"/>
        <w:outlineLvl w:val="0"/>
        <w:rPr>
          <w:rFonts w:ascii="宋体" w:hAnsi="宋体" w:eastAsia="宋体" w:cs="宋体"/>
          <w:b/>
          <w:bCs/>
          <w:color w:val="000000"/>
          <w:sz w:val="28"/>
          <w:szCs w:val="28"/>
          <w:highlight w:val="none"/>
          <w:lang w:eastAsia="zh-CN"/>
        </w:rPr>
      </w:pPr>
    </w:p>
    <w:p w14:paraId="36314E03">
      <w:pPr>
        <w:numPr>
          <w:ilvl w:val="0"/>
          <w:numId w:val="0"/>
        </w:numPr>
        <w:spacing w:line="360" w:lineRule="auto"/>
        <w:jc w:val="center"/>
        <w:outlineLvl w:val="0"/>
        <w:rPr>
          <w:rFonts w:ascii="宋体" w:hAnsi="宋体" w:eastAsia="宋体" w:cs="宋体"/>
          <w:b/>
          <w:bCs/>
          <w:color w:val="000000"/>
          <w:sz w:val="28"/>
          <w:szCs w:val="28"/>
          <w:highlight w:val="none"/>
          <w:lang w:eastAsia="zh-CN"/>
        </w:rPr>
      </w:pPr>
    </w:p>
    <w:p w14:paraId="5F185791">
      <w:pPr>
        <w:numPr>
          <w:ilvl w:val="0"/>
          <w:numId w:val="0"/>
        </w:numPr>
        <w:spacing w:line="360" w:lineRule="auto"/>
        <w:jc w:val="center"/>
        <w:outlineLvl w:val="0"/>
        <w:rPr>
          <w:rFonts w:ascii="宋体" w:hAnsi="宋体" w:cs="宋体"/>
          <w:b/>
          <w:bCs/>
          <w:color w:val="000000"/>
          <w:sz w:val="28"/>
          <w:szCs w:val="28"/>
          <w:lang w:eastAsia="zh-CN"/>
        </w:rPr>
      </w:pPr>
    </w:p>
    <w:p w14:paraId="4F819603">
      <w:pPr>
        <w:numPr>
          <w:ilvl w:val="0"/>
          <w:numId w:val="0"/>
        </w:numPr>
        <w:spacing w:line="360" w:lineRule="auto"/>
        <w:jc w:val="center"/>
        <w:outlineLvl w:val="0"/>
        <w:rPr>
          <w:rFonts w:ascii="宋体" w:hAnsi="宋体" w:eastAsia="宋体" w:cs="宋体"/>
          <w:b/>
          <w:bCs/>
          <w:color w:val="000000"/>
          <w:sz w:val="28"/>
          <w:szCs w:val="28"/>
          <w:highlight w:val="none"/>
          <w:lang w:eastAsia="zh-CN"/>
        </w:rPr>
      </w:pPr>
      <w:r>
        <w:rPr>
          <w:rFonts w:ascii="宋体" w:hAnsi="宋体" w:cs="宋体"/>
          <w:b/>
          <w:bCs/>
          <w:color w:val="000000"/>
          <w:sz w:val="28"/>
          <w:szCs w:val="28"/>
          <w:lang w:eastAsia="zh-CN"/>
        </w:rPr>
        <w:t>投诉相关说明</w:t>
      </w:r>
    </w:p>
    <w:p w14:paraId="02BCF466">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rPr>
      </w:pPr>
      <w:r>
        <w:rPr>
          <w:rFonts w:ascii="宋体" w:hAnsi="宋体" w:cs="宋体"/>
          <w:color w:val="000000"/>
          <w:sz w:val="21"/>
          <w:szCs w:val="21"/>
        </w:rPr>
        <w:t>投诉人应当满足《政府采购法》、《政府采购法实施条例》和《政府采购供应商投诉处理办法》的相关规定。</w:t>
      </w:r>
    </w:p>
    <w:p w14:paraId="22EF3B40">
      <w:pPr>
        <w:keepNext w:val="0"/>
        <w:keepLines w:val="0"/>
        <w:pageBreakBefore w:val="0"/>
        <w:numPr>
          <w:ilvl w:val="0"/>
          <w:numId w:val="6"/>
        </w:numPr>
        <w:kinsoku/>
        <w:overflowPunct/>
        <w:autoSpaceDE/>
        <w:bidi w:val="0"/>
        <w:snapToGrid/>
        <w:spacing w:line="360" w:lineRule="auto"/>
        <w:ind w:left="3998" w:hanging="3360"/>
        <w:textAlignment w:val="auto"/>
        <w:outlineLvl w:val="0"/>
        <w:rPr>
          <w:rFonts w:ascii="宋体" w:hAnsi="宋体" w:eastAsia="宋体" w:cs="宋体"/>
          <w:b/>
          <w:bCs/>
          <w:color w:val="000000"/>
          <w:sz w:val="21"/>
          <w:szCs w:val="21"/>
          <w:highlight w:val="none"/>
        </w:rPr>
      </w:pPr>
      <w:r>
        <w:rPr>
          <w:rFonts w:ascii="宋体" w:hAnsi="宋体" w:cs="宋体"/>
          <w:b/>
          <w:bCs/>
          <w:color w:val="000000"/>
          <w:sz w:val="21"/>
          <w:szCs w:val="21"/>
        </w:rPr>
        <w:t>质疑前置及时间要求</w:t>
      </w:r>
    </w:p>
    <w:p w14:paraId="0EED2413">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kern w:val="0"/>
          <w:sz w:val="21"/>
          <w:szCs w:val="21"/>
          <w:highlight w:val="none"/>
          <w:shd w:val="clear" w:fill="FFFFFF"/>
        </w:rPr>
      </w:pPr>
      <w:r>
        <w:rPr>
          <w:rFonts w:ascii="宋体" w:hAnsi="宋体" w:cs="宋体"/>
          <w:color w:val="000000"/>
          <w:sz w:val="21"/>
          <w:szCs w:val="21"/>
        </w:rPr>
        <w:t>《中华人民共和国政府采购法》</w:t>
      </w:r>
      <w:r>
        <w:rPr>
          <w:rFonts w:ascii="宋体" w:hAnsi="宋体" w:cs="宋体"/>
          <w:color w:val="000000"/>
          <w:kern w:val="0"/>
          <w:sz w:val="21"/>
          <w:szCs w:val="21"/>
          <w:shd w:val="clear" w:fill="FFFFFF"/>
        </w:rPr>
        <w:t>第五十一条：供应商对政府采购活动事项有疑问的，可以向采购人提出询问，采购人应当及时作出答复，但答复的内容不得涉及商业秘密。</w:t>
      </w:r>
    </w:p>
    <w:p w14:paraId="40EB63B2">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rPr>
      </w:pPr>
      <w:r>
        <w:rPr>
          <w:rFonts w:ascii="宋体" w:hAnsi="宋体" w:eastAsia="宋体" w:cs="宋体"/>
          <w:color w:val="000000"/>
          <w:kern w:val="0"/>
          <w:sz w:val="21"/>
          <w:szCs w:val="21"/>
          <w:shd w:val="clear" w:fill="FFFFFF"/>
        </w:rPr>
        <w:t xml:space="preserve"> </w:t>
      </w:r>
      <w:r>
        <w:rPr>
          <w:rFonts w:ascii="宋体" w:hAnsi="宋体" w:cs="宋体"/>
          <w:color w:val="000000"/>
          <w:kern w:val="0"/>
          <w:sz w:val="21"/>
          <w:szCs w:val="21"/>
          <w:shd w:val="clear" w:fill="FFFFFF"/>
        </w:rPr>
        <w:t>第五十二条：供应商认为采购文件、采购过程和</w:t>
      </w:r>
      <w:r>
        <w:rPr>
          <w:rFonts w:ascii="宋体" w:hAnsi="宋体" w:cs="宋体"/>
          <w:color w:val="000000"/>
          <w:kern w:val="0"/>
          <w:sz w:val="21"/>
          <w:szCs w:val="21"/>
          <w:shd w:val="clear" w:fill="FFFFFF"/>
          <w:lang w:eastAsia="zh-CN"/>
        </w:rPr>
        <w:t>成交</w:t>
      </w:r>
      <w:r>
        <w:rPr>
          <w:rFonts w:ascii="宋体" w:hAnsi="宋体" w:cs="宋体"/>
          <w:color w:val="000000"/>
          <w:kern w:val="0"/>
          <w:sz w:val="21"/>
          <w:szCs w:val="21"/>
          <w:shd w:val="clear" w:fill="FFFFFF"/>
        </w:rPr>
        <w:t>、</w:t>
      </w:r>
      <w:r>
        <w:rPr>
          <w:rFonts w:ascii="宋体" w:hAnsi="宋体" w:cs="宋体"/>
          <w:color w:val="000000"/>
          <w:kern w:val="0"/>
          <w:sz w:val="21"/>
          <w:szCs w:val="21"/>
          <w:shd w:val="clear" w:fill="FFFFFF"/>
          <w:lang w:eastAsia="zh-CN"/>
        </w:rPr>
        <w:t>成交</w:t>
      </w:r>
      <w:r>
        <w:rPr>
          <w:rFonts w:ascii="宋体" w:hAnsi="宋体" w:cs="宋体"/>
          <w:color w:val="000000"/>
          <w:kern w:val="0"/>
          <w:sz w:val="21"/>
          <w:szCs w:val="21"/>
          <w:shd w:val="clear" w:fill="FFFFFF"/>
        </w:rPr>
        <w:t>结果使自己的权益受到损害的，可以在知道或者应知其权益受到损害之日起七个工作日内，以书面形式向采购人提出质疑。</w:t>
      </w:r>
    </w:p>
    <w:p w14:paraId="2417179B">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kern w:val="0"/>
          <w:sz w:val="21"/>
          <w:szCs w:val="21"/>
          <w:highlight w:val="none"/>
          <w:shd w:val="clear" w:fill="FFFFFF"/>
        </w:rPr>
      </w:pPr>
      <w:r>
        <w:rPr>
          <w:rFonts w:ascii="宋体" w:hAnsi="宋体" w:eastAsia="宋体" w:cs="宋体"/>
          <w:color w:val="000000"/>
          <w:kern w:val="0"/>
          <w:sz w:val="21"/>
          <w:szCs w:val="21"/>
          <w:shd w:val="clear" w:fill="FFFFFF"/>
        </w:rPr>
        <w:t xml:space="preserve"> </w:t>
      </w:r>
      <w:r>
        <w:rPr>
          <w:rFonts w:ascii="宋体" w:hAnsi="宋体" w:cs="宋体"/>
          <w:color w:val="000000"/>
          <w:kern w:val="0"/>
          <w:sz w:val="21"/>
          <w:szCs w:val="21"/>
          <w:shd w:val="clear" w:fill="FFFFFF"/>
        </w:rPr>
        <w:t>第五十三条：采购人应当在收到供应商的书面质疑后七个工作日内作出答复，并以书面形式通知质疑供应商和其他有关供应商，但答复的内容不得涉及商业秘密。</w:t>
      </w:r>
    </w:p>
    <w:p w14:paraId="074C3F76">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kern w:val="0"/>
          <w:sz w:val="21"/>
          <w:szCs w:val="21"/>
          <w:highlight w:val="none"/>
          <w:shd w:val="clear" w:fill="FFFFFF"/>
        </w:rPr>
      </w:pPr>
      <w:r>
        <w:rPr>
          <w:rFonts w:ascii="宋体" w:hAnsi="宋体" w:eastAsia="宋体" w:cs="宋体"/>
          <w:color w:val="000000"/>
          <w:kern w:val="0"/>
          <w:sz w:val="21"/>
          <w:szCs w:val="21"/>
          <w:shd w:val="clear" w:fill="FFFFFF"/>
        </w:rPr>
        <w:t xml:space="preserve"> </w:t>
      </w:r>
      <w:r>
        <w:rPr>
          <w:rFonts w:ascii="宋体" w:hAnsi="宋体" w:cs="宋体"/>
          <w:color w:val="000000"/>
          <w:kern w:val="0"/>
          <w:sz w:val="21"/>
          <w:szCs w:val="21"/>
          <w:shd w:val="clear" w:fill="FFFFFF"/>
        </w:rPr>
        <w:t>第五十五条</w:t>
      </w:r>
      <w:r>
        <w:rPr>
          <w:rFonts w:ascii="宋体" w:hAnsi="宋体" w:eastAsia="宋体" w:cs="宋体"/>
          <w:color w:val="000000"/>
          <w:kern w:val="0"/>
          <w:sz w:val="21"/>
          <w:szCs w:val="21"/>
          <w:shd w:val="clear" w:fill="FFFFFF"/>
        </w:rPr>
        <w:t>:</w:t>
      </w:r>
      <w:r>
        <w:rPr>
          <w:rFonts w:ascii="宋体" w:hAnsi="宋体" w:cs="宋体"/>
          <w:color w:val="000000"/>
          <w:kern w:val="0"/>
          <w:sz w:val="21"/>
          <w:szCs w:val="21"/>
          <w:shd w:val="clear" w:fill="FFFFFF"/>
        </w:rPr>
        <w:t>质疑供应商对采购人、采购代理机构的答复不满意或者采购人、采购代理机构未在规定的时间内作出答复的，可以在答复期满后十五个工作日内向同级政府采购监督管理部门投诉。</w:t>
      </w:r>
    </w:p>
    <w:p w14:paraId="7DFA76BA">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kern w:val="0"/>
          <w:sz w:val="21"/>
          <w:szCs w:val="21"/>
          <w:highlight w:val="none"/>
          <w:shd w:val="clear" w:fill="FFFFFF"/>
        </w:rPr>
      </w:pPr>
      <w:r>
        <w:rPr>
          <w:rFonts w:ascii="宋体" w:hAnsi="宋体" w:eastAsia="宋体" w:cs="宋体"/>
          <w:color w:val="000000"/>
          <w:kern w:val="0"/>
          <w:sz w:val="21"/>
          <w:szCs w:val="21"/>
          <w:shd w:val="clear" w:fill="FFFFFF"/>
        </w:rPr>
        <w:t xml:space="preserve">  </w:t>
      </w:r>
      <w:r>
        <w:rPr>
          <w:rFonts w:ascii="宋体" w:hAnsi="宋体" w:cs="宋体"/>
          <w:color w:val="000000"/>
          <w:kern w:val="0"/>
          <w:sz w:val="21"/>
          <w:szCs w:val="21"/>
          <w:shd w:val="clear" w:fill="FFFFFF"/>
        </w:rPr>
        <w:t>《政府采购实施条例》第五十五条：供应商质疑、投诉应当有明确的请求和必要的证明材料。供应商投诉的事项不得超出质疑事项的范围。</w:t>
      </w:r>
    </w:p>
    <w:p w14:paraId="0D26A300">
      <w:pPr>
        <w:keepNext w:val="0"/>
        <w:keepLines w:val="0"/>
        <w:pageBreakBefore w:val="0"/>
        <w:kinsoku/>
        <w:overflowPunct/>
        <w:autoSpaceDE/>
        <w:bidi w:val="0"/>
        <w:snapToGrid/>
        <w:spacing w:line="360" w:lineRule="auto"/>
        <w:textAlignment w:val="auto"/>
        <w:rPr>
          <w:rFonts w:ascii="宋体" w:hAnsi="宋体" w:eastAsia="宋体" w:cs="宋体"/>
          <w:color w:val="000000"/>
          <w:kern w:val="0"/>
          <w:sz w:val="21"/>
          <w:szCs w:val="21"/>
          <w:highlight w:val="none"/>
          <w:shd w:val="clear" w:fill="FFFFFF"/>
        </w:rPr>
      </w:pPr>
    </w:p>
    <w:p w14:paraId="1F0A00B6">
      <w:pPr>
        <w:keepNext w:val="0"/>
        <w:keepLines w:val="0"/>
        <w:pageBreakBefore w:val="0"/>
        <w:numPr>
          <w:ilvl w:val="0"/>
          <w:numId w:val="0"/>
        </w:numPr>
        <w:kinsoku/>
        <w:overflowPunct/>
        <w:autoSpaceDE/>
        <w:bidi w:val="0"/>
        <w:snapToGrid/>
        <w:spacing w:line="360" w:lineRule="auto"/>
        <w:textAlignment w:val="auto"/>
        <w:outlineLvl w:val="0"/>
        <w:rPr>
          <w:rFonts w:ascii="宋体" w:hAnsi="宋体" w:eastAsia="宋体" w:cs="宋体"/>
          <w:color w:val="000000"/>
          <w:sz w:val="21"/>
          <w:szCs w:val="21"/>
          <w:highlight w:val="none"/>
        </w:rPr>
      </w:pPr>
      <w:r>
        <w:rPr>
          <w:rFonts w:ascii="宋体" w:hAnsi="宋体" w:cs="宋体"/>
          <w:b/>
          <w:bCs/>
          <w:color w:val="000000"/>
          <w:sz w:val="21"/>
          <w:szCs w:val="21"/>
        </w:rPr>
        <w:t>二、书面方式</w:t>
      </w:r>
    </w:p>
    <w:p w14:paraId="6904204B">
      <w:pPr>
        <w:keepNext w:val="0"/>
        <w:keepLines w:val="0"/>
        <w:pageBreakBefore w:val="0"/>
        <w:kinsoku/>
        <w:overflowPunct/>
        <w:autoSpaceDE/>
        <w:bidi w:val="0"/>
        <w:snapToGrid/>
        <w:spacing w:line="360" w:lineRule="auto"/>
        <w:textAlignment w:val="auto"/>
        <w:rPr>
          <w:rFonts w:ascii="宋体" w:hAnsi="宋体" w:cs="宋体"/>
          <w:color w:val="000000"/>
          <w:sz w:val="21"/>
          <w:szCs w:val="21"/>
        </w:rPr>
      </w:pPr>
      <w:r>
        <w:rPr>
          <w:rFonts w:ascii="宋体" w:hAnsi="宋体" w:cs="宋体"/>
          <w:color w:val="000000"/>
          <w:sz w:val="21"/>
          <w:szCs w:val="21"/>
        </w:rPr>
        <w:t>《政府采购供应商投诉处理办法》第八条：投诉人投诉时，应当提交投诉书，并按照被投诉人以及与投诉事项有关的供应商数量提供投诉书的副本。</w:t>
      </w:r>
    </w:p>
    <w:p w14:paraId="2B6C74B6">
      <w:pPr>
        <w:keepNext w:val="0"/>
        <w:keepLines w:val="0"/>
        <w:pageBreakBefore w:val="0"/>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投诉书应当包括下列主要内容：</w:t>
      </w:r>
    </w:p>
    <w:p w14:paraId="0CD06C57">
      <w:pPr>
        <w:keepNext w:val="0"/>
        <w:keepLines w:val="0"/>
        <w:pageBreakBefore w:val="0"/>
        <w:numPr>
          <w:ilvl w:val="0"/>
          <w:numId w:val="7"/>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投诉人和被投诉人的名称、地址、电话等；</w:t>
      </w:r>
    </w:p>
    <w:p w14:paraId="7C6493D1">
      <w:pPr>
        <w:keepNext w:val="0"/>
        <w:keepLines w:val="0"/>
        <w:pageBreakBefore w:val="0"/>
        <w:numPr>
          <w:ilvl w:val="0"/>
          <w:numId w:val="7"/>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具体的投诉事项及事实依据；</w:t>
      </w:r>
    </w:p>
    <w:p w14:paraId="2D65CE3F">
      <w:pPr>
        <w:keepNext w:val="0"/>
        <w:keepLines w:val="0"/>
        <w:pageBreakBefore w:val="0"/>
        <w:numPr>
          <w:ilvl w:val="0"/>
          <w:numId w:val="7"/>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质疑和质疑答复情况及相关证明材料；</w:t>
      </w:r>
    </w:p>
    <w:p w14:paraId="597E3B41">
      <w:pPr>
        <w:keepNext w:val="0"/>
        <w:keepLines w:val="0"/>
        <w:pageBreakBefore w:val="0"/>
        <w:numPr>
          <w:ilvl w:val="0"/>
          <w:numId w:val="7"/>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提起投诉的日期。</w:t>
      </w:r>
    </w:p>
    <w:p w14:paraId="38C60849">
      <w:pPr>
        <w:keepNext w:val="0"/>
        <w:keepLines w:val="0"/>
        <w:pageBreakBefore w:val="0"/>
        <w:kinsoku/>
        <w:overflowPunct/>
        <w:autoSpaceDE/>
        <w:bidi w:val="0"/>
        <w:snapToGrid/>
        <w:spacing w:line="360" w:lineRule="auto"/>
        <w:ind w:firstLine="645"/>
        <w:textAlignment w:val="auto"/>
        <w:rPr>
          <w:rFonts w:ascii="宋体" w:hAnsi="宋体" w:eastAsia="宋体" w:cs="宋体"/>
          <w:color w:val="000000"/>
          <w:sz w:val="21"/>
          <w:szCs w:val="21"/>
          <w:highlight w:val="none"/>
        </w:rPr>
      </w:pPr>
      <w:r>
        <w:rPr>
          <w:rFonts w:ascii="宋体" w:hAnsi="宋体" w:cs="宋体"/>
          <w:color w:val="000000"/>
          <w:sz w:val="21"/>
          <w:szCs w:val="21"/>
        </w:rPr>
        <w:t>投诉书应当署名。投诉人为自然人，应当由本人签字；投诉人为法人或者其他组织的，应当由法定代表人或者主要负责人签字并加盖公章。</w:t>
      </w:r>
    </w:p>
    <w:p w14:paraId="6CEF882F">
      <w:pPr>
        <w:keepNext w:val="0"/>
        <w:keepLines w:val="0"/>
        <w:pageBreakBefore w:val="0"/>
        <w:kinsoku/>
        <w:overflowPunct/>
        <w:autoSpaceDE/>
        <w:bidi w:val="0"/>
        <w:snapToGrid/>
        <w:spacing w:line="360" w:lineRule="auto"/>
        <w:ind w:firstLine="645"/>
        <w:textAlignment w:val="auto"/>
        <w:rPr>
          <w:rFonts w:ascii="宋体" w:hAnsi="宋体" w:eastAsia="宋体" w:cs="宋体"/>
          <w:color w:val="000000"/>
          <w:sz w:val="21"/>
          <w:szCs w:val="21"/>
          <w:highlight w:val="none"/>
        </w:rPr>
      </w:pPr>
      <w:r>
        <w:rPr>
          <w:rFonts w:ascii="宋体" w:hAnsi="宋体" w:cs="宋体"/>
          <w:color w:val="000000"/>
          <w:sz w:val="21"/>
          <w:szCs w:val="21"/>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7729AD45">
      <w:pPr>
        <w:keepNext w:val="0"/>
        <w:keepLines w:val="0"/>
        <w:pageBreakBefore w:val="0"/>
        <w:kinsoku/>
        <w:overflowPunct/>
        <w:autoSpaceDE/>
        <w:bidi w:val="0"/>
        <w:snapToGrid/>
        <w:spacing w:line="360" w:lineRule="auto"/>
        <w:ind w:firstLine="645"/>
        <w:textAlignment w:val="auto"/>
        <w:rPr>
          <w:rFonts w:ascii="宋体" w:hAnsi="宋体" w:eastAsia="宋体" w:cs="宋体"/>
          <w:color w:val="000000"/>
          <w:sz w:val="21"/>
          <w:szCs w:val="21"/>
          <w:highlight w:val="none"/>
        </w:rPr>
      </w:pPr>
      <w:r>
        <w:rPr>
          <w:rFonts w:ascii="宋体" w:hAnsi="宋体" w:cs="宋体"/>
          <w:color w:val="000000"/>
          <w:sz w:val="21"/>
          <w:szCs w:val="21"/>
        </w:rPr>
        <w:t>《政府采购供应商投诉处理办法》第十条：投诉人提起投诉应当符合下列条件：</w:t>
      </w:r>
    </w:p>
    <w:p w14:paraId="692ECBAC">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投诉人是参与所投诉政府采购活动的供应商；</w:t>
      </w:r>
    </w:p>
    <w:p w14:paraId="4D7660CE">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提起投诉诉前已依法进行质疑；</w:t>
      </w:r>
    </w:p>
    <w:p w14:paraId="3E5D971D">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投诉书内容符合本办法的规定；</w:t>
      </w:r>
    </w:p>
    <w:p w14:paraId="6A50472E">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在投诉有效期内提起投诉；</w:t>
      </w:r>
    </w:p>
    <w:p w14:paraId="0DBCC3AE">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属于本级财政部门管辖；</w:t>
      </w:r>
    </w:p>
    <w:p w14:paraId="54F076E5">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同一投诉事项未经财政部门投诉处理；</w:t>
      </w:r>
    </w:p>
    <w:p w14:paraId="1FAB76C4">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国务院财政部门规定的其他条件。</w:t>
      </w:r>
    </w:p>
    <w:p w14:paraId="7B176791">
      <w:pPr>
        <w:keepNext w:val="0"/>
        <w:keepLines w:val="0"/>
        <w:pageBreakBefore w:val="0"/>
        <w:kinsoku/>
        <w:overflowPunct/>
        <w:autoSpaceDE/>
        <w:bidi w:val="0"/>
        <w:snapToGrid/>
        <w:spacing w:line="360" w:lineRule="auto"/>
        <w:ind w:left="5760" w:hanging="3780"/>
        <w:textAlignment w:val="auto"/>
        <w:rPr>
          <w:rFonts w:ascii="宋体" w:hAnsi="宋体" w:eastAsia="宋体" w:cs="宋体"/>
          <w:color w:val="000000"/>
          <w:sz w:val="21"/>
          <w:szCs w:val="21"/>
          <w:highlight w:val="none"/>
        </w:rPr>
      </w:pPr>
      <w:r>
        <w:rPr>
          <w:rFonts w:ascii="宋体" w:hAnsi="宋体" w:eastAsia="宋体" w:cs="宋体"/>
          <w:color w:val="000000"/>
          <w:sz w:val="21"/>
          <w:szCs w:val="21"/>
        </w:rPr>
        <w:t xml:space="preserve">   </w:t>
      </w:r>
    </w:p>
    <w:p w14:paraId="08E1E505">
      <w:pPr>
        <w:numPr>
          <w:ilvl w:val="0"/>
          <w:numId w:val="0"/>
        </w:numPr>
        <w:spacing w:line="360" w:lineRule="auto"/>
        <w:outlineLvl w:val="0"/>
        <w:rPr>
          <w:color w:val="000000"/>
          <w:sz w:val="21"/>
          <w:szCs w:val="21"/>
          <w:highlight w:val="none"/>
        </w:rPr>
      </w:pPr>
      <w:r>
        <w:rPr>
          <w:rFonts w:eastAsia="Times New Roman"/>
          <w:color w:val="000000"/>
          <w:sz w:val="21"/>
          <w:szCs w:val="21"/>
        </w:rPr>
        <w:t xml:space="preserve"> </w:t>
      </w:r>
      <w:r>
        <w:rPr>
          <w:rFonts w:ascii="宋体" w:hAnsi="宋体" w:eastAsia="宋体" w:cs="宋体"/>
          <w:b/>
          <w:bCs/>
          <w:color w:val="000000"/>
          <w:sz w:val="21"/>
          <w:szCs w:val="21"/>
        </w:rPr>
        <w:t xml:space="preserve">   </w:t>
      </w:r>
      <w:r>
        <w:rPr>
          <w:rFonts w:ascii="宋体" w:hAnsi="宋体" w:cs="宋体"/>
          <w:b/>
          <w:bCs/>
          <w:color w:val="000000"/>
          <w:sz w:val="21"/>
          <w:szCs w:val="21"/>
        </w:rPr>
        <w:t>三、虚假、恶意投诉法律责任</w:t>
      </w:r>
    </w:p>
    <w:p w14:paraId="500418C7">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第七十三条：供应商捏造实施、提供虚假材料或者以非法手段取得证明材料进行投诉的，由财政部门列入不良行为记录名单，禁止其</w:t>
      </w:r>
      <w:r>
        <w:rPr>
          <w:rFonts w:ascii="宋体" w:hAnsi="宋体" w:eastAsia="宋体" w:cs="宋体"/>
          <w:color w:val="000000"/>
          <w:sz w:val="21"/>
          <w:szCs w:val="21"/>
        </w:rPr>
        <w:t>1</w:t>
      </w:r>
      <w:r>
        <w:rPr>
          <w:rFonts w:ascii="宋体" w:hAnsi="宋体" w:cs="宋体"/>
          <w:color w:val="000000"/>
          <w:sz w:val="21"/>
          <w:szCs w:val="21"/>
        </w:rPr>
        <w:t>至</w:t>
      </w:r>
      <w:r>
        <w:rPr>
          <w:rFonts w:ascii="宋体" w:hAnsi="宋体" w:eastAsia="宋体" w:cs="宋体"/>
          <w:color w:val="000000"/>
          <w:sz w:val="21"/>
          <w:szCs w:val="21"/>
        </w:rPr>
        <w:t>3</w:t>
      </w:r>
      <w:r>
        <w:rPr>
          <w:rFonts w:ascii="宋体" w:hAnsi="宋体" w:cs="宋体"/>
          <w:color w:val="000000"/>
          <w:sz w:val="21"/>
          <w:szCs w:val="21"/>
        </w:rPr>
        <w:t>年内参加政府采购活动。</w:t>
      </w:r>
    </w:p>
    <w:p w14:paraId="04F2C6C5">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《政府采购供应商投诉处理办法》第二十六条：投诉人有下列情形之一的，属于虚假、恶意投诉，财政部门应当驳回投诉，将其列入不良行为记录名单，并依法予以处罚：</w:t>
      </w:r>
    </w:p>
    <w:p w14:paraId="2CDA624D">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（一）</w:t>
      </w:r>
      <w:r>
        <w:rPr>
          <w:rFonts w:ascii="宋体" w:hAnsi="宋体" w:eastAsia="宋体" w:cs="宋体"/>
          <w:color w:val="000000"/>
          <w:sz w:val="21"/>
          <w:szCs w:val="21"/>
        </w:rPr>
        <w:t>1</w:t>
      </w:r>
      <w:r>
        <w:rPr>
          <w:rFonts w:ascii="宋体" w:hAnsi="宋体" w:cs="宋体"/>
          <w:color w:val="000000"/>
          <w:sz w:val="21"/>
          <w:szCs w:val="21"/>
        </w:rPr>
        <w:t>年内</w:t>
      </w:r>
      <w:r>
        <w:rPr>
          <w:rFonts w:ascii="宋体" w:hAnsi="宋体" w:eastAsia="宋体" w:cs="宋体"/>
          <w:color w:val="000000"/>
          <w:sz w:val="21"/>
          <w:szCs w:val="21"/>
        </w:rPr>
        <w:t>3</w:t>
      </w:r>
      <w:r>
        <w:rPr>
          <w:rFonts w:ascii="宋体" w:hAnsi="宋体" w:cs="宋体"/>
          <w:color w:val="000000"/>
          <w:sz w:val="21"/>
          <w:szCs w:val="21"/>
        </w:rPr>
        <w:t>次以上投诉均查无实据的；</w:t>
      </w:r>
    </w:p>
    <w:p w14:paraId="68808A04">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（二）捏造事实或者提供虚假投诉材料的。</w:t>
      </w:r>
    </w:p>
    <w:p w14:paraId="4822EFB3">
      <w:pPr>
        <w:keepNext w:val="0"/>
        <w:keepLines w:val="0"/>
        <w:pageBreakBefore w:val="0"/>
        <w:kinsoku/>
        <w:overflowPunct/>
        <w:autoSpaceDE/>
        <w:bidi w:val="0"/>
        <w:snapToGrid/>
        <w:spacing w:line="400" w:lineRule="exact"/>
        <w:textAlignment w:val="auto"/>
        <w:rPr>
          <w:rFonts w:ascii="宋体" w:hAnsi="宋体" w:eastAsia="宋体" w:cs="宋体"/>
          <w:color w:val="000000"/>
          <w:sz w:val="21"/>
          <w:szCs w:val="21"/>
          <w:highlight w:val="none"/>
        </w:rPr>
      </w:pPr>
    </w:p>
    <w:p w14:paraId="77ACD513">
      <w:pPr>
        <w:keepNext w:val="0"/>
        <w:keepLines w:val="0"/>
        <w:pageBreakBefore w:val="0"/>
        <w:kinsoku/>
        <w:overflowPunct/>
        <w:autoSpaceDE/>
        <w:bidi w:val="0"/>
        <w:snapToGrid/>
        <w:spacing w:line="400" w:lineRule="exact"/>
        <w:textAlignment w:val="auto"/>
        <w:rPr>
          <w:rFonts w:ascii="宋体" w:hAnsi="宋体" w:eastAsia="宋体" w:cs="宋体"/>
          <w:color w:val="000000"/>
          <w:sz w:val="21"/>
          <w:szCs w:val="21"/>
          <w:highlight w:val="none"/>
        </w:rPr>
      </w:pPr>
    </w:p>
    <w:p w14:paraId="3BD15149">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递交投诉书地址：</w:t>
      </w:r>
      <w:r>
        <w:rPr>
          <w:rFonts w:ascii="宋体" w:hAnsi="宋体" w:cs="宋体"/>
          <w:color w:val="000000"/>
          <w:sz w:val="21"/>
          <w:szCs w:val="21"/>
          <w:lang w:val="en-US" w:eastAsia="zh-CN"/>
        </w:rPr>
        <w:t>阿图什市财政局政府采购办</w:t>
      </w:r>
      <w:r>
        <w:rPr>
          <w:rFonts w:ascii="宋体" w:hAnsi="宋体" w:cs="宋体"/>
          <w:color w:val="000000"/>
          <w:sz w:val="21"/>
          <w:szCs w:val="21"/>
        </w:rPr>
        <w:t>监管办公室</w:t>
      </w:r>
    </w:p>
    <w:p w14:paraId="19FFDAA8">
      <w:pPr>
        <w:pStyle w:val="8"/>
        <w:rPr>
          <w:rFonts w:ascii="宋体" w:hAnsi="宋体" w:eastAsia="宋体" w:cs="宋体"/>
          <w:color w:val="000000"/>
          <w:sz w:val="21"/>
          <w:szCs w:val="21"/>
          <w:highlight w:val="none"/>
          <w:lang w:val="en-US" w:eastAsia="zh-CN"/>
        </w:rPr>
      </w:pPr>
    </w:p>
    <w:p w14:paraId="0E71C3DE">
      <w:pPr>
        <w:jc w:val="right"/>
        <w:rPr>
          <w:rFonts w:ascii="宋体" w:hAnsi="宋体" w:eastAsia="宋体" w:cs="宋体"/>
          <w:color w:val="000000"/>
          <w:sz w:val="32"/>
          <w:szCs w:val="32"/>
          <w:highlight w:val="none"/>
          <w:lang w:val="en-US" w:eastAsia="zh-CN"/>
        </w:rPr>
      </w:pPr>
    </w:p>
    <w:p w14:paraId="7C69B9D5">
      <w:pPr>
        <w:keepNext w:val="0"/>
        <w:keepLines w:val="0"/>
        <w:pageBreakBefore w:val="0"/>
        <w:widowControl w:val="0"/>
        <w:kinsoku/>
        <w:overflowPunct/>
        <w:autoSpaceDE/>
        <w:bidi w:val="0"/>
        <w:spacing w:line="540" w:lineRule="exact"/>
        <w:jc w:val="center"/>
        <w:textAlignment w:val="auto"/>
        <w:rPr>
          <w:rFonts w:ascii="宋体" w:hAnsi="宋体" w:eastAsia="宋体" w:cs="宋体"/>
          <w:b/>
          <w:bCs/>
          <w:color w:val="000000"/>
          <w:sz w:val="44"/>
          <w:szCs w:val="44"/>
          <w:highlight w:val="none"/>
        </w:rPr>
      </w:pPr>
    </w:p>
    <w:p w14:paraId="0516ADC4">
      <w:pPr>
        <w:keepNext w:val="0"/>
        <w:keepLines w:val="0"/>
        <w:pageBreakBefore w:val="0"/>
        <w:widowControl w:val="0"/>
        <w:kinsoku/>
        <w:overflowPunct/>
        <w:autoSpaceDE/>
        <w:bidi w:val="0"/>
        <w:spacing w:line="540" w:lineRule="exact"/>
        <w:jc w:val="center"/>
        <w:textAlignment w:val="auto"/>
        <w:rPr>
          <w:rFonts w:ascii="宋体" w:hAnsi="宋体" w:eastAsia="宋体" w:cs="宋体"/>
          <w:b/>
          <w:bCs/>
          <w:color w:val="000000"/>
          <w:sz w:val="44"/>
          <w:szCs w:val="44"/>
          <w:highlight w:val="none"/>
        </w:rPr>
      </w:pPr>
    </w:p>
    <w:p w14:paraId="7ABE060D">
      <w:pPr>
        <w:keepNext w:val="0"/>
        <w:keepLines w:val="0"/>
        <w:pageBreakBefore w:val="0"/>
        <w:widowControl w:val="0"/>
        <w:kinsoku/>
        <w:overflowPunct/>
        <w:autoSpaceDE/>
        <w:bidi w:val="0"/>
        <w:spacing w:line="540" w:lineRule="exact"/>
        <w:jc w:val="center"/>
        <w:textAlignment w:val="auto"/>
        <w:rPr>
          <w:rFonts w:ascii="宋体" w:hAnsi="宋体" w:eastAsia="宋体" w:cs="宋体"/>
          <w:b/>
          <w:bCs/>
          <w:color w:val="000000"/>
          <w:sz w:val="44"/>
          <w:szCs w:val="44"/>
          <w:highlight w:val="none"/>
        </w:rPr>
      </w:pPr>
    </w:p>
    <w:p w14:paraId="72689C9E">
      <w:pPr>
        <w:keepNext w:val="0"/>
        <w:keepLines w:val="0"/>
        <w:pageBreakBefore w:val="0"/>
        <w:widowControl w:val="0"/>
        <w:kinsoku/>
        <w:overflowPunct/>
        <w:autoSpaceDE/>
        <w:bidi w:val="0"/>
        <w:spacing w:line="540" w:lineRule="exact"/>
        <w:jc w:val="center"/>
        <w:textAlignment w:val="auto"/>
        <w:rPr>
          <w:rFonts w:ascii="宋体" w:hAnsi="宋体" w:eastAsia="宋体" w:cs="宋体"/>
          <w:b/>
          <w:bCs/>
          <w:color w:val="000000"/>
          <w:sz w:val="44"/>
          <w:szCs w:val="44"/>
          <w:highlight w:val="none"/>
        </w:rPr>
      </w:pPr>
    </w:p>
    <w:p w14:paraId="0BAC474E">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7FDF55E8">
      <w:pPr>
        <w:pStyle w:val="69"/>
        <w:rPr>
          <w:rFonts w:ascii="宋体" w:hAnsi="宋体" w:eastAsia="宋体" w:cs="宋体"/>
          <w:b/>
          <w:bCs/>
          <w:color w:val="000000"/>
          <w:sz w:val="32"/>
          <w:szCs w:val="32"/>
          <w:highlight w:val="none"/>
        </w:rPr>
      </w:pPr>
    </w:p>
    <w:p w14:paraId="602E634A">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7A338DA7">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678D6CB9">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083C8895">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75A8EAE4">
      <w:pPr>
        <w:keepNext w:val="0"/>
        <w:keepLines w:val="0"/>
        <w:pageBreakBefore w:val="0"/>
        <w:widowControl w:val="0"/>
        <w:numPr>
          <w:ilvl w:val="0"/>
          <w:numId w:val="0"/>
        </w:numPr>
        <w:kinsoku/>
        <w:overflowPunct/>
        <w:autoSpaceDE/>
        <w:bidi w:val="0"/>
        <w:spacing w:line="360" w:lineRule="auto"/>
        <w:jc w:val="center"/>
        <w:textAlignment w:val="auto"/>
        <w:outlineLvl w:val="0"/>
        <w:rPr>
          <w:rFonts w:ascii="宋体" w:hAnsi="宋体" w:eastAsia="宋体" w:cs="宋体"/>
          <w:b/>
          <w:bCs/>
          <w:color w:val="000000"/>
          <w:sz w:val="32"/>
          <w:szCs w:val="32"/>
          <w:highlight w:val="none"/>
        </w:rPr>
      </w:pPr>
      <w:r>
        <w:rPr>
          <w:rFonts w:ascii="宋体" w:hAnsi="宋体" w:cs="宋体"/>
          <w:b/>
          <w:bCs/>
          <w:color w:val="000000"/>
          <w:sz w:val="32"/>
          <w:szCs w:val="32"/>
        </w:rPr>
        <w:t>质疑函范本</w:t>
      </w:r>
    </w:p>
    <w:p w14:paraId="4990C1FA">
      <w:pPr>
        <w:keepNext w:val="0"/>
        <w:keepLines w:val="0"/>
        <w:pageBreakBefore w:val="0"/>
        <w:widowControl w:val="0"/>
        <w:numPr>
          <w:ilvl w:val="0"/>
          <w:numId w:val="0"/>
        </w:numPr>
        <w:kinsoku/>
        <w:overflowPunct/>
        <w:autoSpaceDE/>
        <w:bidi w:val="0"/>
        <w:snapToGrid w:val="0"/>
        <w:spacing w:line="360" w:lineRule="auto"/>
        <w:ind w:firstLine="420"/>
        <w:textAlignment w:val="auto"/>
        <w:outlineLvl w:val="0"/>
        <w:rPr>
          <w:rFonts w:ascii="宋体" w:hAnsi="宋体" w:eastAsia="宋体" w:cs="宋体"/>
          <w:bCs/>
          <w:color w:val="000000"/>
          <w:sz w:val="21"/>
          <w:szCs w:val="21"/>
          <w:highlight w:val="none"/>
        </w:rPr>
      </w:pPr>
      <w:r>
        <w:rPr>
          <w:rFonts w:ascii="宋体" w:hAnsi="宋体" w:cs="宋体"/>
          <w:bCs/>
          <w:color w:val="000000"/>
          <w:sz w:val="21"/>
          <w:szCs w:val="21"/>
        </w:rPr>
        <w:t>一、质疑供应商基本信息</w:t>
      </w:r>
    </w:p>
    <w:p w14:paraId="54D6281D">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质疑供应商：</w:t>
      </w:r>
      <w:r>
        <w:rPr>
          <w:rFonts w:ascii="宋体" w:hAnsi="宋体" w:cs="宋体"/>
          <w:color w:val="000000"/>
          <w:sz w:val="21"/>
          <w:szCs w:val="21"/>
          <w:u w:val="dotted"/>
        </w:rPr>
        <w:t xml:space="preserve">                         </w:t>
      </w:r>
    </w:p>
    <w:p w14:paraId="4139FF11">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地址：</w:t>
      </w:r>
      <w:r>
        <w:rPr>
          <w:rFonts w:ascii="宋体" w:hAnsi="宋体" w:cs="宋体"/>
          <w:color w:val="000000"/>
          <w:sz w:val="21"/>
          <w:szCs w:val="21"/>
          <w:u w:val="dotted"/>
        </w:rPr>
        <w:t xml:space="preserve">                          </w:t>
      </w:r>
      <w:r>
        <w:rPr>
          <w:rFonts w:ascii="宋体" w:hAnsi="宋体" w:cs="宋体"/>
          <w:color w:val="000000"/>
          <w:sz w:val="21"/>
          <w:szCs w:val="21"/>
        </w:rPr>
        <w:t>邮编：</w:t>
      </w:r>
      <w:r>
        <w:rPr>
          <w:rFonts w:ascii="宋体" w:hAnsi="宋体" w:cs="宋体"/>
          <w:color w:val="000000"/>
          <w:sz w:val="21"/>
          <w:szCs w:val="21"/>
          <w:u w:val="dotted"/>
        </w:rPr>
        <w:t xml:space="preserve">            </w:t>
      </w:r>
    </w:p>
    <w:p w14:paraId="61E47F08">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联系人：</w:t>
      </w:r>
      <w:r>
        <w:rPr>
          <w:rFonts w:ascii="宋体" w:hAnsi="宋体" w:cs="宋体"/>
          <w:color w:val="000000"/>
          <w:sz w:val="21"/>
          <w:szCs w:val="21"/>
          <w:u w:val="dotted"/>
        </w:rPr>
        <w:t xml:space="preserve">                      </w:t>
      </w:r>
      <w:r>
        <w:rPr>
          <w:rFonts w:ascii="宋体" w:hAnsi="宋体" w:cs="宋体"/>
          <w:color w:val="000000"/>
          <w:sz w:val="21"/>
          <w:szCs w:val="21"/>
        </w:rPr>
        <w:t>联系电话：</w:t>
      </w:r>
      <w:r>
        <w:rPr>
          <w:rFonts w:ascii="宋体" w:hAnsi="宋体" w:cs="宋体"/>
          <w:color w:val="000000"/>
          <w:sz w:val="21"/>
          <w:szCs w:val="21"/>
          <w:u w:val="dotted"/>
        </w:rPr>
        <w:t xml:space="preserve">            </w:t>
      </w:r>
    </w:p>
    <w:p w14:paraId="7EC8711E">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授权代表：</w:t>
      </w:r>
      <w:r>
        <w:rPr>
          <w:rFonts w:ascii="宋体" w:hAnsi="宋体" w:cs="宋体"/>
          <w:color w:val="000000"/>
          <w:sz w:val="21"/>
          <w:szCs w:val="21"/>
          <w:u w:val="dotted"/>
        </w:rPr>
        <w:t xml:space="preserve">                                          </w:t>
      </w:r>
    </w:p>
    <w:p w14:paraId="635C81C1">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联系电话：</w:t>
      </w:r>
      <w:r>
        <w:rPr>
          <w:rFonts w:ascii="宋体" w:hAnsi="宋体" w:cs="宋体"/>
          <w:color w:val="000000"/>
          <w:sz w:val="21"/>
          <w:szCs w:val="21"/>
          <w:u w:val="dotted"/>
        </w:rPr>
        <w:t xml:space="preserve">                                          </w:t>
      </w:r>
    </w:p>
    <w:p w14:paraId="2947CF53">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 xml:space="preserve">地址： </w:t>
      </w:r>
      <w:r>
        <w:rPr>
          <w:rFonts w:ascii="宋体" w:hAnsi="宋体" w:cs="宋体"/>
          <w:color w:val="000000"/>
          <w:sz w:val="21"/>
          <w:szCs w:val="21"/>
          <w:u w:val="dotted"/>
        </w:rPr>
        <w:t xml:space="preserve">                        </w:t>
      </w:r>
      <w:r>
        <w:rPr>
          <w:rFonts w:ascii="宋体" w:hAnsi="宋体" w:cs="宋体"/>
          <w:color w:val="000000"/>
          <w:sz w:val="21"/>
          <w:szCs w:val="21"/>
        </w:rPr>
        <w:t>邮编：</w:t>
      </w:r>
      <w:r>
        <w:rPr>
          <w:rFonts w:ascii="宋体" w:hAnsi="宋体" w:cs="宋体"/>
          <w:color w:val="000000"/>
          <w:sz w:val="21"/>
          <w:szCs w:val="21"/>
          <w:u w:val="dotted"/>
        </w:rPr>
        <w:t xml:space="preserve">               </w:t>
      </w:r>
    </w:p>
    <w:p w14:paraId="119B931C">
      <w:pPr>
        <w:keepNext w:val="0"/>
        <w:keepLines w:val="0"/>
        <w:pageBreakBefore w:val="0"/>
        <w:widowControl w:val="0"/>
        <w:numPr>
          <w:ilvl w:val="0"/>
          <w:numId w:val="0"/>
        </w:numPr>
        <w:kinsoku/>
        <w:overflowPunct/>
        <w:autoSpaceDE/>
        <w:bidi w:val="0"/>
        <w:snapToGrid w:val="0"/>
        <w:spacing w:line="360" w:lineRule="auto"/>
        <w:ind w:firstLine="420"/>
        <w:textAlignment w:val="auto"/>
        <w:outlineLvl w:val="0"/>
        <w:rPr>
          <w:rFonts w:ascii="宋体" w:hAnsi="宋体" w:eastAsia="宋体" w:cs="宋体"/>
          <w:bCs/>
          <w:color w:val="000000"/>
          <w:sz w:val="21"/>
          <w:szCs w:val="21"/>
          <w:highlight w:val="none"/>
        </w:rPr>
      </w:pPr>
      <w:r>
        <w:rPr>
          <w:rFonts w:ascii="宋体" w:hAnsi="宋体" w:cs="宋体"/>
          <w:bCs/>
          <w:color w:val="000000"/>
          <w:sz w:val="21"/>
          <w:szCs w:val="21"/>
        </w:rPr>
        <w:t>二、质疑项目基本情况</w:t>
      </w:r>
    </w:p>
    <w:p w14:paraId="21C8E18F">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质疑项目的名称：</w:t>
      </w:r>
      <w:r>
        <w:rPr>
          <w:rFonts w:ascii="宋体" w:hAnsi="宋体" w:cs="宋体"/>
          <w:color w:val="000000"/>
          <w:sz w:val="21"/>
          <w:szCs w:val="21"/>
          <w:u w:val="dotted"/>
        </w:rPr>
        <w:t xml:space="preserve">                                     </w:t>
      </w:r>
    </w:p>
    <w:p w14:paraId="318D3B34">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质疑项目的编号：</w:t>
      </w:r>
      <w:r>
        <w:rPr>
          <w:rFonts w:ascii="宋体" w:hAnsi="宋体" w:cs="宋体"/>
          <w:color w:val="000000"/>
          <w:sz w:val="21"/>
          <w:szCs w:val="21"/>
          <w:u w:val="dotted"/>
        </w:rPr>
        <w:t xml:space="preserve">               </w:t>
      </w:r>
      <w:r>
        <w:rPr>
          <w:rFonts w:ascii="宋体" w:hAnsi="宋体" w:cs="宋体"/>
          <w:color w:val="000000"/>
          <w:sz w:val="21"/>
          <w:szCs w:val="21"/>
        </w:rPr>
        <w:t>包号：</w:t>
      </w:r>
      <w:r>
        <w:rPr>
          <w:rFonts w:ascii="宋体" w:hAnsi="宋体" w:cs="宋体"/>
          <w:color w:val="000000"/>
          <w:sz w:val="21"/>
          <w:szCs w:val="21"/>
          <w:u w:val="dotted"/>
        </w:rPr>
        <w:t xml:space="preserve">                </w:t>
      </w:r>
    </w:p>
    <w:p w14:paraId="3F535660">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采购人名称：</w:t>
      </w:r>
      <w:r>
        <w:rPr>
          <w:rFonts w:ascii="宋体" w:hAnsi="宋体" w:cs="宋体"/>
          <w:color w:val="000000"/>
          <w:sz w:val="21"/>
          <w:szCs w:val="21"/>
          <w:u w:val="dotted"/>
        </w:rPr>
        <w:t xml:space="preserve">                                         </w:t>
      </w:r>
    </w:p>
    <w:p w14:paraId="4A7C86C5">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采购文件获取日期：</w:t>
      </w:r>
      <w:r>
        <w:rPr>
          <w:rFonts w:ascii="宋体" w:hAnsi="宋体" w:cs="宋体"/>
          <w:color w:val="000000"/>
          <w:sz w:val="21"/>
          <w:szCs w:val="21"/>
          <w:u w:val="dotted"/>
        </w:rPr>
        <w:t xml:space="preserve">                                   </w:t>
      </w:r>
    </w:p>
    <w:p w14:paraId="12F96AF6">
      <w:pPr>
        <w:keepNext w:val="0"/>
        <w:keepLines w:val="0"/>
        <w:pageBreakBefore w:val="0"/>
        <w:widowControl w:val="0"/>
        <w:numPr>
          <w:ilvl w:val="0"/>
          <w:numId w:val="0"/>
        </w:numPr>
        <w:kinsoku/>
        <w:overflowPunct/>
        <w:autoSpaceDE/>
        <w:bidi w:val="0"/>
        <w:snapToGrid w:val="0"/>
        <w:spacing w:line="360" w:lineRule="auto"/>
        <w:ind w:firstLine="420"/>
        <w:textAlignment w:val="auto"/>
        <w:outlineLvl w:val="0"/>
        <w:rPr>
          <w:rFonts w:ascii="宋体" w:hAnsi="宋体" w:eastAsia="宋体" w:cs="宋体"/>
          <w:bCs/>
          <w:color w:val="000000"/>
          <w:sz w:val="21"/>
          <w:szCs w:val="21"/>
          <w:highlight w:val="none"/>
        </w:rPr>
      </w:pPr>
      <w:r>
        <w:rPr>
          <w:rFonts w:ascii="宋体" w:hAnsi="宋体" w:cs="宋体"/>
          <w:bCs/>
          <w:color w:val="000000"/>
          <w:sz w:val="21"/>
          <w:szCs w:val="21"/>
        </w:rPr>
        <w:t>三、质疑事项具体内容</w:t>
      </w:r>
    </w:p>
    <w:p w14:paraId="72201A8B">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质疑事项</w:t>
      </w:r>
      <w:r>
        <w:rPr>
          <w:rFonts w:ascii="宋体" w:hAnsi="宋体" w:eastAsia="宋体" w:cs="宋体"/>
          <w:color w:val="000000"/>
          <w:sz w:val="21"/>
          <w:szCs w:val="21"/>
        </w:rPr>
        <w:t>1</w:t>
      </w:r>
      <w:r>
        <w:rPr>
          <w:rFonts w:ascii="宋体" w:hAnsi="宋体" w:cs="宋体"/>
          <w:color w:val="000000"/>
          <w:sz w:val="21"/>
          <w:szCs w:val="21"/>
        </w:rPr>
        <w:t>：</w:t>
      </w:r>
      <w:r>
        <w:rPr>
          <w:rFonts w:ascii="宋体" w:hAnsi="宋体" w:cs="宋体"/>
          <w:color w:val="000000"/>
          <w:sz w:val="21"/>
          <w:szCs w:val="21"/>
          <w:u w:val="dotted"/>
        </w:rPr>
        <w:t xml:space="preserve">                                         </w:t>
      </w:r>
    </w:p>
    <w:p w14:paraId="1564E2CC">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事实依据：</w:t>
      </w:r>
      <w:r>
        <w:rPr>
          <w:rFonts w:ascii="宋体" w:hAnsi="宋体" w:cs="宋体"/>
          <w:color w:val="000000"/>
          <w:sz w:val="21"/>
          <w:szCs w:val="21"/>
          <w:u w:val="dotted"/>
        </w:rPr>
        <w:t xml:space="preserve">                                           </w:t>
      </w:r>
    </w:p>
    <w:p w14:paraId="097E8224">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法律依据：</w:t>
      </w:r>
      <w:r>
        <w:rPr>
          <w:rFonts w:ascii="宋体" w:hAnsi="宋体" w:cs="宋体"/>
          <w:color w:val="000000"/>
          <w:sz w:val="21"/>
          <w:szCs w:val="21"/>
          <w:u w:val="dotted"/>
        </w:rPr>
        <w:t xml:space="preserve">                                           </w:t>
      </w:r>
    </w:p>
    <w:p w14:paraId="7D9003BF">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质疑事项</w:t>
      </w:r>
      <w:r>
        <w:rPr>
          <w:rFonts w:ascii="宋体" w:hAnsi="宋体" w:eastAsia="宋体" w:cs="宋体"/>
          <w:color w:val="000000"/>
          <w:sz w:val="21"/>
          <w:szCs w:val="21"/>
        </w:rPr>
        <w:t>2</w:t>
      </w:r>
    </w:p>
    <w:p w14:paraId="64E7EF2A">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eastAsia="宋体" w:cs="宋体"/>
          <w:color w:val="000000"/>
          <w:sz w:val="21"/>
          <w:szCs w:val="21"/>
        </w:rPr>
        <w:t>……</w:t>
      </w:r>
    </w:p>
    <w:p w14:paraId="746E0C24">
      <w:pPr>
        <w:keepNext w:val="0"/>
        <w:keepLines w:val="0"/>
        <w:pageBreakBefore w:val="0"/>
        <w:widowControl w:val="0"/>
        <w:numPr>
          <w:ilvl w:val="0"/>
          <w:numId w:val="0"/>
        </w:numPr>
        <w:kinsoku/>
        <w:overflowPunct/>
        <w:autoSpaceDE/>
        <w:bidi w:val="0"/>
        <w:snapToGrid w:val="0"/>
        <w:spacing w:line="360" w:lineRule="auto"/>
        <w:ind w:firstLine="420"/>
        <w:textAlignment w:val="auto"/>
        <w:outlineLvl w:val="0"/>
        <w:rPr>
          <w:rFonts w:ascii="宋体" w:hAnsi="宋体" w:eastAsia="宋体" w:cs="宋体"/>
          <w:bCs/>
          <w:color w:val="000000"/>
          <w:sz w:val="21"/>
          <w:szCs w:val="21"/>
          <w:highlight w:val="none"/>
        </w:rPr>
      </w:pPr>
      <w:r>
        <w:rPr>
          <w:rFonts w:ascii="宋体" w:hAnsi="宋体" w:cs="宋体"/>
          <w:bCs/>
          <w:color w:val="000000"/>
          <w:sz w:val="21"/>
          <w:szCs w:val="21"/>
        </w:rPr>
        <w:t>四、与质疑事项相关的质疑请求</w:t>
      </w:r>
    </w:p>
    <w:p w14:paraId="7D741E8F">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请求：</w:t>
      </w:r>
      <w:r>
        <w:rPr>
          <w:rFonts w:ascii="宋体" w:hAnsi="宋体" w:cs="宋体"/>
          <w:color w:val="000000"/>
          <w:sz w:val="21"/>
          <w:szCs w:val="21"/>
          <w:u w:val="dotted"/>
        </w:rPr>
        <w:t xml:space="preserve">                                               </w:t>
      </w:r>
    </w:p>
    <w:p w14:paraId="79600862">
      <w:pPr>
        <w:keepNext w:val="0"/>
        <w:keepLines w:val="0"/>
        <w:pageBreakBefore w:val="0"/>
        <w:widowControl w:val="0"/>
        <w:kinsoku/>
        <w:overflowPunct/>
        <w:autoSpaceDE/>
        <w:bidi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签字</w:t>
      </w:r>
      <w:r>
        <w:rPr>
          <w:rFonts w:ascii="宋体" w:hAnsi="宋体" w:eastAsia="宋体" w:cs="宋体"/>
          <w:color w:val="000000"/>
          <w:sz w:val="21"/>
          <w:szCs w:val="21"/>
        </w:rPr>
        <w:t>(</w:t>
      </w:r>
      <w:r>
        <w:rPr>
          <w:rFonts w:ascii="宋体" w:hAnsi="宋体" w:cs="宋体"/>
          <w:color w:val="000000"/>
          <w:sz w:val="21"/>
          <w:szCs w:val="21"/>
        </w:rPr>
        <w:t>签章</w:t>
      </w:r>
      <w:r>
        <w:rPr>
          <w:rFonts w:ascii="宋体" w:hAnsi="宋体" w:eastAsia="宋体" w:cs="宋体"/>
          <w:color w:val="000000"/>
          <w:sz w:val="21"/>
          <w:szCs w:val="21"/>
        </w:rPr>
        <w:t>)</w:t>
      </w:r>
      <w:r>
        <w:rPr>
          <w:rFonts w:ascii="宋体" w:hAnsi="宋体" w:cs="宋体"/>
          <w:color w:val="000000"/>
          <w:sz w:val="21"/>
          <w:szCs w:val="21"/>
        </w:rPr>
        <w:t xml:space="preserve">：                   公章：                      </w:t>
      </w:r>
    </w:p>
    <w:p w14:paraId="1699D658">
      <w:pPr>
        <w:keepNext w:val="0"/>
        <w:keepLines w:val="0"/>
        <w:pageBreakBefore w:val="0"/>
        <w:widowControl w:val="0"/>
        <w:kinsoku/>
        <w:overflowPunct/>
        <w:autoSpaceDE/>
        <w:bidi w:val="0"/>
        <w:spacing w:line="360" w:lineRule="auto"/>
        <w:ind w:firstLine="420"/>
        <w:textAlignment w:val="auto"/>
        <w:rPr>
          <w:rFonts w:ascii="宋体" w:hAnsi="宋体" w:eastAsia="宋体" w:cs="宋体"/>
          <w:b/>
          <w:bCs/>
          <w:color w:val="000000"/>
          <w:sz w:val="21"/>
          <w:szCs w:val="21"/>
          <w:highlight w:val="none"/>
        </w:rPr>
      </w:pPr>
      <w:r>
        <w:rPr>
          <w:rFonts w:ascii="宋体" w:hAnsi="宋体" w:cs="宋体"/>
          <w:color w:val="000000"/>
          <w:sz w:val="21"/>
          <w:szCs w:val="21"/>
        </w:rPr>
        <w:t xml:space="preserve">日期：    </w:t>
      </w:r>
      <w:r>
        <w:br w:type="page"/>
      </w:r>
    </w:p>
    <w:p w14:paraId="74FCF486">
      <w:pPr>
        <w:numPr>
          <w:ilvl w:val="0"/>
          <w:numId w:val="0"/>
        </w:numPr>
        <w:spacing w:line="440" w:lineRule="exact"/>
        <w:jc w:val="center"/>
        <w:outlineLvl w:val="0"/>
        <w:rPr>
          <w:rFonts w:ascii="黑体" w:hAnsi="黑体" w:eastAsia="黑体"/>
          <w:color w:val="000000"/>
          <w:sz w:val="30"/>
          <w:szCs w:val="30"/>
          <w:highlight w:val="none"/>
        </w:rPr>
      </w:pPr>
      <w:bookmarkStart w:id="4" w:name="__RefHeading___Toc469495731"/>
      <w:r>
        <w:rPr>
          <w:rFonts w:ascii="黑体" w:hAnsi="黑体" w:eastAsia="黑体"/>
          <w:color w:val="000000"/>
          <w:sz w:val="30"/>
          <w:szCs w:val="30"/>
        </w:rPr>
        <w:t>第三章  评审办法</w:t>
      </w:r>
      <w:bookmarkEnd w:id="4"/>
    </w:p>
    <w:p w14:paraId="11C2A2E0">
      <w:pPr>
        <w:numPr>
          <w:ilvl w:val="0"/>
          <w:numId w:val="0"/>
        </w:numPr>
        <w:jc w:val="center"/>
        <w:outlineLvl w:val="1"/>
        <w:rPr>
          <w:rFonts w:ascii="宋体" w:hAnsi="宋体" w:eastAsia="宋体" w:cs="Times New Roman"/>
          <w:b/>
          <w:color w:val="000000"/>
          <w:sz w:val="28"/>
          <w:szCs w:val="28"/>
          <w:highlight w:val="none"/>
        </w:rPr>
      </w:pPr>
      <w:r>
        <w:rPr>
          <w:rFonts w:ascii="宋体" w:hAnsi="宋体" w:cs="Times New Roman"/>
          <w:b/>
          <w:color w:val="000000"/>
          <w:sz w:val="28"/>
          <w:szCs w:val="28"/>
        </w:rPr>
        <w:t>一</w:t>
      </w:r>
      <w:r>
        <w:rPr>
          <w:rFonts w:ascii="宋体" w:hAnsi="宋体" w:cs="Times New Roman"/>
          <w:b/>
          <w:color w:val="000000"/>
          <w:sz w:val="28"/>
          <w:szCs w:val="28"/>
          <w:lang w:val="en-US" w:eastAsia="zh-CN"/>
        </w:rPr>
        <w:t xml:space="preserve">  </w:t>
      </w:r>
      <w:r>
        <w:rPr>
          <w:rFonts w:ascii="宋体" w:hAnsi="宋体" w:cs="Times New Roman"/>
          <w:b/>
          <w:color w:val="000000"/>
          <w:sz w:val="28"/>
          <w:szCs w:val="28"/>
        </w:rPr>
        <w:t>总  则</w:t>
      </w:r>
    </w:p>
    <w:p w14:paraId="4E5C48F7">
      <w:pPr>
        <w:tabs>
          <w:tab w:val="left" w:pos="567"/>
          <w:tab w:val="left" w:pos="600"/>
        </w:tabs>
        <w:spacing w:line="440" w:lineRule="exact"/>
        <w:ind w:firstLine="535"/>
        <w:rPr>
          <w:rFonts w:ascii="宋体" w:hAnsi="宋体" w:cs="宋体"/>
          <w:szCs w:val="21"/>
        </w:rPr>
      </w:pPr>
      <w:r>
        <w:rPr>
          <w:rFonts w:ascii="宋体" w:hAnsi="宋体" w:cs="宋体"/>
          <w:szCs w:val="21"/>
        </w:rPr>
        <w:t>1、一般规定</w:t>
      </w:r>
    </w:p>
    <w:p w14:paraId="11402D8C">
      <w:pPr>
        <w:spacing w:line="440" w:lineRule="exact"/>
        <w:ind w:firstLine="535"/>
        <w:rPr>
          <w:rFonts w:ascii="宋体" w:hAnsi="宋体" w:cs="宋体"/>
          <w:szCs w:val="21"/>
        </w:rPr>
      </w:pPr>
      <w:r>
        <w:rPr>
          <w:rFonts w:ascii="宋体" w:hAnsi="宋体" w:cs="宋体"/>
          <w:szCs w:val="21"/>
        </w:rPr>
        <w:t>1.1本项目的采购按照《中华人民共和国政府采购法》、《政府采购竞争性磋商采购方式管理暂行办法》及政府采购的有关规定进行。</w:t>
      </w:r>
    </w:p>
    <w:p w14:paraId="0553E8F1">
      <w:pPr>
        <w:spacing w:line="440" w:lineRule="exact"/>
        <w:ind w:firstLine="535"/>
        <w:rPr>
          <w:rFonts w:ascii="宋体" w:hAnsi="宋体" w:cs="宋体"/>
          <w:szCs w:val="21"/>
        </w:rPr>
      </w:pPr>
      <w:r>
        <w:rPr>
          <w:rFonts w:ascii="宋体" w:hAnsi="宋体" w:cs="宋体"/>
          <w:szCs w:val="21"/>
        </w:rPr>
        <w:t>1.2评审必须遵循公开、公平、公正、诚实信用的原则。</w:t>
      </w:r>
    </w:p>
    <w:p w14:paraId="70F04235">
      <w:pPr>
        <w:spacing w:line="440" w:lineRule="exact"/>
        <w:ind w:firstLine="535"/>
        <w:rPr>
          <w:rFonts w:ascii="宋体" w:hAnsi="宋体" w:cs="宋体"/>
          <w:szCs w:val="21"/>
        </w:rPr>
      </w:pPr>
      <w:r>
        <w:rPr>
          <w:rFonts w:ascii="宋体" w:hAnsi="宋体" w:cs="宋体"/>
          <w:szCs w:val="21"/>
        </w:rPr>
        <w:t>1.3采购代理机构组织采购、开启响应文件、评审工作，全过程接受政府采购有关部门的监督、管理和指导。</w:t>
      </w:r>
    </w:p>
    <w:p w14:paraId="1EC534D9">
      <w:pPr>
        <w:spacing w:line="440" w:lineRule="exact"/>
        <w:ind w:firstLine="535"/>
        <w:rPr>
          <w:rFonts w:ascii="宋体" w:hAnsi="宋体" w:cs="宋体"/>
          <w:szCs w:val="21"/>
        </w:rPr>
      </w:pPr>
      <w:r>
        <w:rPr>
          <w:rFonts w:ascii="宋体" w:hAnsi="宋体" w:cs="宋体"/>
          <w:szCs w:val="21"/>
        </w:rPr>
        <w:t>1.4评审按照磋商文件规定的内容进行，采取综合比较和分项打分相结合的评审方法（综合评分法），避免纯技术或纯经济的倾向。</w:t>
      </w:r>
    </w:p>
    <w:p w14:paraId="77A2E18D">
      <w:pPr>
        <w:spacing w:line="440" w:lineRule="exact"/>
        <w:ind w:firstLine="535"/>
        <w:rPr>
          <w:rFonts w:ascii="宋体" w:hAnsi="宋体" w:cs="宋体"/>
          <w:szCs w:val="21"/>
        </w:rPr>
      </w:pPr>
      <w:r>
        <w:rPr>
          <w:rFonts w:ascii="宋体" w:hAnsi="宋体" w:cs="宋体"/>
          <w:szCs w:val="21"/>
        </w:rPr>
        <w:t>1.5本办法的评审对象是指供应商按照磋商文件要求提供的有效响应文件，包括供应商应磋商小组要求对原响应文件作出的正式书面澄清文件。</w:t>
      </w:r>
    </w:p>
    <w:p w14:paraId="06F28CE7">
      <w:pPr>
        <w:tabs>
          <w:tab w:val="left" w:pos="567"/>
          <w:tab w:val="left" w:pos="600"/>
        </w:tabs>
        <w:spacing w:line="440" w:lineRule="exact"/>
        <w:ind w:firstLine="535"/>
        <w:rPr>
          <w:rFonts w:ascii="宋体" w:hAnsi="宋体" w:cs="宋体"/>
          <w:szCs w:val="21"/>
        </w:rPr>
      </w:pPr>
      <w:r>
        <w:rPr>
          <w:rFonts w:ascii="宋体" w:hAnsi="宋体" w:cs="宋体"/>
          <w:szCs w:val="21"/>
        </w:rPr>
        <w:t>2、磋商组织机构的组成</w:t>
      </w:r>
    </w:p>
    <w:p w14:paraId="4CC5CA07">
      <w:pPr>
        <w:tabs>
          <w:tab w:val="left" w:pos="567"/>
          <w:tab w:val="left" w:pos="1145"/>
        </w:tabs>
        <w:spacing w:line="440" w:lineRule="exact"/>
        <w:ind w:firstLine="535"/>
        <w:rPr>
          <w:rFonts w:ascii="宋体" w:hAnsi="宋体" w:cs="宋体"/>
          <w:szCs w:val="21"/>
        </w:rPr>
      </w:pPr>
      <w:r>
        <w:rPr>
          <w:rFonts w:ascii="宋体" w:hAnsi="宋体" w:cs="宋体"/>
          <w:szCs w:val="21"/>
        </w:rPr>
        <w:t>2.1</w:t>
      </w:r>
      <w:r>
        <w:rPr>
          <w:rFonts w:ascii="宋体" w:hAnsi="宋体" w:cs="宋体"/>
          <w:b/>
          <w:bCs/>
          <w:szCs w:val="21"/>
        </w:rPr>
        <w:t>磋商小组成员由采购人的代表和随机抽取的有关方面的</w:t>
      </w:r>
      <w:r>
        <w:rPr>
          <w:rFonts w:ascii="宋体" w:hAnsi="宋体" w:cs="宋体"/>
          <w:b/>
          <w:bCs/>
          <w:szCs w:val="21"/>
          <w:lang w:val="en-US" w:eastAsia="zh-CN"/>
        </w:rPr>
        <w:t>专家5名或以上组成</w:t>
      </w:r>
      <w:r>
        <w:rPr>
          <w:rFonts w:ascii="宋体" w:hAnsi="宋体" w:cs="宋体"/>
          <w:b/>
          <w:bCs/>
          <w:szCs w:val="21"/>
        </w:rPr>
        <w:t>，磋商小组的成员在评审过程中</w:t>
      </w:r>
      <w:r>
        <w:rPr>
          <w:rFonts w:ascii="宋体" w:hAnsi="宋体" w:cs="宋体"/>
          <w:b/>
          <w:bCs/>
          <w:szCs w:val="21"/>
          <w:lang w:val="zh-CN"/>
        </w:rPr>
        <w:t>必须严格遵守政府采购的有关规定</w:t>
      </w:r>
      <w:r>
        <w:rPr>
          <w:rFonts w:ascii="宋体" w:hAnsi="宋体" w:cs="宋体"/>
          <w:b/>
          <w:bCs/>
          <w:szCs w:val="21"/>
        </w:rPr>
        <w:t>。专家从当地专家库中随机抽取产生。</w:t>
      </w:r>
    </w:p>
    <w:p w14:paraId="371A15F9">
      <w:pPr>
        <w:tabs>
          <w:tab w:val="left" w:pos="567"/>
          <w:tab w:val="left" w:pos="1145"/>
        </w:tabs>
        <w:spacing w:line="440" w:lineRule="exact"/>
        <w:ind w:firstLine="535"/>
        <w:rPr>
          <w:rFonts w:ascii="宋体" w:hAnsi="宋体" w:cs="宋体"/>
          <w:szCs w:val="21"/>
        </w:rPr>
      </w:pPr>
      <w:r>
        <w:rPr>
          <w:rFonts w:ascii="宋体" w:hAnsi="宋体" w:cs="宋体"/>
          <w:szCs w:val="21"/>
        </w:rPr>
        <w:t>2.2磋商小组由采购人及有关专家组成，由磋商小组确认，并接受其领导。</w:t>
      </w:r>
    </w:p>
    <w:p w14:paraId="555CC0A3">
      <w:pPr>
        <w:tabs>
          <w:tab w:val="left" w:pos="567"/>
          <w:tab w:val="left" w:pos="1145"/>
        </w:tabs>
        <w:spacing w:line="440" w:lineRule="exact"/>
        <w:ind w:firstLine="535"/>
        <w:rPr>
          <w:rFonts w:ascii="宋体" w:hAnsi="宋体" w:cs="宋体"/>
          <w:szCs w:val="21"/>
        </w:rPr>
      </w:pPr>
      <w:r>
        <w:rPr>
          <w:rFonts w:ascii="宋体" w:hAnsi="宋体" w:cs="宋体"/>
          <w:szCs w:val="21"/>
        </w:rPr>
        <w:t>2.3磋商小组应相对独立工作，负责评审、撰写技术、商务评审报告。采购代理机构负责评审过程中资料的保管、发放、回收，整理、汇总评审资料。</w:t>
      </w:r>
    </w:p>
    <w:p w14:paraId="522B9717">
      <w:pPr>
        <w:tabs>
          <w:tab w:val="left" w:pos="567"/>
          <w:tab w:val="left" w:pos="600"/>
        </w:tabs>
        <w:spacing w:line="440" w:lineRule="exact"/>
        <w:ind w:firstLine="535"/>
        <w:rPr>
          <w:rFonts w:ascii="宋体" w:hAnsi="宋体" w:cs="宋体"/>
          <w:szCs w:val="21"/>
        </w:rPr>
      </w:pPr>
      <w:r>
        <w:rPr>
          <w:rFonts w:ascii="宋体" w:hAnsi="宋体" w:cs="宋体"/>
          <w:szCs w:val="21"/>
        </w:rPr>
        <w:t>3、磋商小组职责</w:t>
      </w:r>
    </w:p>
    <w:p w14:paraId="65083ED3">
      <w:pPr>
        <w:pStyle w:val="77"/>
        <w:spacing w:before="0" w:after="0" w:line="440" w:lineRule="exact"/>
        <w:ind w:firstLine="535"/>
        <w:rPr>
          <w:rFonts w:ascii="宋体" w:hAnsi="宋体" w:cs="宋体"/>
          <w:color w:val="000000"/>
          <w:sz w:val="21"/>
          <w:szCs w:val="21"/>
        </w:rPr>
      </w:pPr>
      <w:r>
        <w:rPr>
          <w:rFonts w:ascii="宋体" w:hAnsi="宋体" w:cs="宋体"/>
          <w:color w:val="000000"/>
          <w:sz w:val="21"/>
          <w:szCs w:val="21"/>
        </w:rPr>
        <w:t>3.1审查供应商提交的响应文件是否符合磋商文件要求，并作出评价；</w:t>
      </w:r>
    </w:p>
    <w:p w14:paraId="302BD021">
      <w:pPr>
        <w:pStyle w:val="77"/>
        <w:spacing w:before="0" w:after="0" w:line="440" w:lineRule="exact"/>
        <w:ind w:firstLine="535"/>
        <w:rPr>
          <w:rFonts w:ascii="宋体" w:hAnsi="宋体" w:cs="宋体"/>
          <w:color w:val="000000"/>
          <w:sz w:val="21"/>
          <w:szCs w:val="21"/>
        </w:rPr>
      </w:pPr>
      <w:r>
        <w:rPr>
          <w:rFonts w:ascii="宋体" w:hAnsi="宋体" w:cs="宋体"/>
          <w:color w:val="000000"/>
          <w:sz w:val="21"/>
          <w:szCs w:val="21"/>
        </w:rPr>
        <w:t>3.2要求供应商对磋商文件有关事项作出解释或者澄清；</w:t>
      </w:r>
    </w:p>
    <w:p w14:paraId="0922B007">
      <w:pPr>
        <w:pStyle w:val="77"/>
        <w:spacing w:before="0" w:after="0" w:line="440" w:lineRule="exact"/>
        <w:ind w:firstLine="535"/>
        <w:rPr>
          <w:rFonts w:ascii="宋体" w:hAnsi="宋体" w:cs="宋体"/>
          <w:color w:val="000000"/>
          <w:sz w:val="21"/>
          <w:szCs w:val="21"/>
        </w:rPr>
      </w:pPr>
      <w:r>
        <w:rPr>
          <w:rFonts w:ascii="宋体" w:hAnsi="宋体" w:cs="宋体"/>
          <w:color w:val="000000"/>
          <w:sz w:val="21"/>
          <w:szCs w:val="21"/>
        </w:rPr>
        <w:t>3.3推荐成交候选人名单；</w:t>
      </w:r>
    </w:p>
    <w:p w14:paraId="56A75DAF">
      <w:pPr>
        <w:pStyle w:val="77"/>
        <w:spacing w:before="0" w:after="0" w:line="440" w:lineRule="exact"/>
        <w:ind w:firstLine="535"/>
        <w:rPr>
          <w:rFonts w:ascii="宋体" w:hAnsi="宋体" w:cs="宋体"/>
          <w:color w:val="000000"/>
          <w:sz w:val="21"/>
          <w:szCs w:val="21"/>
        </w:rPr>
      </w:pPr>
      <w:r>
        <w:rPr>
          <w:rFonts w:ascii="宋体" w:hAnsi="宋体" w:cs="宋体"/>
          <w:color w:val="000000"/>
          <w:sz w:val="21"/>
          <w:szCs w:val="21"/>
        </w:rPr>
        <w:t>3.4向采购人、采购代理机构或者有关部门报告非法干预评审工作的行为。</w:t>
      </w:r>
    </w:p>
    <w:p w14:paraId="212ABBF0">
      <w:pPr>
        <w:tabs>
          <w:tab w:val="left" w:pos="567"/>
          <w:tab w:val="left" w:pos="600"/>
        </w:tabs>
        <w:spacing w:line="440" w:lineRule="exact"/>
        <w:ind w:firstLine="535"/>
        <w:rPr>
          <w:rFonts w:ascii="宋体" w:hAnsi="宋体" w:cs="宋体"/>
          <w:szCs w:val="21"/>
        </w:rPr>
      </w:pPr>
      <w:r>
        <w:rPr>
          <w:rFonts w:ascii="宋体" w:hAnsi="宋体" w:cs="宋体"/>
          <w:szCs w:val="21"/>
        </w:rPr>
        <w:t>4、磋商小组义务</w:t>
      </w:r>
    </w:p>
    <w:p w14:paraId="5F43EC44">
      <w:pPr>
        <w:tabs>
          <w:tab w:val="left" w:pos="567"/>
          <w:tab w:val="left" w:pos="600"/>
        </w:tabs>
        <w:spacing w:line="440" w:lineRule="exact"/>
        <w:ind w:firstLine="535"/>
        <w:rPr>
          <w:rFonts w:ascii="宋体" w:hAnsi="宋体" w:cs="宋体"/>
          <w:szCs w:val="21"/>
        </w:rPr>
      </w:pPr>
      <w:r>
        <w:rPr>
          <w:rFonts w:ascii="宋体" w:hAnsi="宋体" w:cs="宋体"/>
          <w:szCs w:val="21"/>
        </w:rPr>
        <w:t>4.1遵纪守法，客观、公正、廉洁地履行职责；</w:t>
      </w:r>
    </w:p>
    <w:p w14:paraId="0A7E7D10">
      <w:pPr>
        <w:tabs>
          <w:tab w:val="left" w:pos="567"/>
          <w:tab w:val="left" w:pos="600"/>
        </w:tabs>
        <w:spacing w:line="440" w:lineRule="exact"/>
        <w:ind w:firstLine="535"/>
        <w:rPr>
          <w:rFonts w:ascii="宋体" w:hAnsi="宋体" w:cs="宋体"/>
          <w:szCs w:val="21"/>
        </w:rPr>
      </w:pPr>
      <w:r>
        <w:rPr>
          <w:rFonts w:ascii="宋体" w:hAnsi="宋体" w:cs="宋体"/>
          <w:szCs w:val="21"/>
        </w:rPr>
        <w:t>4.2按照磋商文件规定的评审方法和评审标准进行评审，对评审意见承担个人责任；</w:t>
      </w:r>
    </w:p>
    <w:p w14:paraId="6EDAB07B">
      <w:pPr>
        <w:tabs>
          <w:tab w:val="left" w:pos="567"/>
          <w:tab w:val="left" w:pos="600"/>
        </w:tabs>
        <w:spacing w:line="440" w:lineRule="exact"/>
        <w:ind w:firstLine="535"/>
        <w:rPr>
          <w:rFonts w:ascii="宋体" w:hAnsi="宋体" w:cs="宋体"/>
          <w:szCs w:val="21"/>
        </w:rPr>
      </w:pPr>
      <w:r>
        <w:rPr>
          <w:rFonts w:ascii="宋体" w:hAnsi="宋体" w:cs="宋体"/>
          <w:szCs w:val="21"/>
        </w:rPr>
        <w:t>4.3对评审过程和结果，以及供应商的商业秘密保密；</w:t>
      </w:r>
    </w:p>
    <w:p w14:paraId="0BEBA76E">
      <w:pPr>
        <w:tabs>
          <w:tab w:val="left" w:pos="567"/>
          <w:tab w:val="left" w:pos="600"/>
        </w:tabs>
        <w:spacing w:line="440" w:lineRule="exact"/>
        <w:ind w:firstLine="535"/>
        <w:rPr>
          <w:rFonts w:ascii="宋体" w:hAnsi="宋体" w:cs="宋体"/>
          <w:szCs w:val="21"/>
        </w:rPr>
      </w:pPr>
      <w:r>
        <w:rPr>
          <w:rFonts w:ascii="宋体" w:hAnsi="宋体" w:cs="宋体"/>
          <w:szCs w:val="21"/>
        </w:rPr>
        <w:t>4.4参与评审报告的起草；</w:t>
      </w:r>
    </w:p>
    <w:p w14:paraId="4C36B022">
      <w:pPr>
        <w:tabs>
          <w:tab w:val="left" w:pos="567"/>
          <w:tab w:val="left" w:pos="600"/>
        </w:tabs>
        <w:spacing w:line="440" w:lineRule="exact"/>
        <w:ind w:firstLine="535"/>
        <w:rPr>
          <w:rFonts w:ascii="宋体" w:hAnsi="宋体" w:cs="宋体"/>
          <w:szCs w:val="21"/>
        </w:rPr>
      </w:pPr>
      <w:r>
        <w:rPr>
          <w:rFonts w:ascii="宋体" w:hAnsi="宋体" w:cs="宋体"/>
          <w:szCs w:val="21"/>
        </w:rPr>
        <w:t>4.5配合有关部门的投诉处理工作；</w:t>
      </w:r>
    </w:p>
    <w:p w14:paraId="02942833">
      <w:pPr>
        <w:tabs>
          <w:tab w:val="left" w:pos="567"/>
          <w:tab w:val="left" w:pos="600"/>
        </w:tabs>
        <w:spacing w:line="440" w:lineRule="exact"/>
        <w:ind w:firstLine="535"/>
        <w:rPr>
          <w:rFonts w:ascii="宋体" w:hAnsi="宋体" w:cs="宋体"/>
          <w:szCs w:val="21"/>
        </w:rPr>
      </w:pPr>
      <w:r>
        <w:rPr>
          <w:rFonts w:ascii="宋体" w:hAnsi="宋体" w:cs="宋体"/>
          <w:szCs w:val="21"/>
        </w:rPr>
        <w:t>4.6配合采购人、采购代理机构答复磋商供应商提出的质疑。</w:t>
      </w:r>
    </w:p>
    <w:p w14:paraId="1A3B893B">
      <w:pPr>
        <w:tabs>
          <w:tab w:val="left" w:pos="1547"/>
        </w:tabs>
        <w:spacing w:line="440" w:lineRule="exact"/>
        <w:ind w:firstLine="535"/>
        <w:rPr>
          <w:rFonts w:ascii="宋体" w:hAnsi="宋体" w:cs="宋体"/>
          <w:szCs w:val="21"/>
        </w:rPr>
      </w:pPr>
      <w:r>
        <w:rPr>
          <w:rFonts w:ascii="宋体" w:hAnsi="宋体" w:cs="宋体"/>
          <w:szCs w:val="21"/>
        </w:rPr>
        <w:t>5、 评审程序</w:t>
      </w:r>
    </w:p>
    <w:p w14:paraId="7F7F916B">
      <w:pPr>
        <w:pStyle w:val="56"/>
        <w:tabs>
          <w:tab w:val="left" w:pos="720"/>
        </w:tabs>
        <w:spacing w:line="440" w:lineRule="exact"/>
        <w:ind w:firstLine="535"/>
        <w:rPr>
          <w:rFonts w:ascii="宋体" w:hAnsi="宋体" w:cs="宋体"/>
          <w:bCs/>
          <w:color w:val="000000"/>
          <w:szCs w:val="21"/>
        </w:rPr>
      </w:pPr>
      <w:r>
        <w:rPr>
          <w:rFonts w:ascii="宋体" w:hAnsi="宋体" w:cs="宋体"/>
          <w:bCs/>
          <w:color w:val="000000"/>
          <w:szCs w:val="21"/>
        </w:rPr>
        <w:t>5.1本次评审首先由磋商小组对供应商的响应文件进行初审，对未能通过初审的响应文件作无效响应处理；</w:t>
      </w:r>
    </w:p>
    <w:p w14:paraId="7C9B4006">
      <w:pPr>
        <w:tabs>
          <w:tab w:val="left" w:pos="720"/>
        </w:tabs>
        <w:spacing w:line="440" w:lineRule="exact"/>
        <w:ind w:firstLine="535"/>
        <w:rPr>
          <w:rFonts w:ascii="宋体" w:hAnsi="宋体" w:eastAsia="宋体" w:cs="宋体"/>
          <w:szCs w:val="21"/>
        </w:rPr>
      </w:pPr>
      <w:r>
        <w:rPr>
          <w:rFonts w:ascii="宋体" w:hAnsi="宋体" w:eastAsia="宋体" w:cs="宋体"/>
          <w:szCs w:val="21"/>
        </w:rPr>
        <w:t>5.2</w:t>
      </w:r>
      <w:r>
        <w:rPr>
          <w:rFonts w:ascii="宋体" w:hAnsi="宋体" w:cs="宋体"/>
          <w:szCs w:val="21"/>
        </w:rPr>
        <w:t>对通过初审的供应商的响应文件进行详细的比较和评价。如需要，进行必要的澄清工作；</w:t>
      </w:r>
    </w:p>
    <w:p w14:paraId="226D9C93">
      <w:pPr>
        <w:tabs>
          <w:tab w:val="left" w:pos="720"/>
        </w:tabs>
        <w:spacing w:line="440" w:lineRule="exact"/>
        <w:ind w:firstLine="420"/>
        <w:rPr>
          <w:rFonts w:ascii="宋体" w:hAnsi="宋体" w:eastAsia="宋体" w:cs="宋体"/>
          <w:szCs w:val="21"/>
        </w:rPr>
      </w:pPr>
      <w:r>
        <w:rPr>
          <w:rFonts w:ascii="宋体" w:hAnsi="宋体" w:eastAsia="宋体" w:cs="宋体"/>
          <w:szCs w:val="21"/>
        </w:rPr>
        <w:t xml:space="preserve"> 5.3</w:t>
      </w:r>
      <w:r>
        <w:rPr>
          <w:rFonts w:ascii="宋体" w:hAnsi="宋体" w:cs="宋体"/>
          <w:szCs w:val="21"/>
        </w:rPr>
        <w:t>评审报告与推荐成交候选人</w:t>
      </w:r>
    </w:p>
    <w:p w14:paraId="2522478C">
      <w:pPr>
        <w:tabs>
          <w:tab w:val="left" w:pos="720"/>
        </w:tabs>
        <w:spacing w:line="440" w:lineRule="exact"/>
        <w:ind w:firstLine="535"/>
        <w:rPr>
          <w:rFonts w:ascii="宋体" w:hAnsi="宋体" w:eastAsia="宋体" w:cs="宋体"/>
          <w:szCs w:val="21"/>
        </w:rPr>
      </w:pPr>
      <w:r>
        <w:rPr>
          <w:rFonts w:ascii="宋体" w:hAnsi="宋体" w:eastAsia="宋体" w:cs="宋体"/>
          <w:szCs w:val="21"/>
        </w:rPr>
        <w:t>5.</w:t>
      </w:r>
      <w:r>
        <w:rPr>
          <w:rFonts w:ascii="宋体" w:hAnsi="宋体" w:eastAsia="宋体" w:cs="宋体"/>
          <w:szCs w:val="21"/>
          <w:lang w:val="en-US" w:eastAsia="zh-CN"/>
        </w:rPr>
        <w:t>4</w:t>
      </w:r>
      <w:r>
        <w:rPr>
          <w:rFonts w:ascii="宋体" w:hAnsi="宋体" w:cs="宋体"/>
          <w:szCs w:val="21"/>
        </w:rPr>
        <w:t>磋商小组各成员应当独立对每个有效响应的文件进行评价、打分，然后汇总每个供应商每项评分因素的得分。</w:t>
      </w:r>
    </w:p>
    <w:p w14:paraId="2CEBDC59">
      <w:pPr>
        <w:widowControl/>
        <w:spacing w:line="440" w:lineRule="exact"/>
        <w:ind w:firstLine="480"/>
        <w:rPr>
          <w:rFonts w:ascii="宋体" w:hAnsi="宋体" w:cs="宋体"/>
          <w:kern w:val="0"/>
          <w:szCs w:val="21"/>
        </w:rPr>
      </w:pPr>
      <w:r>
        <w:rPr>
          <w:rFonts w:ascii="宋体" w:hAnsi="宋体" w:cs="宋体"/>
          <w:kern w:val="0"/>
          <w:szCs w:val="21"/>
        </w:rPr>
        <w:t>　</w:t>
      </w:r>
      <w:r>
        <w:rPr>
          <w:rFonts w:ascii="宋体" w:hAnsi="宋体" w:cs="宋体"/>
          <w:b/>
          <w:bCs/>
          <w:kern w:val="0"/>
          <w:szCs w:val="21"/>
        </w:rPr>
        <w:t>综合评分法服务项目的价格分值占总分</w:t>
      </w:r>
      <w:r>
        <w:rPr>
          <w:rFonts w:ascii="宋体" w:hAnsi="宋体" w:cs="宋体"/>
          <w:b/>
          <w:bCs/>
          <w:color w:val="000000"/>
          <w:kern w:val="0"/>
          <w:szCs w:val="21"/>
        </w:rPr>
        <w:t>值的比重(即权值)为</w:t>
      </w:r>
      <w:r>
        <w:rPr>
          <w:rFonts w:ascii="宋体" w:hAnsi="宋体" w:cs="宋体"/>
          <w:b/>
          <w:bCs/>
          <w:color w:val="FF0000"/>
          <w:kern w:val="0"/>
          <w:szCs w:val="21"/>
          <w:lang w:val="en-US" w:eastAsia="zh-CN"/>
        </w:rPr>
        <w:t>10％</w:t>
      </w:r>
      <w:r>
        <w:rPr>
          <w:rFonts w:ascii="宋体" w:hAnsi="宋体" w:cs="宋体"/>
          <w:b/>
          <w:bCs/>
          <w:color w:val="000000"/>
          <w:kern w:val="0"/>
          <w:szCs w:val="21"/>
        </w:rPr>
        <w:t>，</w:t>
      </w:r>
      <w:r>
        <w:rPr>
          <w:rFonts w:ascii="宋体" w:hAnsi="宋体" w:cs="宋体"/>
          <w:color w:val="000000"/>
          <w:kern w:val="0"/>
          <w:szCs w:val="21"/>
        </w:rPr>
        <w:t>采</w:t>
      </w:r>
      <w:r>
        <w:rPr>
          <w:rFonts w:ascii="宋体" w:hAnsi="宋体" w:cs="宋体"/>
          <w:kern w:val="0"/>
          <w:szCs w:val="21"/>
        </w:rPr>
        <w:t>购项目中含不同采购对象的，以占项目资金比例最高的采购对象确定其项目属性。其价格不列为评分因素，有特殊情况需要在上述规定范围外设定价格分权重的。</w:t>
      </w:r>
    </w:p>
    <w:p w14:paraId="5D98744D">
      <w:pPr>
        <w:widowControl/>
        <w:spacing w:line="440" w:lineRule="exact"/>
        <w:ind w:firstLine="480"/>
        <w:rPr>
          <w:rFonts w:ascii="宋体" w:hAnsi="宋体" w:cs="宋体"/>
          <w:kern w:val="0"/>
          <w:szCs w:val="21"/>
        </w:rPr>
      </w:pPr>
      <w:r>
        <w:rPr>
          <w:rFonts w:ascii="宋体" w:hAnsi="宋体" w:cs="宋体"/>
          <w:kern w:val="0"/>
          <w:szCs w:val="21"/>
        </w:rPr>
        <w:t>　综合评分法中的价格分统一采用低价优先法计算，即满足磋商文件要求且最后报价最低的供应商的价格为磋商基准价，其价格分为满分。其他供应商的价格分统一按照下列公式计算：</w:t>
      </w:r>
    </w:p>
    <w:p w14:paraId="71B6C08E">
      <w:pPr>
        <w:widowControl/>
        <w:spacing w:line="440" w:lineRule="exact"/>
        <w:ind w:firstLine="480"/>
        <w:rPr>
          <w:rFonts w:ascii="宋体" w:hAnsi="宋体" w:cs="宋体"/>
          <w:kern w:val="0"/>
          <w:szCs w:val="21"/>
        </w:rPr>
      </w:pPr>
      <w:r>
        <w:rPr>
          <w:rFonts w:ascii="宋体" w:hAnsi="宋体" w:cs="宋体"/>
          <w:kern w:val="0"/>
          <w:szCs w:val="21"/>
        </w:rPr>
        <w:t>　磋商报价得分=（磋商基准价/最后磋商报价）×价格权值×100</w:t>
      </w:r>
    </w:p>
    <w:p w14:paraId="2C20112C">
      <w:pPr>
        <w:widowControl/>
        <w:spacing w:line="440" w:lineRule="exact"/>
        <w:ind w:firstLine="480"/>
        <w:rPr>
          <w:rFonts w:ascii="宋体" w:hAnsi="宋体" w:eastAsia="宋体" w:cs="宋体"/>
          <w:kern w:val="0"/>
          <w:szCs w:val="21"/>
        </w:rPr>
      </w:pPr>
      <w:r>
        <w:rPr>
          <w:rFonts w:ascii="宋体" w:hAnsi="宋体" w:cs="宋体"/>
          <w:kern w:val="0"/>
          <w:szCs w:val="21"/>
        </w:rPr>
        <w:t>　项目评审过程中，不得去掉最后报价中的最高报价和最低报价。</w:t>
      </w:r>
    </w:p>
    <w:p w14:paraId="23CEB065">
      <w:pPr>
        <w:widowControl/>
        <w:spacing w:line="440" w:lineRule="exact"/>
        <w:ind w:firstLine="480"/>
        <w:rPr>
          <w:rFonts w:ascii="宋体" w:hAnsi="宋体" w:eastAsia="宋体" w:cs="宋体"/>
          <w:kern w:val="0"/>
          <w:szCs w:val="21"/>
        </w:rPr>
      </w:pPr>
      <w:r>
        <w:rPr>
          <w:rFonts w:ascii="宋体" w:hAnsi="宋体" w:cs="宋体"/>
          <w:kern w:val="0"/>
          <w:szCs w:val="21"/>
          <w:lang w:val="en-US" w:eastAsia="zh-CN"/>
        </w:rPr>
        <w:t>按照</w:t>
      </w:r>
      <w:r>
        <w:rPr>
          <w:rFonts w:ascii="宋体" w:hAnsi="宋体" w:cs="宋体"/>
          <w:kern w:val="0"/>
          <w:szCs w:val="21"/>
        </w:rPr>
        <w:t>《政府采购竞争性磋商采购方式管理暂行办法》法第二十五条</w:t>
      </w:r>
      <w:r>
        <w:rPr>
          <w:rFonts w:ascii="宋体" w:hAnsi="宋体" w:cs="宋体"/>
          <w:kern w:val="0"/>
          <w:szCs w:val="21"/>
          <w:lang w:eastAsia="zh-CN"/>
        </w:rPr>
        <w:t>，</w:t>
      </w:r>
      <w:r>
        <w:rPr>
          <w:rFonts w:ascii="宋体" w:hAnsi="宋体" w:cs="宋体"/>
          <w:kern w:val="0"/>
          <w:szCs w:val="21"/>
        </w:rPr>
        <w:t>磋商小组应当根据综合评分情况，按照评审得分由高到低顺序推荐</w:t>
      </w:r>
      <w:r>
        <w:rPr>
          <w:rFonts w:ascii="宋体" w:hAnsi="宋体" w:eastAsia="宋体" w:cs="宋体"/>
          <w:kern w:val="0"/>
          <w:szCs w:val="21"/>
        </w:rPr>
        <w:t>3</w:t>
      </w:r>
      <w:r>
        <w:rPr>
          <w:rFonts w:ascii="宋体" w:hAnsi="宋体" w:cs="宋体"/>
          <w:kern w:val="0"/>
          <w:szCs w:val="21"/>
        </w:rPr>
        <w:t>名以上成交候选供应商，并编写评审报告。符合本办法第二十一条第三款情形的，可以推荐</w:t>
      </w:r>
      <w:r>
        <w:rPr>
          <w:rFonts w:ascii="宋体" w:hAnsi="宋体" w:eastAsia="宋体" w:cs="宋体"/>
          <w:kern w:val="0"/>
          <w:szCs w:val="21"/>
        </w:rPr>
        <w:t>2</w:t>
      </w:r>
      <w:r>
        <w:rPr>
          <w:rFonts w:ascii="宋体" w:hAnsi="宋体" w:cs="宋体"/>
          <w:kern w:val="0"/>
          <w:szCs w:val="21"/>
        </w:rPr>
        <w:t>家成交候选供应商。评审得分相同的，按照最后报价由低到高的顺序推荐。评审得分且最后报价相同的，按照技术指标优劣顺序推荐。</w:t>
      </w:r>
    </w:p>
    <w:p w14:paraId="0F8F6E6A">
      <w:pPr>
        <w:widowControl/>
        <w:spacing w:line="440" w:lineRule="exact"/>
        <w:ind w:firstLine="480"/>
        <w:rPr>
          <w:rFonts w:ascii="宋体" w:hAnsi="宋体" w:eastAsia="宋体" w:cs="宋体"/>
          <w:kern w:val="0"/>
          <w:szCs w:val="21"/>
        </w:rPr>
      </w:pPr>
    </w:p>
    <w:p w14:paraId="57F7CE5E">
      <w:pPr>
        <w:widowControl/>
        <w:spacing w:line="440" w:lineRule="exact"/>
        <w:ind w:firstLine="480"/>
        <w:rPr>
          <w:rFonts w:ascii="宋体" w:hAnsi="宋体" w:eastAsia="宋体" w:cs="宋体"/>
          <w:kern w:val="0"/>
          <w:szCs w:val="21"/>
        </w:rPr>
      </w:pPr>
    </w:p>
    <w:p w14:paraId="6D9C6272">
      <w:pPr>
        <w:numPr>
          <w:ilvl w:val="0"/>
          <w:numId w:val="0"/>
        </w:numPr>
        <w:jc w:val="center"/>
        <w:outlineLvl w:val="1"/>
        <w:rPr>
          <w:rFonts w:ascii="宋体" w:hAnsi="宋体" w:eastAsia="宋体" w:cs="宋体"/>
          <w:b/>
          <w:color w:val="000000"/>
          <w:kern w:val="0"/>
          <w:sz w:val="28"/>
          <w:szCs w:val="28"/>
          <w:highlight w:val="none"/>
        </w:rPr>
      </w:pPr>
    </w:p>
    <w:p w14:paraId="4B4017F9">
      <w:pPr>
        <w:numPr>
          <w:ilvl w:val="0"/>
          <w:numId w:val="0"/>
        </w:numPr>
        <w:jc w:val="center"/>
        <w:outlineLvl w:val="1"/>
        <w:rPr>
          <w:rFonts w:ascii="宋体" w:hAnsi="宋体"/>
          <w:b/>
          <w:color w:val="000000"/>
          <w:sz w:val="28"/>
          <w:szCs w:val="28"/>
          <w:highlight w:val="none"/>
        </w:rPr>
      </w:pPr>
    </w:p>
    <w:p w14:paraId="44B32263">
      <w:pPr>
        <w:numPr>
          <w:ilvl w:val="0"/>
          <w:numId w:val="0"/>
        </w:numPr>
        <w:jc w:val="center"/>
        <w:outlineLvl w:val="1"/>
        <w:rPr>
          <w:rFonts w:ascii="宋体" w:hAnsi="宋体"/>
          <w:b/>
          <w:color w:val="000000"/>
          <w:sz w:val="28"/>
          <w:szCs w:val="28"/>
          <w:highlight w:val="none"/>
        </w:rPr>
      </w:pPr>
    </w:p>
    <w:p w14:paraId="16A3AF9A">
      <w:pPr>
        <w:numPr>
          <w:ilvl w:val="0"/>
          <w:numId w:val="0"/>
        </w:numPr>
        <w:jc w:val="center"/>
        <w:outlineLvl w:val="1"/>
        <w:rPr>
          <w:rFonts w:ascii="宋体" w:hAnsi="宋体"/>
          <w:b/>
          <w:color w:val="000000"/>
          <w:sz w:val="28"/>
          <w:szCs w:val="28"/>
          <w:highlight w:val="none"/>
        </w:rPr>
      </w:pPr>
    </w:p>
    <w:p w14:paraId="67C57DF0">
      <w:pPr>
        <w:numPr>
          <w:ilvl w:val="0"/>
          <w:numId w:val="0"/>
        </w:numPr>
        <w:jc w:val="center"/>
        <w:outlineLvl w:val="1"/>
        <w:rPr>
          <w:rFonts w:ascii="宋体" w:hAnsi="宋体"/>
          <w:b/>
          <w:color w:val="000000"/>
          <w:sz w:val="28"/>
          <w:szCs w:val="28"/>
          <w:highlight w:val="none"/>
        </w:rPr>
      </w:pPr>
    </w:p>
    <w:p w14:paraId="6B9AD588">
      <w:pPr>
        <w:numPr>
          <w:ilvl w:val="0"/>
          <w:numId w:val="0"/>
        </w:numPr>
        <w:jc w:val="center"/>
        <w:outlineLvl w:val="1"/>
        <w:rPr>
          <w:rFonts w:ascii="宋体" w:hAnsi="宋体"/>
          <w:b/>
          <w:color w:val="000000"/>
          <w:sz w:val="28"/>
          <w:szCs w:val="28"/>
          <w:highlight w:val="none"/>
        </w:rPr>
      </w:pPr>
    </w:p>
    <w:p w14:paraId="1495ED18">
      <w:pPr>
        <w:numPr>
          <w:ilvl w:val="0"/>
          <w:numId w:val="0"/>
        </w:numPr>
        <w:jc w:val="center"/>
        <w:outlineLvl w:val="1"/>
        <w:rPr>
          <w:rFonts w:ascii="宋体" w:hAnsi="宋体"/>
          <w:b/>
          <w:color w:val="000000"/>
          <w:sz w:val="28"/>
          <w:szCs w:val="28"/>
          <w:highlight w:val="none"/>
        </w:rPr>
      </w:pPr>
    </w:p>
    <w:p w14:paraId="70413E23">
      <w:pPr>
        <w:numPr>
          <w:ilvl w:val="0"/>
          <w:numId w:val="0"/>
        </w:numPr>
        <w:jc w:val="center"/>
        <w:outlineLvl w:val="1"/>
        <w:rPr>
          <w:rFonts w:ascii="宋体" w:hAnsi="宋体"/>
          <w:b/>
          <w:color w:val="000000"/>
          <w:sz w:val="28"/>
          <w:szCs w:val="28"/>
          <w:highlight w:val="none"/>
        </w:rPr>
      </w:pPr>
    </w:p>
    <w:p w14:paraId="76A1CB3B">
      <w:pPr>
        <w:numPr>
          <w:ilvl w:val="0"/>
          <w:numId w:val="0"/>
        </w:numPr>
        <w:jc w:val="center"/>
        <w:outlineLvl w:val="1"/>
        <w:rPr>
          <w:rFonts w:ascii="宋体" w:hAnsi="宋体"/>
          <w:b/>
          <w:color w:val="000000"/>
          <w:sz w:val="28"/>
          <w:szCs w:val="28"/>
          <w:highlight w:val="none"/>
        </w:rPr>
      </w:pPr>
    </w:p>
    <w:p w14:paraId="5B106E1D">
      <w:pPr>
        <w:numPr>
          <w:ilvl w:val="0"/>
          <w:numId w:val="0"/>
        </w:numPr>
        <w:jc w:val="center"/>
        <w:outlineLvl w:val="1"/>
        <w:rPr>
          <w:rFonts w:ascii="宋体" w:hAnsi="宋体"/>
          <w:b/>
          <w:color w:val="000000"/>
          <w:sz w:val="28"/>
          <w:szCs w:val="28"/>
          <w:highlight w:val="none"/>
        </w:rPr>
      </w:pPr>
    </w:p>
    <w:p w14:paraId="319197A6">
      <w:pPr>
        <w:numPr>
          <w:ilvl w:val="0"/>
          <w:numId w:val="0"/>
        </w:numPr>
        <w:jc w:val="both"/>
        <w:outlineLvl w:val="1"/>
        <w:rPr>
          <w:rFonts w:ascii="宋体" w:hAnsi="宋体"/>
          <w:b/>
          <w:color w:val="000000"/>
          <w:sz w:val="28"/>
          <w:szCs w:val="28"/>
          <w:highlight w:val="none"/>
        </w:rPr>
      </w:pPr>
    </w:p>
    <w:p w14:paraId="72ACF7AF">
      <w:pPr>
        <w:numPr>
          <w:ilvl w:val="0"/>
          <w:numId w:val="0"/>
        </w:numPr>
        <w:jc w:val="center"/>
        <w:outlineLvl w:val="1"/>
        <w:rPr>
          <w:rFonts w:ascii="宋体" w:hAnsi="宋体"/>
          <w:b/>
          <w:color w:val="000000"/>
          <w:sz w:val="28"/>
          <w:szCs w:val="28"/>
          <w:highlight w:val="none"/>
        </w:rPr>
      </w:pPr>
      <w:bookmarkStart w:id="5" w:name="__RefHeading___Toc469495733"/>
      <w:r>
        <w:rPr>
          <w:rFonts w:ascii="宋体" w:hAnsi="宋体"/>
          <w:b/>
          <w:color w:val="000000"/>
          <w:sz w:val="28"/>
          <w:szCs w:val="28"/>
        </w:rPr>
        <w:t>二  响应文件初审</w:t>
      </w:r>
      <w:bookmarkEnd w:id="5"/>
    </w:p>
    <w:p w14:paraId="54447B6B">
      <w:pPr>
        <w:spacing w:line="400" w:lineRule="exact"/>
        <w:ind w:firstLine="308"/>
        <w:rPr>
          <w:rFonts w:ascii="宋体" w:hAnsi="宋体"/>
          <w:b/>
          <w:color w:val="000000"/>
          <w:szCs w:val="21"/>
          <w:highlight w:val="none"/>
        </w:rPr>
      </w:pPr>
      <w:r>
        <w:rPr>
          <w:rFonts w:ascii="宋体" w:hAnsi="宋体"/>
          <w:b/>
          <w:color w:val="000000"/>
          <w:szCs w:val="21"/>
          <w:lang w:val="en-US" w:eastAsia="zh-CN"/>
        </w:rPr>
        <w:t>6</w:t>
      </w:r>
      <w:r>
        <w:rPr>
          <w:rFonts w:ascii="宋体" w:hAnsi="宋体"/>
          <w:b/>
          <w:color w:val="000000"/>
          <w:szCs w:val="21"/>
        </w:rPr>
        <w:t>.资格性审查:</w:t>
      </w:r>
    </w:p>
    <w:p w14:paraId="7612273A">
      <w:pPr>
        <w:spacing w:line="400" w:lineRule="exact"/>
        <w:ind w:firstLine="308"/>
        <w:rPr>
          <w:color w:val="000000"/>
          <w:szCs w:val="21"/>
          <w:highlight w:val="none"/>
        </w:rPr>
      </w:pPr>
      <w:r>
        <w:rPr>
          <w:rFonts w:ascii="宋体" w:hAnsi="宋体"/>
          <w:color w:val="000000"/>
          <w:szCs w:val="21"/>
          <w:lang w:val="en-US" w:eastAsia="zh-CN"/>
        </w:rPr>
        <w:t>6</w:t>
      </w:r>
      <w:r>
        <w:rPr>
          <w:rFonts w:ascii="宋体" w:hAnsi="宋体"/>
          <w:color w:val="000000"/>
          <w:szCs w:val="21"/>
        </w:rPr>
        <w:t>.1</w:t>
      </w:r>
      <w:r>
        <w:rPr>
          <w:color w:val="000000"/>
          <w:szCs w:val="21"/>
        </w:rPr>
        <w:t>评审细则</w:t>
      </w:r>
    </w:p>
    <w:tbl>
      <w:tblPr>
        <w:tblStyle w:val="20"/>
        <w:tblW w:w="9286" w:type="dxa"/>
        <w:jc w:val="center"/>
        <w:tblLayout w:type="fixed"/>
        <w:tblCellMar>
          <w:top w:w="0" w:type="dxa"/>
          <w:left w:w="108" w:type="dxa"/>
          <w:bottom w:w="0" w:type="dxa"/>
          <w:right w:w="108" w:type="dxa"/>
        </w:tblCellMar>
      </w:tblPr>
      <w:tblGrid>
        <w:gridCol w:w="881"/>
        <w:gridCol w:w="547"/>
        <w:gridCol w:w="6649"/>
        <w:gridCol w:w="555"/>
        <w:gridCol w:w="654"/>
      </w:tblGrid>
      <w:tr w14:paraId="60E1C0B0">
        <w:tblPrEx>
          <w:tblCellMar>
            <w:top w:w="0" w:type="dxa"/>
            <w:left w:w="108" w:type="dxa"/>
            <w:bottom w:w="0" w:type="dxa"/>
            <w:right w:w="108" w:type="dxa"/>
          </w:tblCellMar>
        </w:tblPrEx>
        <w:trPr>
          <w:trHeight w:val="216" w:hRule="atLeast"/>
          <w:jc w:val="center"/>
        </w:trPr>
        <w:tc>
          <w:tcPr>
            <w:tcW w:w="881" w:type="dxa"/>
            <w:vMerge w:val="restart"/>
            <w:tcBorders>
              <w:top w:val="single" w:color="000000" w:sz="4" w:space="0"/>
              <w:left w:val="single" w:color="000000" w:sz="4" w:space="0"/>
              <w:bottom w:val="single" w:color="000000" w:sz="4" w:space="0"/>
              <w:right w:val="single" w:color="000000" w:sz="4" w:space="0"/>
            </w:tcBorders>
            <w:vAlign w:val="center"/>
          </w:tcPr>
          <w:p w14:paraId="28354E33">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项目</w:t>
            </w:r>
          </w:p>
        </w:tc>
        <w:tc>
          <w:tcPr>
            <w:tcW w:w="7196"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D9483C8">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评审内容</w:t>
            </w:r>
          </w:p>
        </w:tc>
        <w:tc>
          <w:tcPr>
            <w:tcW w:w="1209" w:type="dxa"/>
            <w:gridSpan w:val="2"/>
            <w:tcBorders>
              <w:top w:val="single" w:color="000000" w:sz="4" w:space="0"/>
              <w:left w:val="single" w:color="000000" w:sz="4" w:space="0"/>
              <w:bottom w:val="single" w:color="000000" w:sz="4" w:space="0"/>
              <w:right w:val="single" w:color="000000" w:sz="4" w:space="0"/>
            </w:tcBorders>
            <w:vAlign w:val="center"/>
          </w:tcPr>
          <w:p w14:paraId="7C7478ED">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评审意见</w:t>
            </w:r>
          </w:p>
        </w:tc>
      </w:tr>
      <w:tr w14:paraId="1DD489CC">
        <w:tblPrEx>
          <w:tblCellMar>
            <w:top w:w="0" w:type="dxa"/>
            <w:left w:w="108" w:type="dxa"/>
            <w:bottom w:w="0" w:type="dxa"/>
            <w:right w:w="108" w:type="dxa"/>
          </w:tblCellMar>
        </w:tblPrEx>
        <w:trPr>
          <w:trHeight w:val="135"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4F8422EC">
            <w:pPr>
              <w:snapToGrid w:val="0"/>
              <w:spacing w:line="360" w:lineRule="auto"/>
              <w:rPr>
                <w:rFonts w:ascii="宋体" w:hAnsi="宋体" w:eastAsia="宋体" w:cs="宋体"/>
                <w:b/>
                <w:color w:val="000000"/>
                <w:sz w:val="20"/>
                <w:szCs w:val="22"/>
                <w:highlight w:val="none"/>
              </w:rPr>
            </w:pPr>
          </w:p>
        </w:tc>
        <w:tc>
          <w:tcPr>
            <w:tcW w:w="719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668C659">
            <w:pPr>
              <w:snapToGrid w:val="0"/>
              <w:spacing w:line="360" w:lineRule="auto"/>
              <w:rPr>
                <w:rFonts w:ascii="宋体" w:hAnsi="宋体" w:eastAsia="宋体" w:cs="宋体"/>
                <w:color w:val="000000"/>
                <w:sz w:val="20"/>
                <w:szCs w:val="22"/>
                <w:highlight w:val="none"/>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7F72EBD0">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是</w:t>
            </w:r>
          </w:p>
        </w:tc>
        <w:tc>
          <w:tcPr>
            <w:tcW w:w="654" w:type="dxa"/>
            <w:tcBorders>
              <w:top w:val="single" w:color="000000" w:sz="4" w:space="0"/>
              <w:left w:val="single" w:color="000000" w:sz="4" w:space="0"/>
              <w:bottom w:val="single" w:color="000000" w:sz="4" w:space="0"/>
              <w:right w:val="single" w:color="000000" w:sz="4" w:space="0"/>
            </w:tcBorders>
            <w:vAlign w:val="center"/>
          </w:tcPr>
          <w:p w14:paraId="4F7E7302">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否</w:t>
            </w:r>
          </w:p>
        </w:tc>
      </w:tr>
      <w:tr w14:paraId="0C1D5699">
        <w:tblPrEx>
          <w:tblCellMar>
            <w:top w:w="0" w:type="dxa"/>
            <w:left w:w="108" w:type="dxa"/>
            <w:bottom w:w="0" w:type="dxa"/>
            <w:right w:w="108" w:type="dxa"/>
          </w:tblCellMar>
        </w:tblPrEx>
        <w:trPr>
          <w:trHeight w:val="249" w:hRule="atLeast"/>
          <w:jc w:val="center"/>
        </w:trPr>
        <w:tc>
          <w:tcPr>
            <w:tcW w:w="881" w:type="dxa"/>
            <w:vMerge w:val="restart"/>
            <w:tcBorders>
              <w:top w:val="single" w:color="000000" w:sz="4" w:space="0"/>
              <w:left w:val="single" w:color="000000" w:sz="4" w:space="0"/>
              <w:bottom w:val="single" w:color="000000" w:sz="4" w:space="0"/>
              <w:right w:val="single" w:color="000000" w:sz="4" w:space="0"/>
            </w:tcBorders>
            <w:vAlign w:val="center"/>
          </w:tcPr>
          <w:p w14:paraId="54E6747F">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审</w:t>
            </w:r>
          </w:p>
          <w:p w14:paraId="20442676">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查</w:t>
            </w:r>
          </w:p>
          <w:p w14:paraId="2610F41B">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标</w:t>
            </w:r>
          </w:p>
          <w:p w14:paraId="66C77E2A">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准</w:t>
            </w:r>
          </w:p>
          <w:p w14:paraId="6A275B6F">
            <w:pPr>
              <w:spacing w:line="360" w:lineRule="auto"/>
              <w:jc w:val="center"/>
              <w:rPr>
                <w:rFonts w:ascii="宋体" w:hAnsi="宋体" w:eastAsia="宋体" w:cs="宋体"/>
                <w:color w:val="000000"/>
                <w:sz w:val="22"/>
                <w:szCs w:val="22"/>
                <w:highlight w:val="none"/>
              </w:rPr>
            </w:pPr>
            <w:r>
              <w:rPr>
                <w:rFonts w:ascii="宋体" w:hAnsi="宋体" w:eastAsia="宋体" w:cs="宋体"/>
                <w:color w:val="000000"/>
                <w:sz w:val="22"/>
                <w:szCs w:val="22"/>
              </w:rPr>
              <w:t>(</w:t>
            </w:r>
            <w:r>
              <w:rPr>
                <w:rFonts w:ascii="宋体" w:hAnsi="宋体" w:cs="宋体"/>
                <w:color w:val="000000"/>
                <w:sz w:val="22"/>
                <w:szCs w:val="22"/>
              </w:rPr>
              <w:t>适</w:t>
            </w:r>
          </w:p>
          <w:p w14:paraId="3B1831C1">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用</w:t>
            </w:r>
          </w:p>
          <w:p w14:paraId="60655DC0">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于</w:t>
            </w:r>
          </w:p>
          <w:p w14:paraId="2D6BC376">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资</w:t>
            </w:r>
          </w:p>
          <w:p w14:paraId="3EEC974C">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格</w:t>
            </w:r>
          </w:p>
          <w:p w14:paraId="2D804263">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后</w:t>
            </w:r>
          </w:p>
          <w:p w14:paraId="75A866F4">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审</w:t>
            </w:r>
            <w:r>
              <w:rPr>
                <w:rFonts w:ascii="宋体" w:hAnsi="宋体" w:eastAsia="宋体" w:cs="宋体"/>
                <w:color w:val="000000"/>
                <w:sz w:val="22"/>
                <w:szCs w:val="22"/>
              </w:rPr>
              <w:t>)</w:t>
            </w:r>
          </w:p>
        </w:tc>
        <w:tc>
          <w:tcPr>
            <w:tcW w:w="547" w:type="dxa"/>
            <w:tcBorders>
              <w:top w:val="single" w:color="000000" w:sz="4" w:space="0"/>
              <w:left w:val="single" w:color="000000" w:sz="4" w:space="0"/>
              <w:bottom w:val="single" w:color="000000" w:sz="4" w:space="0"/>
              <w:right w:val="single" w:color="000000" w:sz="4" w:space="0"/>
            </w:tcBorders>
            <w:vAlign w:val="center"/>
          </w:tcPr>
          <w:p w14:paraId="7DD50B21">
            <w:pPr>
              <w:spacing w:line="360" w:lineRule="auto"/>
              <w:jc w:val="center"/>
              <w:rPr>
                <w:rFonts w:ascii="宋体" w:hAnsi="宋体" w:eastAsia="宋体" w:cs="宋体"/>
                <w:color w:val="000000"/>
                <w:sz w:val="22"/>
                <w:szCs w:val="22"/>
                <w:highlight w:val="none"/>
              </w:rPr>
            </w:pPr>
            <w:r>
              <w:rPr>
                <w:rFonts w:ascii="宋体" w:hAnsi="宋体" w:eastAsia="宋体" w:cs="宋体"/>
                <w:color w:val="000000"/>
                <w:sz w:val="22"/>
                <w:szCs w:val="22"/>
              </w:rPr>
              <w:t>1</w:t>
            </w:r>
          </w:p>
        </w:tc>
        <w:tc>
          <w:tcPr>
            <w:tcW w:w="6649" w:type="dxa"/>
            <w:tcBorders>
              <w:top w:val="single" w:color="000000" w:sz="4" w:space="0"/>
              <w:left w:val="single" w:color="000000" w:sz="4" w:space="0"/>
              <w:bottom w:val="single" w:color="000000" w:sz="4" w:space="0"/>
              <w:right w:val="single" w:color="000000" w:sz="4" w:space="0"/>
            </w:tcBorders>
            <w:vAlign w:val="center"/>
          </w:tcPr>
          <w:p w14:paraId="3E2CE60B">
            <w:pPr>
              <w:widowControl/>
              <w:spacing w:line="360" w:lineRule="auto"/>
              <w:jc w:val="left"/>
              <w:textAlignment w:val="center"/>
              <w:rPr>
                <w:rFonts w:ascii="宋体" w:hAnsi="宋体" w:eastAsia="宋体" w:cs="宋体"/>
                <w:color w:val="000000"/>
                <w:sz w:val="21"/>
                <w:szCs w:val="21"/>
                <w:highlight w:val="none"/>
              </w:rPr>
            </w:pPr>
            <w:r>
              <w:rPr>
                <w:rFonts w:ascii="宋体" w:hAnsi="宋体" w:cs="宋体"/>
                <w:color w:val="000000"/>
                <w:sz w:val="21"/>
                <w:szCs w:val="21"/>
              </w:rPr>
              <w:t>具备三证合一营业执照副本；</w:t>
            </w:r>
          </w:p>
        </w:tc>
        <w:tc>
          <w:tcPr>
            <w:tcW w:w="555" w:type="dxa"/>
            <w:tcBorders>
              <w:top w:val="single" w:color="000000" w:sz="4" w:space="0"/>
              <w:left w:val="single" w:color="000000" w:sz="4" w:space="0"/>
              <w:bottom w:val="single" w:color="000000" w:sz="4" w:space="0"/>
              <w:right w:val="single" w:color="000000" w:sz="4" w:space="0"/>
            </w:tcBorders>
          </w:tcPr>
          <w:p w14:paraId="3A6A045B">
            <w:pPr>
              <w:snapToGrid w:val="0"/>
              <w:spacing w:line="360" w:lineRule="auto"/>
              <w:rPr>
                <w:rFonts w:ascii="宋体" w:hAnsi="宋体" w:eastAsia="宋体" w:cs="宋体"/>
                <w:color w:val="000000"/>
                <w:sz w:val="22"/>
                <w:szCs w:val="22"/>
                <w:highlight w:val="none"/>
              </w:rPr>
            </w:pPr>
          </w:p>
        </w:tc>
        <w:tc>
          <w:tcPr>
            <w:tcW w:w="654" w:type="dxa"/>
            <w:tcBorders>
              <w:top w:val="single" w:color="000000" w:sz="4" w:space="0"/>
              <w:left w:val="single" w:color="000000" w:sz="4" w:space="0"/>
              <w:bottom w:val="single" w:color="000000" w:sz="4" w:space="0"/>
              <w:right w:val="single" w:color="000000" w:sz="4" w:space="0"/>
            </w:tcBorders>
          </w:tcPr>
          <w:p w14:paraId="7218D334">
            <w:pPr>
              <w:snapToGrid w:val="0"/>
              <w:spacing w:line="360" w:lineRule="auto"/>
              <w:rPr>
                <w:rFonts w:ascii="宋体" w:hAnsi="宋体" w:eastAsia="宋体" w:cs="宋体"/>
                <w:color w:val="000000"/>
                <w:sz w:val="22"/>
                <w:szCs w:val="22"/>
                <w:highlight w:val="none"/>
              </w:rPr>
            </w:pPr>
          </w:p>
        </w:tc>
      </w:tr>
      <w:tr w14:paraId="44303280">
        <w:tblPrEx>
          <w:tblCellMar>
            <w:top w:w="0" w:type="dxa"/>
            <w:left w:w="108" w:type="dxa"/>
            <w:bottom w:w="0" w:type="dxa"/>
            <w:right w:w="108" w:type="dxa"/>
          </w:tblCellMar>
        </w:tblPrEx>
        <w:trPr>
          <w:trHeight w:val="310"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5292122F">
            <w:pPr>
              <w:snapToGrid w:val="0"/>
              <w:spacing w:line="360" w:lineRule="auto"/>
              <w:rPr>
                <w:rFonts w:ascii="宋体" w:hAnsi="宋体" w:eastAsia="宋体" w:cs="宋体"/>
                <w:color w:val="000000"/>
                <w:sz w:val="22"/>
                <w:szCs w:val="28"/>
                <w:highlight w:val="none"/>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18F4222C">
            <w:pPr>
              <w:spacing w:line="360" w:lineRule="auto"/>
              <w:jc w:val="center"/>
              <w:rPr>
                <w:rFonts w:ascii="宋体" w:hAnsi="宋体" w:eastAsia="宋体" w:cs="宋体"/>
                <w:color w:val="000000"/>
                <w:sz w:val="22"/>
                <w:szCs w:val="22"/>
                <w:highlight w:val="none"/>
              </w:rPr>
            </w:pPr>
            <w:r>
              <w:rPr>
                <w:rFonts w:ascii="宋体" w:hAnsi="宋体" w:eastAsia="宋体" w:cs="宋体"/>
                <w:color w:val="000000"/>
                <w:sz w:val="22"/>
                <w:szCs w:val="22"/>
              </w:rPr>
              <w:t>2</w:t>
            </w:r>
          </w:p>
        </w:tc>
        <w:tc>
          <w:tcPr>
            <w:tcW w:w="6649" w:type="dxa"/>
            <w:tcBorders>
              <w:top w:val="single" w:color="000000" w:sz="4" w:space="0"/>
              <w:left w:val="single" w:color="000000" w:sz="4" w:space="0"/>
              <w:bottom w:val="single" w:color="000000" w:sz="4" w:space="0"/>
              <w:right w:val="single" w:color="000000" w:sz="4" w:space="0"/>
            </w:tcBorders>
            <w:vAlign w:val="center"/>
          </w:tcPr>
          <w:p w14:paraId="7B2483E7">
            <w:pPr>
              <w:spacing w:line="360" w:lineRule="auto"/>
              <w:jc w:val="left"/>
              <w:rPr>
                <w:rFonts w:ascii="宋体" w:hAnsi="宋体" w:eastAsia="宋体" w:cs="宋体"/>
                <w:color w:val="000000"/>
                <w:kern w:val="0"/>
                <w:sz w:val="21"/>
                <w:szCs w:val="21"/>
                <w:highlight w:val="none"/>
                <w:lang w:eastAsia="zh-CN" w:bidi="ar"/>
              </w:rPr>
            </w:pPr>
            <w:r>
              <w:rPr>
                <w:rFonts w:ascii="宋体" w:hAnsi="宋体" w:cs="宋体"/>
                <w:color w:val="000000"/>
                <w:kern w:val="0"/>
                <w:sz w:val="21"/>
                <w:szCs w:val="21"/>
                <w:lang w:eastAsia="zh-CN" w:bidi="ar"/>
              </w:rPr>
              <w:t>法定代表人响应需提供法定代表人资格证明书，委托代理人响应需提供法定代表人授权委托书；</w:t>
            </w:r>
          </w:p>
        </w:tc>
        <w:tc>
          <w:tcPr>
            <w:tcW w:w="555" w:type="dxa"/>
            <w:tcBorders>
              <w:top w:val="single" w:color="000000" w:sz="4" w:space="0"/>
              <w:left w:val="single" w:color="000000" w:sz="4" w:space="0"/>
              <w:bottom w:val="single" w:color="000000" w:sz="4" w:space="0"/>
              <w:right w:val="single" w:color="000000" w:sz="4" w:space="0"/>
            </w:tcBorders>
          </w:tcPr>
          <w:p w14:paraId="6D5B78A3">
            <w:pPr>
              <w:snapToGrid w:val="0"/>
              <w:spacing w:line="360" w:lineRule="auto"/>
              <w:rPr>
                <w:rFonts w:ascii="宋体" w:hAnsi="宋体" w:eastAsia="宋体" w:cs="宋体"/>
                <w:color w:val="000000"/>
                <w:kern w:val="0"/>
                <w:sz w:val="22"/>
                <w:szCs w:val="22"/>
                <w:highlight w:val="none"/>
                <w:lang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4EF13A15">
            <w:pPr>
              <w:snapToGrid w:val="0"/>
              <w:spacing w:line="360" w:lineRule="auto"/>
              <w:rPr>
                <w:rFonts w:ascii="宋体" w:hAnsi="宋体" w:eastAsia="宋体" w:cs="宋体"/>
                <w:color w:val="000000"/>
                <w:sz w:val="22"/>
                <w:szCs w:val="22"/>
                <w:highlight w:val="none"/>
              </w:rPr>
            </w:pPr>
          </w:p>
        </w:tc>
      </w:tr>
      <w:tr w14:paraId="2CA5095C">
        <w:tblPrEx>
          <w:tblCellMar>
            <w:top w:w="0" w:type="dxa"/>
            <w:left w:w="108" w:type="dxa"/>
            <w:bottom w:w="0" w:type="dxa"/>
            <w:right w:w="108" w:type="dxa"/>
          </w:tblCellMar>
        </w:tblPrEx>
        <w:trPr>
          <w:trHeight w:val="112"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2843D429">
            <w:pPr>
              <w:snapToGrid w:val="0"/>
              <w:spacing w:line="360" w:lineRule="auto"/>
              <w:rPr>
                <w:rFonts w:ascii="宋体" w:hAnsi="宋体" w:eastAsia="宋体" w:cs="宋体"/>
                <w:color w:val="000000"/>
                <w:sz w:val="22"/>
                <w:szCs w:val="28"/>
                <w:highlight w:val="none"/>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7028DC19">
            <w:pPr>
              <w:spacing w:line="360" w:lineRule="auto"/>
              <w:jc w:val="center"/>
              <w:rPr>
                <w:rFonts w:ascii="宋体" w:hAnsi="宋体" w:eastAsia="宋体" w:cs="宋体"/>
                <w:color w:val="000000"/>
                <w:sz w:val="22"/>
                <w:szCs w:val="22"/>
                <w:highlight w:val="none"/>
                <w:lang w:eastAsia="zh-CN"/>
              </w:rPr>
            </w:pPr>
            <w:r>
              <w:rPr>
                <w:rFonts w:ascii="宋体" w:hAnsi="宋体" w:eastAsia="宋体" w:cs="宋体"/>
                <w:color w:val="000000"/>
                <w:sz w:val="22"/>
                <w:szCs w:val="22"/>
                <w:lang w:val="en-US" w:eastAsia="zh-CN"/>
              </w:rPr>
              <w:t>3</w:t>
            </w:r>
          </w:p>
        </w:tc>
        <w:tc>
          <w:tcPr>
            <w:tcW w:w="6649" w:type="dxa"/>
            <w:tcBorders>
              <w:top w:val="single" w:color="000000" w:sz="4" w:space="0"/>
              <w:left w:val="single" w:color="000000" w:sz="4" w:space="0"/>
              <w:bottom w:val="single" w:color="000000" w:sz="4" w:space="0"/>
              <w:right w:val="single" w:color="000000" w:sz="4" w:space="0"/>
            </w:tcBorders>
            <w:vAlign w:val="center"/>
          </w:tcPr>
          <w:p w14:paraId="024E01AE">
            <w:pPr>
              <w:widowControl/>
              <w:spacing w:line="360" w:lineRule="auto"/>
              <w:jc w:val="left"/>
              <w:textAlignment w:val="center"/>
              <w:rPr>
                <w:rFonts w:ascii="宋体" w:hAnsi="宋体" w:eastAsia="宋体" w:cs="宋体"/>
                <w:color w:val="000000"/>
                <w:kern w:val="0"/>
                <w:sz w:val="21"/>
                <w:szCs w:val="21"/>
                <w:highlight w:val="none"/>
                <w:lang w:eastAsia="zh-CN" w:bidi="ar"/>
              </w:rPr>
            </w:pPr>
            <w:r>
              <w:rPr>
                <w:rFonts w:ascii="宋体" w:hAnsi="宋体" w:cs="宋体"/>
                <w:color w:val="000000"/>
                <w:kern w:val="0"/>
                <w:sz w:val="21"/>
                <w:szCs w:val="21"/>
                <w:lang w:eastAsia="zh-CN" w:bidi="ar"/>
              </w:rPr>
              <w:t xml:space="preserve">供应商须提供供应商（被授权在职人员）近 </w:t>
            </w:r>
            <w:r>
              <w:rPr>
                <w:rFonts w:ascii="宋体" w:hAnsi="宋体" w:eastAsia="宋体" w:cs="宋体"/>
                <w:color w:val="000000"/>
                <w:kern w:val="0"/>
                <w:sz w:val="21"/>
                <w:szCs w:val="21"/>
                <w:lang w:eastAsia="zh-CN" w:bidi="ar"/>
              </w:rPr>
              <w:t xml:space="preserve">6 </w:t>
            </w:r>
            <w:r>
              <w:rPr>
                <w:rFonts w:ascii="宋体" w:hAnsi="宋体" w:cs="宋体"/>
                <w:color w:val="000000"/>
                <w:kern w:val="0"/>
                <w:sz w:val="21"/>
                <w:szCs w:val="21"/>
                <w:lang w:eastAsia="zh-CN" w:bidi="ar"/>
              </w:rPr>
              <w:t>个月内任意一个月有效的社保证明；</w:t>
            </w:r>
          </w:p>
        </w:tc>
        <w:tc>
          <w:tcPr>
            <w:tcW w:w="555" w:type="dxa"/>
            <w:tcBorders>
              <w:top w:val="single" w:color="000000" w:sz="4" w:space="0"/>
              <w:left w:val="single" w:color="000000" w:sz="4" w:space="0"/>
              <w:bottom w:val="single" w:color="000000" w:sz="4" w:space="0"/>
              <w:right w:val="single" w:color="000000" w:sz="4" w:space="0"/>
            </w:tcBorders>
          </w:tcPr>
          <w:p w14:paraId="406A8959">
            <w:pPr>
              <w:snapToGrid w:val="0"/>
              <w:spacing w:line="360" w:lineRule="auto"/>
              <w:rPr>
                <w:rFonts w:ascii="宋体" w:hAnsi="宋体" w:eastAsia="宋体" w:cs="宋体"/>
                <w:color w:val="000000"/>
                <w:kern w:val="0"/>
                <w:sz w:val="22"/>
                <w:szCs w:val="22"/>
                <w:highlight w:val="none"/>
                <w:lang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2E10FC46">
            <w:pPr>
              <w:snapToGrid w:val="0"/>
              <w:spacing w:line="360" w:lineRule="auto"/>
              <w:rPr>
                <w:rFonts w:ascii="宋体" w:hAnsi="宋体" w:eastAsia="宋体" w:cs="宋体"/>
                <w:color w:val="000000"/>
                <w:sz w:val="22"/>
                <w:szCs w:val="22"/>
                <w:highlight w:val="none"/>
              </w:rPr>
            </w:pPr>
          </w:p>
        </w:tc>
      </w:tr>
      <w:tr w14:paraId="1266E347">
        <w:tblPrEx>
          <w:tblCellMar>
            <w:top w:w="0" w:type="dxa"/>
            <w:left w:w="108" w:type="dxa"/>
            <w:bottom w:w="0" w:type="dxa"/>
            <w:right w:w="108" w:type="dxa"/>
          </w:tblCellMar>
        </w:tblPrEx>
        <w:trPr>
          <w:trHeight w:val="4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0A1A7B8E">
            <w:pPr>
              <w:snapToGrid w:val="0"/>
              <w:spacing w:line="360" w:lineRule="auto"/>
              <w:rPr>
                <w:rFonts w:ascii="宋体" w:hAnsi="宋体" w:eastAsia="宋体" w:cs="宋体"/>
                <w:color w:val="000000"/>
                <w:sz w:val="22"/>
                <w:szCs w:val="28"/>
                <w:highlight w:val="none"/>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60E0CDBC">
            <w:pPr>
              <w:spacing w:line="360" w:lineRule="auto"/>
              <w:jc w:val="center"/>
              <w:rPr>
                <w:rFonts w:ascii="宋体" w:hAnsi="宋体" w:eastAsia="宋体" w:cs="宋体"/>
                <w:color w:val="000000"/>
                <w:sz w:val="22"/>
                <w:szCs w:val="22"/>
                <w:highlight w:val="none"/>
                <w:lang w:val="en-US" w:eastAsia="zh-CN"/>
              </w:rPr>
            </w:pPr>
            <w:r>
              <w:rPr>
                <w:rFonts w:ascii="宋体" w:hAnsi="宋体" w:eastAsia="宋体" w:cs="宋体"/>
                <w:color w:val="000000"/>
                <w:sz w:val="22"/>
                <w:szCs w:val="22"/>
                <w:lang w:val="en-US" w:eastAsia="zh-CN"/>
              </w:rPr>
              <w:t>4</w:t>
            </w:r>
          </w:p>
        </w:tc>
        <w:tc>
          <w:tcPr>
            <w:tcW w:w="6649" w:type="dxa"/>
            <w:tcBorders>
              <w:top w:val="single" w:color="000000" w:sz="4" w:space="0"/>
              <w:left w:val="single" w:color="000000" w:sz="4" w:space="0"/>
              <w:bottom w:val="single" w:color="000000" w:sz="4" w:space="0"/>
              <w:right w:val="single" w:color="000000" w:sz="4" w:space="0"/>
            </w:tcBorders>
          </w:tcPr>
          <w:p w14:paraId="6F377196">
            <w:pPr>
              <w:spacing w:line="360" w:lineRule="auto"/>
              <w:jc w:val="left"/>
              <w:rPr>
                <w:rFonts w:ascii="宋体" w:hAnsi="宋体" w:eastAsia="宋体" w:cs="宋体"/>
                <w:color w:val="000000"/>
                <w:sz w:val="22"/>
                <w:szCs w:val="22"/>
                <w:highlight w:val="none"/>
                <w:lang w:val="en-US" w:eastAsia="zh-CN"/>
              </w:rPr>
            </w:pPr>
            <w:r>
              <w:rPr>
                <w:rFonts w:ascii="宋体" w:hAnsi="宋体" w:cs="宋体"/>
                <w:color w:val="000000"/>
                <w:sz w:val="22"/>
                <w:szCs w:val="22"/>
                <w:lang w:val="en-US" w:eastAsia="zh-CN"/>
              </w:rPr>
              <w:t>未被“信用中国 ”（</w:t>
            </w:r>
            <w:r>
              <w:rPr>
                <w:rFonts w:ascii="宋体" w:hAnsi="宋体" w:eastAsia="宋体" w:cs="宋体"/>
                <w:color w:val="000000"/>
                <w:sz w:val="22"/>
                <w:szCs w:val="22"/>
                <w:lang w:val="en-US" w:eastAsia="zh-CN"/>
              </w:rPr>
              <w:t>www.creditchina.gov.cn</w:t>
            </w:r>
            <w:r>
              <w:rPr>
                <w:rFonts w:ascii="宋体" w:hAnsi="宋体" w:cs="宋体"/>
                <w:color w:val="000000"/>
                <w:sz w:val="22"/>
                <w:szCs w:val="22"/>
                <w:lang w:val="en-US" w:eastAsia="zh-CN"/>
              </w:rPr>
              <w:t>）、中国政府采购网（</w:t>
            </w:r>
            <w:r>
              <w:rPr>
                <w:rFonts w:ascii="宋体" w:hAnsi="宋体" w:eastAsia="宋体" w:cs="宋体"/>
                <w:color w:val="000000"/>
                <w:sz w:val="22"/>
                <w:szCs w:val="22"/>
                <w:lang w:val="en-US" w:eastAsia="zh-CN"/>
              </w:rPr>
              <w:t>www.ccgp.gov.cn</w:t>
            </w:r>
            <w:r>
              <w:rPr>
                <w:rFonts w:ascii="宋体" w:hAnsi="宋体" w:cs="宋体"/>
                <w:color w:val="000000"/>
                <w:sz w:val="22"/>
                <w:szCs w:val="22"/>
                <w:lang w:val="en-US" w:eastAsia="zh-CN"/>
              </w:rPr>
              <w:t>） 列入失信被执行人、重大税收违法案件当事人名单、政府采购严重违法失信行为记录名单（提供查询结果网页截图并加盖供应商公章）；</w:t>
            </w:r>
          </w:p>
        </w:tc>
        <w:tc>
          <w:tcPr>
            <w:tcW w:w="555" w:type="dxa"/>
            <w:tcBorders>
              <w:top w:val="single" w:color="000000" w:sz="4" w:space="0"/>
              <w:left w:val="single" w:color="000000" w:sz="4" w:space="0"/>
              <w:bottom w:val="single" w:color="000000" w:sz="4" w:space="0"/>
              <w:right w:val="single" w:color="000000" w:sz="4" w:space="0"/>
            </w:tcBorders>
          </w:tcPr>
          <w:p w14:paraId="5E32698C">
            <w:pPr>
              <w:snapToGrid w:val="0"/>
              <w:spacing w:line="360" w:lineRule="auto"/>
              <w:rPr>
                <w:rFonts w:ascii="宋体" w:hAnsi="宋体" w:eastAsia="宋体" w:cs="宋体"/>
                <w:color w:val="000000"/>
                <w:sz w:val="22"/>
                <w:szCs w:val="22"/>
                <w:highlight w:val="none"/>
                <w:lang w:val="en-US" w:eastAsia="zh-CN"/>
              </w:rPr>
            </w:pPr>
          </w:p>
        </w:tc>
        <w:tc>
          <w:tcPr>
            <w:tcW w:w="654" w:type="dxa"/>
            <w:tcBorders>
              <w:top w:val="single" w:color="000000" w:sz="4" w:space="0"/>
              <w:left w:val="single" w:color="000000" w:sz="4" w:space="0"/>
              <w:bottom w:val="single" w:color="000000" w:sz="4" w:space="0"/>
              <w:right w:val="single" w:color="000000" w:sz="4" w:space="0"/>
            </w:tcBorders>
          </w:tcPr>
          <w:p w14:paraId="050FB7D6">
            <w:pPr>
              <w:snapToGrid w:val="0"/>
              <w:spacing w:line="360" w:lineRule="auto"/>
              <w:rPr>
                <w:rFonts w:ascii="宋体" w:hAnsi="宋体" w:eastAsia="宋体" w:cs="宋体"/>
                <w:color w:val="000000"/>
                <w:sz w:val="22"/>
                <w:szCs w:val="22"/>
                <w:highlight w:val="none"/>
              </w:rPr>
            </w:pPr>
          </w:p>
        </w:tc>
      </w:tr>
      <w:tr w14:paraId="27E0396F">
        <w:tblPrEx>
          <w:tblCellMar>
            <w:top w:w="0" w:type="dxa"/>
            <w:left w:w="108" w:type="dxa"/>
            <w:bottom w:w="0" w:type="dxa"/>
            <w:right w:w="108" w:type="dxa"/>
          </w:tblCellMar>
        </w:tblPrEx>
        <w:trPr>
          <w:trHeight w:val="90"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76018CBC">
            <w:pPr>
              <w:snapToGrid w:val="0"/>
              <w:spacing w:line="360" w:lineRule="auto"/>
              <w:jc w:val="center"/>
              <w:rPr>
                <w:rFonts w:ascii="宋体" w:hAnsi="宋体" w:eastAsia="宋体" w:cs="宋体"/>
                <w:color w:val="000000"/>
                <w:sz w:val="22"/>
                <w:szCs w:val="22"/>
                <w:highlight w:val="none"/>
              </w:rPr>
            </w:pPr>
          </w:p>
        </w:tc>
        <w:tc>
          <w:tcPr>
            <w:tcW w:w="547" w:type="dxa"/>
            <w:tcBorders>
              <w:top w:val="single" w:color="000000" w:sz="4" w:space="0"/>
              <w:left w:val="single" w:color="000000" w:sz="4" w:space="0"/>
              <w:bottom w:val="single" w:color="000000" w:sz="4" w:space="0"/>
              <w:right w:val="single" w:color="000000" w:sz="4" w:space="0"/>
            </w:tcBorders>
          </w:tcPr>
          <w:p w14:paraId="16D365B4">
            <w:pPr>
              <w:spacing w:line="360" w:lineRule="auto"/>
              <w:jc w:val="center"/>
              <w:rPr>
                <w:rFonts w:ascii="宋体" w:hAnsi="宋体" w:eastAsia="宋体" w:cs="宋体"/>
                <w:color w:val="000000"/>
                <w:sz w:val="22"/>
                <w:szCs w:val="22"/>
                <w:highlight w:val="none"/>
                <w:lang w:val="en-US" w:eastAsia="zh-CN"/>
              </w:rPr>
            </w:pPr>
            <w:r>
              <w:rPr>
                <w:rFonts w:ascii="宋体" w:hAnsi="宋体" w:eastAsia="宋体" w:cs="宋体"/>
                <w:color w:val="000000"/>
                <w:sz w:val="22"/>
                <w:szCs w:val="22"/>
                <w:lang w:val="en-US" w:eastAsia="zh-CN"/>
              </w:rPr>
              <w:t>5</w:t>
            </w:r>
          </w:p>
        </w:tc>
        <w:tc>
          <w:tcPr>
            <w:tcW w:w="6649" w:type="dxa"/>
            <w:tcBorders>
              <w:top w:val="single" w:color="000000" w:sz="4" w:space="0"/>
              <w:left w:val="single" w:color="000000" w:sz="4" w:space="0"/>
              <w:bottom w:val="single" w:color="000000" w:sz="4" w:space="0"/>
              <w:right w:val="single" w:color="000000" w:sz="4" w:space="0"/>
            </w:tcBorders>
          </w:tcPr>
          <w:p w14:paraId="63E9DBFF">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w:t>
            </w:r>
            <w:r>
              <w:rPr>
                <w:rFonts w:ascii="宋体" w:hAnsi="宋体" w:eastAsia="宋体" w:cs="宋体"/>
                <w:color w:val="000000"/>
                <w:kern w:val="0"/>
                <w:sz w:val="21"/>
                <w:szCs w:val="21"/>
                <w:lang w:val="en-US" w:eastAsia="zh-CN" w:bidi="ar"/>
              </w:rPr>
              <w:t>5</w:t>
            </w:r>
            <w:r>
              <w:rPr>
                <w:rFonts w:ascii="宋体" w:hAnsi="宋体" w:cs="宋体"/>
                <w:color w:val="000000"/>
                <w:kern w:val="0"/>
                <w:sz w:val="21"/>
                <w:szCs w:val="21"/>
                <w:lang w:val="en-US" w:eastAsia="zh-CN" w:bidi="ar"/>
              </w:rPr>
              <w:t>）供应商须具备</w:t>
            </w:r>
            <w:r>
              <w:rPr>
                <w:rFonts w:hint="eastAsia" w:ascii="宋体" w:hAnsi="宋体" w:cs="宋体"/>
                <w:color w:val="000000"/>
                <w:kern w:val="0"/>
                <w:sz w:val="21"/>
                <w:szCs w:val="21"/>
                <w:lang w:val="en-US" w:eastAsia="zh-CN" w:bidi="ar"/>
              </w:rPr>
              <w:t>建筑装修装饰工程专业承包二级及以上资质、有效的安全生产许可证；项目负责人具备建筑工程专业二级（含）以上注册建造师执业资格且具有有效的安全生产考核证；</w:t>
            </w:r>
          </w:p>
        </w:tc>
        <w:tc>
          <w:tcPr>
            <w:tcW w:w="555" w:type="dxa"/>
            <w:tcBorders>
              <w:top w:val="single" w:color="000000" w:sz="4" w:space="0"/>
              <w:left w:val="single" w:color="000000" w:sz="4" w:space="0"/>
              <w:bottom w:val="single" w:color="000000" w:sz="4" w:space="0"/>
              <w:right w:val="single" w:color="000000" w:sz="4" w:space="0"/>
            </w:tcBorders>
          </w:tcPr>
          <w:p w14:paraId="146FC3DD">
            <w:pPr>
              <w:snapToGrid w:val="0"/>
              <w:spacing w:line="360" w:lineRule="auto"/>
              <w:rPr>
                <w:rFonts w:ascii="宋体" w:hAnsi="宋体" w:eastAsia="宋体" w:cs="宋体"/>
                <w:color w:val="000000"/>
                <w:kern w:val="0"/>
                <w:sz w:val="22"/>
                <w:szCs w:val="22"/>
                <w:highlight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1E09CFE9">
            <w:pPr>
              <w:snapToGrid w:val="0"/>
              <w:spacing w:line="360" w:lineRule="auto"/>
              <w:rPr>
                <w:rFonts w:ascii="宋体" w:hAnsi="宋体" w:eastAsia="宋体" w:cs="宋体"/>
                <w:color w:val="000000"/>
                <w:sz w:val="22"/>
                <w:szCs w:val="22"/>
                <w:highlight w:val="none"/>
              </w:rPr>
            </w:pPr>
          </w:p>
        </w:tc>
      </w:tr>
      <w:tr w14:paraId="70935DEC">
        <w:tblPrEx>
          <w:tblCellMar>
            <w:top w:w="0" w:type="dxa"/>
            <w:left w:w="108" w:type="dxa"/>
            <w:bottom w:w="0" w:type="dxa"/>
            <w:right w:w="108" w:type="dxa"/>
          </w:tblCellMar>
        </w:tblPrEx>
        <w:trPr>
          <w:trHeight w:val="3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48C114EC">
            <w:pPr>
              <w:snapToGrid w:val="0"/>
              <w:spacing w:line="360" w:lineRule="auto"/>
              <w:jc w:val="center"/>
              <w:rPr>
                <w:rFonts w:ascii="宋体" w:hAnsi="宋体" w:eastAsia="宋体" w:cs="宋体"/>
                <w:color w:val="000000"/>
                <w:sz w:val="22"/>
                <w:szCs w:val="22"/>
                <w:highlight w:val="none"/>
              </w:rPr>
            </w:pPr>
          </w:p>
        </w:tc>
        <w:tc>
          <w:tcPr>
            <w:tcW w:w="547" w:type="dxa"/>
            <w:tcBorders>
              <w:top w:val="single" w:color="000000" w:sz="4" w:space="0"/>
              <w:left w:val="single" w:color="000000" w:sz="4" w:space="0"/>
              <w:bottom w:val="single" w:color="000000" w:sz="4" w:space="0"/>
              <w:right w:val="single" w:color="000000" w:sz="4" w:space="0"/>
            </w:tcBorders>
          </w:tcPr>
          <w:p w14:paraId="5B340FB6">
            <w:pPr>
              <w:spacing w:line="360" w:lineRule="auto"/>
              <w:jc w:val="center"/>
              <w:rPr>
                <w:rFonts w:ascii="宋体" w:hAnsi="宋体" w:eastAsia="宋体" w:cs="宋体"/>
                <w:color w:val="000000"/>
                <w:sz w:val="22"/>
                <w:szCs w:val="22"/>
                <w:highlight w:val="none"/>
                <w:lang w:val="en-US" w:eastAsia="zh-CN"/>
              </w:rPr>
            </w:pPr>
            <w:r>
              <w:rPr>
                <w:rFonts w:ascii="宋体" w:hAnsi="宋体" w:eastAsia="宋体" w:cs="宋体"/>
                <w:color w:val="000000"/>
                <w:sz w:val="22"/>
                <w:szCs w:val="22"/>
                <w:lang w:val="en-US" w:eastAsia="zh-CN"/>
              </w:rPr>
              <w:t>6</w:t>
            </w:r>
          </w:p>
        </w:tc>
        <w:tc>
          <w:tcPr>
            <w:tcW w:w="6649" w:type="dxa"/>
            <w:tcBorders>
              <w:top w:val="single" w:color="000000" w:sz="4" w:space="0"/>
              <w:left w:val="single" w:color="000000" w:sz="4" w:space="0"/>
              <w:bottom w:val="single" w:color="000000" w:sz="4" w:space="0"/>
              <w:right w:val="single" w:color="000000" w:sz="4" w:space="0"/>
            </w:tcBorders>
          </w:tcPr>
          <w:p w14:paraId="0F418757">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磋商保证金汇款凭证或保函等保证金交纳证明材料；</w:t>
            </w:r>
          </w:p>
        </w:tc>
        <w:tc>
          <w:tcPr>
            <w:tcW w:w="555" w:type="dxa"/>
            <w:tcBorders>
              <w:top w:val="single" w:color="000000" w:sz="4" w:space="0"/>
              <w:left w:val="single" w:color="000000" w:sz="4" w:space="0"/>
              <w:bottom w:val="single" w:color="000000" w:sz="4" w:space="0"/>
              <w:right w:val="single" w:color="000000" w:sz="4" w:space="0"/>
            </w:tcBorders>
          </w:tcPr>
          <w:p w14:paraId="42878EF1">
            <w:pPr>
              <w:snapToGrid w:val="0"/>
              <w:spacing w:line="360" w:lineRule="auto"/>
              <w:rPr>
                <w:rFonts w:ascii="宋体" w:hAnsi="宋体" w:eastAsia="宋体" w:cs="宋体"/>
                <w:color w:val="000000"/>
                <w:kern w:val="0"/>
                <w:sz w:val="22"/>
                <w:szCs w:val="22"/>
                <w:highlight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54016AF4">
            <w:pPr>
              <w:snapToGrid w:val="0"/>
              <w:spacing w:line="360" w:lineRule="auto"/>
              <w:rPr>
                <w:rFonts w:ascii="宋体" w:hAnsi="宋体" w:eastAsia="宋体" w:cs="宋体"/>
                <w:color w:val="000000"/>
                <w:sz w:val="22"/>
                <w:szCs w:val="22"/>
                <w:highlight w:val="none"/>
              </w:rPr>
            </w:pPr>
          </w:p>
        </w:tc>
      </w:tr>
      <w:tr w14:paraId="2986943D">
        <w:tblPrEx>
          <w:tblCellMar>
            <w:top w:w="0" w:type="dxa"/>
            <w:left w:w="108" w:type="dxa"/>
            <w:bottom w:w="0" w:type="dxa"/>
            <w:right w:w="108" w:type="dxa"/>
          </w:tblCellMar>
        </w:tblPrEx>
        <w:trPr>
          <w:trHeight w:val="3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61CA486A">
            <w:pPr>
              <w:snapToGrid w:val="0"/>
              <w:spacing w:line="360" w:lineRule="auto"/>
              <w:jc w:val="center"/>
              <w:rPr>
                <w:rFonts w:ascii="宋体" w:hAnsi="宋体" w:eastAsia="宋体" w:cs="宋体"/>
                <w:color w:val="000000"/>
                <w:sz w:val="22"/>
                <w:szCs w:val="22"/>
                <w:highlight w:val="none"/>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13FDE2FB">
            <w:pPr>
              <w:widowControl/>
              <w:spacing w:line="360" w:lineRule="auto"/>
              <w:jc w:val="center"/>
              <w:textAlignment w:val="center"/>
              <w:rPr>
                <w:rFonts w:ascii="宋体" w:hAnsi="宋体" w:eastAsia="宋体" w:cs="宋体"/>
                <w:color w:val="000000"/>
                <w:kern w:val="0"/>
                <w:sz w:val="21"/>
                <w:szCs w:val="21"/>
                <w:highlight w:val="none"/>
                <w:lang w:val="en-US" w:eastAsia="zh-CN" w:bidi="ar"/>
              </w:rPr>
            </w:pPr>
            <w:r>
              <w:rPr>
                <w:rFonts w:ascii="宋体" w:hAnsi="宋体" w:eastAsia="宋体" w:cs="宋体"/>
                <w:color w:val="000000"/>
                <w:kern w:val="0"/>
                <w:sz w:val="21"/>
                <w:szCs w:val="21"/>
                <w:lang w:val="en-US" w:eastAsia="zh-CN" w:bidi="ar"/>
              </w:rPr>
              <w:t>7</w:t>
            </w:r>
          </w:p>
        </w:tc>
        <w:tc>
          <w:tcPr>
            <w:tcW w:w="6649" w:type="dxa"/>
            <w:tcBorders>
              <w:top w:val="single" w:color="000000" w:sz="4" w:space="0"/>
              <w:left w:val="single" w:color="000000" w:sz="4" w:space="0"/>
              <w:bottom w:val="single" w:color="000000" w:sz="4" w:space="0"/>
              <w:right w:val="single" w:color="000000" w:sz="4" w:space="0"/>
            </w:tcBorders>
          </w:tcPr>
          <w:p w14:paraId="40E0C090">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提供承建商为中小企业的《中小企业声明函》；</w:t>
            </w:r>
          </w:p>
        </w:tc>
        <w:tc>
          <w:tcPr>
            <w:tcW w:w="555" w:type="dxa"/>
            <w:tcBorders>
              <w:top w:val="single" w:color="000000" w:sz="4" w:space="0"/>
              <w:left w:val="single" w:color="000000" w:sz="4" w:space="0"/>
              <w:bottom w:val="single" w:color="000000" w:sz="4" w:space="0"/>
              <w:right w:val="single" w:color="000000" w:sz="4" w:space="0"/>
            </w:tcBorders>
          </w:tcPr>
          <w:p w14:paraId="27194B81">
            <w:pPr>
              <w:snapToGrid w:val="0"/>
              <w:spacing w:line="360" w:lineRule="auto"/>
              <w:rPr>
                <w:rFonts w:ascii="宋体" w:hAnsi="宋体" w:eastAsia="宋体" w:cs="宋体"/>
                <w:color w:val="000000"/>
                <w:kern w:val="0"/>
                <w:sz w:val="22"/>
                <w:szCs w:val="22"/>
                <w:highlight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4877582B">
            <w:pPr>
              <w:snapToGrid w:val="0"/>
              <w:spacing w:line="360" w:lineRule="auto"/>
              <w:rPr>
                <w:rFonts w:ascii="宋体" w:hAnsi="宋体" w:eastAsia="宋体" w:cs="宋体"/>
                <w:color w:val="000000"/>
                <w:sz w:val="22"/>
                <w:szCs w:val="22"/>
                <w:highlight w:val="none"/>
              </w:rPr>
            </w:pPr>
          </w:p>
        </w:tc>
      </w:tr>
      <w:tr w14:paraId="69C179A6">
        <w:tblPrEx>
          <w:tblCellMar>
            <w:top w:w="0" w:type="dxa"/>
            <w:left w:w="108" w:type="dxa"/>
            <w:bottom w:w="0" w:type="dxa"/>
            <w:right w:w="108" w:type="dxa"/>
          </w:tblCellMar>
        </w:tblPrEx>
        <w:trPr>
          <w:trHeight w:val="3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724406E5">
            <w:pPr>
              <w:snapToGrid w:val="0"/>
              <w:spacing w:line="360" w:lineRule="auto"/>
              <w:jc w:val="center"/>
              <w:rPr>
                <w:rFonts w:ascii="宋体" w:hAnsi="宋体" w:eastAsia="宋体" w:cs="宋体"/>
                <w:color w:val="000000"/>
                <w:sz w:val="22"/>
                <w:szCs w:val="22"/>
                <w:highlight w:val="none"/>
              </w:rPr>
            </w:pPr>
          </w:p>
        </w:tc>
        <w:tc>
          <w:tcPr>
            <w:tcW w:w="547" w:type="dxa"/>
            <w:tcBorders>
              <w:top w:val="single" w:color="000000" w:sz="4" w:space="0"/>
              <w:left w:val="single" w:color="000000" w:sz="4" w:space="0"/>
              <w:bottom w:val="single" w:color="000000" w:sz="4" w:space="0"/>
              <w:right w:val="single" w:color="000000" w:sz="4" w:space="0"/>
            </w:tcBorders>
          </w:tcPr>
          <w:p w14:paraId="5ED28F2B">
            <w:pPr>
              <w:snapToGrid w:val="0"/>
              <w:spacing w:line="360" w:lineRule="auto"/>
              <w:jc w:val="left"/>
              <w:rPr>
                <w:rFonts w:ascii="ˎ̥;Times New Roman" w:hAnsi="ˎ̥;Times New Roman" w:eastAsia="宋体" w:cs="Times New Roman"/>
                <w:color w:val="000000"/>
                <w:sz w:val="22"/>
                <w:szCs w:val="22"/>
                <w:highlight w:val="none"/>
                <w:lang w:val="en-US" w:eastAsia="zh-CN"/>
              </w:rPr>
            </w:pPr>
          </w:p>
        </w:tc>
        <w:tc>
          <w:tcPr>
            <w:tcW w:w="6649" w:type="dxa"/>
            <w:tcBorders>
              <w:top w:val="single" w:color="000000" w:sz="4" w:space="0"/>
              <w:left w:val="single" w:color="000000" w:sz="4" w:space="0"/>
              <w:bottom w:val="single" w:color="000000" w:sz="4" w:space="0"/>
              <w:right w:val="single" w:color="000000" w:sz="4" w:space="0"/>
            </w:tcBorders>
          </w:tcPr>
          <w:p w14:paraId="751E7FC8">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结论：是否通过评审（须填写通过或不通过）</w:t>
            </w:r>
          </w:p>
          <w:p w14:paraId="67A8A43F">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注：如有一项不合格，作无效响应处理。</w:t>
            </w:r>
          </w:p>
        </w:tc>
        <w:tc>
          <w:tcPr>
            <w:tcW w:w="1209" w:type="dxa"/>
            <w:gridSpan w:val="2"/>
            <w:tcBorders>
              <w:top w:val="single" w:color="000000" w:sz="4" w:space="0"/>
              <w:left w:val="single" w:color="000000" w:sz="4" w:space="0"/>
              <w:bottom w:val="single" w:color="000000" w:sz="4" w:space="0"/>
              <w:right w:val="single" w:color="000000" w:sz="4" w:space="0"/>
            </w:tcBorders>
          </w:tcPr>
          <w:p w14:paraId="55BD2ECF">
            <w:pPr>
              <w:snapToGrid w:val="0"/>
              <w:spacing w:line="360" w:lineRule="auto"/>
              <w:rPr>
                <w:rFonts w:ascii="宋体" w:hAnsi="宋体" w:eastAsia="宋体" w:cs="宋体"/>
                <w:color w:val="000000"/>
                <w:kern w:val="0"/>
                <w:sz w:val="22"/>
                <w:szCs w:val="22"/>
                <w:highlight w:val="none"/>
                <w:lang w:val="en-US" w:eastAsia="zh-CN" w:bidi="ar"/>
              </w:rPr>
            </w:pPr>
          </w:p>
        </w:tc>
      </w:tr>
    </w:tbl>
    <w:p w14:paraId="53D57A8A">
      <w:pPr>
        <w:spacing w:before="156" w:after="0" w:line="440" w:lineRule="exact"/>
        <w:ind w:firstLine="280"/>
        <w:rPr>
          <w:rFonts w:ascii="宋体" w:hAnsi="宋体" w:eastAsia="宋体" w:cs="宋体"/>
          <w:b/>
          <w:color w:val="0000FF"/>
          <w:sz w:val="28"/>
          <w:szCs w:val="28"/>
          <w:highlight w:val="yellow"/>
        </w:rPr>
      </w:pPr>
      <w:r>
        <w:rPr>
          <w:rFonts w:ascii="宋体" w:hAnsi="宋体" w:eastAsia="宋体" w:cs="宋体"/>
          <w:b/>
          <w:color w:val="0000FF"/>
          <w:sz w:val="28"/>
          <w:szCs w:val="28"/>
          <w:highlight w:val="yellow"/>
          <w:lang w:val="en-US" w:eastAsia="zh-CN"/>
        </w:rPr>
        <w:t>6.2</w:t>
      </w:r>
      <w:r>
        <w:rPr>
          <w:rFonts w:ascii="宋体" w:hAnsi="宋体" w:cs="宋体"/>
          <w:b/>
          <w:color w:val="0000FF"/>
          <w:sz w:val="28"/>
          <w:szCs w:val="28"/>
          <w:highlight w:val="yellow"/>
          <w:lang w:val="en-US" w:eastAsia="zh-CN"/>
        </w:rPr>
        <w:t>资格证明文件上传过程中，请供应商按照上述要求逐一上传资格性证明文件，</w:t>
      </w:r>
      <w:r>
        <w:rPr>
          <w:rFonts w:ascii="宋体" w:hAnsi="宋体" w:cs="宋体"/>
          <w:b/>
          <w:color w:val="0000FF"/>
          <w:sz w:val="28"/>
          <w:szCs w:val="28"/>
          <w:highlight w:val="yellow"/>
        </w:rPr>
        <w:t>如</w:t>
      </w:r>
      <w:r>
        <w:rPr>
          <w:rFonts w:ascii="宋体" w:hAnsi="宋体" w:cs="宋体"/>
          <w:b/>
          <w:color w:val="0000FF"/>
          <w:sz w:val="28"/>
          <w:szCs w:val="28"/>
          <w:highlight w:val="yellow"/>
          <w:lang w:val="en-US" w:eastAsia="zh-CN"/>
        </w:rPr>
        <w:t>资格审查小组</w:t>
      </w:r>
      <w:r>
        <w:rPr>
          <w:rFonts w:ascii="宋体" w:hAnsi="宋体" w:cs="宋体"/>
          <w:b/>
          <w:color w:val="0000FF"/>
          <w:sz w:val="28"/>
          <w:szCs w:val="28"/>
          <w:highlight w:val="yellow"/>
        </w:rPr>
        <w:t>在检验电子标书</w:t>
      </w:r>
      <w:r>
        <w:rPr>
          <w:rFonts w:ascii="宋体" w:hAnsi="宋体" w:cs="宋体"/>
          <w:b/>
          <w:color w:val="0000FF"/>
          <w:sz w:val="28"/>
          <w:szCs w:val="28"/>
          <w:highlight w:val="yellow"/>
          <w:lang w:eastAsia="zh-CN"/>
        </w:rPr>
        <w:t>（</w:t>
      </w:r>
      <w:r>
        <w:rPr>
          <w:rFonts w:ascii="宋体" w:hAnsi="宋体" w:cs="宋体"/>
          <w:b/>
          <w:color w:val="0000FF"/>
          <w:sz w:val="28"/>
          <w:szCs w:val="28"/>
          <w:highlight w:val="yellow"/>
          <w:lang w:val="en-US" w:eastAsia="zh-CN"/>
        </w:rPr>
        <w:t>资格性审查</w:t>
      </w:r>
      <w:r>
        <w:rPr>
          <w:rFonts w:ascii="宋体" w:hAnsi="宋体" w:cs="宋体"/>
          <w:b/>
          <w:color w:val="0000FF"/>
          <w:sz w:val="28"/>
          <w:szCs w:val="28"/>
          <w:highlight w:val="yellow"/>
          <w:lang w:eastAsia="zh-CN"/>
        </w:rPr>
        <w:t>）</w:t>
      </w:r>
      <w:r>
        <w:rPr>
          <w:rFonts w:ascii="宋体" w:hAnsi="宋体" w:cs="宋体"/>
          <w:b/>
          <w:color w:val="0000FF"/>
          <w:sz w:val="28"/>
          <w:szCs w:val="28"/>
          <w:highlight w:val="yellow"/>
        </w:rPr>
        <w:t>过程中，由于供应商自身原因导致</w:t>
      </w:r>
      <w:r>
        <w:rPr>
          <w:rFonts w:ascii="宋体" w:hAnsi="宋体" w:cs="宋体"/>
          <w:b/>
          <w:color w:val="0000FF"/>
          <w:sz w:val="28"/>
          <w:szCs w:val="28"/>
          <w:highlight w:val="yellow"/>
          <w:lang w:val="en-US" w:eastAsia="zh-CN"/>
        </w:rPr>
        <w:t>资格审查小组</w:t>
      </w:r>
      <w:r>
        <w:rPr>
          <w:rFonts w:ascii="宋体" w:hAnsi="宋体" w:cs="宋体"/>
          <w:b/>
          <w:color w:val="0000FF"/>
          <w:sz w:val="28"/>
          <w:szCs w:val="28"/>
          <w:highlight w:val="yellow"/>
        </w:rPr>
        <w:t>无法查看并检验电子标书中以上相关资料的，否决其响应。</w:t>
      </w:r>
    </w:p>
    <w:p w14:paraId="760416B5">
      <w:pPr>
        <w:pStyle w:val="8"/>
        <w:rPr>
          <w:rFonts w:ascii="宋体" w:hAnsi="宋体" w:eastAsia="宋体" w:cs="宋体"/>
          <w:b/>
          <w:color w:val="0000FF"/>
          <w:sz w:val="28"/>
          <w:szCs w:val="28"/>
          <w:highlight w:val="yellow"/>
        </w:rPr>
      </w:pPr>
    </w:p>
    <w:p w14:paraId="60FE90F7">
      <w:pPr>
        <w:rPr>
          <w:rFonts w:ascii="宋体" w:hAnsi="宋体" w:eastAsia="宋体" w:cs="宋体"/>
          <w:b/>
          <w:color w:val="0000FF"/>
          <w:sz w:val="28"/>
          <w:szCs w:val="28"/>
          <w:highlight w:val="yellow"/>
        </w:rPr>
      </w:pPr>
    </w:p>
    <w:p w14:paraId="311ED367">
      <w:pPr>
        <w:pStyle w:val="8"/>
        <w:rPr>
          <w:rFonts w:ascii="宋体" w:hAnsi="宋体" w:eastAsia="宋体" w:cs="宋体"/>
          <w:b/>
          <w:color w:val="0000FF"/>
          <w:sz w:val="28"/>
          <w:szCs w:val="28"/>
          <w:highlight w:val="yellow"/>
        </w:rPr>
      </w:pPr>
    </w:p>
    <w:p w14:paraId="2F6BF1A9">
      <w:pPr>
        <w:rPr>
          <w:rFonts w:ascii="宋体" w:hAnsi="宋体" w:eastAsia="宋体" w:cs="宋体"/>
          <w:b/>
          <w:color w:val="0000FF"/>
          <w:sz w:val="28"/>
          <w:szCs w:val="28"/>
          <w:highlight w:val="yellow"/>
        </w:rPr>
      </w:pPr>
    </w:p>
    <w:p w14:paraId="5A012845">
      <w:pPr>
        <w:spacing w:before="156" w:after="0" w:line="440" w:lineRule="exact"/>
        <w:ind w:firstLine="308"/>
        <w:rPr>
          <w:rFonts w:ascii="宋体" w:hAnsi="宋体"/>
          <w:b/>
          <w:color w:val="000000"/>
          <w:szCs w:val="21"/>
          <w:highlight w:val="none"/>
        </w:rPr>
      </w:pPr>
      <w:r>
        <w:rPr>
          <w:rFonts w:ascii="宋体" w:hAnsi="宋体"/>
          <w:b/>
          <w:color w:val="000000"/>
          <w:szCs w:val="21"/>
          <w:lang w:val="en-US" w:eastAsia="zh-CN"/>
        </w:rPr>
        <w:t>7</w:t>
      </w:r>
      <w:r>
        <w:rPr>
          <w:rFonts w:ascii="宋体" w:hAnsi="宋体"/>
          <w:b/>
          <w:color w:val="000000"/>
          <w:szCs w:val="21"/>
        </w:rPr>
        <w:t>.符合性审查</w:t>
      </w:r>
    </w:p>
    <w:p w14:paraId="77A81784">
      <w:pPr>
        <w:spacing w:line="440" w:lineRule="exact"/>
        <w:ind w:firstLine="315"/>
        <w:rPr>
          <w:rFonts w:ascii="宋体" w:hAnsi="宋体"/>
          <w:color w:val="000000"/>
          <w:szCs w:val="21"/>
          <w:highlight w:val="none"/>
        </w:rPr>
      </w:pPr>
      <w:r>
        <w:rPr>
          <w:rFonts w:ascii="宋体" w:hAnsi="宋体"/>
          <w:color w:val="000000"/>
          <w:szCs w:val="21"/>
          <w:lang w:val="en-US" w:eastAsia="zh-CN"/>
        </w:rPr>
        <w:t>7</w:t>
      </w:r>
      <w:r>
        <w:rPr>
          <w:rFonts w:ascii="宋体" w:hAnsi="宋体"/>
          <w:color w:val="000000"/>
          <w:szCs w:val="21"/>
        </w:rPr>
        <w:t>．1评审细则</w:t>
      </w:r>
    </w:p>
    <w:tbl>
      <w:tblPr>
        <w:tblStyle w:val="20"/>
        <w:tblW w:w="9435" w:type="dxa"/>
        <w:tblInd w:w="210" w:type="dxa"/>
        <w:tblLayout w:type="fixed"/>
        <w:tblCellMar>
          <w:top w:w="0" w:type="dxa"/>
          <w:left w:w="108" w:type="dxa"/>
          <w:bottom w:w="0" w:type="dxa"/>
          <w:right w:w="108" w:type="dxa"/>
        </w:tblCellMar>
      </w:tblPr>
      <w:tblGrid>
        <w:gridCol w:w="977"/>
        <w:gridCol w:w="528"/>
        <w:gridCol w:w="6564"/>
        <w:gridCol w:w="744"/>
        <w:gridCol w:w="622"/>
      </w:tblGrid>
      <w:tr w14:paraId="3DCC985E">
        <w:tblPrEx>
          <w:tblCellMar>
            <w:top w:w="0" w:type="dxa"/>
            <w:left w:w="108" w:type="dxa"/>
            <w:bottom w:w="0" w:type="dxa"/>
            <w:right w:w="108" w:type="dxa"/>
          </w:tblCellMar>
        </w:tblPrEx>
        <w:trPr>
          <w:trHeight w:val="180" w:hRule="atLeast"/>
        </w:trPr>
        <w:tc>
          <w:tcPr>
            <w:tcW w:w="977" w:type="dxa"/>
            <w:tcBorders>
              <w:top w:val="single" w:color="000000" w:sz="4" w:space="0"/>
              <w:left w:val="single" w:color="000000" w:sz="4" w:space="0"/>
              <w:bottom w:val="single" w:color="000000" w:sz="6" w:space="0"/>
              <w:right w:val="single" w:color="000000" w:sz="6" w:space="0"/>
            </w:tcBorders>
            <w:vAlign w:val="center"/>
          </w:tcPr>
          <w:p w14:paraId="72E1CD92">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项目</w:t>
            </w:r>
          </w:p>
        </w:tc>
        <w:tc>
          <w:tcPr>
            <w:tcW w:w="7092" w:type="dxa"/>
            <w:gridSpan w:val="2"/>
            <w:tcBorders>
              <w:top w:val="single" w:color="000000" w:sz="4" w:space="0"/>
              <w:left w:val="single" w:color="000000" w:sz="6" w:space="0"/>
              <w:bottom w:val="single" w:color="000000" w:sz="6" w:space="0"/>
              <w:right w:val="single" w:color="000000" w:sz="6" w:space="0"/>
            </w:tcBorders>
            <w:vAlign w:val="center"/>
          </w:tcPr>
          <w:p w14:paraId="0522D23C">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评审内容</w:t>
            </w:r>
          </w:p>
        </w:tc>
        <w:tc>
          <w:tcPr>
            <w:tcW w:w="1366" w:type="dxa"/>
            <w:gridSpan w:val="2"/>
            <w:tcBorders>
              <w:top w:val="single" w:color="000000" w:sz="4" w:space="0"/>
              <w:left w:val="single" w:color="000000" w:sz="6" w:space="0"/>
              <w:bottom w:val="single" w:color="000000" w:sz="6" w:space="0"/>
              <w:right w:val="single" w:color="000000" w:sz="4" w:space="0"/>
            </w:tcBorders>
            <w:vAlign w:val="center"/>
          </w:tcPr>
          <w:p w14:paraId="0F38B9C6">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评审意见</w:t>
            </w:r>
          </w:p>
        </w:tc>
      </w:tr>
      <w:tr w14:paraId="477B507A">
        <w:tblPrEx>
          <w:tblCellMar>
            <w:top w:w="0" w:type="dxa"/>
            <w:left w:w="108" w:type="dxa"/>
            <w:bottom w:w="0" w:type="dxa"/>
            <w:right w:w="108" w:type="dxa"/>
          </w:tblCellMar>
        </w:tblPrEx>
        <w:trPr>
          <w:trHeight w:val="90" w:hRule="atLeast"/>
        </w:trPr>
        <w:tc>
          <w:tcPr>
            <w:tcW w:w="977" w:type="dxa"/>
            <w:tcBorders>
              <w:top w:val="single" w:color="000000" w:sz="6" w:space="0"/>
              <w:left w:val="single" w:color="000000" w:sz="4" w:space="0"/>
              <w:bottom w:val="single" w:color="000000" w:sz="4" w:space="0"/>
              <w:right w:val="single" w:color="000000" w:sz="6" w:space="0"/>
            </w:tcBorders>
            <w:vAlign w:val="center"/>
          </w:tcPr>
          <w:p w14:paraId="57382A30">
            <w:pPr>
              <w:widowControl/>
              <w:snapToGrid w:val="0"/>
              <w:spacing w:line="360" w:lineRule="auto"/>
              <w:jc w:val="center"/>
              <w:textAlignment w:val="center"/>
              <w:rPr>
                <w:rFonts w:ascii="宋体" w:hAnsi="宋体" w:eastAsia="宋体" w:cs="宋体"/>
                <w:b/>
                <w:bCs w:val="0"/>
                <w:color w:val="000000"/>
                <w:kern w:val="0"/>
                <w:sz w:val="21"/>
                <w:szCs w:val="21"/>
                <w:highlight w:val="none"/>
                <w:lang w:bidi="ar"/>
              </w:rPr>
            </w:pPr>
          </w:p>
        </w:tc>
        <w:tc>
          <w:tcPr>
            <w:tcW w:w="7092" w:type="dxa"/>
            <w:gridSpan w:val="2"/>
            <w:tcBorders>
              <w:top w:val="single" w:color="000000" w:sz="6" w:space="0"/>
              <w:left w:val="single" w:color="000000" w:sz="6" w:space="0"/>
              <w:bottom w:val="single" w:color="000000" w:sz="4" w:space="0"/>
              <w:right w:val="single" w:color="000000" w:sz="6" w:space="0"/>
            </w:tcBorders>
          </w:tcPr>
          <w:p w14:paraId="7C3380A9">
            <w:pPr>
              <w:widowControl/>
              <w:snapToGrid w:val="0"/>
              <w:spacing w:line="360" w:lineRule="auto"/>
              <w:jc w:val="center"/>
              <w:textAlignment w:val="center"/>
              <w:rPr>
                <w:rFonts w:ascii="宋体" w:hAnsi="宋体" w:eastAsia="宋体" w:cs="宋体"/>
                <w:b/>
                <w:bCs w:val="0"/>
                <w:color w:val="000000"/>
                <w:kern w:val="0"/>
                <w:sz w:val="21"/>
                <w:szCs w:val="21"/>
                <w:highlight w:val="none"/>
                <w:lang w:bidi="ar"/>
              </w:rPr>
            </w:pPr>
          </w:p>
        </w:tc>
        <w:tc>
          <w:tcPr>
            <w:tcW w:w="744" w:type="dxa"/>
            <w:tcBorders>
              <w:top w:val="single" w:color="000000" w:sz="6" w:space="0"/>
              <w:left w:val="single" w:color="000000" w:sz="6" w:space="0"/>
              <w:bottom w:val="single" w:color="000000" w:sz="6" w:space="0"/>
              <w:right w:val="single" w:color="000000" w:sz="6" w:space="0"/>
            </w:tcBorders>
            <w:vAlign w:val="center"/>
          </w:tcPr>
          <w:p w14:paraId="215467A2">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是</w:t>
            </w:r>
          </w:p>
        </w:tc>
        <w:tc>
          <w:tcPr>
            <w:tcW w:w="622" w:type="dxa"/>
            <w:tcBorders>
              <w:top w:val="single" w:color="000000" w:sz="6" w:space="0"/>
              <w:left w:val="single" w:color="000000" w:sz="6" w:space="0"/>
              <w:bottom w:val="single" w:color="000000" w:sz="6" w:space="0"/>
              <w:right w:val="single" w:color="000000" w:sz="4" w:space="0"/>
            </w:tcBorders>
            <w:vAlign w:val="center"/>
          </w:tcPr>
          <w:p w14:paraId="5AC6705F">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否</w:t>
            </w:r>
          </w:p>
        </w:tc>
      </w:tr>
      <w:tr w14:paraId="2FABAA66">
        <w:tblPrEx>
          <w:tblCellMar>
            <w:top w:w="0" w:type="dxa"/>
            <w:left w:w="108" w:type="dxa"/>
            <w:bottom w:w="0" w:type="dxa"/>
            <w:right w:w="108" w:type="dxa"/>
          </w:tblCellMar>
        </w:tblPrEx>
        <w:trPr>
          <w:trHeight w:val="230" w:hRule="atLeast"/>
        </w:trPr>
        <w:tc>
          <w:tcPr>
            <w:tcW w:w="977" w:type="dxa"/>
            <w:vMerge w:val="restart"/>
            <w:tcBorders>
              <w:top w:val="single" w:color="000000" w:sz="4" w:space="0"/>
              <w:left w:val="single" w:color="000000" w:sz="4" w:space="0"/>
              <w:bottom w:val="single" w:color="000000" w:sz="6" w:space="0"/>
              <w:right w:val="single" w:color="000000" w:sz="4" w:space="0"/>
            </w:tcBorders>
            <w:vAlign w:val="center"/>
          </w:tcPr>
          <w:p w14:paraId="6786EA69">
            <w:pPr>
              <w:spacing w:line="360" w:lineRule="auto"/>
              <w:jc w:val="center"/>
              <w:rPr>
                <w:rFonts w:ascii="宋体" w:hAnsi="宋体" w:eastAsia="宋体" w:cs="宋体"/>
                <w:b w:val="0"/>
                <w:bCs/>
                <w:color w:val="000000"/>
                <w:sz w:val="22"/>
                <w:szCs w:val="22"/>
                <w:highlight w:val="none"/>
              </w:rPr>
            </w:pPr>
            <w:r>
              <w:rPr>
                <w:rFonts w:ascii="宋体" w:hAnsi="宋体" w:cs="宋体"/>
                <w:b w:val="0"/>
                <w:bCs/>
                <w:color w:val="000000"/>
                <w:sz w:val="22"/>
                <w:szCs w:val="22"/>
              </w:rPr>
              <w:t>审</w:t>
            </w:r>
          </w:p>
          <w:p w14:paraId="36621567">
            <w:pPr>
              <w:spacing w:line="360" w:lineRule="auto"/>
              <w:jc w:val="center"/>
              <w:rPr>
                <w:rFonts w:ascii="宋体" w:hAnsi="宋体" w:eastAsia="宋体" w:cs="宋体"/>
                <w:b w:val="0"/>
                <w:bCs/>
                <w:color w:val="000000"/>
                <w:sz w:val="22"/>
                <w:szCs w:val="22"/>
                <w:highlight w:val="none"/>
              </w:rPr>
            </w:pPr>
            <w:r>
              <w:rPr>
                <w:rFonts w:ascii="宋体" w:hAnsi="宋体" w:cs="宋体"/>
                <w:b w:val="0"/>
                <w:bCs/>
                <w:color w:val="000000"/>
                <w:sz w:val="22"/>
                <w:szCs w:val="22"/>
              </w:rPr>
              <w:t>查</w:t>
            </w:r>
          </w:p>
          <w:p w14:paraId="0631D912">
            <w:pPr>
              <w:spacing w:line="360" w:lineRule="auto"/>
              <w:jc w:val="center"/>
              <w:rPr>
                <w:rFonts w:ascii="宋体" w:hAnsi="宋体" w:eastAsia="宋体" w:cs="宋体"/>
                <w:b w:val="0"/>
                <w:bCs/>
                <w:color w:val="000000"/>
                <w:sz w:val="22"/>
                <w:szCs w:val="22"/>
                <w:highlight w:val="none"/>
              </w:rPr>
            </w:pPr>
            <w:r>
              <w:rPr>
                <w:rFonts w:ascii="宋体" w:hAnsi="宋体" w:cs="宋体"/>
                <w:b w:val="0"/>
                <w:bCs/>
                <w:color w:val="000000"/>
                <w:sz w:val="22"/>
                <w:szCs w:val="22"/>
              </w:rPr>
              <w:t>标</w:t>
            </w:r>
          </w:p>
          <w:p w14:paraId="6D216F12">
            <w:pPr>
              <w:spacing w:line="360" w:lineRule="auto"/>
              <w:jc w:val="center"/>
              <w:rPr>
                <w:rFonts w:ascii="宋体" w:hAnsi="宋体" w:eastAsia="宋体" w:cs="宋体"/>
                <w:b w:val="0"/>
                <w:bCs/>
                <w:color w:val="000000"/>
                <w:sz w:val="22"/>
                <w:szCs w:val="22"/>
                <w:highlight w:val="none"/>
              </w:rPr>
            </w:pPr>
            <w:r>
              <w:rPr>
                <w:rFonts w:ascii="宋体" w:hAnsi="宋体" w:cs="宋体"/>
                <w:b w:val="0"/>
                <w:bCs/>
                <w:color w:val="000000"/>
                <w:sz w:val="22"/>
                <w:szCs w:val="22"/>
              </w:rPr>
              <w:t>准</w:t>
            </w:r>
          </w:p>
        </w:tc>
        <w:tc>
          <w:tcPr>
            <w:tcW w:w="528" w:type="dxa"/>
            <w:tcBorders>
              <w:top w:val="single" w:color="000000" w:sz="4" w:space="0"/>
              <w:left w:val="single" w:color="000000" w:sz="4" w:space="0"/>
              <w:bottom w:val="single" w:color="000000" w:sz="6" w:space="0"/>
              <w:right w:val="single" w:color="000000" w:sz="4" w:space="0"/>
            </w:tcBorders>
            <w:vAlign w:val="center"/>
          </w:tcPr>
          <w:p w14:paraId="50A962C6">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1</w:t>
            </w:r>
          </w:p>
        </w:tc>
        <w:tc>
          <w:tcPr>
            <w:tcW w:w="6564" w:type="dxa"/>
            <w:tcBorders>
              <w:top w:val="single" w:color="000000" w:sz="4" w:space="0"/>
              <w:left w:val="single" w:color="000000" w:sz="4" w:space="0"/>
              <w:bottom w:val="single" w:color="000000" w:sz="6" w:space="0"/>
              <w:right w:val="single" w:color="000000" w:sz="4" w:space="0"/>
            </w:tcBorders>
            <w:vAlign w:val="center"/>
          </w:tcPr>
          <w:p w14:paraId="1BF8BC42">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由政府立项核准、审批的采购项目</w:t>
            </w:r>
            <w:r>
              <w:rPr>
                <w:rFonts w:ascii="宋体" w:hAnsi="宋体" w:eastAsia="宋体" w:cs="宋体"/>
                <w:b w:val="0"/>
                <w:bCs/>
                <w:color w:val="000000"/>
                <w:kern w:val="0"/>
                <w:sz w:val="21"/>
                <w:szCs w:val="21"/>
                <w:lang w:bidi="ar"/>
              </w:rPr>
              <w:t xml:space="preserve">, </w:t>
            </w:r>
            <w:r>
              <w:rPr>
                <w:rFonts w:ascii="宋体" w:hAnsi="宋体" w:cs="宋体"/>
                <w:b w:val="0"/>
                <w:bCs/>
                <w:color w:val="000000"/>
                <w:kern w:val="0"/>
                <w:sz w:val="21"/>
                <w:szCs w:val="21"/>
                <w:lang w:bidi="ar"/>
              </w:rPr>
              <w:t>报价</w:t>
            </w:r>
            <w:r>
              <w:rPr>
                <w:rFonts w:ascii="宋体" w:hAnsi="宋体" w:cs="宋体"/>
                <w:b w:val="0"/>
                <w:bCs/>
                <w:color w:val="000000"/>
                <w:kern w:val="0"/>
                <w:sz w:val="21"/>
                <w:szCs w:val="21"/>
                <w:lang w:val="en-US" w:eastAsia="zh-CN" w:bidi="ar"/>
              </w:rPr>
              <w:t>未</w:t>
            </w:r>
            <w:r>
              <w:rPr>
                <w:rFonts w:ascii="宋体" w:hAnsi="宋体" w:cs="宋体"/>
                <w:b w:val="0"/>
                <w:bCs/>
                <w:color w:val="000000"/>
                <w:kern w:val="0"/>
                <w:sz w:val="21"/>
                <w:szCs w:val="21"/>
                <w:lang w:bidi="ar"/>
              </w:rPr>
              <w:t>高于设定的采购</w:t>
            </w:r>
            <w:r>
              <w:rPr>
                <w:rFonts w:ascii="宋体" w:hAnsi="宋体" w:cs="宋体"/>
                <w:b w:val="0"/>
                <w:bCs/>
                <w:color w:val="000000"/>
                <w:kern w:val="0"/>
                <w:sz w:val="21"/>
                <w:szCs w:val="21"/>
                <w:lang w:val="en-US" w:eastAsia="zh-CN" w:bidi="ar"/>
              </w:rPr>
              <w:t>限</w:t>
            </w:r>
            <w:r>
              <w:rPr>
                <w:rFonts w:ascii="宋体" w:hAnsi="宋体" w:cs="宋体"/>
                <w:b w:val="0"/>
                <w:bCs/>
                <w:color w:val="000000"/>
                <w:kern w:val="0"/>
                <w:sz w:val="21"/>
                <w:szCs w:val="21"/>
                <w:lang w:bidi="ar"/>
              </w:rPr>
              <w:t>价的；</w:t>
            </w:r>
          </w:p>
        </w:tc>
        <w:tc>
          <w:tcPr>
            <w:tcW w:w="744" w:type="dxa"/>
            <w:tcBorders>
              <w:top w:val="single" w:color="000000" w:sz="6" w:space="0"/>
              <w:left w:val="single" w:color="000000" w:sz="4" w:space="0"/>
              <w:bottom w:val="single" w:color="000000" w:sz="6" w:space="0"/>
              <w:right w:val="single" w:color="000000" w:sz="4" w:space="0"/>
            </w:tcBorders>
          </w:tcPr>
          <w:p w14:paraId="133B5B54">
            <w:pPr>
              <w:snapToGrid w:val="0"/>
              <w:spacing w:line="360" w:lineRule="auto"/>
              <w:jc w:val="center"/>
              <w:rPr>
                <w:rFonts w:ascii="宋体" w:hAnsi="宋体" w:eastAsia="宋体" w:cs="宋体"/>
                <w:b w:val="0"/>
                <w:bCs/>
                <w:color w:val="000000"/>
                <w:sz w:val="22"/>
                <w:szCs w:val="22"/>
                <w:highlight w:val="none"/>
              </w:rPr>
            </w:pPr>
          </w:p>
        </w:tc>
        <w:tc>
          <w:tcPr>
            <w:tcW w:w="622" w:type="dxa"/>
            <w:tcBorders>
              <w:top w:val="single" w:color="000000" w:sz="6" w:space="0"/>
              <w:left w:val="single" w:color="000000" w:sz="4" w:space="0"/>
              <w:bottom w:val="single" w:color="000000" w:sz="6" w:space="0"/>
              <w:right w:val="single" w:color="000000" w:sz="4" w:space="0"/>
            </w:tcBorders>
          </w:tcPr>
          <w:p w14:paraId="18E9B98E">
            <w:pPr>
              <w:snapToGrid w:val="0"/>
              <w:spacing w:line="360" w:lineRule="auto"/>
              <w:jc w:val="center"/>
              <w:rPr>
                <w:rFonts w:ascii="宋体" w:hAnsi="宋体" w:eastAsia="宋体" w:cs="宋体"/>
                <w:b w:val="0"/>
                <w:bCs/>
                <w:color w:val="000000"/>
                <w:sz w:val="22"/>
                <w:szCs w:val="22"/>
                <w:highlight w:val="none"/>
              </w:rPr>
            </w:pPr>
          </w:p>
        </w:tc>
      </w:tr>
      <w:tr w14:paraId="3649925D">
        <w:tblPrEx>
          <w:tblCellMar>
            <w:top w:w="0" w:type="dxa"/>
            <w:left w:w="108" w:type="dxa"/>
            <w:bottom w:w="0" w:type="dxa"/>
            <w:right w:w="108" w:type="dxa"/>
          </w:tblCellMar>
        </w:tblPrEx>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32FC59E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4" w:space="0"/>
              <w:left w:val="single" w:color="000000" w:sz="4" w:space="0"/>
              <w:bottom w:val="single" w:color="000000" w:sz="4" w:space="0"/>
              <w:right w:val="single" w:color="000000" w:sz="4" w:space="0"/>
            </w:tcBorders>
            <w:vAlign w:val="center"/>
          </w:tcPr>
          <w:p w14:paraId="204B4005">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2</w:t>
            </w:r>
          </w:p>
        </w:tc>
        <w:tc>
          <w:tcPr>
            <w:tcW w:w="6564" w:type="dxa"/>
            <w:tcBorders>
              <w:top w:val="single" w:color="000000" w:sz="4" w:space="0"/>
              <w:left w:val="single" w:color="000000" w:sz="4" w:space="0"/>
              <w:bottom w:val="single" w:color="000000" w:sz="4" w:space="0"/>
              <w:right w:val="single" w:color="000000" w:sz="4" w:space="0"/>
            </w:tcBorders>
            <w:vAlign w:val="center"/>
          </w:tcPr>
          <w:p w14:paraId="11650FF4">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法定代表人身份证明</w:t>
            </w:r>
            <w:r>
              <w:rPr>
                <w:rFonts w:ascii="宋体" w:hAnsi="宋体" w:cs="宋体"/>
                <w:b w:val="0"/>
                <w:bCs/>
                <w:color w:val="000000"/>
                <w:kern w:val="0"/>
                <w:sz w:val="21"/>
                <w:szCs w:val="21"/>
                <w:lang w:val="en-US" w:eastAsia="zh-CN" w:bidi="ar"/>
              </w:rPr>
              <w:t>或</w:t>
            </w:r>
            <w:r>
              <w:rPr>
                <w:rFonts w:ascii="宋体" w:hAnsi="宋体" w:cs="宋体"/>
                <w:b w:val="0"/>
                <w:bCs/>
                <w:color w:val="000000"/>
                <w:kern w:val="0"/>
                <w:sz w:val="21"/>
                <w:szCs w:val="21"/>
                <w:lang w:bidi="ar"/>
              </w:rPr>
              <w:t>授权委托书有效，且符合</w:t>
            </w:r>
            <w:r>
              <w:rPr>
                <w:rFonts w:ascii="宋体" w:hAnsi="宋体" w:cs="宋体"/>
                <w:b w:val="0"/>
                <w:bCs/>
                <w:color w:val="000000"/>
                <w:kern w:val="0"/>
                <w:sz w:val="21"/>
                <w:szCs w:val="21"/>
                <w:lang w:eastAsia="zh-CN" w:bidi="ar"/>
              </w:rPr>
              <w:t>磋商文件</w:t>
            </w:r>
            <w:r>
              <w:rPr>
                <w:rFonts w:ascii="宋体" w:hAnsi="宋体" w:cs="宋体"/>
                <w:b w:val="0"/>
                <w:bCs/>
                <w:color w:val="000000"/>
                <w:kern w:val="0"/>
                <w:sz w:val="21"/>
                <w:szCs w:val="21"/>
                <w:lang w:bidi="ar"/>
              </w:rPr>
              <w:t>规定的格式。</w:t>
            </w:r>
          </w:p>
        </w:tc>
        <w:tc>
          <w:tcPr>
            <w:tcW w:w="744" w:type="dxa"/>
            <w:tcBorders>
              <w:top w:val="single" w:color="000000" w:sz="6" w:space="0"/>
              <w:left w:val="single" w:color="000000" w:sz="4" w:space="0"/>
              <w:bottom w:val="single" w:color="000000" w:sz="6" w:space="0"/>
              <w:right w:val="single" w:color="000000" w:sz="6" w:space="0"/>
            </w:tcBorders>
          </w:tcPr>
          <w:p w14:paraId="1EA45562">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15AFBB05">
            <w:pPr>
              <w:snapToGrid w:val="0"/>
              <w:spacing w:line="360" w:lineRule="auto"/>
              <w:rPr>
                <w:rFonts w:ascii="宋体" w:hAnsi="宋体" w:eastAsia="宋体" w:cs="宋体"/>
                <w:b w:val="0"/>
                <w:bCs/>
                <w:color w:val="000000"/>
                <w:sz w:val="22"/>
                <w:szCs w:val="22"/>
                <w:highlight w:val="none"/>
              </w:rPr>
            </w:pPr>
          </w:p>
        </w:tc>
      </w:tr>
      <w:tr w14:paraId="332C030B">
        <w:tblPrEx>
          <w:tblCellMar>
            <w:top w:w="0" w:type="dxa"/>
            <w:left w:w="108" w:type="dxa"/>
            <w:bottom w:w="0" w:type="dxa"/>
            <w:right w:w="108" w:type="dxa"/>
          </w:tblCellMar>
        </w:tblPrEx>
        <w:trPr>
          <w:trHeight w:val="204"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75E42475">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4" w:space="0"/>
              <w:left w:val="single" w:color="000000" w:sz="4" w:space="0"/>
              <w:bottom w:val="single" w:color="000000" w:sz="6" w:space="0"/>
              <w:right w:val="single" w:color="000000" w:sz="4" w:space="0"/>
            </w:tcBorders>
            <w:vAlign w:val="center"/>
          </w:tcPr>
          <w:p w14:paraId="57511DDD">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3</w:t>
            </w:r>
          </w:p>
        </w:tc>
        <w:tc>
          <w:tcPr>
            <w:tcW w:w="6564" w:type="dxa"/>
            <w:tcBorders>
              <w:top w:val="single" w:color="000000" w:sz="4" w:space="0"/>
              <w:left w:val="single" w:color="000000" w:sz="4" w:space="0"/>
              <w:bottom w:val="single" w:color="000000" w:sz="6" w:space="0"/>
              <w:right w:val="single" w:color="000000" w:sz="4" w:space="0"/>
            </w:tcBorders>
            <w:vAlign w:val="center"/>
          </w:tcPr>
          <w:p w14:paraId="08A81346">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只有一个方案响应。</w:t>
            </w:r>
          </w:p>
        </w:tc>
        <w:tc>
          <w:tcPr>
            <w:tcW w:w="744" w:type="dxa"/>
            <w:tcBorders>
              <w:top w:val="single" w:color="000000" w:sz="6" w:space="0"/>
              <w:left w:val="single" w:color="000000" w:sz="4" w:space="0"/>
              <w:bottom w:val="single" w:color="000000" w:sz="6" w:space="0"/>
              <w:right w:val="single" w:color="000000" w:sz="6" w:space="0"/>
            </w:tcBorders>
          </w:tcPr>
          <w:p w14:paraId="61D12263">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149A611D">
            <w:pPr>
              <w:snapToGrid w:val="0"/>
              <w:spacing w:line="360" w:lineRule="auto"/>
              <w:rPr>
                <w:rFonts w:ascii="宋体" w:hAnsi="宋体" w:eastAsia="宋体" w:cs="宋体"/>
                <w:b w:val="0"/>
                <w:bCs/>
                <w:color w:val="000000"/>
                <w:sz w:val="22"/>
                <w:szCs w:val="22"/>
                <w:highlight w:val="none"/>
              </w:rPr>
            </w:pPr>
          </w:p>
        </w:tc>
      </w:tr>
      <w:tr w14:paraId="07F244A7">
        <w:tblPrEx>
          <w:tblCellMar>
            <w:top w:w="0" w:type="dxa"/>
            <w:left w:w="108" w:type="dxa"/>
            <w:bottom w:w="0" w:type="dxa"/>
            <w:right w:w="108" w:type="dxa"/>
          </w:tblCellMar>
        </w:tblPrEx>
        <w:trPr>
          <w:trHeight w:val="96"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2D37738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6" w:space="0"/>
              <w:right w:val="single" w:color="000000" w:sz="6" w:space="0"/>
            </w:tcBorders>
            <w:vAlign w:val="center"/>
          </w:tcPr>
          <w:p w14:paraId="70038285">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lang w:val="en-US" w:eastAsia="zh-CN"/>
              </w:rPr>
              <w:t>4</w:t>
            </w:r>
          </w:p>
        </w:tc>
        <w:tc>
          <w:tcPr>
            <w:tcW w:w="6564" w:type="dxa"/>
            <w:tcBorders>
              <w:top w:val="single" w:color="000000" w:sz="6" w:space="0"/>
              <w:left w:val="single" w:color="000000" w:sz="6" w:space="0"/>
              <w:bottom w:val="single" w:color="000000" w:sz="6" w:space="0"/>
              <w:right w:val="single" w:color="000000" w:sz="4" w:space="0"/>
            </w:tcBorders>
            <w:vAlign w:val="center"/>
          </w:tcPr>
          <w:p w14:paraId="0456369F">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响应文件内容齐全、无遗漏。</w:t>
            </w:r>
          </w:p>
        </w:tc>
        <w:tc>
          <w:tcPr>
            <w:tcW w:w="744" w:type="dxa"/>
            <w:tcBorders>
              <w:top w:val="single" w:color="000000" w:sz="6" w:space="0"/>
              <w:left w:val="single" w:color="000000" w:sz="4" w:space="0"/>
              <w:bottom w:val="single" w:color="000000" w:sz="6" w:space="0"/>
              <w:right w:val="single" w:color="000000" w:sz="6" w:space="0"/>
            </w:tcBorders>
          </w:tcPr>
          <w:p w14:paraId="25E2EF58">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59C9F8F0">
            <w:pPr>
              <w:snapToGrid w:val="0"/>
              <w:spacing w:line="360" w:lineRule="auto"/>
              <w:rPr>
                <w:rFonts w:ascii="宋体" w:hAnsi="宋体" w:eastAsia="宋体" w:cs="宋体"/>
                <w:b w:val="0"/>
                <w:bCs/>
                <w:color w:val="000000"/>
                <w:sz w:val="22"/>
                <w:szCs w:val="22"/>
                <w:highlight w:val="none"/>
              </w:rPr>
            </w:pPr>
          </w:p>
        </w:tc>
      </w:tr>
      <w:tr w14:paraId="270F74B8">
        <w:tblPrEx>
          <w:tblCellMar>
            <w:top w:w="0" w:type="dxa"/>
            <w:left w:w="108" w:type="dxa"/>
            <w:bottom w:w="0" w:type="dxa"/>
            <w:right w:w="108" w:type="dxa"/>
          </w:tblCellMar>
        </w:tblPrEx>
        <w:trPr>
          <w:trHeight w:val="90"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3BFF7AB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4" w:space="0"/>
              <w:right w:val="single" w:color="000000" w:sz="6" w:space="0"/>
            </w:tcBorders>
            <w:vAlign w:val="center"/>
          </w:tcPr>
          <w:p w14:paraId="20E94DF0">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5</w:t>
            </w:r>
          </w:p>
        </w:tc>
        <w:tc>
          <w:tcPr>
            <w:tcW w:w="6564" w:type="dxa"/>
            <w:tcBorders>
              <w:top w:val="single" w:color="000000" w:sz="6" w:space="0"/>
              <w:left w:val="single" w:color="000000" w:sz="6" w:space="0"/>
              <w:bottom w:val="single" w:color="000000" w:sz="4" w:space="0"/>
              <w:right w:val="single" w:color="000000" w:sz="4" w:space="0"/>
            </w:tcBorders>
            <w:vAlign w:val="center"/>
          </w:tcPr>
          <w:p w14:paraId="2AC8384B">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对</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文件规定的采购内容全部作出响应。</w:t>
            </w:r>
          </w:p>
        </w:tc>
        <w:tc>
          <w:tcPr>
            <w:tcW w:w="744" w:type="dxa"/>
            <w:tcBorders>
              <w:top w:val="single" w:color="000000" w:sz="6" w:space="0"/>
              <w:left w:val="single" w:color="000000" w:sz="4" w:space="0"/>
              <w:bottom w:val="single" w:color="000000" w:sz="4" w:space="0"/>
              <w:right w:val="single" w:color="000000" w:sz="6" w:space="0"/>
            </w:tcBorders>
          </w:tcPr>
          <w:p w14:paraId="763EB351">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4" w:space="0"/>
              <w:right w:val="single" w:color="000000" w:sz="4" w:space="0"/>
            </w:tcBorders>
          </w:tcPr>
          <w:p w14:paraId="0B2E2CF4">
            <w:pPr>
              <w:snapToGrid w:val="0"/>
              <w:spacing w:line="360" w:lineRule="auto"/>
              <w:rPr>
                <w:rFonts w:ascii="宋体" w:hAnsi="宋体" w:eastAsia="宋体" w:cs="宋体"/>
                <w:b w:val="0"/>
                <w:bCs/>
                <w:color w:val="000000"/>
                <w:sz w:val="22"/>
                <w:szCs w:val="22"/>
                <w:highlight w:val="none"/>
              </w:rPr>
            </w:pPr>
          </w:p>
        </w:tc>
      </w:tr>
      <w:tr w14:paraId="2B46A8C8">
        <w:tblPrEx>
          <w:tblCellMar>
            <w:top w:w="0" w:type="dxa"/>
            <w:left w:w="108" w:type="dxa"/>
            <w:bottom w:w="0" w:type="dxa"/>
            <w:right w:w="108" w:type="dxa"/>
          </w:tblCellMar>
        </w:tblPrEx>
        <w:trPr>
          <w:trHeight w:val="158"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248C788E">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4" w:space="0"/>
              <w:left w:val="single" w:color="000000" w:sz="4" w:space="0"/>
              <w:bottom w:val="single" w:color="000000" w:sz="4" w:space="0"/>
              <w:right w:val="single" w:color="000000" w:sz="4" w:space="0"/>
            </w:tcBorders>
            <w:vAlign w:val="center"/>
          </w:tcPr>
          <w:p w14:paraId="14209BF2">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6</w:t>
            </w:r>
          </w:p>
        </w:tc>
        <w:tc>
          <w:tcPr>
            <w:tcW w:w="6564" w:type="dxa"/>
            <w:tcBorders>
              <w:top w:val="single" w:color="000000" w:sz="4" w:space="0"/>
              <w:left w:val="single" w:color="000000" w:sz="4" w:space="0"/>
              <w:bottom w:val="single" w:color="000000" w:sz="4" w:space="0"/>
              <w:right w:val="single" w:color="000000" w:sz="4" w:space="0"/>
            </w:tcBorders>
            <w:vAlign w:val="center"/>
          </w:tcPr>
          <w:p w14:paraId="6C5DDF3E">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满足</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文件提出的技术和质量要求。</w:t>
            </w:r>
          </w:p>
        </w:tc>
        <w:tc>
          <w:tcPr>
            <w:tcW w:w="744" w:type="dxa"/>
            <w:tcBorders>
              <w:top w:val="single" w:color="000000" w:sz="4" w:space="0"/>
              <w:left w:val="single" w:color="000000" w:sz="4" w:space="0"/>
              <w:bottom w:val="single" w:color="000000" w:sz="4" w:space="0"/>
              <w:right w:val="single" w:color="000000" w:sz="4" w:space="0"/>
            </w:tcBorders>
          </w:tcPr>
          <w:p w14:paraId="4077FB36">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4" w:space="0"/>
              <w:left w:val="single" w:color="000000" w:sz="4" w:space="0"/>
              <w:bottom w:val="single" w:color="000000" w:sz="4" w:space="0"/>
              <w:right w:val="single" w:color="000000" w:sz="4" w:space="0"/>
            </w:tcBorders>
          </w:tcPr>
          <w:p w14:paraId="281581AD">
            <w:pPr>
              <w:snapToGrid w:val="0"/>
              <w:spacing w:line="360" w:lineRule="auto"/>
              <w:rPr>
                <w:rFonts w:ascii="宋体" w:hAnsi="宋体" w:eastAsia="宋体" w:cs="宋体"/>
                <w:b w:val="0"/>
                <w:bCs/>
                <w:color w:val="000000"/>
                <w:sz w:val="22"/>
                <w:szCs w:val="22"/>
                <w:highlight w:val="none"/>
              </w:rPr>
            </w:pPr>
          </w:p>
        </w:tc>
      </w:tr>
      <w:tr w14:paraId="0B7387F8">
        <w:tblPrEx>
          <w:tblCellMar>
            <w:top w:w="0" w:type="dxa"/>
            <w:left w:w="108" w:type="dxa"/>
            <w:bottom w:w="0" w:type="dxa"/>
            <w:right w:w="108" w:type="dxa"/>
          </w:tblCellMar>
        </w:tblPrEx>
        <w:trPr>
          <w:trHeight w:val="261"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2F4D9C5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4" w:space="0"/>
              <w:left w:val="single" w:color="000000" w:sz="4" w:space="0"/>
              <w:bottom w:val="single" w:color="000000" w:sz="6" w:space="0"/>
              <w:right w:val="single" w:color="000000" w:sz="6" w:space="0"/>
            </w:tcBorders>
            <w:vAlign w:val="center"/>
          </w:tcPr>
          <w:p w14:paraId="0806FFEF">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7</w:t>
            </w:r>
          </w:p>
        </w:tc>
        <w:tc>
          <w:tcPr>
            <w:tcW w:w="6564" w:type="dxa"/>
            <w:tcBorders>
              <w:top w:val="single" w:color="000000" w:sz="4" w:space="0"/>
              <w:left w:val="single" w:color="000000" w:sz="6" w:space="0"/>
              <w:bottom w:val="single" w:color="000000" w:sz="6" w:space="0"/>
              <w:right w:val="single" w:color="000000" w:sz="4" w:space="0"/>
            </w:tcBorders>
            <w:vAlign w:val="center"/>
          </w:tcPr>
          <w:p w14:paraId="234D8802">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完成期限满足</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文件要求。</w:t>
            </w:r>
          </w:p>
        </w:tc>
        <w:tc>
          <w:tcPr>
            <w:tcW w:w="744" w:type="dxa"/>
            <w:tcBorders>
              <w:top w:val="single" w:color="000000" w:sz="4" w:space="0"/>
              <w:left w:val="single" w:color="000000" w:sz="4" w:space="0"/>
              <w:bottom w:val="single" w:color="000000" w:sz="6" w:space="0"/>
              <w:right w:val="single" w:color="000000" w:sz="6" w:space="0"/>
            </w:tcBorders>
          </w:tcPr>
          <w:p w14:paraId="59B4E7F3">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4" w:space="0"/>
              <w:left w:val="single" w:color="000000" w:sz="6" w:space="0"/>
              <w:bottom w:val="single" w:color="000000" w:sz="6" w:space="0"/>
              <w:right w:val="single" w:color="000000" w:sz="4" w:space="0"/>
            </w:tcBorders>
          </w:tcPr>
          <w:p w14:paraId="7264C49E">
            <w:pPr>
              <w:snapToGrid w:val="0"/>
              <w:spacing w:line="360" w:lineRule="auto"/>
              <w:rPr>
                <w:rFonts w:ascii="宋体" w:hAnsi="宋体" w:eastAsia="宋体" w:cs="宋体"/>
                <w:b w:val="0"/>
                <w:bCs/>
                <w:color w:val="000000"/>
                <w:sz w:val="22"/>
                <w:szCs w:val="22"/>
                <w:highlight w:val="none"/>
              </w:rPr>
            </w:pPr>
          </w:p>
        </w:tc>
      </w:tr>
      <w:tr w14:paraId="0795386F">
        <w:tblPrEx>
          <w:tblCellMar>
            <w:top w:w="0" w:type="dxa"/>
            <w:left w:w="108" w:type="dxa"/>
            <w:bottom w:w="0" w:type="dxa"/>
            <w:right w:w="108" w:type="dxa"/>
          </w:tblCellMar>
        </w:tblPrEx>
        <w:trPr>
          <w:trHeight w:val="208"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5EA4A55D">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6" w:space="0"/>
              <w:right w:val="single" w:color="000000" w:sz="6" w:space="0"/>
            </w:tcBorders>
            <w:vAlign w:val="center"/>
          </w:tcPr>
          <w:p w14:paraId="120C099E">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8</w:t>
            </w:r>
          </w:p>
        </w:tc>
        <w:tc>
          <w:tcPr>
            <w:tcW w:w="6564" w:type="dxa"/>
            <w:tcBorders>
              <w:top w:val="single" w:color="000000" w:sz="6" w:space="0"/>
              <w:left w:val="single" w:color="000000" w:sz="6" w:space="0"/>
              <w:bottom w:val="single" w:color="000000" w:sz="6" w:space="0"/>
              <w:right w:val="single" w:color="000000" w:sz="4" w:space="0"/>
            </w:tcBorders>
            <w:vAlign w:val="center"/>
          </w:tcPr>
          <w:p w14:paraId="30A07FD7">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售后服务满足</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文件要求。</w:t>
            </w:r>
          </w:p>
        </w:tc>
        <w:tc>
          <w:tcPr>
            <w:tcW w:w="744" w:type="dxa"/>
            <w:tcBorders>
              <w:top w:val="single" w:color="000000" w:sz="6" w:space="0"/>
              <w:left w:val="single" w:color="000000" w:sz="4" w:space="0"/>
              <w:bottom w:val="single" w:color="000000" w:sz="6" w:space="0"/>
              <w:right w:val="single" w:color="000000" w:sz="6" w:space="0"/>
            </w:tcBorders>
          </w:tcPr>
          <w:p w14:paraId="1E6F4105">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5BA7A46B">
            <w:pPr>
              <w:snapToGrid w:val="0"/>
              <w:spacing w:line="360" w:lineRule="auto"/>
              <w:rPr>
                <w:rFonts w:ascii="宋体" w:hAnsi="宋体" w:eastAsia="宋体" w:cs="宋体"/>
                <w:b w:val="0"/>
                <w:bCs/>
                <w:color w:val="000000"/>
                <w:sz w:val="22"/>
                <w:szCs w:val="22"/>
                <w:highlight w:val="none"/>
              </w:rPr>
            </w:pPr>
          </w:p>
        </w:tc>
      </w:tr>
      <w:tr w14:paraId="4C13FAD0">
        <w:tblPrEx>
          <w:tblCellMar>
            <w:top w:w="0" w:type="dxa"/>
            <w:left w:w="108" w:type="dxa"/>
            <w:bottom w:w="0" w:type="dxa"/>
            <w:right w:w="108" w:type="dxa"/>
          </w:tblCellMar>
        </w:tblPrEx>
        <w:trPr>
          <w:trHeight w:val="272"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592BA0F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6" w:space="0"/>
              <w:right w:val="single" w:color="000000" w:sz="6" w:space="0"/>
            </w:tcBorders>
            <w:vAlign w:val="center"/>
          </w:tcPr>
          <w:p w14:paraId="7EE04445">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9</w:t>
            </w:r>
          </w:p>
        </w:tc>
        <w:tc>
          <w:tcPr>
            <w:tcW w:w="6564" w:type="dxa"/>
            <w:tcBorders>
              <w:top w:val="single" w:color="000000" w:sz="6" w:space="0"/>
              <w:left w:val="single" w:color="000000" w:sz="6" w:space="0"/>
              <w:bottom w:val="single" w:color="000000" w:sz="6" w:space="0"/>
              <w:right w:val="single" w:color="000000" w:sz="4" w:space="0"/>
            </w:tcBorders>
            <w:vAlign w:val="center"/>
          </w:tcPr>
          <w:p w14:paraId="06E9E55E">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磋商有效期满足</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文件要求。</w:t>
            </w:r>
          </w:p>
        </w:tc>
        <w:tc>
          <w:tcPr>
            <w:tcW w:w="744" w:type="dxa"/>
            <w:tcBorders>
              <w:top w:val="single" w:color="000000" w:sz="6" w:space="0"/>
              <w:left w:val="single" w:color="000000" w:sz="4" w:space="0"/>
              <w:bottom w:val="single" w:color="000000" w:sz="6" w:space="0"/>
              <w:right w:val="single" w:color="000000" w:sz="6" w:space="0"/>
            </w:tcBorders>
          </w:tcPr>
          <w:p w14:paraId="2A2352E0">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62B045AA">
            <w:pPr>
              <w:snapToGrid w:val="0"/>
              <w:spacing w:line="360" w:lineRule="auto"/>
              <w:rPr>
                <w:rFonts w:ascii="宋体" w:hAnsi="宋体" w:eastAsia="宋体" w:cs="宋体"/>
                <w:b w:val="0"/>
                <w:bCs/>
                <w:color w:val="000000"/>
                <w:sz w:val="22"/>
                <w:szCs w:val="22"/>
                <w:highlight w:val="none"/>
              </w:rPr>
            </w:pPr>
          </w:p>
        </w:tc>
      </w:tr>
      <w:tr w14:paraId="7D89067F">
        <w:tblPrEx>
          <w:tblCellMar>
            <w:top w:w="0" w:type="dxa"/>
            <w:left w:w="108" w:type="dxa"/>
            <w:bottom w:w="0" w:type="dxa"/>
            <w:right w:w="108" w:type="dxa"/>
          </w:tblCellMar>
        </w:tblPrEx>
        <w:trPr>
          <w:trHeight w:val="90"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6CFB0CF7">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6" w:space="0"/>
              <w:right w:val="single" w:color="000000" w:sz="6" w:space="0"/>
            </w:tcBorders>
            <w:vAlign w:val="center"/>
          </w:tcPr>
          <w:p w14:paraId="34224653">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10</w:t>
            </w:r>
          </w:p>
        </w:tc>
        <w:tc>
          <w:tcPr>
            <w:tcW w:w="6564" w:type="dxa"/>
            <w:tcBorders>
              <w:top w:val="single" w:color="000000" w:sz="6" w:space="0"/>
              <w:left w:val="single" w:color="000000" w:sz="6" w:space="0"/>
              <w:bottom w:val="single" w:color="000000" w:sz="6" w:space="0"/>
              <w:right w:val="single" w:color="000000" w:sz="4" w:space="0"/>
            </w:tcBorders>
            <w:vAlign w:val="center"/>
          </w:tcPr>
          <w:p w14:paraId="205D9A9C">
            <w:pPr>
              <w:widowControl/>
              <w:spacing w:line="360" w:lineRule="auto"/>
              <w:jc w:val="left"/>
              <w:textAlignment w:val="center"/>
              <w:rPr>
                <w:rFonts w:ascii="宋体" w:hAnsi="宋体" w:eastAsia="宋体" w:cs="宋体"/>
                <w:b w:val="0"/>
                <w:bCs/>
                <w:color w:val="000000"/>
                <w:sz w:val="21"/>
                <w:szCs w:val="21"/>
                <w:highlight w:val="none"/>
                <w:lang w:eastAsia="zh-CN"/>
              </w:rPr>
            </w:pPr>
            <w:r>
              <w:rPr>
                <w:rFonts w:ascii="宋体" w:hAnsi="宋体" w:cs="宋体"/>
                <w:b w:val="0"/>
                <w:bCs/>
                <w:color w:val="000000"/>
                <w:kern w:val="0"/>
                <w:sz w:val="21"/>
                <w:szCs w:val="21"/>
                <w:lang w:val="en-US" w:eastAsia="zh-CN" w:bidi="ar"/>
              </w:rPr>
              <w:t>有</w:t>
            </w:r>
            <w:r>
              <w:rPr>
                <w:rFonts w:ascii="宋体" w:hAnsi="宋体" w:cs="宋体"/>
                <w:b w:val="0"/>
                <w:bCs/>
                <w:color w:val="000000"/>
                <w:kern w:val="0"/>
                <w:sz w:val="21"/>
                <w:szCs w:val="21"/>
                <w:lang w:bidi="ar"/>
              </w:rPr>
              <w:t>供应商详细地址、联系人、电话</w:t>
            </w:r>
            <w:r>
              <w:rPr>
                <w:rFonts w:ascii="宋体" w:hAnsi="宋体" w:cs="宋体"/>
                <w:b w:val="0"/>
                <w:bCs/>
                <w:color w:val="000000"/>
                <w:kern w:val="0"/>
                <w:sz w:val="21"/>
                <w:szCs w:val="21"/>
                <w:lang w:eastAsia="zh-CN" w:bidi="ar"/>
              </w:rPr>
              <w:t>。</w:t>
            </w:r>
          </w:p>
        </w:tc>
        <w:tc>
          <w:tcPr>
            <w:tcW w:w="744" w:type="dxa"/>
            <w:tcBorders>
              <w:top w:val="single" w:color="000000" w:sz="6" w:space="0"/>
              <w:left w:val="single" w:color="000000" w:sz="4" w:space="0"/>
              <w:bottom w:val="single" w:color="000000" w:sz="6" w:space="0"/>
              <w:right w:val="single" w:color="000000" w:sz="6" w:space="0"/>
            </w:tcBorders>
          </w:tcPr>
          <w:p w14:paraId="43A4B747">
            <w:pPr>
              <w:snapToGrid w:val="0"/>
              <w:spacing w:line="360" w:lineRule="auto"/>
              <w:rPr>
                <w:rFonts w:ascii="宋体" w:hAnsi="宋体" w:eastAsia="宋体" w:cs="宋体"/>
                <w:b w:val="0"/>
                <w:bCs/>
                <w:color w:val="000000"/>
                <w:sz w:val="22"/>
                <w:szCs w:val="22"/>
                <w:highlight w:val="none"/>
                <w:lang w:eastAsia="zh-CN"/>
              </w:rPr>
            </w:pPr>
          </w:p>
        </w:tc>
        <w:tc>
          <w:tcPr>
            <w:tcW w:w="622" w:type="dxa"/>
            <w:tcBorders>
              <w:top w:val="single" w:color="000000" w:sz="6" w:space="0"/>
              <w:left w:val="single" w:color="000000" w:sz="6" w:space="0"/>
              <w:bottom w:val="single" w:color="000000" w:sz="6" w:space="0"/>
              <w:right w:val="single" w:color="000000" w:sz="4" w:space="0"/>
            </w:tcBorders>
          </w:tcPr>
          <w:p w14:paraId="62232CA5">
            <w:pPr>
              <w:snapToGrid w:val="0"/>
              <w:spacing w:line="360" w:lineRule="auto"/>
              <w:rPr>
                <w:rFonts w:ascii="宋体" w:hAnsi="宋体" w:eastAsia="宋体" w:cs="宋体"/>
                <w:b w:val="0"/>
                <w:bCs/>
                <w:color w:val="000000"/>
                <w:sz w:val="22"/>
                <w:szCs w:val="22"/>
                <w:highlight w:val="none"/>
              </w:rPr>
            </w:pPr>
          </w:p>
        </w:tc>
      </w:tr>
      <w:tr w14:paraId="2A8162C1">
        <w:tblPrEx>
          <w:tblCellMar>
            <w:top w:w="0" w:type="dxa"/>
            <w:left w:w="108" w:type="dxa"/>
            <w:bottom w:w="0" w:type="dxa"/>
            <w:right w:w="108" w:type="dxa"/>
          </w:tblCellMar>
        </w:tblPrEx>
        <w:trPr>
          <w:trHeight w:val="299" w:hRule="atLeast"/>
        </w:trPr>
        <w:tc>
          <w:tcPr>
            <w:tcW w:w="977" w:type="dxa"/>
            <w:tcBorders>
              <w:top w:val="single" w:color="000000" w:sz="6" w:space="0"/>
              <w:left w:val="single" w:color="000000" w:sz="4" w:space="0"/>
              <w:bottom w:val="single" w:color="000000" w:sz="4" w:space="0"/>
              <w:right w:val="single" w:color="000000" w:sz="4" w:space="0"/>
            </w:tcBorders>
            <w:vAlign w:val="center"/>
          </w:tcPr>
          <w:p w14:paraId="13EF073C">
            <w:pPr>
              <w:snapToGrid w:val="0"/>
              <w:spacing w:line="360" w:lineRule="auto"/>
              <w:jc w:val="center"/>
              <w:rPr>
                <w:rFonts w:ascii="宋体" w:hAnsi="宋体" w:eastAsia="宋体" w:cs="宋体"/>
                <w:b w:val="0"/>
                <w:bCs/>
                <w:color w:val="000000"/>
                <w:sz w:val="22"/>
                <w:szCs w:val="22"/>
                <w:highlight w:val="none"/>
              </w:rPr>
            </w:pPr>
          </w:p>
        </w:tc>
        <w:tc>
          <w:tcPr>
            <w:tcW w:w="7092" w:type="dxa"/>
            <w:gridSpan w:val="2"/>
            <w:tcBorders>
              <w:top w:val="single" w:color="000000" w:sz="6" w:space="0"/>
              <w:left w:val="single" w:color="000000" w:sz="4" w:space="0"/>
              <w:bottom w:val="single" w:color="000000" w:sz="4" w:space="0"/>
              <w:right w:val="single" w:color="000000" w:sz="4" w:space="0"/>
            </w:tcBorders>
          </w:tcPr>
          <w:p w14:paraId="72FF70D8">
            <w:pPr>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结论：是否通过评审（须填写通过或不通过）</w:t>
            </w:r>
          </w:p>
          <w:p w14:paraId="4A4C0031">
            <w:pPr>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注：如有一项不合格，作无效响应处理。</w:t>
            </w:r>
          </w:p>
        </w:tc>
        <w:tc>
          <w:tcPr>
            <w:tcW w:w="1366" w:type="dxa"/>
            <w:gridSpan w:val="2"/>
            <w:tcBorders>
              <w:top w:val="single" w:color="000000" w:sz="6" w:space="0"/>
              <w:left w:val="single" w:color="000000" w:sz="4" w:space="0"/>
              <w:bottom w:val="single" w:color="000000" w:sz="4" w:space="0"/>
              <w:right w:val="single" w:color="000000" w:sz="4" w:space="0"/>
            </w:tcBorders>
          </w:tcPr>
          <w:p w14:paraId="1D472388">
            <w:pPr>
              <w:snapToGrid w:val="0"/>
              <w:spacing w:line="360" w:lineRule="auto"/>
              <w:rPr>
                <w:rFonts w:ascii="宋体" w:hAnsi="宋体" w:eastAsia="宋体" w:cs="宋体"/>
                <w:b w:val="0"/>
                <w:bCs/>
                <w:color w:val="000000"/>
                <w:sz w:val="22"/>
                <w:szCs w:val="22"/>
                <w:highlight w:val="none"/>
              </w:rPr>
            </w:pPr>
          </w:p>
        </w:tc>
      </w:tr>
    </w:tbl>
    <w:p w14:paraId="1642A2BC">
      <w:pPr>
        <w:bidi w:val="0"/>
        <w:rPr>
          <w:color w:val="000000"/>
          <w:highlight w:val="none"/>
        </w:rPr>
      </w:pPr>
    </w:p>
    <w:p w14:paraId="5FFE8A0F">
      <w:pPr>
        <w:spacing w:line="400" w:lineRule="exact"/>
        <w:ind w:firstLine="506"/>
        <w:rPr>
          <w:rFonts w:ascii="宋体" w:hAnsi="宋体"/>
          <w:color w:val="000000"/>
          <w:szCs w:val="21"/>
          <w:highlight w:val="none"/>
        </w:rPr>
      </w:pPr>
      <w:r>
        <w:rPr>
          <w:rFonts w:ascii="宋体" w:hAnsi="宋体"/>
          <w:color w:val="000000"/>
          <w:szCs w:val="21"/>
          <w:lang w:val="en-US" w:eastAsia="zh-CN"/>
        </w:rPr>
        <w:t>7</w:t>
      </w:r>
      <w:r>
        <w:rPr>
          <w:rFonts w:ascii="宋体" w:hAnsi="宋体"/>
          <w:color w:val="000000"/>
          <w:szCs w:val="21"/>
        </w:rPr>
        <w:t>.2磋商小组成员会判定响应文件的响应性只根据响应文件本身的内容，而不寻求外部的证据，但响应有不真实不正确的内容时除外。</w:t>
      </w:r>
    </w:p>
    <w:p w14:paraId="40D50620">
      <w:pPr>
        <w:spacing w:line="400" w:lineRule="exact"/>
        <w:ind w:firstLine="506"/>
        <w:rPr>
          <w:rFonts w:ascii="宋体" w:hAnsi="宋体"/>
          <w:color w:val="000000"/>
          <w:szCs w:val="21"/>
          <w:highlight w:val="none"/>
        </w:rPr>
      </w:pPr>
      <w:r>
        <w:rPr>
          <w:rFonts w:ascii="宋体" w:hAnsi="宋体"/>
          <w:color w:val="000000"/>
          <w:szCs w:val="21"/>
          <w:lang w:val="en-US" w:eastAsia="zh-CN"/>
        </w:rPr>
        <w:t>7</w:t>
      </w:r>
      <w:r>
        <w:rPr>
          <w:rFonts w:ascii="宋体" w:hAnsi="宋体"/>
          <w:color w:val="000000"/>
          <w:szCs w:val="21"/>
        </w:rPr>
        <w:t>.3如果响应文件实质上没有响应</w:t>
      </w:r>
      <w:r>
        <w:rPr>
          <w:rFonts w:ascii="宋体" w:hAnsi="宋体"/>
          <w:color w:val="000000"/>
          <w:szCs w:val="21"/>
          <w:lang w:eastAsia="zh-CN"/>
        </w:rPr>
        <w:t>采购文件</w:t>
      </w:r>
      <w:r>
        <w:rPr>
          <w:rFonts w:ascii="宋体" w:hAnsi="宋体"/>
          <w:color w:val="000000"/>
          <w:szCs w:val="21"/>
        </w:rPr>
        <w:t>的要求，磋商小组成员会将</w:t>
      </w:r>
      <w:r>
        <w:rPr>
          <w:rFonts w:hint="eastAsia" w:ascii="宋体" w:hAnsi="宋体"/>
          <w:color w:val="000000"/>
          <w:szCs w:val="21"/>
          <w:lang w:val="en-US" w:eastAsia="zh-CN"/>
        </w:rPr>
        <w:t>否决投标</w:t>
      </w:r>
      <w:r>
        <w:rPr>
          <w:rFonts w:ascii="宋体" w:hAnsi="宋体"/>
          <w:color w:val="000000"/>
          <w:szCs w:val="21"/>
        </w:rPr>
        <w:t>，供应商不得通过修正或撤销不符合要求的偏离或保留，而使其响应成为实质上响应的响应。</w:t>
      </w:r>
    </w:p>
    <w:p w14:paraId="419D2991">
      <w:pPr>
        <w:spacing w:line="400" w:lineRule="exact"/>
        <w:ind w:firstLine="420"/>
        <w:rPr>
          <w:rFonts w:ascii="宋体" w:hAnsi="宋体"/>
          <w:color w:val="000000"/>
          <w:szCs w:val="21"/>
          <w:highlight w:val="none"/>
        </w:rPr>
      </w:pPr>
      <w:r>
        <w:rPr>
          <w:rFonts w:ascii="宋体" w:hAnsi="宋体" w:cs="宋体"/>
          <w:color w:val="000000"/>
          <w:szCs w:val="21"/>
        </w:rPr>
        <w:t xml:space="preserve"> </w:t>
      </w:r>
      <w:r>
        <w:rPr>
          <w:rFonts w:ascii="宋体" w:hAnsi="宋体"/>
          <w:color w:val="000000"/>
          <w:szCs w:val="21"/>
          <w:lang w:val="en-US" w:eastAsia="zh-CN"/>
        </w:rPr>
        <w:t>7</w:t>
      </w:r>
      <w:r>
        <w:rPr>
          <w:rFonts w:ascii="宋体" w:hAnsi="宋体"/>
          <w:color w:val="000000"/>
          <w:szCs w:val="21"/>
        </w:rPr>
        <w:t>.4供应商可在现场20分钟内对磋商小组的评审结论提出异议，磋商小组根据</w:t>
      </w:r>
      <w:r>
        <w:rPr>
          <w:rFonts w:ascii="宋体" w:hAnsi="宋体"/>
          <w:color w:val="000000"/>
          <w:szCs w:val="21"/>
          <w:lang w:eastAsia="zh-CN"/>
        </w:rPr>
        <w:t>采购文件</w:t>
      </w:r>
      <w:r>
        <w:rPr>
          <w:rFonts w:ascii="宋体" w:hAnsi="宋体"/>
          <w:color w:val="000000"/>
          <w:szCs w:val="21"/>
        </w:rPr>
        <w:t>及有关规定对供应商的异议进行复议</w:t>
      </w:r>
    </w:p>
    <w:p w14:paraId="7C109E18">
      <w:pPr>
        <w:spacing w:line="400" w:lineRule="exact"/>
        <w:ind w:firstLine="525"/>
        <w:rPr>
          <w:rFonts w:ascii="宋体" w:hAnsi="宋体"/>
          <w:color w:val="000000"/>
          <w:szCs w:val="21"/>
          <w:highlight w:val="none"/>
        </w:rPr>
      </w:pPr>
      <w:r>
        <w:rPr>
          <w:rFonts w:ascii="宋体" w:hAnsi="宋体"/>
          <w:color w:val="000000"/>
          <w:szCs w:val="21"/>
          <w:lang w:val="en-US" w:eastAsia="zh-CN"/>
        </w:rPr>
        <w:t>7</w:t>
      </w:r>
      <w:r>
        <w:rPr>
          <w:rFonts w:ascii="宋体" w:hAnsi="宋体"/>
          <w:color w:val="000000"/>
          <w:szCs w:val="21"/>
        </w:rPr>
        <w:t>.5只有通过初审的供应商才能进入下一步评审程序。</w:t>
      </w:r>
    </w:p>
    <w:p w14:paraId="56CD793F">
      <w:pPr>
        <w:spacing w:line="400" w:lineRule="exact"/>
        <w:ind w:firstLine="420"/>
        <w:rPr>
          <w:rFonts w:ascii="宋体" w:hAnsi="宋体"/>
          <w:color w:val="000000"/>
          <w:szCs w:val="21"/>
          <w:highlight w:val="none"/>
        </w:rPr>
      </w:pPr>
      <w:r>
        <w:rPr>
          <w:rFonts w:ascii="宋体" w:hAnsi="宋体" w:cs="宋体"/>
          <w:b/>
          <w:color w:val="000000"/>
          <w:szCs w:val="21"/>
        </w:rPr>
        <w:t>温馨提示：响应文件资格审查资料请精心准备,如评审专家在检验电子标书过程中，如果由于供应商自身原因导致评审专家无法查看并检验电子标书中以上相关资料的，按无效响应处理。即使供应商将原件携带至现场的，同样按无效响应处理。</w:t>
      </w:r>
    </w:p>
    <w:p w14:paraId="33AC783E">
      <w:pPr>
        <w:numPr>
          <w:ilvl w:val="0"/>
          <w:numId w:val="0"/>
        </w:numPr>
        <w:spacing w:before="156" w:after="0" w:line="400" w:lineRule="exact"/>
        <w:jc w:val="center"/>
        <w:outlineLvl w:val="1"/>
        <w:rPr>
          <w:rFonts w:ascii="宋体" w:hAnsi="宋体"/>
          <w:b/>
          <w:color w:val="000000"/>
          <w:sz w:val="24"/>
          <w:highlight w:val="none"/>
        </w:rPr>
      </w:pPr>
      <w:bookmarkStart w:id="6" w:name="__RefHeading___Toc469495734"/>
      <w:bookmarkEnd w:id="6"/>
      <w:r>
        <w:rPr>
          <w:rFonts w:ascii="宋体" w:hAnsi="宋体"/>
          <w:b/>
          <w:color w:val="000000"/>
          <w:sz w:val="28"/>
          <w:szCs w:val="28"/>
        </w:rPr>
        <w:t xml:space="preserve">三  </w:t>
      </w:r>
      <w:r>
        <w:rPr>
          <w:rFonts w:ascii="宋体" w:hAnsi="宋体"/>
          <w:b/>
          <w:color w:val="000000"/>
          <w:sz w:val="24"/>
        </w:rPr>
        <w:t>响应文件的澄清和补正</w:t>
      </w:r>
    </w:p>
    <w:p w14:paraId="31F2BB8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8．澄清、说明或补正的形式</w:t>
      </w:r>
    </w:p>
    <w:p w14:paraId="007D5DD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8.1对于响应文件中含义不明确、同类问题表述不一致或者有明显文字和计算错误的内容，磋商小组将通过“政府采购云平台”在线询标的方式要求供应商在规定的时间内作出必要的澄清、说明或者补正，供应商澄清、说明或补正时间为20分钟。</w:t>
      </w:r>
    </w:p>
    <w:p w14:paraId="7A2B75D7">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8.2供应商的澄清、说明或者补正应当通过“政府采购云平台”在线答复的方式提交，并加盖公章（电子印章），或者由法定代表人（负责人）或其授权的代表签字。供应商的澄清、说明或者补正不得超出响应文件的范围或者改变响应文件的实质性内容，不接受供应商主动对响应文件的澄清、说明或者补正。</w:t>
      </w:r>
    </w:p>
    <w:p w14:paraId="7FF3C08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8.3上述询标、澄清、说明和补正工作如因客观原因无法通过“政府采购云平台”在线进行的，将采用电子邮件等形式进行，请供应商保证办理响应事宜人员电话畅通、网络在线。如未及时进行澄清、说明或者补正的，视为放弃澄清、说明或者补正的权利。</w:t>
      </w:r>
    </w:p>
    <w:p w14:paraId="5C0BA74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9．错误修正的原则</w:t>
      </w:r>
    </w:p>
    <w:p w14:paraId="49FB38F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电子交易平台客户端里报价一览表录入的磋商报价或优惠率与扫描上传的报价文件信息不一致的，以扫描上传的报价文件信息为准进行修正。</w:t>
      </w:r>
    </w:p>
    <w:p w14:paraId="53EA639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响应文件报价出现前后不一致的，除采购文件另有规定外，按照下列规定修正：</w:t>
      </w:r>
    </w:p>
    <w:p w14:paraId="467C0CE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9.1 响应函中表述的内容与报价表中不一致的，以报价表为准；报价表中的内容与报价明细表不一致的，以报价表为准；</w:t>
      </w:r>
    </w:p>
    <w:p w14:paraId="5F62954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9.2 响应文件中的大写金额和小写金额不一致的，以大写金额为准；</w:t>
      </w:r>
    </w:p>
    <w:p w14:paraId="3ED637E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9.3 单价金额小数点或者百分比有明显错位的，以报价一览表的总价为准，并修改单价；</w:t>
      </w:r>
    </w:p>
    <w:p w14:paraId="64FCCF3F">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9.4 总价金额与按单价汇总金额不一致的，以单价金额计算结果为准；</w:t>
      </w:r>
    </w:p>
    <w:p w14:paraId="2244D6F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9.5 若用文字表示的数值与用数字表示的数值不一致，以文字表示的数值为准；</w:t>
      </w:r>
    </w:p>
    <w:p w14:paraId="19A3758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9.6 如有多报（指数量超出采购文件需求）、重报（指同一货物重复报价），其磋商总价在评审过程中不予调整，如其成交，其合同价按其响应单价予以调整；</w:t>
      </w:r>
    </w:p>
    <w:p w14:paraId="38DCCE1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9.7 对不同文字文本响应文件的解释发生异议的，以中文文本为准；</w:t>
      </w:r>
    </w:p>
    <w:p w14:paraId="6A1B0ED1">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同时出现两种以上不一致的，按照前款规定的顺序修正。按上述修正错误的原则及方法调整或修正响应文件的磋商报价，供应商确认后，以调整或修正后的磋商报价为准。如供应商拒绝调整或修正的，其响应文件按无效响应处理。修正应当采用电子询标的形式，并加盖公章（电子印章）。</w:t>
      </w:r>
    </w:p>
    <w:p w14:paraId="32A41859">
      <w:pPr>
        <w:spacing w:line="400" w:lineRule="exact"/>
        <w:ind w:firstLine="403"/>
        <w:rPr>
          <w:rFonts w:ascii="宋体" w:hAnsi="宋体"/>
          <w:b w:val="0"/>
          <w:bCs w:val="0"/>
          <w:color w:val="000000"/>
          <w:szCs w:val="21"/>
          <w:highlight w:val="none"/>
          <w:lang w:val="en-US" w:eastAsia="zh-CN"/>
        </w:rPr>
      </w:pPr>
    </w:p>
    <w:p w14:paraId="20DEC828">
      <w:pPr>
        <w:numPr>
          <w:ilvl w:val="0"/>
          <w:numId w:val="0"/>
        </w:numPr>
        <w:spacing w:line="400" w:lineRule="exact"/>
        <w:jc w:val="center"/>
        <w:outlineLvl w:val="1"/>
        <w:rPr>
          <w:rFonts w:ascii="宋体" w:hAnsi="宋体"/>
          <w:b/>
          <w:color w:val="000000"/>
          <w:sz w:val="24"/>
          <w:highlight w:val="none"/>
        </w:rPr>
      </w:pPr>
      <w:bookmarkStart w:id="7" w:name="__RefHeading___Toc469495735"/>
      <w:bookmarkEnd w:id="7"/>
      <w:r>
        <w:rPr>
          <w:rFonts w:ascii="宋体" w:hAnsi="宋体"/>
          <w:b/>
          <w:color w:val="000000"/>
          <w:sz w:val="24"/>
        </w:rPr>
        <w:t>四 比较与评价</w:t>
      </w:r>
    </w:p>
    <w:p w14:paraId="6F7D131A">
      <w:pPr>
        <w:tabs>
          <w:tab w:val="left" w:pos="720"/>
        </w:tabs>
        <w:spacing w:line="440" w:lineRule="exact"/>
        <w:ind w:firstLine="535"/>
        <w:rPr>
          <w:rFonts w:ascii="宋体" w:hAnsi="宋体" w:eastAsia="宋体" w:cs="宋体"/>
          <w:color w:val="000000"/>
          <w:szCs w:val="21"/>
          <w:highlight w:val="none"/>
          <w:lang w:bidi="ar-SA"/>
        </w:rPr>
      </w:pPr>
      <w:r>
        <w:rPr>
          <w:rFonts w:ascii="宋体" w:hAnsi="宋体" w:eastAsia="宋体" w:cs="宋体"/>
          <w:color w:val="000000"/>
          <w:szCs w:val="21"/>
          <w:lang w:val="en-US" w:eastAsia="zh-CN" w:bidi="ar-SA"/>
        </w:rPr>
        <w:t>10.1</w:t>
      </w:r>
      <w:r>
        <w:rPr>
          <w:rFonts w:ascii="宋体" w:hAnsi="宋体" w:cs="宋体"/>
          <w:color w:val="000000"/>
          <w:szCs w:val="21"/>
          <w:lang w:bidi="ar-SA"/>
        </w:rPr>
        <w:t>磋商小组按</w:t>
      </w:r>
      <w:r>
        <w:rPr>
          <w:rFonts w:ascii="宋体" w:hAnsi="宋体" w:cs="宋体"/>
          <w:color w:val="000000"/>
          <w:szCs w:val="21"/>
          <w:lang w:eastAsia="zh-CN" w:bidi="ar-SA"/>
        </w:rPr>
        <w:t>磋商</w:t>
      </w:r>
      <w:r>
        <w:rPr>
          <w:rFonts w:ascii="宋体" w:hAnsi="宋体" w:cs="宋体"/>
          <w:color w:val="000000"/>
          <w:szCs w:val="21"/>
          <w:lang w:bidi="ar-SA"/>
        </w:rPr>
        <w:t>文件中规定的评审方法和标准，对资格性检查和符合性检查合格的响应文件进行商务和技术评估、综合比较与评价。</w:t>
      </w:r>
    </w:p>
    <w:p w14:paraId="6D465F88">
      <w:pPr>
        <w:spacing w:line="440" w:lineRule="exact"/>
        <w:ind w:firstLine="539"/>
        <w:rPr>
          <w:rFonts w:ascii="宋体" w:hAnsi="宋体" w:eastAsia="宋体" w:cs="宋体"/>
          <w:color w:val="000000"/>
          <w:szCs w:val="21"/>
          <w:highlight w:val="none"/>
          <w:lang w:bidi="ar-SA"/>
        </w:rPr>
      </w:pPr>
      <w:r>
        <w:rPr>
          <w:rFonts w:ascii="宋体" w:hAnsi="宋体" w:eastAsia="宋体" w:cs="宋体"/>
          <w:color w:val="000000"/>
          <w:szCs w:val="21"/>
          <w:lang w:val="en-US" w:eastAsia="zh-CN" w:bidi="ar-SA"/>
        </w:rPr>
        <w:t>10.2</w:t>
      </w:r>
      <w:r>
        <w:rPr>
          <w:rFonts w:ascii="宋体" w:hAnsi="宋体" w:cs="宋体"/>
          <w:color w:val="000000"/>
          <w:szCs w:val="21"/>
          <w:lang w:bidi="ar-SA"/>
        </w:rPr>
        <w:t>磋商小组根据商务和技术评估的结果，采用综合评分法，分别对响应文件的商务、技术、价格等内容进行打分。其中，商务评估、技术评估、价格评估的评分权值（详见附件</w:t>
      </w:r>
      <w:r>
        <w:rPr>
          <w:rFonts w:ascii="宋体" w:hAnsi="宋体" w:eastAsia="宋体" w:cs="宋体"/>
          <w:color w:val="000000"/>
          <w:szCs w:val="21"/>
          <w:lang w:bidi="ar-SA"/>
        </w:rPr>
        <w:t>1</w:t>
      </w:r>
      <w:r>
        <w:rPr>
          <w:rFonts w:ascii="宋体" w:hAnsi="宋体" w:cs="宋体"/>
          <w:color w:val="000000"/>
          <w:szCs w:val="21"/>
          <w:lang w:bidi="ar-SA"/>
        </w:rPr>
        <w:t>）。</w:t>
      </w:r>
    </w:p>
    <w:p w14:paraId="646312C7">
      <w:pPr>
        <w:spacing w:line="440" w:lineRule="exact"/>
        <w:ind w:firstLine="539"/>
        <w:rPr>
          <w:rFonts w:ascii="宋体" w:hAnsi="宋体" w:eastAsia="宋体" w:cs="宋体"/>
          <w:bCs/>
          <w:color w:val="000000"/>
          <w:szCs w:val="21"/>
          <w:highlight w:val="none"/>
          <w:lang w:bidi="ar-SA"/>
        </w:rPr>
      </w:pPr>
      <w:r>
        <w:rPr>
          <w:rFonts w:ascii="宋体" w:hAnsi="宋体" w:eastAsia="宋体" w:cs="宋体"/>
          <w:color w:val="000000"/>
          <w:szCs w:val="21"/>
          <w:lang w:val="en-US" w:eastAsia="zh-CN" w:bidi="ar-SA"/>
        </w:rPr>
        <w:t>10.</w:t>
      </w:r>
      <w:r>
        <w:rPr>
          <w:rFonts w:ascii="宋体" w:hAnsi="宋体" w:eastAsia="宋体" w:cs="宋体"/>
          <w:bCs/>
          <w:color w:val="000000"/>
          <w:szCs w:val="21"/>
          <w:lang w:val="en-US" w:eastAsia="zh-CN" w:bidi="ar-SA"/>
        </w:rPr>
        <w:t>2.1</w:t>
      </w:r>
      <w:r>
        <w:rPr>
          <w:rFonts w:ascii="宋体" w:hAnsi="宋体" w:cs="宋体"/>
          <w:bCs/>
          <w:color w:val="000000"/>
          <w:szCs w:val="21"/>
          <w:lang w:bidi="ar-SA"/>
        </w:rPr>
        <w:t>磋商小组成员打分办法</w:t>
      </w:r>
    </w:p>
    <w:p w14:paraId="0ECB9197">
      <w:pPr>
        <w:spacing w:line="440" w:lineRule="exact"/>
        <w:ind w:firstLine="539"/>
        <w:rPr>
          <w:rFonts w:ascii="宋体" w:hAnsi="宋体" w:eastAsia="宋体" w:cs="宋体"/>
          <w:color w:val="000000"/>
          <w:szCs w:val="21"/>
          <w:highlight w:val="none"/>
          <w:lang w:bidi="ar-SA"/>
        </w:rPr>
      </w:pPr>
      <w:r>
        <w:rPr>
          <w:rFonts w:ascii="宋体" w:hAnsi="宋体" w:cs="宋体"/>
          <w:bCs/>
          <w:color w:val="000000"/>
          <w:szCs w:val="21"/>
          <w:lang w:bidi="ar-SA"/>
        </w:rPr>
        <w:t>（</w:t>
      </w:r>
      <w:r>
        <w:rPr>
          <w:rFonts w:ascii="宋体" w:hAnsi="宋体" w:eastAsia="宋体" w:cs="宋体"/>
          <w:bCs/>
          <w:color w:val="000000"/>
          <w:szCs w:val="21"/>
          <w:lang w:bidi="ar-SA"/>
        </w:rPr>
        <w:t>1</w:t>
      </w:r>
      <w:r>
        <w:rPr>
          <w:rFonts w:ascii="宋体" w:hAnsi="宋体" w:cs="宋体"/>
          <w:bCs/>
          <w:color w:val="000000"/>
          <w:szCs w:val="21"/>
          <w:lang w:bidi="ar-SA"/>
        </w:rPr>
        <w:t>）</w:t>
      </w:r>
      <w:r>
        <w:rPr>
          <w:rFonts w:ascii="宋体" w:hAnsi="宋体" w:cs="宋体"/>
          <w:color w:val="000000"/>
          <w:szCs w:val="21"/>
          <w:lang w:bidi="ar-SA"/>
        </w:rPr>
        <w:t>参加评分的磋商小组成员应尽力体现客观、实事求是，避免学派偏见和个人偏好。</w:t>
      </w:r>
    </w:p>
    <w:p w14:paraId="3053EA2F">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2</w:t>
      </w:r>
      <w:r>
        <w:rPr>
          <w:rFonts w:ascii="宋体" w:hAnsi="宋体" w:cs="宋体"/>
          <w:color w:val="000000"/>
          <w:szCs w:val="21"/>
          <w:lang w:bidi="ar-SA"/>
        </w:rPr>
        <w:t>）衡量、对比的依据，应以</w:t>
      </w:r>
      <w:r>
        <w:rPr>
          <w:rFonts w:ascii="宋体" w:hAnsi="宋体" w:cs="宋体"/>
          <w:color w:val="000000"/>
          <w:szCs w:val="21"/>
          <w:lang w:eastAsia="zh-CN" w:bidi="ar-SA"/>
        </w:rPr>
        <w:t>磋商文件</w:t>
      </w:r>
      <w:r>
        <w:rPr>
          <w:rFonts w:ascii="宋体" w:hAnsi="宋体" w:cs="宋体"/>
          <w:color w:val="000000"/>
          <w:szCs w:val="21"/>
          <w:lang w:bidi="ar-SA"/>
        </w:rPr>
        <w:t>、响应文件、提供的正式试验数据、质询澄清中的文字为准，口头回答和收集的资料只作为参考。</w:t>
      </w:r>
    </w:p>
    <w:p w14:paraId="4DC97C75">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3</w:t>
      </w:r>
      <w:r>
        <w:rPr>
          <w:rFonts w:ascii="宋体" w:hAnsi="宋体" w:cs="宋体"/>
          <w:color w:val="000000"/>
          <w:szCs w:val="21"/>
          <w:lang w:bidi="ar-SA"/>
        </w:rPr>
        <w:t>）评分主要是为比较各供应商的价格、商务和技术综合排序。</w:t>
      </w:r>
    </w:p>
    <w:p w14:paraId="395BB88B">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4</w:t>
      </w:r>
      <w:r>
        <w:rPr>
          <w:rFonts w:ascii="宋体" w:hAnsi="宋体" w:cs="宋体"/>
          <w:color w:val="000000"/>
          <w:szCs w:val="21"/>
          <w:lang w:bidi="ar-SA"/>
        </w:rPr>
        <w:t>）磋商小组成员打分采取记名形式。</w:t>
      </w:r>
    </w:p>
    <w:p w14:paraId="5FC76A8C">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5</w:t>
      </w:r>
      <w:r>
        <w:rPr>
          <w:rFonts w:ascii="宋体" w:hAnsi="宋体" w:cs="宋体"/>
          <w:color w:val="000000"/>
          <w:szCs w:val="21"/>
          <w:lang w:bidi="ar-SA"/>
        </w:rPr>
        <w:t>）各磋商小组成员根据提供的技术打分表独立自主打分，任何人不得要求磋商小组成员统一打分或统一确定等次顺序。</w:t>
      </w:r>
    </w:p>
    <w:p w14:paraId="1101C65C">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6</w:t>
      </w:r>
      <w:r>
        <w:rPr>
          <w:rFonts w:ascii="宋体" w:hAnsi="宋体" w:cs="宋体"/>
          <w:color w:val="000000"/>
          <w:szCs w:val="21"/>
          <w:lang w:bidi="ar-SA"/>
        </w:rPr>
        <w:t>）对打分表中的每项条款，各磋商小组成员应根据响应文件、澄清材料、</w:t>
      </w:r>
      <w:r>
        <w:rPr>
          <w:rFonts w:ascii="宋体" w:hAnsi="宋体" w:cs="宋体"/>
          <w:color w:val="000000"/>
          <w:szCs w:val="21"/>
          <w:lang w:eastAsia="zh-CN" w:bidi="ar-SA"/>
        </w:rPr>
        <w:t>磋商文件</w:t>
      </w:r>
      <w:r>
        <w:rPr>
          <w:rFonts w:ascii="宋体" w:hAnsi="宋体" w:cs="宋体"/>
          <w:color w:val="000000"/>
          <w:szCs w:val="21"/>
          <w:lang w:bidi="ar-SA"/>
        </w:rPr>
        <w:t>要求，按满足的程度给供应商打分。</w:t>
      </w:r>
    </w:p>
    <w:p w14:paraId="6E1C959B">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7</w:t>
      </w:r>
      <w:r>
        <w:rPr>
          <w:rFonts w:ascii="宋体" w:hAnsi="宋体" w:cs="宋体"/>
          <w:color w:val="000000"/>
          <w:szCs w:val="21"/>
          <w:lang w:bidi="ar-SA"/>
        </w:rPr>
        <w:t>）评分程序</w:t>
      </w:r>
    </w:p>
    <w:p w14:paraId="13204F80">
      <w:pPr>
        <w:spacing w:line="440" w:lineRule="exact"/>
        <w:ind w:firstLine="539"/>
        <w:rPr>
          <w:rFonts w:ascii="宋体" w:hAnsi="宋体" w:eastAsia="宋体" w:cs="宋体"/>
          <w:color w:val="000000"/>
          <w:szCs w:val="21"/>
          <w:highlight w:val="none"/>
          <w:lang w:bidi="ar-SA"/>
        </w:rPr>
      </w:pPr>
      <w:r>
        <w:rPr>
          <w:rFonts w:ascii="宋体" w:hAnsi="宋体" w:eastAsia="宋体" w:cs="宋体"/>
          <w:color w:val="000000"/>
          <w:szCs w:val="21"/>
          <w:lang w:bidi="ar-SA"/>
        </w:rPr>
        <w:t>1)</w:t>
      </w:r>
      <w:r>
        <w:rPr>
          <w:rFonts w:ascii="宋体" w:hAnsi="宋体" w:cs="宋体"/>
          <w:color w:val="000000"/>
          <w:szCs w:val="21"/>
          <w:lang w:bidi="ar-SA"/>
        </w:rPr>
        <w:t>就供应商的响应文件对照整理出商务、技术评审因素对比表、偏差表，并在经过校核的基础上逐项打分。</w:t>
      </w:r>
    </w:p>
    <w:p w14:paraId="097B2631">
      <w:pPr>
        <w:spacing w:line="440" w:lineRule="exact"/>
        <w:ind w:firstLine="539"/>
        <w:rPr>
          <w:rFonts w:ascii="宋体" w:hAnsi="宋体" w:eastAsia="宋体" w:cs="宋体"/>
          <w:color w:val="000000"/>
          <w:szCs w:val="21"/>
          <w:highlight w:val="none"/>
          <w:lang w:bidi="ar-SA"/>
        </w:rPr>
      </w:pPr>
      <w:r>
        <w:rPr>
          <w:rFonts w:ascii="宋体" w:hAnsi="宋体" w:eastAsia="宋体" w:cs="宋体"/>
          <w:color w:val="000000"/>
          <w:szCs w:val="21"/>
          <w:lang w:bidi="ar-SA"/>
        </w:rPr>
        <w:t>2)</w:t>
      </w:r>
      <w:r>
        <w:rPr>
          <w:rFonts w:ascii="宋体" w:hAnsi="宋体" w:cs="宋体"/>
          <w:color w:val="000000"/>
          <w:szCs w:val="21"/>
          <w:lang w:bidi="ar-SA"/>
        </w:rPr>
        <w:t>各磋商小组成员独立完成打分后，将评分表交给代理机构，由代理机构组织进行分数统计。</w:t>
      </w:r>
    </w:p>
    <w:p w14:paraId="6105ECAB">
      <w:pPr>
        <w:spacing w:line="440" w:lineRule="exact"/>
        <w:ind w:firstLine="539"/>
        <w:rPr>
          <w:rFonts w:ascii="宋体" w:hAnsi="宋体" w:eastAsia="宋体" w:cs="宋体"/>
          <w:color w:val="000000"/>
          <w:szCs w:val="21"/>
          <w:highlight w:val="none"/>
          <w:lang w:bidi="ar-SA"/>
        </w:rPr>
        <w:sectPr>
          <w:headerReference r:id="rId3" w:type="default"/>
          <w:footerReference r:id="rId4" w:type="default"/>
          <w:pgSz w:w="11906" w:h="16838" w:orient="landscape"/>
          <w:pgMar w:top="1157" w:right="969" w:bottom="1157" w:left="1083" w:header="851" w:footer="992" w:gutter="0"/>
          <w:pgNumType w:fmt="decimal" w:start="1"/>
          <w:cols w:space="720" w:num="1"/>
          <w:formProt w:val="0"/>
          <w:docGrid w:type="linesAndChars" w:linePitch="312" w:charSpace="0"/>
        </w:sectPr>
      </w:pPr>
      <w:r>
        <w:rPr>
          <w:rFonts w:ascii="宋体" w:hAnsi="宋体" w:eastAsia="宋体" w:cs="宋体"/>
          <w:color w:val="000000"/>
          <w:szCs w:val="21"/>
          <w:lang w:bidi="ar-SA"/>
        </w:rPr>
        <w:t>3)</w:t>
      </w:r>
      <w:r>
        <w:rPr>
          <w:rFonts w:ascii="宋体" w:hAnsi="宋体" w:cs="宋体"/>
          <w:color w:val="000000"/>
          <w:szCs w:val="21"/>
          <w:lang w:bidi="ar-SA"/>
        </w:rPr>
        <w:t>最终汇总表中各供应商得分应为磋商小组成员打分的算术平均值。</w:t>
      </w:r>
    </w:p>
    <w:p w14:paraId="15372815">
      <w:pPr>
        <w:numPr>
          <w:ilvl w:val="0"/>
          <w:numId w:val="0"/>
        </w:numPr>
        <w:spacing w:line="500" w:lineRule="exact"/>
        <w:ind w:left="0" w:firstLine="0"/>
        <w:jc w:val="left"/>
        <w:rPr>
          <w:rFonts w:ascii="宋体" w:hAnsi="宋体" w:cs="宋体"/>
          <w:color w:val="000000"/>
          <w:szCs w:val="21"/>
          <w:lang w:bidi="ar-SA"/>
        </w:rPr>
      </w:pPr>
      <w:r>
        <w:rPr>
          <w:rFonts w:ascii="宋体" w:hAnsi="宋体" w:cs="宋体"/>
          <w:color w:val="000000"/>
          <w:szCs w:val="21"/>
          <w:lang w:bidi="ar-SA"/>
        </w:rPr>
        <w:t>（</w:t>
      </w:r>
      <w:r>
        <w:rPr>
          <w:rFonts w:ascii="宋体" w:hAnsi="宋体" w:eastAsia="宋体" w:cs="宋体"/>
          <w:color w:val="000000"/>
          <w:szCs w:val="21"/>
          <w:lang w:bidi="ar-SA"/>
        </w:rPr>
        <w:t>8</w:t>
      </w:r>
      <w:r>
        <w:rPr>
          <w:rFonts w:ascii="宋体" w:hAnsi="宋体" w:cs="宋体"/>
          <w:color w:val="000000"/>
          <w:szCs w:val="21"/>
          <w:lang w:bidi="ar-SA"/>
        </w:rPr>
        <w:t>）评分标准和细则（综合评分法评分标准）</w:t>
      </w:r>
    </w:p>
    <w:tbl>
      <w:tblPr>
        <w:tblStyle w:val="20"/>
        <w:tblW w:w="9902" w:type="dxa"/>
        <w:tblInd w:w="0" w:type="dxa"/>
        <w:tblLayout w:type="fixed"/>
        <w:tblCellMar>
          <w:top w:w="0" w:type="dxa"/>
          <w:left w:w="0" w:type="dxa"/>
          <w:bottom w:w="0" w:type="dxa"/>
          <w:right w:w="0" w:type="dxa"/>
        </w:tblCellMar>
      </w:tblPr>
      <w:tblGrid>
        <w:gridCol w:w="589"/>
        <w:gridCol w:w="1523"/>
        <w:gridCol w:w="675"/>
        <w:gridCol w:w="7115"/>
      </w:tblGrid>
      <w:tr w14:paraId="0AEDA695">
        <w:tblPrEx>
          <w:tblCellMar>
            <w:top w:w="0" w:type="dxa"/>
            <w:left w:w="0" w:type="dxa"/>
            <w:bottom w:w="0" w:type="dxa"/>
            <w:right w:w="0" w:type="dxa"/>
          </w:tblCellMar>
        </w:tblPrEx>
        <w:trPr>
          <w:trHeight w:val="477" w:hRule="atLeast"/>
        </w:trPr>
        <w:tc>
          <w:tcPr>
            <w:tcW w:w="589" w:type="dxa"/>
            <w:tcBorders>
              <w:top w:val="single" w:color="000000" w:sz="2" w:space="0"/>
              <w:left w:val="single" w:color="000000" w:sz="4" w:space="0"/>
              <w:bottom w:val="single" w:color="000000" w:sz="2" w:space="0"/>
              <w:right w:val="single" w:color="000000" w:sz="4" w:space="0"/>
            </w:tcBorders>
            <w:vAlign w:val="center"/>
          </w:tcPr>
          <w:p w14:paraId="0646F663">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序号</w:t>
            </w:r>
          </w:p>
        </w:tc>
        <w:tc>
          <w:tcPr>
            <w:tcW w:w="1523" w:type="dxa"/>
            <w:tcBorders>
              <w:top w:val="single" w:color="000000" w:sz="2" w:space="0"/>
              <w:left w:val="single" w:color="000000" w:sz="4" w:space="0"/>
              <w:bottom w:val="single" w:color="000000" w:sz="2" w:space="0"/>
              <w:right w:val="single" w:color="000000" w:sz="4" w:space="0"/>
            </w:tcBorders>
            <w:vAlign w:val="center"/>
          </w:tcPr>
          <w:p w14:paraId="6646B4FD">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考核项目</w:t>
            </w:r>
          </w:p>
        </w:tc>
        <w:tc>
          <w:tcPr>
            <w:tcW w:w="675" w:type="dxa"/>
            <w:tcBorders>
              <w:top w:val="single" w:color="000000" w:sz="2" w:space="0"/>
              <w:left w:val="single" w:color="000000" w:sz="4" w:space="0"/>
              <w:bottom w:val="single" w:color="000000" w:sz="2" w:space="0"/>
              <w:right w:val="single" w:color="000000" w:sz="4" w:space="0"/>
            </w:tcBorders>
            <w:vAlign w:val="center"/>
          </w:tcPr>
          <w:p w14:paraId="29F90170">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分数</w:t>
            </w:r>
          </w:p>
        </w:tc>
        <w:tc>
          <w:tcPr>
            <w:tcW w:w="7115" w:type="dxa"/>
            <w:tcBorders>
              <w:top w:val="single" w:color="000000" w:sz="2" w:space="0"/>
              <w:left w:val="single" w:color="000000" w:sz="4" w:space="0"/>
              <w:bottom w:val="single" w:color="000000" w:sz="2" w:space="0"/>
              <w:right w:val="single" w:color="000000" w:sz="4" w:space="0"/>
            </w:tcBorders>
            <w:vAlign w:val="center"/>
          </w:tcPr>
          <w:p w14:paraId="50B3AB0A">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评分标准</w:t>
            </w:r>
          </w:p>
        </w:tc>
      </w:tr>
      <w:tr w14:paraId="2A411D5C">
        <w:tblPrEx>
          <w:tblCellMar>
            <w:top w:w="0" w:type="dxa"/>
            <w:left w:w="0" w:type="dxa"/>
            <w:bottom w:w="0" w:type="dxa"/>
            <w:right w:w="0" w:type="dxa"/>
          </w:tblCellMar>
        </w:tblPrEx>
        <w:trPr>
          <w:trHeight w:val="647" w:hRule="atLeast"/>
        </w:trPr>
        <w:tc>
          <w:tcPr>
            <w:tcW w:w="9902" w:type="dxa"/>
            <w:gridSpan w:val="4"/>
            <w:tcBorders>
              <w:top w:val="single" w:color="000000" w:sz="2" w:space="0"/>
              <w:left w:val="single" w:color="000000" w:sz="4" w:space="0"/>
              <w:bottom w:val="single" w:color="000000" w:sz="2" w:space="0"/>
              <w:right w:val="single" w:color="000000" w:sz="4" w:space="0"/>
            </w:tcBorders>
            <w:vAlign w:val="center"/>
          </w:tcPr>
          <w:p w14:paraId="67F72AC6">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报价部分</w:t>
            </w:r>
            <w:r>
              <w:rPr>
                <w:rFonts w:ascii="宋体" w:hAnsi="宋体" w:eastAsia="宋体" w:cs="宋体"/>
                <w:b/>
                <w:bCs/>
                <w:color w:val="FF0000"/>
                <w:sz w:val="21"/>
                <w:szCs w:val="21"/>
                <w:shd w:val="clear" w:fill="auto"/>
                <w:lang w:val="en-US" w:eastAsia="zh-CN"/>
              </w:rPr>
              <w:t>1</w:t>
            </w:r>
            <w:r>
              <w:rPr>
                <w:rFonts w:ascii="宋体" w:hAnsi="宋体" w:eastAsia="宋体" w:cs="宋体"/>
                <w:b/>
                <w:bCs/>
                <w:color w:val="FF0000"/>
                <w:sz w:val="21"/>
                <w:szCs w:val="21"/>
                <w:shd w:val="clear" w:fill="auto"/>
              </w:rPr>
              <w:t xml:space="preserve">0 </w:t>
            </w:r>
            <w:r>
              <w:rPr>
                <w:rFonts w:ascii="宋体" w:hAnsi="宋体" w:cs="宋体"/>
                <w:b/>
                <w:bCs/>
                <w:color w:val="FF0000"/>
                <w:sz w:val="21"/>
                <w:szCs w:val="21"/>
                <w:shd w:val="clear" w:fill="auto"/>
              </w:rPr>
              <w:t>分</w:t>
            </w:r>
          </w:p>
        </w:tc>
      </w:tr>
      <w:tr w14:paraId="68BCC611">
        <w:tblPrEx>
          <w:tblCellMar>
            <w:top w:w="0" w:type="dxa"/>
            <w:left w:w="0" w:type="dxa"/>
            <w:bottom w:w="0" w:type="dxa"/>
            <w:right w:w="0" w:type="dxa"/>
          </w:tblCellMar>
        </w:tblPrEx>
        <w:trPr>
          <w:trHeight w:val="1474" w:hRule="atLeast"/>
        </w:trPr>
        <w:tc>
          <w:tcPr>
            <w:tcW w:w="589" w:type="dxa"/>
            <w:tcBorders>
              <w:top w:val="single" w:color="000000" w:sz="2" w:space="0"/>
              <w:left w:val="single" w:color="000000" w:sz="4" w:space="0"/>
              <w:bottom w:val="single" w:color="000000" w:sz="2" w:space="0"/>
              <w:right w:val="single" w:color="000000" w:sz="4" w:space="0"/>
            </w:tcBorders>
            <w:vAlign w:val="center"/>
          </w:tcPr>
          <w:p w14:paraId="124983D2">
            <w:pPr>
              <w:spacing w:line="360" w:lineRule="auto"/>
              <w:jc w:val="center"/>
              <w:rPr>
                <w:rFonts w:ascii="宋体" w:hAnsi="宋体" w:eastAsia="宋体" w:cs="宋体"/>
                <w:color w:val="FF0000"/>
                <w:sz w:val="21"/>
                <w:szCs w:val="21"/>
                <w:shd w:val="clear" w:fill="auto"/>
              </w:rPr>
            </w:pPr>
            <w:r>
              <w:rPr>
                <w:rFonts w:ascii="宋体" w:hAnsi="宋体" w:eastAsia="宋体" w:cs="宋体"/>
                <w:color w:val="FF0000"/>
                <w:sz w:val="21"/>
                <w:szCs w:val="21"/>
                <w:shd w:val="clear" w:fill="auto"/>
              </w:rPr>
              <w:t>1</w:t>
            </w:r>
          </w:p>
        </w:tc>
        <w:tc>
          <w:tcPr>
            <w:tcW w:w="1523" w:type="dxa"/>
            <w:tcBorders>
              <w:top w:val="single" w:color="000000" w:sz="2" w:space="0"/>
              <w:left w:val="single" w:color="000000" w:sz="4" w:space="0"/>
              <w:bottom w:val="single" w:color="000000" w:sz="2" w:space="0"/>
              <w:right w:val="single" w:color="000000" w:sz="4" w:space="0"/>
            </w:tcBorders>
            <w:vAlign w:val="center"/>
          </w:tcPr>
          <w:p w14:paraId="3F28E6F7">
            <w:pPr>
              <w:spacing w:line="360" w:lineRule="auto"/>
              <w:jc w:val="center"/>
              <w:rPr>
                <w:rFonts w:ascii="宋体" w:hAnsi="宋体" w:eastAsia="宋体" w:cs="宋体"/>
                <w:color w:val="FF0000"/>
                <w:sz w:val="21"/>
                <w:szCs w:val="21"/>
                <w:shd w:val="clear" w:fill="auto"/>
              </w:rPr>
            </w:pPr>
            <w:r>
              <w:rPr>
                <w:rFonts w:ascii="宋体" w:hAnsi="宋体" w:cs="宋体"/>
                <w:color w:val="FF0000"/>
                <w:sz w:val="21"/>
                <w:szCs w:val="21"/>
                <w:shd w:val="clear" w:fill="auto"/>
              </w:rPr>
              <w:t>报价</w:t>
            </w:r>
          </w:p>
        </w:tc>
        <w:tc>
          <w:tcPr>
            <w:tcW w:w="675" w:type="dxa"/>
            <w:tcBorders>
              <w:top w:val="single" w:color="000000" w:sz="2" w:space="0"/>
              <w:left w:val="single" w:color="000000" w:sz="4" w:space="0"/>
              <w:bottom w:val="single" w:color="000000" w:sz="2" w:space="0"/>
              <w:right w:val="single" w:color="000000" w:sz="4" w:space="0"/>
            </w:tcBorders>
            <w:vAlign w:val="center"/>
          </w:tcPr>
          <w:p w14:paraId="62EC1CED">
            <w:pPr>
              <w:spacing w:line="360" w:lineRule="auto"/>
              <w:jc w:val="center"/>
              <w:rPr>
                <w:rFonts w:ascii="宋体" w:hAnsi="宋体" w:eastAsia="宋体" w:cs="宋体"/>
                <w:color w:val="FF0000"/>
                <w:sz w:val="21"/>
                <w:szCs w:val="21"/>
                <w:shd w:val="clear" w:fill="auto"/>
              </w:rPr>
            </w:pPr>
            <w:r>
              <w:rPr>
                <w:rFonts w:ascii="宋体" w:hAnsi="宋体" w:eastAsia="宋体" w:cs="宋体"/>
                <w:color w:val="FF0000"/>
                <w:sz w:val="21"/>
                <w:szCs w:val="21"/>
                <w:shd w:val="clear" w:fill="auto"/>
                <w:lang w:val="en-US" w:eastAsia="zh-CN"/>
              </w:rPr>
              <w:t>1</w:t>
            </w:r>
            <w:r>
              <w:rPr>
                <w:rFonts w:ascii="宋体" w:hAnsi="宋体" w:eastAsia="宋体" w:cs="宋体"/>
                <w:color w:val="FF0000"/>
                <w:sz w:val="21"/>
                <w:szCs w:val="21"/>
                <w:shd w:val="clear" w:fill="auto"/>
              </w:rPr>
              <w:t>0</w:t>
            </w:r>
            <w:r>
              <w:rPr>
                <w:rFonts w:ascii="宋体" w:hAnsi="宋体" w:cs="宋体"/>
                <w:color w:val="FF0000"/>
                <w:sz w:val="21"/>
                <w:szCs w:val="21"/>
                <w:shd w:val="clear" w:fill="auto"/>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12377BD3">
            <w:pPr>
              <w:spacing w:line="360" w:lineRule="auto"/>
              <w:jc w:val="both"/>
              <w:rPr>
                <w:rFonts w:ascii="宋体" w:hAnsi="宋体" w:eastAsia="宋体" w:cs="宋体"/>
                <w:color w:val="FF0000"/>
                <w:sz w:val="21"/>
                <w:szCs w:val="21"/>
                <w:shd w:val="clear" w:fill="auto"/>
              </w:rPr>
            </w:pPr>
            <w:r>
              <w:rPr>
                <w:rFonts w:ascii="宋体" w:hAnsi="宋体" w:cs="宋体"/>
                <w:color w:val="FF0000"/>
                <w:sz w:val="21"/>
                <w:szCs w:val="21"/>
                <w:shd w:val="clear" w:fill="auto"/>
              </w:rPr>
              <w:t>综合评分法中的价格分统一采用低价优先法计算，即满足采购要求且响应报价最低的磋商报价为评审基准价，其价格分为满分。其他供应商的价格分统一按照下列公式计算：</w:t>
            </w:r>
          </w:p>
          <w:p w14:paraId="69C8275F">
            <w:pPr>
              <w:spacing w:line="360" w:lineRule="auto"/>
              <w:jc w:val="both"/>
              <w:rPr>
                <w:rFonts w:ascii="宋体" w:hAnsi="宋体" w:eastAsia="宋体" w:cs="宋体"/>
                <w:color w:val="FF0000"/>
                <w:sz w:val="21"/>
                <w:szCs w:val="21"/>
                <w:shd w:val="clear" w:fill="auto"/>
              </w:rPr>
            </w:pPr>
            <w:r>
              <w:rPr>
                <w:rFonts w:ascii="宋体" w:hAnsi="宋体" w:cs="宋体"/>
                <w:color w:val="FF0000"/>
                <w:sz w:val="21"/>
                <w:szCs w:val="21"/>
                <w:shd w:val="clear" w:fill="auto"/>
              </w:rPr>
              <w:t>磋商报价得分</w:t>
            </w:r>
            <w:r>
              <w:rPr>
                <w:rFonts w:ascii="宋体" w:hAnsi="宋体" w:eastAsia="宋体" w:cs="宋体"/>
                <w:color w:val="FF0000"/>
                <w:sz w:val="21"/>
                <w:szCs w:val="21"/>
                <w:shd w:val="clear" w:fill="auto"/>
              </w:rPr>
              <w:t>= (</w:t>
            </w:r>
            <w:r>
              <w:rPr>
                <w:rFonts w:ascii="宋体" w:hAnsi="宋体" w:cs="宋体"/>
                <w:color w:val="FF0000"/>
                <w:sz w:val="21"/>
                <w:szCs w:val="21"/>
                <w:shd w:val="clear" w:fill="auto"/>
              </w:rPr>
              <w:t>评审基准价／磋商报价</w:t>
            </w:r>
            <w:r>
              <w:rPr>
                <w:rFonts w:ascii="宋体" w:hAnsi="宋体" w:eastAsia="宋体" w:cs="宋体"/>
                <w:color w:val="FF0000"/>
                <w:sz w:val="21"/>
                <w:szCs w:val="21"/>
                <w:shd w:val="clear" w:fill="auto"/>
              </w:rPr>
              <w:t>)×</w:t>
            </w:r>
            <w:r>
              <w:rPr>
                <w:rFonts w:ascii="宋体" w:hAnsi="宋体" w:cs="宋体"/>
                <w:color w:val="FF0000"/>
                <w:sz w:val="21"/>
                <w:szCs w:val="21"/>
                <w:shd w:val="clear" w:fill="auto"/>
              </w:rPr>
              <w:t>价格权值</w:t>
            </w:r>
            <w:r>
              <w:rPr>
                <w:rFonts w:ascii="宋体" w:hAnsi="宋体" w:eastAsia="宋体" w:cs="宋体"/>
                <w:color w:val="FF0000"/>
                <w:sz w:val="21"/>
                <w:szCs w:val="21"/>
                <w:shd w:val="clear" w:fill="auto"/>
              </w:rPr>
              <w:t>×100</w:t>
            </w:r>
          </w:p>
        </w:tc>
      </w:tr>
      <w:tr w14:paraId="6F1F54F6">
        <w:tblPrEx>
          <w:tblCellMar>
            <w:top w:w="0" w:type="dxa"/>
            <w:left w:w="0" w:type="dxa"/>
            <w:bottom w:w="0" w:type="dxa"/>
            <w:right w:w="0" w:type="dxa"/>
          </w:tblCellMar>
        </w:tblPrEx>
        <w:trPr>
          <w:trHeight w:val="562" w:hRule="atLeast"/>
        </w:trPr>
        <w:tc>
          <w:tcPr>
            <w:tcW w:w="9902" w:type="dxa"/>
            <w:gridSpan w:val="4"/>
            <w:tcBorders>
              <w:top w:val="single" w:color="000000" w:sz="2" w:space="0"/>
              <w:left w:val="single" w:color="000000" w:sz="4" w:space="0"/>
              <w:bottom w:val="single" w:color="000000" w:sz="2" w:space="0"/>
              <w:right w:val="single" w:color="000000" w:sz="4" w:space="0"/>
            </w:tcBorders>
            <w:vAlign w:val="center"/>
          </w:tcPr>
          <w:p w14:paraId="51CE38BF">
            <w:pPr>
              <w:spacing w:line="360" w:lineRule="auto"/>
              <w:jc w:val="center"/>
              <w:rPr>
                <w:rFonts w:ascii="宋体" w:hAnsi="宋体" w:eastAsia="宋体" w:cs="宋体"/>
                <w:color w:val="FF0000"/>
                <w:sz w:val="21"/>
                <w:szCs w:val="21"/>
                <w:shd w:val="clear" w:fill="auto"/>
              </w:rPr>
            </w:pPr>
            <w:r>
              <w:rPr>
                <w:rFonts w:ascii="宋体" w:hAnsi="宋体" w:cs="宋体"/>
                <w:b/>
                <w:bCs/>
                <w:color w:val="FF0000"/>
                <w:sz w:val="21"/>
                <w:szCs w:val="21"/>
                <w:shd w:val="clear" w:fill="auto"/>
              </w:rPr>
              <w:t>技术部分</w:t>
            </w:r>
            <w:r>
              <w:rPr>
                <w:rFonts w:ascii="宋体" w:hAnsi="宋体" w:eastAsia="宋体" w:cs="宋体"/>
                <w:b/>
                <w:bCs/>
                <w:color w:val="FF0000"/>
                <w:sz w:val="21"/>
                <w:szCs w:val="21"/>
                <w:shd w:val="clear" w:fill="auto"/>
                <w:lang w:val="en-US" w:eastAsia="zh-CN"/>
              </w:rPr>
              <w:t xml:space="preserve">60 </w:t>
            </w:r>
            <w:r>
              <w:rPr>
                <w:rFonts w:ascii="宋体" w:hAnsi="宋体" w:cs="宋体"/>
                <w:b/>
                <w:bCs/>
                <w:color w:val="FF0000"/>
                <w:sz w:val="21"/>
                <w:szCs w:val="21"/>
                <w:shd w:val="clear" w:fill="auto"/>
              </w:rPr>
              <w:t>分</w:t>
            </w:r>
          </w:p>
        </w:tc>
      </w:tr>
      <w:tr w14:paraId="42FDA19E">
        <w:tblPrEx>
          <w:tblCellMar>
            <w:top w:w="0" w:type="dxa"/>
            <w:left w:w="0" w:type="dxa"/>
            <w:bottom w:w="0" w:type="dxa"/>
            <w:right w:w="0" w:type="dxa"/>
          </w:tblCellMar>
        </w:tblPrEx>
        <w:trPr>
          <w:trHeight w:val="1543" w:hRule="atLeast"/>
        </w:trPr>
        <w:tc>
          <w:tcPr>
            <w:tcW w:w="589" w:type="dxa"/>
            <w:tcBorders>
              <w:top w:val="single" w:color="000000" w:sz="2" w:space="0"/>
              <w:left w:val="single" w:color="000000" w:sz="4" w:space="0"/>
              <w:bottom w:val="single" w:color="000000" w:sz="4" w:space="0"/>
              <w:right w:val="single" w:color="000000" w:sz="4" w:space="0"/>
            </w:tcBorders>
            <w:vAlign w:val="center"/>
          </w:tcPr>
          <w:p w14:paraId="4C143ED5">
            <w:pPr>
              <w:spacing w:line="360" w:lineRule="auto"/>
              <w:jc w:val="center"/>
              <w:rPr>
                <w:rFonts w:ascii="宋体" w:hAnsi="宋体" w:eastAsia="宋体" w:cs="宋体"/>
                <w:color w:val="FF0000"/>
                <w:sz w:val="21"/>
                <w:szCs w:val="21"/>
                <w:shd w:val="clear" w:fill="auto"/>
                <w:lang w:eastAsia="zh-CN"/>
              </w:rPr>
            </w:pPr>
            <w:r>
              <w:rPr>
                <w:rFonts w:ascii="宋体" w:hAnsi="宋体" w:eastAsia="宋体" w:cs="宋体"/>
                <w:color w:val="FF0000"/>
                <w:sz w:val="21"/>
                <w:szCs w:val="21"/>
                <w:shd w:val="clear" w:fill="auto"/>
                <w:lang w:val="en-US" w:eastAsia="zh-CN"/>
              </w:rPr>
              <w:t>1</w:t>
            </w:r>
          </w:p>
        </w:tc>
        <w:tc>
          <w:tcPr>
            <w:tcW w:w="1523" w:type="dxa"/>
            <w:tcBorders>
              <w:top w:val="single" w:color="000000" w:sz="2" w:space="0"/>
              <w:left w:val="single" w:color="000000" w:sz="4" w:space="0"/>
              <w:bottom w:val="single" w:color="000000" w:sz="4" w:space="0"/>
              <w:right w:val="single" w:color="000000" w:sz="4" w:space="0"/>
            </w:tcBorders>
            <w:vAlign w:val="center"/>
          </w:tcPr>
          <w:p w14:paraId="7938FC38">
            <w:pPr>
              <w:spacing w:line="360" w:lineRule="auto"/>
              <w:jc w:val="center"/>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项目实施方案</w:t>
            </w:r>
          </w:p>
        </w:tc>
        <w:tc>
          <w:tcPr>
            <w:tcW w:w="675" w:type="dxa"/>
            <w:tcBorders>
              <w:top w:val="single" w:color="000000" w:sz="2" w:space="0"/>
              <w:left w:val="single" w:color="000000" w:sz="4" w:space="0"/>
              <w:bottom w:val="single" w:color="000000" w:sz="4" w:space="0"/>
              <w:right w:val="single" w:color="000000" w:sz="4" w:space="0"/>
            </w:tcBorders>
            <w:vAlign w:val="center"/>
          </w:tcPr>
          <w:p w14:paraId="4E562DA4">
            <w:pPr>
              <w:spacing w:line="360" w:lineRule="auto"/>
              <w:jc w:val="both"/>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20</w:t>
            </w:r>
            <w:r>
              <w:rPr>
                <w:rFonts w:ascii="宋体" w:hAnsi="宋体" w:cs="宋体"/>
                <w:color w:val="FF0000"/>
                <w:sz w:val="21"/>
                <w:szCs w:val="21"/>
                <w:shd w:val="clear" w:fill="auto"/>
                <w:lang w:val="en-US" w:eastAsia="zh-CN"/>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09B7A67C">
            <w:pPr>
              <w:spacing w:line="360" w:lineRule="auto"/>
              <w:ind w:firstLine="420"/>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根据各供应商提供的本项目实施方案，包含目的明确、任务具体、可操作性强，施工进度计划科学，劳动力、材料、机械设备用量计划合理，工期保证措施和体系完善，生产效率高，安全防护措施等进行评分，满分</w:t>
            </w:r>
            <w:r>
              <w:rPr>
                <w:rFonts w:ascii="宋体" w:hAnsi="宋体" w:eastAsia="宋体" w:cs="宋体"/>
                <w:color w:val="FF0000"/>
                <w:sz w:val="21"/>
                <w:szCs w:val="21"/>
                <w:shd w:val="clear" w:fill="auto"/>
                <w:lang w:val="en-US" w:eastAsia="zh-CN"/>
              </w:rPr>
              <w:t>20</w:t>
            </w:r>
            <w:r>
              <w:rPr>
                <w:rFonts w:ascii="宋体" w:hAnsi="宋体" w:cs="宋体"/>
                <w:color w:val="FF0000"/>
                <w:sz w:val="21"/>
                <w:szCs w:val="21"/>
                <w:shd w:val="clear" w:fill="auto"/>
                <w:lang w:val="en-US" w:eastAsia="zh-CN"/>
              </w:rPr>
              <w:t>分；</w:t>
            </w:r>
          </w:p>
          <w:p w14:paraId="48F41670">
            <w:pPr>
              <w:spacing w:line="360" w:lineRule="auto"/>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1</w:t>
            </w:r>
            <w:r>
              <w:rPr>
                <w:rFonts w:ascii="宋体" w:hAnsi="宋体" w:cs="宋体"/>
                <w:color w:val="FF0000"/>
                <w:sz w:val="21"/>
                <w:szCs w:val="21"/>
                <w:shd w:val="clear" w:fill="auto"/>
                <w:lang w:val="en-US" w:eastAsia="zh-CN"/>
              </w:rPr>
              <w:t>）针对本项目提供实施方案，目的明确、任务具体、可操作性强，施工进度计划科学，劳动力、材料、机械设备用量计划合理，工期保证措施和体系完善，生产效率高，安全防护措施好的得</w:t>
            </w:r>
            <w:r>
              <w:rPr>
                <w:rFonts w:ascii="宋体" w:hAnsi="宋体" w:eastAsia="宋体" w:cs="宋体"/>
                <w:color w:val="FF0000"/>
                <w:sz w:val="21"/>
                <w:szCs w:val="21"/>
                <w:shd w:val="clear" w:fill="auto"/>
                <w:lang w:val="en-US" w:eastAsia="zh-CN"/>
              </w:rPr>
              <w:t>20</w:t>
            </w:r>
            <w:r>
              <w:rPr>
                <w:rFonts w:ascii="宋体" w:hAnsi="宋体" w:cs="宋体"/>
                <w:color w:val="FF0000"/>
                <w:sz w:val="21"/>
                <w:szCs w:val="21"/>
                <w:shd w:val="clear" w:fill="auto"/>
                <w:lang w:val="en-US" w:eastAsia="zh-CN"/>
              </w:rPr>
              <w:t>分；</w:t>
            </w:r>
          </w:p>
          <w:p w14:paraId="1EBE84AF">
            <w:pPr>
              <w:spacing w:line="360" w:lineRule="auto"/>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2</w:t>
            </w:r>
            <w:r>
              <w:rPr>
                <w:rFonts w:ascii="宋体" w:hAnsi="宋体" w:cs="宋体"/>
                <w:color w:val="FF0000"/>
                <w:sz w:val="21"/>
                <w:szCs w:val="21"/>
                <w:shd w:val="clear" w:fill="auto"/>
                <w:lang w:val="en-US" w:eastAsia="zh-CN"/>
              </w:rPr>
              <w:t>）施工方案目的较为明确、任务较具体、可操作性较强，施工进度计划较为科学，劳动力、材料、机械设备用量计划较为合理，工期保证措施和体系较为完善，生产效率较高，安全防护措施较好得</w:t>
            </w:r>
            <w:r>
              <w:rPr>
                <w:rFonts w:ascii="宋体" w:hAnsi="宋体" w:eastAsia="宋体" w:cs="宋体"/>
                <w:color w:val="FF0000"/>
                <w:sz w:val="21"/>
                <w:szCs w:val="21"/>
                <w:shd w:val="clear" w:fill="auto"/>
                <w:lang w:val="en-US" w:eastAsia="zh-CN"/>
              </w:rPr>
              <w:t>14</w:t>
            </w:r>
            <w:r>
              <w:rPr>
                <w:rFonts w:ascii="宋体" w:hAnsi="宋体" w:cs="宋体"/>
                <w:color w:val="FF0000"/>
                <w:sz w:val="21"/>
                <w:szCs w:val="21"/>
                <w:shd w:val="clear" w:fill="auto"/>
                <w:lang w:val="en-US" w:eastAsia="zh-CN"/>
              </w:rPr>
              <w:t>分；</w:t>
            </w:r>
          </w:p>
          <w:p w14:paraId="5245F5BB">
            <w:pPr>
              <w:spacing w:line="360" w:lineRule="auto"/>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3</w:t>
            </w:r>
            <w:r>
              <w:rPr>
                <w:rFonts w:ascii="宋体" w:hAnsi="宋体" w:cs="宋体"/>
                <w:color w:val="FF0000"/>
                <w:sz w:val="21"/>
                <w:szCs w:val="21"/>
                <w:shd w:val="clear" w:fill="auto"/>
                <w:lang w:val="en-US" w:eastAsia="zh-CN"/>
              </w:rPr>
              <w:t>）施工方案目的、任务具体性、可操作性一般，施工进度计划一般，劳动力、材料、机械设备用量计划一般；工期保证措施和体系一般；生产效率一般，安全防护措施一般得</w:t>
            </w:r>
            <w:r>
              <w:rPr>
                <w:rFonts w:ascii="宋体" w:hAnsi="宋体" w:eastAsia="宋体" w:cs="宋体"/>
                <w:color w:val="FF0000"/>
                <w:sz w:val="21"/>
                <w:szCs w:val="21"/>
                <w:shd w:val="clear" w:fill="auto"/>
                <w:lang w:val="en-US" w:eastAsia="zh-CN"/>
              </w:rPr>
              <w:t>9</w:t>
            </w:r>
            <w:r>
              <w:rPr>
                <w:rFonts w:ascii="宋体" w:hAnsi="宋体" w:cs="宋体"/>
                <w:color w:val="FF0000"/>
                <w:sz w:val="21"/>
                <w:szCs w:val="21"/>
                <w:shd w:val="clear" w:fill="auto"/>
                <w:lang w:val="en-US" w:eastAsia="zh-CN"/>
              </w:rPr>
              <w:t>分；</w:t>
            </w:r>
          </w:p>
          <w:p w14:paraId="5C94134A">
            <w:pPr>
              <w:spacing w:line="360" w:lineRule="auto"/>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4</w:t>
            </w:r>
            <w:r>
              <w:rPr>
                <w:rFonts w:ascii="宋体" w:hAnsi="宋体" w:cs="宋体"/>
                <w:color w:val="FF0000"/>
                <w:sz w:val="21"/>
                <w:szCs w:val="21"/>
                <w:shd w:val="clear" w:fill="auto"/>
                <w:lang w:val="en-US" w:eastAsia="zh-CN"/>
              </w:rPr>
              <w:t>）施工方案目的不明确、任务不具体、可操作性较差，施工进度计划较差，劳动力、材料、机械设备用量计划不合理，工期保证措施和体系、生产设备用量计划不合理，工期保证措施和体系、生产效率、安全防治措施较差</w:t>
            </w:r>
            <w:r>
              <w:rPr>
                <w:rFonts w:ascii="宋体" w:hAnsi="宋体" w:eastAsia="宋体" w:cs="宋体"/>
                <w:color w:val="FF0000"/>
                <w:sz w:val="21"/>
                <w:szCs w:val="21"/>
                <w:shd w:val="clear" w:fill="auto"/>
                <w:lang w:val="en-US" w:eastAsia="zh-CN"/>
              </w:rPr>
              <w:t>4</w:t>
            </w:r>
            <w:r>
              <w:rPr>
                <w:rFonts w:ascii="宋体" w:hAnsi="宋体" w:cs="宋体"/>
                <w:color w:val="FF0000"/>
                <w:sz w:val="21"/>
                <w:szCs w:val="21"/>
                <w:shd w:val="clear" w:fill="auto"/>
                <w:lang w:val="en-US" w:eastAsia="zh-CN"/>
              </w:rPr>
              <w:t>分；</w:t>
            </w:r>
          </w:p>
          <w:p w14:paraId="2DF6CFB8">
            <w:pPr>
              <w:spacing w:line="360" w:lineRule="auto"/>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5</w:t>
            </w:r>
            <w:r>
              <w:rPr>
                <w:rFonts w:ascii="宋体" w:hAnsi="宋体" w:cs="宋体"/>
                <w:color w:val="FF0000"/>
                <w:sz w:val="21"/>
                <w:szCs w:val="21"/>
                <w:shd w:val="clear" w:fill="auto"/>
                <w:lang w:val="en-US" w:eastAsia="zh-CN"/>
              </w:rPr>
              <w:t>）施工方案不符合项目需求，或不提供的不得分。</w:t>
            </w:r>
          </w:p>
        </w:tc>
      </w:tr>
      <w:tr w14:paraId="3D3D9F8E">
        <w:tblPrEx>
          <w:tblCellMar>
            <w:top w:w="0" w:type="dxa"/>
            <w:left w:w="0" w:type="dxa"/>
            <w:bottom w:w="0" w:type="dxa"/>
            <w:right w:w="0" w:type="dxa"/>
          </w:tblCellMar>
        </w:tblPrEx>
        <w:trPr>
          <w:trHeight w:val="90" w:hRule="atLeast"/>
        </w:trPr>
        <w:tc>
          <w:tcPr>
            <w:tcW w:w="589" w:type="dxa"/>
            <w:tcBorders>
              <w:top w:val="single" w:color="000000" w:sz="4" w:space="0"/>
              <w:left w:val="single" w:color="000000" w:sz="4" w:space="0"/>
              <w:bottom w:val="single" w:color="000000" w:sz="4" w:space="0"/>
              <w:right w:val="single" w:color="000000" w:sz="4" w:space="0"/>
            </w:tcBorders>
            <w:vAlign w:val="center"/>
          </w:tcPr>
          <w:p w14:paraId="21AE19DF">
            <w:pPr>
              <w:spacing w:line="360" w:lineRule="auto"/>
              <w:jc w:val="center"/>
              <w:rPr>
                <w:rFonts w:ascii="宋体" w:hAnsi="宋体" w:eastAsia="宋体" w:cs="宋体"/>
                <w:color w:val="FF0000"/>
                <w:sz w:val="21"/>
                <w:szCs w:val="21"/>
                <w:shd w:val="clear" w:fill="auto"/>
                <w:lang w:eastAsia="zh-CN"/>
              </w:rPr>
            </w:pPr>
            <w:r>
              <w:rPr>
                <w:rFonts w:ascii="宋体" w:hAnsi="宋体" w:eastAsia="宋体" w:cs="宋体"/>
                <w:color w:val="FF0000"/>
                <w:sz w:val="21"/>
                <w:szCs w:val="21"/>
                <w:shd w:val="clear" w:fill="auto"/>
                <w:lang w:val="en-US" w:eastAsia="zh-CN"/>
              </w:rPr>
              <w:t>2</w:t>
            </w:r>
          </w:p>
        </w:tc>
        <w:tc>
          <w:tcPr>
            <w:tcW w:w="1523" w:type="dxa"/>
            <w:tcBorders>
              <w:top w:val="single" w:color="000000" w:sz="4" w:space="0"/>
              <w:left w:val="single" w:color="000000" w:sz="4" w:space="0"/>
              <w:bottom w:val="single" w:color="000000" w:sz="4" w:space="0"/>
              <w:right w:val="single" w:color="000000" w:sz="4" w:space="0"/>
            </w:tcBorders>
            <w:vAlign w:val="center"/>
          </w:tcPr>
          <w:p w14:paraId="712CC953">
            <w:pPr>
              <w:spacing w:line="360" w:lineRule="auto"/>
              <w:jc w:val="center"/>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质量管理及质量保证措施</w:t>
            </w:r>
          </w:p>
        </w:tc>
        <w:tc>
          <w:tcPr>
            <w:tcW w:w="675" w:type="dxa"/>
            <w:tcBorders>
              <w:top w:val="single" w:color="000000" w:sz="4" w:space="0"/>
              <w:left w:val="single" w:color="000000" w:sz="4" w:space="0"/>
              <w:bottom w:val="single" w:color="000000" w:sz="4" w:space="0"/>
              <w:right w:val="single" w:color="000000" w:sz="4" w:space="0"/>
            </w:tcBorders>
            <w:vAlign w:val="center"/>
          </w:tcPr>
          <w:p w14:paraId="5356C992">
            <w:pPr>
              <w:spacing w:line="360" w:lineRule="auto"/>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20</w:t>
            </w:r>
            <w:r>
              <w:rPr>
                <w:rFonts w:ascii="宋体" w:hAnsi="宋体" w:cs="宋体"/>
                <w:color w:val="FF0000"/>
                <w:sz w:val="21"/>
                <w:szCs w:val="21"/>
                <w:shd w:val="clear" w:fill="auto"/>
                <w:lang w:val="en-US" w:eastAsia="zh-CN"/>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0FE7CB51">
            <w:pPr>
              <w:spacing w:line="360" w:lineRule="auto"/>
              <w:jc w:val="both"/>
              <w:rPr>
                <w:rFonts w:hint="eastAsia" w:ascii="宋体" w:hAnsi="宋体" w:eastAsia="宋体" w:cs="宋体"/>
                <w:color w:val="FF0000"/>
                <w:sz w:val="21"/>
                <w:szCs w:val="21"/>
                <w:shd w:val="clear" w:fill="auto"/>
                <w:lang w:val="en-US" w:eastAsia="zh-CN"/>
              </w:rPr>
            </w:pPr>
            <w:r>
              <w:rPr>
                <w:rFonts w:hint="eastAsia" w:ascii="宋体" w:hAnsi="宋体" w:eastAsia="宋体" w:cs="宋体"/>
                <w:color w:val="FF0000"/>
                <w:sz w:val="21"/>
                <w:szCs w:val="21"/>
                <w:shd w:val="clear" w:fill="auto"/>
                <w:lang w:val="en-US" w:eastAsia="zh-CN"/>
              </w:rPr>
              <w:t>根据各供应商提供的质量管理体系与措施进行评审：包括①施工质量管理方法和保证措施；②对关键部位、关键工序环节把控方案；③质量保证体系健全、职责明确；④工程所用原材料、中间产品、金属结构等检测的种类、数量符合相关规程规范。</w:t>
            </w:r>
          </w:p>
          <w:p w14:paraId="09FD9E42">
            <w:pPr>
              <w:spacing w:line="360" w:lineRule="auto"/>
              <w:jc w:val="both"/>
              <w:rPr>
                <w:rFonts w:ascii="宋体" w:hAnsi="宋体" w:eastAsia="宋体" w:cs="宋体"/>
                <w:color w:val="FF0000"/>
                <w:sz w:val="21"/>
                <w:szCs w:val="21"/>
                <w:shd w:val="clear" w:fill="auto"/>
              </w:rPr>
            </w:pPr>
            <w:r>
              <w:rPr>
                <w:rFonts w:hint="eastAsia" w:ascii="宋体" w:hAnsi="宋体" w:eastAsia="宋体" w:cs="宋体"/>
                <w:color w:val="FF0000"/>
                <w:sz w:val="21"/>
                <w:szCs w:val="21"/>
                <w:shd w:val="clear" w:fill="auto"/>
                <w:lang w:val="en-US" w:eastAsia="zh-CN"/>
              </w:rPr>
              <w:t>本项最高可得</w:t>
            </w:r>
            <w:r>
              <w:rPr>
                <w:rFonts w:hint="eastAsia" w:ascii="宋体" w:hAnsi="宋体" w:cs="宋体"/>
                <w:color w:val="FF0000"/>
                <w:sz w:val="21"/>
                <w:szCs w:val="21"/>
                <w:shd w:val="clear" w:fill="auto"/>
                <w:lang w:val="en-US" w:eastAsia="zh-CN"/>
              </w:rPr>
              <w:t>20</w:t>
            </w:r>
            <w:r>
              <w:rPr>
                <w:rFonts w:hint="eastAsia" w:ascii="宋体" w:hAnsi="宋体" w:eastAsia="宋体" w:cs="宋体"/>
                <w:color w:val="FF0000"/>
                <w:sz w:val="21"/>
                <w:szCs w:val="21"/>
                <w:shd w:val="clear" w:fill="auto"/>
                <w:lang w:val="en-US" w:eastAsia="zh-CN"/>
              </w:rPr>
              <w:t>分，每有一项缺项或漏项扣</w:t>
            </w:r>
            <w:r>
              <w:rPr>
                <w:rFonts w:hint="eastAsia" w:ascii="宋体" w:hAnsi="宋体" w:cs="宋体"/>
                <w:color w:val="FF0000"/>
                <w:sz w:val="21"/>
                <w:szCs w:val="21"/>
                <w:shd w:val="clear" w:fill="auto"/>
                <w:lang w:val="en-US" w:eastAsia="zh-CN"/>
              </w:rPr>
              <w:t>5</w:t>
            </w:r>
            <w:r>
              <w:rPr>
                <w:rFonts w:hint="eastAsia" w:ascii="宋体" w:hAnsi="宋体" w:eastAsia="宋体" w:cs="宋体"/>
                <w:color w:val="FF0000"/>
                <w:sz w:val="21"/>
                <w:szCs w:val="21"/>
                <w:shd w:val="clear" w:fill="auto"/>
                <w:lang w:val="en-US" w:eastAsia="zh-CN"/>
              </w:rPr>
              <w:t>分。每有一处瑕疵或缺陷扣</w:t>
            </w:r>
            <w:r>
              <w:rPr>
                <w:rFonts w:hint="eastAsia" w:ascii="宋体" w:hAnsi="宋体" w:cs="宋体"/>
                <w:color w:val="FF0000"/>
                <w:sz w:val="21"/>
                <w:szCs w:val="21"/>
                <w:shd w:val="clear" w:fill="auto"/>
                <w:lang w:val="en-US" w:eastAsia="zh-CN"/>
              </w:rPr>
              <w:t>1.5</w:t>
            </w:r>
            <w:r>
              <w:rPr>
                <w:rFonts w:hint="eastAsia" w:ascii="宋体" w:hAnsi="宋体" w:eastAsia="宋体" w:cs="宋体"/>
                <w:color w:val="FF0000"/>
                <w:sz w:val="21"/>
                <w:szCs w:val="21"/>
                <w:shd w:val="clear" w:fill="auto"/>
                <w:lang w:val="en-US" w:eastAsia="zh-CN"/>
              </w:rPr>
              <w:t>分，扣完为止。</w:t>
            </w:r>
          </w:p>
        </w:tc>
      </w:tr>
      <w:tr w14:paraId="1F9F9FF0">
        <w:tblPrEx>
          <w:tblCellMar>
            <w:top w:w="0" w:type="dxa"/>
            <w:left w:w="0" w:type="dxa"/>
            <w:bottom w:w="0" w:type="dxa"/>
            <w:right w:w="0" w:type="dxa"/>
          </w:tblCellMar>
        </w:tblPrEx>
        <w:trPr>
          <w:trHeight w:val="90" w:hRule="atLeast"/>
        </w:trPr>
        <w:tc>
          <w:tcPr>
            <w:tcW w:w="589" w:type="dxa"/>
            <w:tcBorders>
              <w:top w:val="single" w:color="000000" w:sz="2" w:space="0"/>
              <w:left w:val="single" w:color="000000" w:sz="4" w:space="0"/>
              <w:bottom w:val="single" w:color="000000" w:sz="4" w:space="0"/>
              <w:right w:val="single" w:color="000000" w:sz="4" w:space="0"/>
            </w:tcBorders>
            <w:vAlign w:val="center"/>
          </w:tcPr>
          <w:p w14:paraId="590F6BB7">
            <w:pPr>
              <w:spacing w:line="360" w:lineRule="auto"/>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3</w:t>
            </w:r>
          </w:p>
        </w:tc>
        <w:tc>
          <w:tcPr>
            <w:tcW w:w="1523" w:type="dxa"/>
            <w:tcBorders>
              <w:top w:val="single" w:color="000000" w:sz="2" w:space="0"/>
              <w:left w:val="single" w:color="000000" w:sz="4" w:space="0"/>
              <w:bottom w:val="single" w:color="000000" w:sz="4" w:space="0"/>
              <w:right w:val="single" w:color="000000" w:sz="4" w:space="0"/>
            </w:tcBorders>
            <w:vAlign w:val="center"/>
          </w:tcPr>
          <w:p w14:paraId="018AE073">
            <w:pPr>
              <w:spacing w:line="360" w:lineRule="auto"/>
              <w:jc w:val="center"/>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安全管理体系与措施</w:t>
            </w:r>
          </w:p>
          <w:p w14:paraId="2AEA2060">
            <w:pPr>
              <w:spacing w:line="360" w:lineRule="auto"/>
              <w:jc w:val="center"/>
              <w:rPr>
                <w:rFonts w:ascii="宋体" w:hAnsi="宋体" w:eastAsia="宋体" w:cs="宋体"/>
                <w:color w:val="FF0000"/>
                <w:sz w:val="21"/>
                <w:szCs w:val="21"/>
                <w:shd w:val="clear" w:fill="auto"/>
                <w:lang w:val="en-US" w:eastAsia="zh-CN"/>
              </w:rPr>
            </w:pPr>
          </w:p>
        </w:tc>
        <w:tc>
          <w:tcPr>
            <w:tcW w:w="675" w:type="dxa"/>
            <w:tcBorders>
              <w:top w:val="single" w:color="000000" w:sz="2" w:space="0"/>
              <w:left w:val="single" w:color="000000" w:sz="4" w:space="0"/>
              <w:bottom w:val="single" w:color="000000" w:sz="4" w:space="0"/>
              <w:right w:val="single" w:color="000000" w:sz="4" w:space="0"/>
            </w:tcBorders>
            <w:vAlign w:val="center"/>
          </w:tcPr>
          <w:p w14:paraId="2302AD5F">
            <w:pPr>
              <w:spacing w:line="360" w:lineRule="auto"/>
              <w:jc w:val="both"/>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10</w:t>
            </w:r>
            <w:r>
              <w:rPr>
                <w:rFonts w:ascii="宋体" w:hAnsi="宋体" w:cs="宋体"/>
                <w:color w:val="FF0000"/>
                <w:sz w:val="21"/>
                <w:szCs w:val="21"/>
                <w:shd w:val="clear" w:fill="auto"/>
                <w:lang w:val="en-US" w:eastAsia="zh-CN"/>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18209E44">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根据各供应商提供的安全管理体系与措施进行评审：</w:t>
            </w:r>
          </w:p>
          <w:p w14:paraId="0DF99051">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1</w:t>
            </w:r>
            <w:r>
              <w:rPr>
                <w:rFonts w:ascii="宋体" w:hAnsi="宋体" w:cs="宋体"/>
                <w:color w:val="FF0000"/>
                <w:sz w:val="21"/>
                <w:szCs w:val="21"/>
                <w:shd w:val="clear" w:fill="auto"/>
                <w:lang w:val="en-US" w:eastAsia="zh-CN"/>
              </w:rPr>
              <w:t>）符合国家规定的强制性标准并有针对性，同时符合项目实际情况，切实可行并针对性强，安全目标明确，管理机构健全，职责分工明确的得</w:t>
            </w:r>
            <w:r>
              <w:rPr>
                <w:rFonts w:ascii="宋体" w:hAnsi="宋体" w:eastAsia="宋体" w:cs="宋体"/>
                <w:color w:val="FF0000"/>
                <w:sz w:val="21"/>
                <w:szCs w:val="21"/>
                <w:shd w:val="clear" w:fill="auto"/>
                <w:lang w:val="en-US" w:eastAsia="zh-CN"/>
              </w:rPr>
              <w:t xml:space="preserve">10 </w:t>
            </w:r>
            <w:r>
              <w:rPr>
                <w:rFonts w:ascii="宋体" w:hAnsi="宋体" w:cs="宋体"/>
                <w:color w:val="FF0000"/>
                <w:sz w:val="21"/>
                <w:szCs w:val="21"/>
                <w:shd w:val="clear" w:fill="auto"/>
                <w:lang w:val="en-US" w:eastAsia="zh-CN"/>
              </w:rPr>
              <w:t>分；</w:t>
            </w:r>
          </w:p>
          <w:p w14:paraId="46E002A8">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2</w:t>
            </w:r>
            <w:r>
              <w:rPr>
                <w:rFonts w:ascii="宋体" w:hAnsi="宋体" w:cs="宋体"/>
                <w:color w:val="FF0000"/>
                <w:sz w:val="21"/>
                <w:szCs w:val="21"/>
                <w:shd w:val="clear" w:fill="auto"/>
                <w:lang w:val="en-US" w:eastAsia="zh-CN"/>
              </w:rPr>
              <w:t xml:space="preserve">）措施内容比较符合项目实际情况，安全生产责任制比较健全、职责比较明确的，有一定针对性的得 </w:t>
            </w:r>
            <w:r>
              <w:rPr>
                <w:rFonts w:ascii="宋体" w:hAnsi="宋体" w:eastAsia="宋体" w:cs="宋体"/>
                <w:color w:val="FF0000"/>
                <w:sz w:val="21"/>
                <w:szCs w:val="21"/>
                <w:shd w:val="clear" w:fill="auto"/>
                <w:lang w:val="en-US" w:eastAsia="zh-CN"/>
              </w:rPr>
              <w:t>6</w:t>
            </w:r>
            <w:r>
              <w:rPr>
                <w:rFonts w:ascii="宋体" w:hAnsi="宋体" w:cs="宋体"/>
                <w:color w:val="FF0000"/>
                <w:sz w:val="21"/>
                <w:szCs w:val="21"/>
                <w:shd w:val="clear" w:fill="auto"/>
                <w:lang w:val="en-US" w:eastAsia="zh-CN"/>
              </w:rPr>
              <w:t>分 ；</w:t>
            </w:r>
          </w:p>
          <w:p w14:paraId="7942EC20">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3</w:t>
            </w:r>
            <w:r>
              <w:rPr>
                <w:rFonts w:ascii="宋体" w:hAnsi="宋体" w:cs="宋体"/>
                <w:color w:val="FF0000"/>
                <w:sz w:val="21"/>
                <w:szCs w:val="21"/>
                <w:shd w:val="clear" w:fill="auto"/>
                <w:lang w:val="en-US" w:eastAsia="zh-CN"/>
              </w:rPr>
              <w:t>）措施内容不全，针对性较差，欠合理的得</w:t>
            </w:r>
            <w:r>
              <w:rPr>
                <w:rFonts w:ascii="宋体" w:hAnsi="宋体" w:eastAsia="宋体" w:cs="宋体"/>
                <w:color w:val="FF0000"/>
                <w:sz w:val="21"/>
                <w:szCs w:val="21"/>
                <w:shd w:val="clear" w:fill="auto"/>
                <w:lang w:val="en-US" w:eastAsia="zh-CN"/>
              </w:rPr>
              <w:t>2</w:t>
            </w:r>
            <w:r>
              <w:rPr>
                <w:rFonts w:ascii="宋体" w:hAnsi="宋体" w:cs="宋体"/>
                <w:color w:val="FF0000"/>
                <w:sz w:val="21"/>
                <w:szCs w:val="21"/>
                <w:shd w:val="clear" w:fill="auto"/>
                <w:lang w:val="en-US" w:eastAsia="zh-CN"/>
              </w:rPr>
              <w:t>分；</w:t>
            </w:r>
          </w:p>
          <w:p w14:paraId="379F4D08">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4</w:t>
            </w:r>
            <w:r>
              <w:rPr>
                <w:rFonts w:ascii="宋体" w:hAnsi="宋体" w:cs="宋体"/>
                <w:color w:val="FF0000"/>
                <w:sz w:val="21"/>
                <w:szCs w:val="21"/>
                <w:shd w:val="clear" w:fill="auto"/>
                <w:lang w:val="en-US" w:eastAsia="zh-CN"/>
              </w:rPr>
              <w:t>）措施内容不符合项目实际情况，没有针对性</w:t>
            </w:r>
            <w:r>
              <w:rPr>
                <w:rFonts w:ascii="宋体" w:hAnsi="宋体" w:eastAsia="宋体" w:cs="宋体"/>
                <w:color w:val="FF0000"/>
                <w:sz w:val="21"/>
                <w:szCs w:val="21"/>
                <w:shd w:val="clear" w:fill="auto"/>
                <w:lang w:val="en-US" w:eastAsia="zh-CN"/>
              </w:rPr>
              <w:t>,</w:t>
            </w:r>
            <w:r>
              <w:rPr>
                <w:rFonts w:ascii="宋体" w:hAnsi="宋体" w:cs="宋体"/>
                <w:color w:val="FF0000"/>
                <w:sz w:val="21"/>
                <w:szCs w:val="21"/>
                <w:shd w:val="clear" w:fill="auto"/>
                <w:lang w:val="en-US" w:eastAsia="zh-CN"/>
              </w:rPr>
              <w:t xml:space="preserve">或不提供的得 </w:t>
            </w:r>
            <w:r>
              <w:rPr>
                <w:rFonts w:ascii="宋体" w:hAnsi="宋体" w:eastAsia="宋体" w:cs="宋体"/>
                <w:color w:val="FF0000"/>
                <w:sz w:val="21"/>
                <w:szCs w:val="21"/>
                <w:shd w:val="clear" w:fill="auto"/>
                <w:lang w:val="en-US" w:eastAsia="zh-CN"/>
              </w:rPr>
              <w:t xml:space="preserve">0 </w:t>
            </w:r>
            <w:r>
              <w:rPr>
                <w:rFonts w:ascii="宋体" w:hAnsi="宋体" w:cs="宋体"/>
                <w:color w:val="FF0000"/>
                <w:sz w:val="21"/>
                <w:szCs w:val="21"/>
                <w:shd w:val="clear" w:fill="auto"/>
                <w:lang w:val="en-US" w:eastAsia="zh-CN"/>
              </w:rPr>
              <w:t>分。</w:t>
            </w:r>
          </w:p>
        </w:tc>
      </w:tr>
      <w:tr w14:paraId="54BFFDDD">
        <w:tblPrEx>
          <w:tblCellMar>
            <w:top w:w="0" w:type="dxa"/>
            <w:left w:w="0" w:type="dxa"/>
            <w:bottom w:w="0" w:type="dxa"/>
            <w:right w:w="0" w:type="dxa"/>
          </w:tblCellMar>
        </w:tblPrEx>
        <w:trPr>
          <w:trHeight w:val="333" w:hRule="atLeast"/>
        </w:trPr>
        <w:tc>
          <w:tcPr>
            <w:tcW w:w="589" w:type="dxa"/>
            <w:tcBorders>
              <w:top w:val="single" w:color="000000" w:sz="2" w:space="0"/>
              <w:left w:val="single" w:color="000000" w:sz="4" w:space="0"/>
              <w:bottom w:val="single" w:color="000000" w:sz="2" w:space="0"/>
              <w:right w:val="single" w:color="000000" w:sz="4" w:space="0"/>
            </w:tcBorders>
            <w:vAlign w:val="center"/>
          </w:tcPr>
          <w:p w14:paraId="2910F5CC">
            <w:pPr>
              <w:spacing w:line="360" w:lineRule="auto"/>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4</w:t>
            </w:r>
          </w:p>
        </w:tc>
        <w:tc>
          <w:tcPr>
            <w:tcW w:w="1523" w:type="dxa"/>
            <w:tcBorders>
              <w:top w:val="single" w:color="000000" w:sz="2" w:space="0"/>
              <w:left w:val="single" w:color="000000" w:sz="4" w:space="0"/>
              <w:bottom w:val="single" w:color="000000" w:sz="2" w:space="0"/>
              <w:right w:val="single" w:color="000000" w:sz="4" w:space="0"/>
            </w:tcBorders>
            <w:vAlign w:val="center"/>
          </w:tcPr>
          <w:p w14:paraId="79FE9A5A">
            <w:pPr>
              <w:spacing w:line="360" w:lineRule="auto"/>
              <w:jc w:val="center"/>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工程进度计划与保证措施</w:t>
            </w:r>
          </w:p>
        </w:tc>
        <w:tc>
          <w:tcPr>
            <w:tcW w:w="675" w:type="dxa"/>
            <w:tcBorders>
              <w:top w:val="single" w:color="000000" w:sz="2" w:space="0"/>
              <w:left w:val="single" w:color="000000" w:sz="4" w:space="0"/>
              <w:bottom w:val="single" w:color="000000" w:sz="2" w:space="0"/>
              <w:right w:val="single" w:color="000000" w:sz="4" w:space="0"/>
            </w:tcBorders>
            <w:vAlign w:val="center"/>
          </w:tcPr>
          <w:p w14:paraId="21152B81">
            <w:pPr>
              <w:spacing w:line="360" w:lineRule="auto"/>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10</w:t>
            </w:r>
            <w:r>
              <w:rPr>
                <w:rFonts w:ascii="宋体" w:hAnsi="宋体" w:cs="宋体"/>
                <w:color w:val="FF0000"/>
                <w:sz w:val="21"/>
                <w:szCs w:val="21"/>
                <w:shd w:val="clear" w:fill="auto"/>
                <w:lang w:val="en-US" w:eastAsia="zh-CN"/>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2D572E72">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根据各供应商提供的工程进度计划与保证措施进行评审：</w:t>
            </w:r>
          </w:p>
          <w:p w14:paraId="07270F12">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总工期及节点工期是否满足磋商文件要求；施工进度计划内容是否全面，线路是否清晰、准确、完整，计划编制是否合理、可行；措施是否有力、合理、可行等。</w:t>
            </w:r>
          </w:p>
          <w:p w14:paraId="33C5359B">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1</w:t>
            </w:r>
            <w:r>
              <w:rPr>
                <w:rFonts w:ascii="宋体" w:hAnsi="宋体" w:cs="宋体"/>
                <w:color w:val="FF0000"/>
                <w:sz w:val="21"/>
                <w:szCs w:val="21"/>
                <w:shd w:val="clear" w:fill="auto"/>
                <w:lang w:val="en-US" w:eastAsia="zh-CN"/>
              </w:rPr>
              <w:t>）措施内容完全满足磋商文件要求的得分</w:t>
            </w:r>
            <w:r>
              <w:rPr>
                <w:rFonts w:ascii="宋体" w:hAnsi="宋体" w:eastAsia="宋体" w:cs="宋体"/>
                <w:color w:val="FF0000"/>
                <w:sz w:val="21"/>
                <w:szCs w:val="21"/>
                <w:shd w:val="clear" w:fill="auto"/>
                <w:lang w:val="en-US" w:eastAsia="zh-CN"/>
              </w:rPr>
              <w:t>10</w:t>
            </w:r>
            <w:r>
              <w:rPr>
                <w:rFonts w:ascii="宋体" w:hAnsi="宋体" w:cs="宋体"/>
                <w:color w:val="FF0000"/>
                <w:sz w:val="21"/>
                <w:szCs w:val="21"/>
                <w:shd w:val="clear" w:fill="auto"/>
                <w:lang w:val="en-US" w:eastAsia="zh-CN"/>
              </w:rPr>
              <w:t>分；</w:t>
            </w:r>
          </w:p>
          <w:p w14:paraId="712F2EC0">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2</w:t>
            </w:r>
            <w:r>
              <w:rPr>
                <w:rFonts w:ascii="宋体" w:hAnsi="宋体" w:cs="宋体"/>
                <w:color w:val="FF0000"/>
                <w:sz w:val="21"/>
                <w:szCs w:val="21"/>
                <w:shd w:val="clear" w:fill="auto"/>
                <w:lang w:val="en-US" w:eastAsia="zh-CN"/>
              </w:rPr>
              <w:t>）措施内容基本满足的得</w:t>
            </w:r>
            <w:r>
              <w:rPr>
                <w:rFonts w:ascii="宋体" w:hAnsi="宋体" w:eastAsia="宋体" w:cs="宋体"/>
                <w:color w:val="FF0000"/>
                <w:sz w:val="21"/>
                <w:szCs w:val="21"/>
                <w:shd w:val="clear" w:fill="auto"/>
                <w:lang w:val="en-US" w:eastAsia="zh-CN"/>
              </w:rPr>
              <w:t>6</w:t>
            </w:r>
            <w:r>
              <w:rPr>
                <w:rFonts w:ascii="宋体" w:hAnsi="宋体" w:cs="宋体"/>
                <w:color w:val="FF0000"/>
                <w:sz w:val="21"/>
                <w:szCs w:val="21"/>
                <w:shd w:val="clear" w:fill="auto"/>
                <w:lang w:val="en-US" w:eastAsia="zh-CN"/>
              </w:rPr>
              <w:t>分；</w:t>
            </w:r>
          </w:p>
          <w:p w14:paraId="33FECE43">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3</w:t>
            </w:r>
            <w:r>
              <w:rPr>
                <w:rFonts w:ascii="宋体" w:hAnsi="宋体" w:cs="宋体"/>
                <w:color w:val="FF0000"/>
                <w:sz w:val="21"/>
                <w:szCs w:val="21"/>
                <w:shd w:val="clear" w:fill="auto"/>
                <w:lang w:val="en-US" w:eastAsia="zh-CN"/>
              </w:rPr>
              <w:t>）措施内容不全，针对性较差，欠合理的得</w:t>
            </w:r>
            <w:r>
              <w:rPr>
                <w:rFonts w:ascii="宋体" w:hAnsi="宋体" w:eastAsia="宋体" w:cs="宋体"/>
                <w:color w:val="FF0000"/>
                <w:sz w:val="21"/>
                <w:szCs w:val="21"/>
                <w:shd w:val="clear" w:fill="auto"/>
                <w:lang w:val="en-US" w:eastAsia="zh-CN"/>
              </w:rPr>
              <w:t>2</w:t>
            </w:r>
            <w:r>
              <w:rPr>
                <w:rFonts w:ascii="宋体" w:hAnsi="宋体" w:cs="宋体"/>
                <w:color w:val="FF0000"/>
                <w:sz w:val="21"/>
                <w:szCs w:val="21"/>
                <w:shd w:val="clear" w:fill="auto"/>
                <w:lang w:val="en-US" w:eastAsia="zh-CN"/>
              </w:rPr>
              <w:t>分；</w:t>
            </w:r>
          </w:p>
          <w:p w14:paraId="2FF45A45">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4</w:t>
            </w:r>
            <w:r>
              <w:rPr>
                <w:rFonts w:ascii="宋体" w:hAnsi="宋体" w:cs="宋体"/>
                <w:color w:val="FF0000"/>
                <w:sz w:val="21"/>
                <w:szCs w:val="21"/>
                <w:shd w:val="clear" w:fill="auto"/>
                <w:lang w:val="en-US" w:eastAsia="zh-CN"/>
              </w:rPr>
              <w:t>）措施内容不符合项目实际情况，没有针对性</w:t>
            </w:r>
            <w:r>
              <w:rPr>
                <w:rFonts w:ascii="宋体" w:hAnsi="宋体" w:eastAsia="宋体" w:cs="宋体"/>
                <w:color w:val="FF0000"/>
                <w:sz w:val="21"/>
                <w:szCs w:val="21"/>
                <w:shd w:val="clear" w:fill="auto"/>
                <w:lang w:val="en-US" w:eastAsia="zh-CN"/>
              </w:rPr>
              <w:t>,</w:t>
            </w:r>
            <w:r>
              <w:rPr>
                <w:rFonts w:ascii="宋体" w:hAnsi="宋体" w:cs="宋体"/>
                <w:color w:val="FF0000"/>
                <w:sz w:val="21"/>
                <w:szCs w:val="21"/>
                <w:shd w:val="clear" w:fill="auto"/>
                <w:lang w:val="en-US" w:eastAsia="zh-CN"/>
              </w:rPr>
              <w:t xml:space="preserve">或不提供的得 </w:t>
            </w:r>
            <w:r>
              <w:rPr>
                <w:rFonts w:ascii="宋体" w:hAnsi="宋体" w:eastAsia="宋体" w:cs="宋体"/>
                <w:color w:val="FF0000"/>
                <w:sz w:val="21"/>
                <w:szCs w:val="21"/>
                <w:shd w:val="clear" w:fill="auto"/>
                <w:lang w:val="en-US" w:eastAsia="zh-CN"/>
              </w:rPr>
              <w:t xml:space="preserve">0 </w:t>
            </w:r>
            <w:r>
              <w:rPr>
                <w:rFonts w:ascii="宋体" w:hAnsi="宋体" w:cs="宋体"/>
                <w:color w:val="FF0000"/>
                <w:sz w:val="21"/>
                <w:szCs w:val="21"/>
                <w:shd w:val="clear" w:fill="auto"/>
                <w:lang w:val="en-US" w:eastAsia="zh-CN"/>
              </w:rPr>
              <w:t>分。</w:t>
            </w:r>
          </w:p>
        </w:tc>
      </w:tr>
      <w:tr w14:paraId="2AEFDF3D">
        <w:tblPrEx>
          <w:tblCellMar>
            <w:top w:w="0" w:type="dxa"/>
            <w:left w:w="0" w:type="dxa"/>
            <w:bottom w:w="0" w:type="dxa"/>
            <w:right w:w="0" w:type="dxa"/>
          </w:tblCellMar>
        </w:tblPrEx>
        <w:trPr>
          <w:trHeight w:val="333" w:hRule="atLeast"/>
        </w:trPr>
        <w:tc>
          <w:tcPr>
            <w:tcW w:w="9902" w:type="dxa"/>
            <w:gridSpan w:val="4"/>
            <w:tcBorders>
              <w:top w:val="single" w:color="000000" w:sz="2" w:space="0"/>
              <w:left w:val="single" w:color="000000" w:sz="4" w:space="0"/>
              <w:bottom w:val="single" w:color="000000" w:sz="2" w:space="0"/>
              <w:right w:val="single" w:color="000000" w:sz="4" w:space="0"/>
            </w:tcBorders>
            <w:vAlign w:val="center"/>
          </w:tcPr>
          <w:p w14:paraId="38DDF39F">
            <w:pPr>
              <w:spacing w:line="360" w:lineRule="auto"/>
              <w:jc w:val="center"/>
              <w:rPr>
                <w:rFonts w:ascii="宋体" w:hAnsi="宋体" w:eastAsia="宋体" w:cs="宋体"/>
                <w:b/>
                <w:bCs/>
                <w:color w:val="FF0000"/>
                <w:sz w:val="21"/>
                <w:szCs w:val="21"/>
                <w:shd w:val="clear" w:fill="auto"/>
                <w:lang w:val="en-US" w:eastAsia="zh-CN"/>
              </w:rPr>
            </w:pPr>
            <w:r>
              <w:rPr>
                <w:rFonts w:ascii="宋体" w:hAnsi="宋体" w:cs="宋体"/>
                <w:b/>
                <w:bCs/>
                <w:color w:val="FF0000"/>
                <w:sz w:val="21"/>
                <w:szCs w:val="21"/>
                <w:shd w:val="clear" w:fill="auto"/>
                <w:lang w:val="en-US" w:eastAsia="zh-CN"/>
              </w:rPr>
              <w:t>商务</w:t>
            </w:r>
            <w:r>
              <w:rPr>
                <w:rFonts w:ascii="宋体" w:hAnsi="宋体" w:cs="宋体"/>
                <w:b/>
                <w:bCs/>
                <w:color w:val="FF0000"/>
                <w:sz w:val="21"/>
                <w:szCs w:val="21"/>
                <w:shd w:val="clear" w:fill="auto"/>
              </w:rPr>
              <w:t>部分</w:t>
            </w:r>
            <w:r>
              <w:rPr>
                <w:rFonts w:ascii="宋体" w:hAnsi="宋体" w:cs="宋体"/>
                <w:b/>
                <w:bCs/>
                <w:color w:val="FF0000"/>
                <w:sz w:val="21"/>
                <w:szCs w:val="21"/>
                <w:shd w:val="clear" w:fill="auto"/>
                <w:lang w:eastAsia="zh-CN"/>
              </w:rPr>
              <w:t>（</w:t>
            </w:r>
            <w:r>
              <w:rPr>
                <w:rFonts w:ascii="宋体" w:hAnsi="宋体" w:eastAsia="宋体" w:cs="宋体"/>
                <w:b/>
                <w:bCs/>
                <w:color w:val="FF0000"/>
                <w:sz w:val="21"/>
                <w:szCs w:val="21"/>
                <w:shd w:val="clear" w:fill="auto"/>
                <w:lang w:val="en-US" w:eastAsia="zh-CN"/>
              </w:rPr>
              <w:t>30</w:t>
            </w:r>
            <w:r>
              <w:rPr>
                <w:rFonts w:ascii="宋体" w:hAnsi="宋体" w:cs="宋体"/>
                <w:b/>
                <w:bCs/>
                <w:color w:val="FF0000"/>
                <w:sz w:val="21"/>
                <w:szCs w:val="21"/>
                <w:shd w:val="clear" w:fill="auto"/>
                <w:lang w:val="en-US" w:eastAsia="zh-CN"/>
              </w:rPr>
              <w:t>分</w:t>
            </w:r>
            <w:r>
              <w:rPr>
                <w:rFonts w:ascii="宋体" w:hAnsi="宋体" w:cs="宋体"/>
                <w:b/>
                <w:bCs/>
                <w:color w:val="FF0000"/>
                <w:sz w:val="21"/>
                <w:szCs w:val="21"/>
                <w:shd w:val="clear" w:fill="auto"/>
                <w:lang w:eastAsia="zh-CN"/>
              </w:rPr>
              <w:t>）</w:t>
            </w:r>
          </w:p>
        </w:tc>
      </w:tr>
      <w:tr w14:paraId="5364BAE3">
        <w:tblPrEx>
          <w:tblCellMar>
            <w:top w:w="0" w:type="dxa"/>
            <w:left w:w="0" w:type="dxa"/>
            <w:bottom w:w="0" w:type="dxa"/>
            <w:right w:w="0" w:type="dxa"/>
          </w:tblCellMar>
        </w:tblPrEx>
        <w:trPr>
          <w:trHeight w:val="1072" w:hRule="atLeast"/>
        </w:trPr>
        <w:tc>
          <w:tcPr>
            <w:tcW w:w="589" w:type="dxa"/>
            <w:tcBorders>
              <w:top w:val="single" w:color="000000" w:sz="2" w:space="0"/>
              <w:left w:val="single" w:color="000000" w:sz="4" w:space="0"/>
              <w:bottom w:val="single" w:color="000000" w:sz="4" w:space="0"/>
              <w:right w:val="single" w:color="000000" w:sz="4" w:space="0"/>
            </w:tcBorders>
            <w:vAlign w:val="center"/>
          </w:tcPr>
          <w:p w14:paraId="7F3FB752">
            <w:pPr>
              <w:spacing w:before="181" w:after="0" w:line="374" w:lineRule="auto"/>
              <w:ind w:left="110" w:right="44" w:hanging="1"/>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1</w:t>
            </w:r>
          </w:p>
        </w:tc>
        <w:tc>
          <w:tcPr>
            <w:tcW w:w="1523" w:type="dxa"/>
            <w:tcBorders>
              <w:top w:val="single" w:color="000000" w:sz="2" w:space="0"/>
              <w:left w:val="single" w:color="000000" w:sz="4" w:space="0"/>
              <w:bottom w:val="single" w:color="000000" w:sz="2" w:space="0"/>
              <w:right w:val="single" w:color="000000" w:sz="4" w:space="0"/>
            </w:tcBorders>
          </w:tcPr>
          <w:p w14:paraId="3FA1DB03">
            <w:pPr>
              <w:snapToGrid w:val="0"/>
              <w:spacing w:line="360" w:lineRule="auto"/>
              <w:jc w:val="both"/>
              <w:rPr>
                <w:rFonts w:ascii="宋体" w:hAnsi="宋体" w:eastAsia="宋体" w:cs="宋体"/>
                <w:color w:val="FF0000"/>
                <w:kern w:val="2"/>
                <w:sz w:val="21"/>
                <w:szCs w:val="21"/>
                <w:shd w:val="clear" w:fill="auto"/>
                <w:lang w:val="en-US" w:eastAsia="zh-CN" w:bidi="ar-SA"/>
              </w:rPr>
            </w:pPr>
          </w:p>
          <w:p w14:paraId="39BE73D3">
            <w:pPr>
              <w:spacing w:line="360" w:lineRule="auto"/>
              <w:jc w:val="center"/>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供应商</w:t>
            </w:r>
          </w:p>
          <w:p w14:paraId="153D3B07">
            <w:pPr>
              <w:spacing w:line="360" w:lineRule="auto"/>
              <w:jc w:val="center"/>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类似业绩</w:t>
            </w:r>
          </w:p>
        </w:tc>
        <w:tc>
          <w:tcPr>
            <w:tcW w:w="675" w:type="dxa"/>
            <w:tcBorders>
              <w:top w:val="single" w:color="000000" w:sz="2" w:space="0"/>
              <w:left w:val="single" w:color="000000" w:sz="4" w:space="0"/>
              <w:bottom w:val="single" w:color="000000" w:sz="4" w:space="0"/>
              <w:right w:val="single" w:color="000000" w:sz="4" w:space="0"/>
            </w:tcBorders>
            <w:vAlign w:val="center"/>
          </w:tcPr>
          <w:p w14:paraId="651891AA">
            <w:pPr>
              <w:spacing w:line="360" w:lineRule="auto"/>
              <w:jc w:val="center"/>
              <w:rPr>
                <w:rFonts w:ascii="宋体" w:hAnsi="宋体" w:eastAsia="宋体" w:cs="宋体"/>
                <w:color w:val="FF0000"/>
                <w:kern w:val="2"/>
                <w:sz w:val="21"/>
                <w:szCs w:val="21"/>
                <w:shd w:val="clear" w:fill="auto"/>
                <w:lang w:val="en-US" w:eastAsia="zh-CN" w:bidi="ar-SA"/>
              </w:rPr>
            </w:pPr>
            <w:r>
              <w:rPr>
                <w:rFonts w:ascii="宋体" w:hAnsi="宋体" w:eastAsia="宋体" w:cs="宋体"/>
                <w:color w:val="FF0000"/>
                <w:kern w:val="2"/>
                <w:sz w:val="21"/>
                <w:szCs w:val="21"/>
                <w:shd w:val="clear" w:fill="auto"/>
                <w:lang w:val="en-US" w:eastAsia="zh-CN" w:bidi="ar-SA"/>
              </w:rPr>
              <w:t>9</w:t>
            </w:r>
            <w:r>
              <w:rPr>
                <w:rFonts w:ascii="宋体" w:hAnsi="宋体" w:cs="宋体"/>
                <w:color w:val="FF0000"/>
                <w:kern w:val="2"/>
                <w:sz w:val="21"/>
                <w:szCs w:val="21"/>
                <w:shd w:val="clear" w:fill="auto"/>
                <w:lang w:val="en-US" w:eastAsia="zh-CN" w:bidi="ar-SA"/>
              </w:rPr>
              <w:t>分</w:t>
            </w:r>
          </w:p>
        </w:tc>
        <w:tc>
          <w:tcPr>
            <w:tcW w:w="7115" w:type="dxa"/>
            <w:tcBorders>
              <w:top w:val="single" w:color="000000" w:sz="2" w:space="0"/>
              <w:left w:val="single" w:color="000000" w:sz="4" w:space="0"/>
              <w:bottom w:val="single" w:color="000000" w:sz="4" w:space="0"/>
              <w:right w:val="single" w:color="000000" w:sz="4" w:space="0"/>
            </w:tcBorders>
          </w:tcPr>
          <w:p w14:paraId="3E4CFB1B">
            <w:pPr>
              <w:spacing w:line="360" w:lineRule="auto"/>
              <w:jc w:val="both"/>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供应商近三年内（</w:t>
            </w:r>
            <w:r>
              <w:rPr>
                <w:rFonts w:ascii="宋体" w:hAnsi="宋体" w:eastAsia="宋体" w:cs="宋体"/>
                <w:color w:val="FF0000"/>
                <w:kern w:val="2"/>
                <w:sz w:val="21"/>
                <w:szCs w:val="21"/>
                <w:shd w:val="clear" w:fill="auto"/>
                <w:lang w:val="en-US" w:eastAsia="zh-CN" w:bidi="ar-SA"/>
              </w:rPr>
              <w:t>2023</w:t>
            </w:r>
            <w:r>
              <w:rPr>
                <w:rFonts w:ascii="宋体" w:hAnsi="宋体" w:cs="宋体"/>
                <w:color w:val="FF0000"/>
                <w:kern w:val="2"/>
                <w:sz w:val="21"/>
                <w:szCs w:val="21"/>
                <w:shd w:val="clear" w:fill="auto"/>
                <w:lang w:val="en-US" w:eastAsia="zh-CN" w:bidi="ar-SA"/>
              </w:rPr>
              <w:t>年</w:t>
            </w:r>
            <w:r>
              <w:rPr>
                <w:rFonts w:ascii="宋体" w:hAnsi="宋体" w:eastAsia="宋体" w:cs="宋体"/>
                <w:color w:val="FF0000"/>
                <w:kern w:val="2"/>
                <w:sz w:val="21"/>
                <w:szCs w:val="21"/>
                <w:shd w:val="clear" w:fill="auto"/>
                <w:lang w:val="en-US" w:eastAsia="zh-CN" w:bidi="ar-SA"/>
              </w:rPr>
              <w:t>1</w:t>
            </w:r>
            <w:r>
              <w:rPr>
                <w:rFonts w:ascii="宋体" w:hAnsi="宋体" w:cs="宋体"/>
                <w:color w:val="FF0000"/>
                <w:kern w:val="2"/>
                <w:sz w:val="21"/>
                <w:szCs w:val="21"/>
                <w:shd w:val="clear" w:fill="auto"/>
                <w:lang w:val="en-US" w:eastAsia="zh-CN" w:bidi="ar-SA"/>
              </w:rPr>
              <w:t>月</w:t>
            </w:r>
            <w:r>
              <w:rPr>
                <w:rFonts w:ascii="宋体" w:hAnsi="宋体" w:eastAsia="宋体" w:cs="宋体"/>
                <w:color w:val="FF0000"/>
                <w:kern w:val="2"/>
                <w:sz w:val="21"/>
                <w:szCs w:val="21"/>
                <w:shd w:val="clear" w:fill="auto"/>
                <w:lang w:val="en-US" w:eastAsia="zh-CN" w:bidi="ar-SA"/>
              </w:rPr>
              <w:t>1</w:t>
            </w:r>
            <w:r>
              <w:rPr>
                <w:rFonts w:ascii="宋体" w:hAnsi="宋体" w:cs="宋体"/>
                <w:color w:val="FF0000"/>
                <w:kern w:val="2"/>
                <w:sz w:val="21"/>
                <w:szCs w:val="21"/>
                <w:shd w:val="clear" w:fill="auto"/>
                <w:lang w:val="en-US" w:eastAsia="zh-CN" w:bidi="ar-SA"/>
              </w:rPr>
              <w:t>日至今）完成过的类似业绩，每提供一个完整的业绩得</w:t>
            </w:r>
            <w:r>
              <w:rPr>
                <w:rFonts w:ascii="宋体" w:hAnsi="宋体" w:eastAsia="宋体" w:cs="宋体"/>
                <w:color w:val="FF0000"/>
                <w:kern w:val="2"/>
                <w:sz w:val="21"/>
                <w:szCs w:val="21"/>
                <w:shd w:val="clear" w:fill="auto"/>
                <w:lang w:val="en-US" w:eastAsia="zh-CN" w:bidi="ar-SA"/>
              </w:rPr>
              <w:t>3</w:t>
            </w:r>
            <w:r>
              <w:rPr>
                <w:rFonts w:ascii="宋体" w:hAnsi="宋体" w:cs="宋体"/>
                <w:color w:val="FF0000"/>
                <w:kern w:val="2"/>
                <w:sz w:val="21"/>
                <w:szCs w:val="21"/>
                <w:shd w:val="clear" w:fill="auto"/>
                <w:lang w:val="en-US" w:eastAsia="zh-CN" w:bidi="ar-SA"/>
              </w:rPr>
              <w:t>分，最高可得</w:t>
            </w:r>
            <w:r>
              <w:rPr>
                <w:rFonts w:ascii="宋体" w:hAnsi="宋体" w:eastAsia="宋体" w:cs="宋体"/>
                <w:color w:val="FF0000"/>
                <w:kern w:val="2"/>
                <w:sz w:val="21"/>
                <w:szCs w:val="21"/>
                <w:shd w:val="clear" w:fill="auto"/>
                <w:lang w:val="en-US" w:eastAsia="zh-CN" w:bidi="ar-SA"/>
              </w:rPr>
              <w:t>9</w:t>
            </w:r>
            <w:r>
              <w:rPr>
                <w:rFonts w:ascii="宋体" w:hAnsi="宋体" w:cs="宋体"/>
                <w:color w:val="FF0000"/>
                <w:kern w:val="2"/>
                <w:sz w:val="21"/>
                <w:szCs w:val="21"/>
                <w:shd w:val="clear" w:fill="auto"/>
                <w:lang w:val="en-US" w:eastAsia="zh-CN" w:bidi="ar-SA"/>
              </w:rPr>
              <w:t xml:space="preserve">分；未提供类似业绩证明材料或模糊无法辨识的，视为无效业绩。 </w:t>
            </w:r>
          </w:p>
          <w:p w14:paraId="5716D36E">
            <w:pPr>
              <w:spacing w:line="360" w:lineRule="auto"/>
              <w:jc w:val="both"/>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注：须提供</w:t>
            </w:r>
            <w:r>
              <w:rPr>
                <w:rFonts w:hint="eastAsia" w:ascii="宋体" w:hAnsi="宋体" w:cs="宋体"/>
                <w:color w:val="FF0000"/>
                <w:kern w:val="2"/>
                <w:sz w:val="21"/>
                <w:szCs w:val="21"/>
                <w:shd w:val="clear" w:fill="auto"/>
                <w:lang w:val="en-US" w:eastAsia="zh-CN" w:bidi="ar-SA"/>
              </w:rPr>
              <w:t>中标（成交）通知书或</w:t>
            </w:r>
            <w:r>
              <w:rPr>
                <w:rFonts w:ascii="宋体" w:hAnsi="宋体" w:cs="宋体"/>
                <w:color w:val="FF0000"/>
                <w:kern w:val="2"/>
                <w:sz w:val="21"/>
                <w:szCs w:val="21"/>
                <w:shd w:val="clear" w:fill="auto"/>
                <w:lang w:val="en-US" w:eastAsia="zh-CN" w:bidi="ar-SA"/>
              </w:rPr>
              <w:t>施工合同、验收报告的原件扫描件，不提供不得分。</w:t>
            </w:r>
          </w:p>
        </w:tc>
      </w:tr>
      <w:tr w14:paraId="082A3783">
        <w:tblPrEx>
          <w:tblCellMar>
            <w:top w:w="0" w:type="dxa"/>
            <w:left w:w="0" w:type="dxa"/>
            <w:bottom w:w="0" w:type="dxa"/>
            <w:right w:w="0" w:type="dxa"/>
          </w:tblCellMar>
        </w:tblPrEx>
        <w:trPr>
          <w:trHeight w:val="372" w:hRule="atLeast"/>
        </w:trPr>
        <w:tc>
          <w:tcPr>
            <w:tcW w:w="589" w:type="dxa"/>
            <w:tcBorders>
              <w:top w:val="single" w:color="000000" w:sz="4" w:space="0"/>
              <w:left w:val="single" w:color="000000" w:sz="4" w:space="0"/>
              <w:bottom w:val="single" w:color="000000" w:sz="2" w:space="0"/>
              <w:right w:val="single" w:color="000000" w:sz="4" w:space="0"/>
            </w:tcBorders>
            <w:vAlign w:val="center"/>
          </w:tcPr>
          <w:p w14:paraId="384D7237">
            <w:pPr>
              <w:spacing w:line="360" w:lineRule="auto"/>
              <w:jc w:val="center"/>
              <w:rPr>
                <w:rFonts w:ascii="宋体" w:hAnsi="宋体" w:eastAsia="宋体" w:cs="宋体"/>
                <w:color w:val="FF0000"/>
                <w:kern w:val="2"/>
                <w:sz w:val="21"/>
                <w:szCs w:val="21"/>
                <w:shd w:val="clear" w:fill="auto"/>
                <w:lang w:val="en-US" w:eastAsia="zh-CN" w:bidi="ar-SA"/>
              </w:rPr>
            </w:pPr>
            <w:r>
              <w:rPr>
                <w:rFonts w:ascii="宋体" w:hAnsi="宋体" w:eastAsia="宋体" w:cs="宋体"/>
                <w:color w:val="FF0000"/>
                <w:kern w:val="2"/>
                <w:sz w:val="21"/>
                <w:szCs w:val="21"/>
                <w:shd w:val="clear" w:fill="auto"/>
                <w:lang w:val="en-US" w:eastAsia="zh-CN" w:bidi="ar-SA"/>
              </w:rPr>
              <w:t>2</w:t>
            </w:r>
          </w:p>
        </w:tc>
        <w:tc>
          <w:tcPr>
            <w:tcW w:w="1523" w:type="dxa"/>
            <w:tcBorders>
              <w:top w:val="single" w:color="000000" w:sz="4" w:space="0"/>
              <w:left w:val="single" w:color="000000" w:sz="4" w:space="0"/>
              <w:bottom w:val="single" w:color="000000" w:sz="2" w:space="0"/>
              <w:right w:val="single" w:color="000000" w:sz="4" w:space="0"/>
            </w:tcBorders>
            <w:vAlign w:val="center"/>
          </w:tcPr>
          <w:p w14:paraId="7F11DDD3">
            <w:pPr>
              <w:widowControl/>
              <w:spacing w:line="500" w:lineRule="exact"/>
              <w:jc w:val="center"/>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项目管理机构</w:t>
            </w:r>
          </w:p>
        </w:tc>
        <w:tc>
          <w:tcPr>
            <w:tcW w:w="675" w:type="dxa"/>
            <w:tcBorders>
              <w:top w:val="single" w:color="000000" w:sz="4" w:space="0"/>
              <w:left w:val="single" w:color="000000" w:sz="4" w:space="0"/>
              <w:bottom w:val="single" w:color="000000" w:sz="2" w:space="0"/>
              <w:right w:val="single" w:color="000000" w:sz="4" w:space="0"/>
            </w:tcBorders>
            <w:vAlign w:val="center"/>
          </w:tcPr>
          <w:p w14:paraId="6F69485D">
            <w:pPr>
              <w:widowControl/>
              <w:spacing w:line="500" w:lineRule="exact"/>
              <w:jc w:val="center"/>
              <w:rPr>
                <w:rFonts w:ascii="宋体" w:hAnsi="宋体" w:eastAsia="宋体" w:cs="宋体"/>
                <w:color w:val="FF0000"/>
                <w:kern w:val="2"/>
                <w:sz w:val="21"/>
                <w:szCs w:val="21"/>
                <w:shd w:val="clear" w:fill="auto"/>
                <w:lang w:val="en-US" w:eastAsia="zh-CN" w:bidi="ar-SA"/>
              </w:rPr>
            </w:pPr>
            <w:r>
              <w:rPr>
                <w:rFonts w:ascii="宋体" w:hAnsi="宋体" w:eastAsia="宋体" w:cs="宋体"/>
                <w:color w:val="FF0000"/>
                <w:kern w:val="2"/>
                <w:sz w:val="21"/>
                <w:szCs w:val="21"/>
                <w:shd w:val="clear" w:fill="auto"/>
                <w:lang w:val="en-US" w:eastAsia="zh-CN" w:bidi="ar-SA"/>
              </w:rPr>
              <w:t>21</w:t>
            </w:r>
            <w:r>
              <w:rPr>
                <w:rFonts w:ascii="宋体" w:hAnsi="宋体" w:cs="宋体"/>
                <w:color w:val="FF0000"/>
                <w:kern w:val="2"/>
                <w:sz w:val="21"/>
                <w:szCs w:val="21"/>
                <w:shd w:val="clear" w:fill="auto"/>
                <w:lang w:val="en-US" w:eastAsia="zh-CN" w:bidi="ar-SA"/>
              </w:rPr>
              <w:t>分</w:t>
            </w:r>
          </w:p>
        </w:tc>
        <w:tc>
          <w:tcPr>
            <w:tcW w:w="7115" w:type="dxa"/>
            <w:tcBorders>
              <w:top w:val="single" w:color="000000" w:sz="4" w:space="0"/>
              <w:left w:val="single" w:color="000000" w:sz="4" w:space="0"/>
              <w:bottom w:val="single" w:color="000000" w:sz="2" w:space="0"/>
              <w:right w:val="single" w:color="000000" w:sz="4" w:space="0"/>
            </w:tcBorders>
            <w:vAlign w:val="center"/>
          </w:tcPr>
          <w:p w14:paraId="2DBC5339">
            <w:pPr>
              <w:widowControl/>
              <w:spacing w:line="500" w:lineRule="exact"/>
              <w:jc w:val="both"/>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拟配备的管理人员（</w:t>
            </w:r>
            <w:r>
              <w:rPr>
                <w:rFonts w:ascii="宋体" w:hAnsi="宋体" w:cs="宋体"/>
                <w:color w:val="FF0000"/>
                <w:kern w:val="2"/>
                <w:sz w:val="21"/>
                <w:szCs w:val="21"/>
                <w:u w:val="none"/>
                <w:shd w:val="clear" w:fill="auto"/>
                <w:lang w:val="en-US" w:eastAsia="zh-CN" w:bidi="ar-SA"/>
              </w:rPr>
              <w:t>技术负责人、施工员、安全员、质量员</w:t>
            </w:r>
            <w:r>
              <w:rPr>
                <w:rFonts w:ascii="宋体" w:hAnsi="宋体" w:cs="宋体"/>
                <w:color w:val="FF0000"/>
                <w:kern w:val="2"/>
                <w:sz w:val="21"/>
                <w:szCs w:val="21"/>
                <w:shd w:val="clear" w:fill="auto"/>
                <w:lang w:val="en-US" w:eastAsia="zh-CN" w:bidi="ar-SA"/>
              </w:rPr>
              <w:t>、</w:t>
            </w:r>
            <w:r>
              <w:rPr>
                <w:rFonts w:ascii="宋体" w:hAnsi="宋体" w:cs="宋体"/>
                <w:color w:val="FF0000"/>
                <w:kern w:val="2"/>
                <w:sz w:val="21"/>
                <w:szCs w:val="21"/>
                <w:u w:val="none"/>
                <w:shd w:val="clear" w:fill="auto"/>
                <w:lang w:val="en-US" w:eastAsia="zh-CN" w:bidi="ar-SA"/>
              </w:rPr>
              <w:t>材料员、预算员、资料员）</w:t>
            </w:r>
            <w:r>
              <w:rPr>
                <w:rFonts w:ascii="宋体" w:hAnsi="宋体" w:cs="宋体"/>
                <w:color w:val="FF0000"/>
                <w:kern w:val="2"/>
                <w:sz w:val="21"/>
                <w:szCs w:val="21"/>
                <w:shd w:val="clear" w:fill="auto"/>
                <w:lang w:val="en-US" w:eastAsia="zh-CN" w:bidi="ar-SA"/>
              </w:rPr>
              <w:t>数量各</w:t>
            </w:r>
            <w:r>
              <w:rPr>
                <w:rFonts w:ascii="宋体" w:hAnsi="宋体" w:eastAsia="宋体" w:cs="宋体"/>
                <w:color w:val="FF0000"/>
                <w:kern w:val="2"/>
                <w:sz w:val="21"/>
                <w:szCs w:val="21"/>
                <w:shd w:val="clear" w:fill="auto"/>
                <w:lang w:val="en-US" w:eastAsia="zh-CN" w:bidi="ar-SA"/>
              </w:rPr>
              <w:t>1</w:t>
            </w:r>
            <w:r>
              <w:rPr>
                <w:rFonts w:ascii="宋体" w:hAnsi="宋体" w:cs="宋体"/>
                <w:color w:val="FF0000"/>
                <w:kern w:val="2"/>
                <w:sz w:val="21"/>
                <w:szCs w:val="21"/>
                <w:shd w:val="clear" w:fill="auto"/>
                <w:lang w:val="en-US" w:eastAsia="zh-CN" w:bidi="ar-SA"/>
              </w:rPr>
              <w:t>名，且持有相应的注册证书或岗位证书，须提供证书原件（或电子证照）及近</w:t>
            </w:r>
            <w:r>
              <w:rPr>
                <w:rFonts w:ascii="宋体" w:hAnsi="宋体" w:eastAsia="宋体" w:cs="宋体"/>
                <w:color w:val="FF0000"/>
                <w:kern w:val="2"/>
                <w:sz w:val="21"/>
                <w:szCs w:val="21"/>
                <w:shd w:val="clear" w:fill="auto"/>
                <w:lang w:val="en-US" w:eastAsia="zh-CN" w:bidi="ar-SA"/>
              </w:rPr>
              <w:t>6</w:t>
            </w:r>
            <w:r>
              <w:rPr>
                <w:rFonts w:ascii="宋体" w:hAnsi="宋体" w:cs="宋体"/>
                <w:color w:val="FF0000"/>
                <w:kern w:val="2"/>
                <w:sz w:val="21"/>
                <w:szCs w:val="21"/>
                <w:shd w:val="clear" w:fill="auto"/>
                <w:lang w:val="en-US" w:eastAsia="zh-CN" w:bidi="ar-SA"/>
              </w:rPr>
              <w:t>个月内任意</w:t>
            </w:r>
            <w:r>
              <w:rPr>
                <w:rFonts w:ascii="宋体" w:hAnsi="宋体" w:eastAsia="宋体" w:cs="宋体"/>
                <w:color w:val="FF0000"/>
                <w:kern w:val="2"/>
                <w:sz w:val="21"/>
                <w:szCs w:val="21"/>
                <w:shd w:val="clear" w:fill="auto"/>
                <w:lang w:val="en-US" w:eastAsia="zh-CN" w:bidi="ar-SA"/>
              </w:rPr>
              <w:t>1</w:t>
            </w:r>
            <w:r>
              <w:rPr>
                <w:rFonts w:ascii="宋体" w:hAnsi="宋体" w:cs="宋体"/>
                <w:color w:val="FF0000"/>
                <w:kern w:val="2"/>
                <w:sz w:val="21"/>
                <w:szCs w:val="21"/>
                <w:shd w:val="clear" w:fill="auto"/>
                <w:lang w:val="en-US" w:eastAsia="zh-CN" w:bidi="ar-SA"/>
              </w:rPr>
              <w:t>个月社保缴纳证明的扫描件（退休人员提供退休证明材料及返聘合同）。</w:t>
            </w:r>
          </w:p>
          <w:p w14:paraId="2DCA85D6">
            <w:pPr>
              <w:widowControl/>
              <w:spacing w:line="500" w:lineRule="exact"/>
              <w:jc w:val="both"/>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以上人员及证件提供齐全得</w:t>
            </w:r>
            <w:r>
              <w:rPr>
                <w:rFonts w:ascii="宋体" w:hAnsi="宋体" w:eastAsia="宋体" w:cs="宋体"/>
                <w:color w:val="FF0000"/>
                <w:kern w:val="2"/>
                <w:sz w:val="21"/>
                <w:szCs w:val="21"/>
                <w:shd w:val="clear" w:fill="auto"/>
                <w:lang w:val="en-US" w:eastAsia="zh-CN" w:bidi="ar-SA"/>
              </w:rPr>
              <w:t>21</w:t>
            </w:r>
            <w:r>
              <w:rPr>
                <w:rFonts w:ascii="宋体" w:hAnsi="宋体" w:cs="宋体"/>
                <w:color w:val="FF0000"/>
                <w:kern w:val="2"/>
                <w:sz w:val="21"/>
                <w:szCs w:val="21"/>
                <w:shd w:val="clear" w:fill="auto"/>
                <w:lang w:val="en-US" w:eastAsia="zh-CN" w:bidi="ar-SA"/>
              </w:rPr>
              <w:t>分，每缺少一名管理人员扣</w:t>
            </w:r>
            <w:r>
              <w:rPr>
                <w:rFonts w:ascii="宋体" w:hAnsi="宋体" w:eastAsia="宋体" w:cs="宋体"/>
                <w:color w:val="FF0000"/>
                <w:kern w:val="2"/>
                <w:sz w:val="21"/>
                <w:szCs w:val="21"/>
                <w:shd w:val="clear" w:fill="auto"/>
                <w:lang w:val="en-US" w:eastAsia="zh-CN" w:bidi="ar-SA"/>
              </w:rPr>
              <w:t>3</w:t>
            </w:r>
            <w:r>
              <w:rPr>
                <w:rFonts w:ascii="宋体" w:hAnsi="宋体" w:cs="宋体"/>
                <w:color w:val="FF0000"/>
                <w:kern w:val="2"/>
                <w:sz w:val="21"/>
                <w:szCs w:val="21"/>
                <w:shd w:val="clear" w:fill="auto"/>
                <w:lang w:val="en-US" w:eastAsia="zh-CN" w:bidi="ar-SA"/>
              </w:rPr>
              <w:t xml:space="preserve">分，该项得分扣完为止。未提供不得分。 </w:t>
            </w:r>
          </w:p>
        </w:tc>
      </w:tr>
      <w:tr w14:paraId="75EDB1DE">
        <w:tblPrEx>
          <w:tblCellMar>
            <w:top w:w="0" w:type="dxa"/>
            <w:left w:w="0" w:type="dxa"/>
            <w:bottom w:w="0" w:type="dxa"/>
            <w:right w:w="0" w:type="dxa"/>
          </w:tblCellMar>
        </w:tblPrEx>
        <w:trPr>
          <w:trHeight w:val="786" w:hRule="atLeast"/>
        </w:trPr>
        <w:tc>
          <w:tcPr>
            <w:tcW w:w="2112" w:type="dxa"/>
            <w:gridSpan w:val="2"/>
            <w:tcBorders>
              <w:top w:val="single" w:color="000000" w:sz="2" w:space="0"/>
              <w:left w:val="single" w:color="000000" w:sz="4" w:space="0"/>
              <w:bottom w:val="single" w:color="000000" w:sz="2" w:space="0"/>
              <w:right w:val="single" w:color="000000" w:sz="4" w:space="0"/>
            </w:tcBorders>
            <w:vAlign w:val="center"/>
          </w:tcPr>
          <w:p w14:paraId="7AB56E21">
            <w:pPr>
              <w:spacing w:line="360" w:lineRule="auto"/>
              <w:jc w:val="center"/>
              <w:rPr>
                <w:rFonts w:ascii="宋体" w:hAnsi="宋体" w:eastAsia="宋体" w:cs="宋体"/>
                <w:color w:val="FF0000"/>
                <w:sz w:val="21"/>
                <w:szCs w:val="21"/>
                <w:shd w:val="clear" w:fill="auto"/>
              </w:rPr>
            </w:pPr>
            <w:r>
              <w:rPr>
                <w:rFonts w:ascii="宋体" w:hAnsi="宋体" w:cs="宋体"/>
                <w:color w:val="FF0000"/>
                <w:sz w:val="21"/>
                <w:szCs w:val="21"/>
                <w:shd w:val="clear" w:fill="auto"/>
              </w:rPr>
              <w:t>合计</w:t>
            </w:r>
          </w:p>
        </w:tc>
        <w:tc>
          <w:tcPr>
            <w:tcW w:w="675" w:type="dxa"/>
            <w:tcBorders>
              <w:top w:val="single" w:color="000000" w:sz="2" w:space="0"/>
              <w:left w:val="single" w:color="000000" w:sz="4" w:space="0"/>
              <w:bottom w:val="single" w:color="000000" w:sz="2" w:space="0"/>
              <w:right w:val="single" w:color="000000" w:sz="4" w:space="0"/>
            </w:tcBorders>
            <w:vAlign w:val="center"/>
          </w:tcPr>
          <w:p w14:paraId="7CE79FEE">
            <w:pPr>
              <w:spacing w:line="360" w:lineRule="auto"/>
              <w:jc w:val="center"/>
              <w:rPr>
                <w:rFonts w:ascii="宋体" w:hAnsi="宋体" w:eastAsia="宋体" w:cs="宋体"/>
                <w:color w:val="FF0000"/>
                <w:sz w:val="21"/>
                <w:szCs w:val="21"/>
                <w:shd w:val="clear" w:fill="auto"/>
              </w:rPr>
            </w:pPr>
            <w:r>
              <w:rPr>
                <w:rFonts w:ascii="宋体" w:hAnsi="宋体" w:eastAsia="宋体" w:cs="宋体"/>
                <w:color w:val="FF0000"/>
                <w:sz w:val="21"/>
                <w:szCs w:val="21"/>
                <w:shd w:val="clear" w:fill="auto"/>
                <w:lang w:val="en-US" w:eastAsia="zh-CN"/>
              </w:rPr>
              <w:t>100</w:t>
            </w:r>
            <w:r>
              <w:rPr>
                <w:rFonts w:ascii="宋体" w:hAnsi="宋体" w:eastAsia="宋体" w:cs="宋体"/>
                <w:color w:val="FF0000"/>
                <w:sz w:val="21"/>
                <w:szCs w:val="21"/>
                <w:shd w:val="clear" w:fill="auto"/>
              </w:rPr>
              <w:t xml:space="preserve"> </w:t>
            </w:r>
            <w:r>
              <w:rPr>
                <w:rFonts w:ascii="宋体" w:hAnsi="宋体" w:cs="宋体"/>
                <w:color w:val="FF0000"/>
                <w:sz w:val="21"/>
                <w:szCs w:val="21"/>
                <w:shd w:val="clear" w:fill="auto"/>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69CCDDE8">
            <w:pPr>
              <w:snapToGrid w:val="0"/>
              <w:spacing w:line="360" w:lineRule="auto"/>
              <w:jc w:val="both"/>
              <w:rPr>
                <w:rFonts w:ascii="宋体" w:hAnsi="宋体" w:eastAsia="宋体" w:cs="宋体"/>
                <w:color w:val="FF0000"/>
                <w:sz w:val="21"/>
                <w:szCs w:val="21"/>
                <w:shd w:val="clear" w:fill="auto"/>
              </w:rPr>
            </w:pPr>
          </w:p>
        </w:tc>
      </w:tr>
    </w:tbl>
    <w:p w14:paraId="24B8BC24">
      <w:pPr>
        <w:pStyle w:val="8"/>
      </w:pPr>
    </w:p>
    <w:p w14:paraId="793743E2">
      <w:pPr>
        <w:pStyle w:val="64"/>
        <w:keepNext w:val="0"/>
        <w:keepLines w:val="0"/>
        <w:pageBreakBefore w:val="0"/>
        <w:widowControl w:val="0"/>
        <w:kinsoku/>
        <w:overflowPunct/>
        <w:autoSpaceDE/>
        <w:bidi w:val="0"/>
        <w:snapToGrid w:val="0"/>
        <w:spacing w:line="260" w:lineRule="exact"/>
        <w:ind w:left="0" w:firstLine="0"/>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备注:</w:t>
      </w:r>
    </w:p>
    <w:p w14:paraId="3FBA520E">
      <w:pPr>
        <w:pStyle w:val="64"/>
        <w:keepNext w:val="0"/>
        <w:keepLines w:val="0"/>
        <w:pageBreakBefore w:val="0"/>
        <w:widowControl w:val="0"/>
        <w:kinsoku/>
        <w:overflowPunct/>
        <w:autoSpaceDE/>
        <w:bidi w:val="0"/>
        <w:snapToGrid w:val="0"/>
        <w:spacing w:line="240" w:lineRule="auto"/>
        <w:ind w:left="0" w:firstLine="480"/>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1、供应商在评审过程中，所进行的力图影响评审结果的不符合磋商规则的活动，可能导致其被取消成交资格。</w:t>
      </w:r>
    </w:p>
    <w:p w14:paraId="4DF8FCF6">
      <w:pPr>
        <w:pStyle w:val="64"/>
        <w:keepNext w:val="0"/>
        <w:keepLines w:val="0"/>
        <w:pageBreakBefore w:val="0"/>
        <w:widowControl w:val="0"/>
        <w:kinsoku/>
        <w:overflowPunct/>
        <w:autoSpaceDE/>
        <w:bidi w:val="0"/>
        <w:snapToGrid w:val="0"/>
        <w:spacing w:line="240" w:lineRule="auto"/>
        <w:ind w:firstLine="408"/>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2、与磋商文件有重大偏离的响应文件将被拒绝。</w:t>
      </w:r>
    </w:p>
    <w:p w14:paraId="4B1808EB">
      <w:pPr>
        <w:pStyle w:val="64"/>
        <w:keepNext w:val="0"/>
        <w:keepLines w:val="0"/>
        <w:pageBreakBefore w:val="0"/>
        <w:widowControl w:val="0"/>
        <w:kinsoku/>
        <w:overflowPunct/>
        <w:autoSpaceDE/>
        <w:bidi w:val="0"/>
        <w:snapToGrid w:val="0"/>
        <w:spacing w:line="240" w:lineRule="auto"/>
        <w:ind w:firstLine="0"/>
        <w:jc w:val="left"/>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附：对于商务部分（磋商报价）的评分，按以下方法进行：价格分统一采用低价优先法计算，即满足磋商文件要求且评审价格最低的报价为评审基准价，其价格分为满分。其他供应商的价格分统一按照下列公式计算：报价得分=(评审基准价／评审价格)×价格权值×100</w:t>
      </w:r>
    </w:p>
    <w:p w14:paraId="4EAF62A8">
      <w:pPr>
        <w:pStyle w:val="64"/>
        <w:keepNext w:val="0"/>
        <w:keepLines w:val="0"/>
        <w:pageBreakBefore w:val="0"/>
        <w:widowControl w:val="0"/>
        <w:kinsoku/>
        <w:overflowPunct/>
        <w:autoSpaceDE/>
        <w:bidi w:val="0"/>
        <w:spacing w:line="240" w:lineRule="auto"/>
        <w:ind w:firstLine="420"/>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3、各磋商小组成员对每个供应商的上述指标的打分（除报价外）的算术平均分，加上经计算的报价得分，即为该供应商的最终综合评估分。磋商小组将按供应商得分顺序由高到低依次排名，得分相同的，按磋商报价由低到高顺序排列。得分及报价相同的，按技术指标优劣顺序排列。得分最高的前一名至前三名供应商将成为成交候选人。</w:t>
      </w:r>
    </w:p>
    <w:p w14:paraId="4A852064">
      <w:pPr>
        <w:pStyle w:val="64"/>
        <w:keepNext w:val="0"/>
        <w:keepLines w:val="0"/>
        <w:pageBreakBefore w:val="0"/>
        <w:widowControl w:val="0"/>
        <w:kinsoku/>
        <w:overflowPunct/>
        <w:autoSpaceDE/>
        <w:bidi w:val="0"/>
        <w:spacing w:line="240" w:lineRule="auto"/>
        <w:ind w:firstLine="422"/>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4、最低报价不作为评审的唯一依据。采购人不承诺将合同授予报价最低的供应商。</w:t>
      </w:r>
    </w:p>
    <w:p w14:paraId="6A845E63">
      <w:pPr>
        <w:pStyle w:val="64"/>
        <w:keepNext w:val="0"/>
        <w:keepLines w:val="0"/>
        <w:pageBreakBefore w:val="0"/>
        <w:widowControl w:val="0"/>
        <w:kinsoku/>
        <w:overflowPunct/>
        <w:autoSpaceDE/>
        <w:bidi w:val="0"/>
        <w:spacing w:line="240" w:lineRule="auto"/>
        <w:ind w:firstLine="422"/>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5、经磋商小组评议，认为磋商报价过高、超出采购人预算的项目，可以不确立成交供应商，做为无效响应处理。</w:t>
      </w:r>
    </w:p>
    <w:p w14:paraId="407F70AC">
      <w:pPr>
        <w:snapToGrid w:val="0"/>
        <w:spacing w:line="400" w:lineRule="exact"/>
        <w:ind w:firstLine="420"/>
        <w:rPr>
          <w:rFonts w:ascii="宋体" w:hAnsi="宋体" w:cs="宋体"/>
          <w:b/>
          <w:color w:val="000000"/>
          <w:szCs w:val="21"/>
          <w:highlight w:val="none"/>
        </w:rPr>
      </w:pPr>
      <w:r>
        <w:rPr>
          <w:rFonts w:ascii="宋体" w:hAnsi="宋体" w:cs="宋体"/>
          <w:b/>
          <w:color w:val="000000"/>
          <w:szCs w:val="21"/>
          <w:lang w:val="en-US" w:eastAsia="zh-CN"/>
        </w:rPr>
        <w:t>12.</w:t>
      </w:r>
      <w:r>
        <w:rPr>
          <w:rFonts w:ascii="宋体" w:hAnsi="宋体" w:cs="宋体"/>
          <w:b/>
          <w:color w:val="000000"/>
          <w:szCs w:val="21"/>
        </w:rPr>
        <w:t>无效响应条款</w:t>
      </w:r>
    </w:p>
    <w:p w14:paraId="1AD8343E">
      <w:pPr>
        <w:snapToGrid w:val="0"/>
        <w:spacing w:line="400" w:lineRule="exact"/>
        <w:ind w:firstLine="420"/>
        <w:rPr>
          <w:rFonts w:ascii="宋体" w:hAnsi="宋体" w:cs="宋体"/>
          <w:color w:val="000000"/>
          <w:szCs w:val="21"/>
          <w:highlight w:val="none"/>
        </w:rPr>
      </w:pPr>
      <w:r>
        <w:rPr>
          <w:rFonts w:ascii="宋体" w:hAnsi="宋体" w:cs="宋体"/>
          <w:color w:val="000000"/>
          <w:szCs w:val="21"/>
          <w:lang w:val="en-US" w:eastAsia="zh-CN"/>
        </w:rPr>
        <w:t>12</w:t>
      </w:r>
      <w:r>
        <w:rPr>
          <w:rFonts w:ascii="宋体" w:hAnsi="宋体" w:cs="宋体"/>
          <w:color w:val="000000"/>
          <w:szCs w:val="21"/>
        </w:rPr>
        <w:t>.1响应文件有下列情形之一的,其响应文件拒收:</w:t>
      </w:r>
    </w:p>
    <w:p w14:paraId="73432880">
      <w:pPr>
        <w:snapToGrid w:val="0"/>
        <w:spacing w:line="400" w:lineRule="exact"/>
        <w:rPr>
          <w:rFonts w:ascii="宋体" w:hAnsi="宋体" w:cs="宋体"/>
          <w:b/>
          <w:bCs/>
          <w:color w:val="000000"/>
          <w:szCs w:val="21"/>
          <w:highlight w:val="none"/>
        </w:rPr>
      </w:pPr>
      <w:r>
        <w:rPr>
          <w:rFonts w:ascii="宋体" w:hAnsi="宋体" w:cs="宋体"/>
          <w:color w:val="000000"/>
          <w:szCs w:val="21"/>
        </w:rPr>
        <w:t xml:space="preserve">   </w:t>
      </w:r>
      <w:r>
        <w:rPr>
          <w:rFonts w:ascii="宋体" w:hAnsi="宋体" w:cs="宋体"/>
          <w:b/>
          <w:bCs/>
          <w:color w:val="000000"/>
          <w:szCs w:val="21"/>
        </w:rPr>
        <w:t xml:space="preserve"> (1) 未在开启响应文件截止时间前通过网上采购响应系统递交有效电子响应文件的，开启响应文件系统不予接收。</w:t>
      </w:r>
    </w:p>
    <w:p w14:paraId="4E4AF664">
      <w:pPr>
        <w:snapToGrid w:val="0"/>
        <w:spacing w:line="400" w:lineRule="exact"/>
        <w:ind w:firstLine="420"/>
        <w:rPr>
          <w:rFonts w:ascii="宋体" w:hAnsi="宋体" w:cs="宋体"/>
          <w:b/>
          <w:bCs/>
          <w:color w:val="000000"/>
          <w:szCs w:val="21"/>
          <w:highlight w:val="none"/>
        </w:rPr>
      </w:pPr>
      <w:r>
        <w:rPr>
          <w:rFonts w:ascii="宋体" w:hAnsi="宋体" w:cs="宋体"/>
          <w:b/>
          <w:bCs/>
          <w:color w:val="000000"/>
          <w:szCs w:val="21"/>
        </w:rPr>
        <w:t>（2）</w:t>
      </w:r>
      <w:r>
        <w:rPr>
          <w:rFonts w:ascii="宋体" w:hAnsi="宋体" w:cs="宋体"/>
          <w:b/>
          <w:color w:val="000000"/>
          <w:szCs w:val="21"/>
        </w:rPr>
        <w:t>所有供应商应在规定时间里完成响应文件的解密工作</w:t>
      </w:r>
      <w:r>
        <w:rPr>
          <w:rFonts w:ascii="宋体" w:hAnsi="宋体" w:cs="宋体"/>
          <w:b/>
          <w:bCs/>
          <w:color w:val="000000"/>
          <w:szCs w:val="21"/>
        </w:rPr>
        <w:t>【供应商</w:t>
      </w:r>
      <w:r>
        <w:rPr>
          <w:rFonts w:ascii="宋体" w:hAnsi="宋体" w:cs="宋体"/>
          <w:b/>
          <w:bCs/>
          <w:color w:val="000000"/>
          <w:szCs w:val="21"/>
          <w:lang w:eastAsia="zh-CN"/>
        </w:rPr>
        <w:t>使用</w:t>
      </w:r>
      <w:r>
        <w:rPr>
          <w:rFonts w:ascii="宋体" w:hAnsi="宋体" w:cs="宋体"/>
          <w:b/>
          <w:bCs/>
          <w:color w:val="000000"/>
          <w:szCs w:val="21"/>
        </w:rPr>
        <w:t>其有效加密锁（CA锁）</w:t>
      </w:r>
      <w:r>
        <w:rPr>
          <w:rFonts w:ascii="宋体" w:hAnsi="宋体" w:cs="宋体"/>
          <w:b/>
          <w:bCs/>
          <w:color w:val="000000"/>
          <w:szCs w:val="21"/>
          <w:lang w:eastAsia="zh-CN"/>
        </w:rPr>
        <w:t>进行</w:t>
      </w:r>
      <w:r>
        <w:rPr>
          <w:rFonts w:ascii="宋体" w:hAnsi="宋体" w:cs="宋体"/>
          <w:b/>
          <w:bCs/>
          <w:color w:val="000000"/>
          <w:szCs w:val="21"/>
        </w:rPr>
        <w:t>解密（因供应商原因未能提供有效CA锁对其响应文件进行解密的，其响应文件按无效响应处理），以网上采购系统解密倒计时为准】</w:t>
      </w:r>
      <w:r>
        <w:rPr>
          <w:rFonts w:ascii="宋体" w:hAnsi="宋体" w:cs="宋体"/>
          <w:b/>
          <w:color w:val="000000"/>
          <w:szCs w:val="21"/>
        </w:rPr>
        <w:t>。</w:t>
      </w:r>
    </w:p>
    <w:p w14:paraId="548C8AD2">
      <w:pPr>
        <w:snapToGrid w:val="0"/>
        <w:spacing w:line="400" w:lineRule="exact"/>
        <w:rPr>
          <w:rFonts w:ascii="宋体" w:hAnsi="宋体" w:cs="宋体"/>
          <w:color w:val="000000"/>
          <w:szCs w:val="21"/>
          <w:highlight w:val="none"/>
        </w:rPr>
      </w:pPr>
      <w:r>
        <w:rPr>
          <w:rFonts w:ascii="宋体" w:hAnsi="宋体" w:cs="宋体"/>
          <w:color w:val="000000"/>
          <w:szCs w:val="21"/>
        </w:rPr>
        <w:t xml:space="preserve">  </w:t>
      </w:r>
      <w:r>
        <w:rPr>
          <w:rFonts w:ascii="宋体" w:hAnsi="宋体" w:cs="宋体"/>
          <w:color w:val="000000"/>
          <w:szCs w:val="21"/>
          <w:lang w:val="en-US" w:eastAsia="zh-CN"/>
        </w:rPr>
        <w:t>12</w:t>
      </w:r>
      <w:r>
        <w:rPr>
          <w:rFonts w:ascii="宋体" w:hAnsi="宋体" w:cs="宋体"/>
          <w:color w:val="000000"/>
          <w:szCs w:val="21"/>
        </w:rPr>
        <w:t>.2供应商有下列情形之一的,资格审查后其响应作无效响应处理：</w:t>
      </w:r>
    </w:p>
    <w:p w14:paraId="1BF2D376">
      <w:pPr>
        <w:snapToGrid w:val="0"/>
        <w:spacing w:line="400" w:lineRule="exact"/>
        <w:ind w:firstLine="420"/>
        <w:rPr>
          <w:rFonts w:ascii="宋体" w:hAnsi="宋体" w:cs="宋体"/>
          <w:color w:val="000000"/>
          <w:szCs w:val="21"/>
          <w:highlight w:val="none"/>
        </w:rPr>
      </w:pPr>
      <w:r>
        <w:rPr>
          <w:rFonts w:ascii="宋体" w:hAnsi="宋体" w:cs="宋体"/>
          <w:color w:val="000000"/>
          <w:szCs w:val="21"/>
        </w:rPr>
        <w:t>(1)法定代表人参加未提供有效的法定代表人身份证明的；委托代理人参加未提供有效的法定代表人授权书的；</w:t>
      </w:r>
    </w:p>
    <w:p w14:paraId="13B93451">
      <w:pPr>
        <w:snapToGrid w:val="0"/>
        <w:spacing w:line="400" w:lineRule="exact"/>
        <w:ind w:firstLine="420"/>
        <w:rPr>
          <w:rFonts w:ascii="宋体" w:hAnsi="宋体" w:cs="宋体"/>
          <w:color w:val="000000"/>
          <w:szCs w:val="21"/>
          <w:highlight w:val="none"/>
        </w:rPr>
      </w:pPr>
      <w:r>
        <w:rPr>
          <w:rFonts w:ascii="宋体" w:hAnsi="宋体" w:cs="宋体"/>
          <w:color w:val="000000"/>
          <w:szCs w:val="21"/>
        </w:rPr>
        <w:t>(2)供应商为本项目提供采购代理服务的；</w:t>
      </w:r>
    </w:p>
    <w:p w14:paraId="1689C057">
      <w:pPr>
        <w:snapToGrid w:val="0"/>
        <w:spacing w:line="400" w:lineRule="exact"/>
        <w:ind w:firstLine="420"/>
        <w:rPr>
          <w:rFonts w:ascii="宋体" w:hAnsi="宋体" w:cs="宋体"/>
          <w:color w:val="000000"/>
          <w:szCs w:val="21"/>
          <w:highlight w:val="none"/>
        </w:rPr>
      </w:pPr>
      <w:r>
        <w:rPr>
          <w:rFonts w:ascii="宋体" w:hAnsi="宋体" w:cs="宋体"/>
          <w:color w:val="000000"/>
          <w:szCs w:val="21"/>
        </w:rPr>
        <w:t>(3)供应商与在本项目代理机构存在相互任职或工作的；</w:t>
      </w:r>
    </w:p>
    <w:p w14:paraId="412DE872">
      <w:pPr>
        <w:snapToGrid w:val="0"/>
        <w:spacing w:line="400" w:lineRule="exact"/>
        <w:ind w:firstLine="420"/>
        <w:rPr>
          <w:rFonts w:ascii="宋体" w:hAnsi="宋体" w:cs="宋体"/>
          <w:color w:val="000000"/>
          <w:szCs w:val="21"/>
          <w:highlight w:val="none"/>
        </w:rPr>
      </w:pPr>
      <w:r>
        <w:rPr>
          <w:rFonts w:ascii="宋体" w:hAnsi="宋体" w:cs="宋体"/>
          <w:color w:val="000000"/>
          <w:szCs w:val="21"/>
        </w:rPr>
        <w:t>(4)磋商保证金未按规定要求缴纳的；</w:t>
      </w:r>
    </w:p>
    <w:p w14:paraId="13B88B1B">
      <w:pPr>
        <w:snapToGrid w:val="0"/>
        <w:spacing w:line="400" w:lineRule="exact"/>
        <w:ind w:firstLine="420"/>
        <w:rPr>
          <w:rFonts w:ascii="宋体" w:hAnsi="宋体" w:cs="宋体"/>
          <w:color w:val="000000"/>
          <w:szCs w:val="21"/>
          <w:highlight w:val="none"/>
        </w:rPr>
      </w:pPr>
      <w:r>
        <w:rPr>
          <w:rFonts w:ascii="宋体" w:hAnsi="宋体" w:cs="宋体"/>
          <w:color w:val="000000"/>
          <w:szCs w:val="21"/>
        </w:rPr>
        <w:t>(5</w:t>
      </w:r>
      <w:r>
        <w:rPr>
          <w:rFonts w:ascii="宋体" w:hAnsi="宋体" w:eastAsia="宋体" w:cs="宋体"/>
          <w:color w:val="000000"/>
          <w:szCs w:val="21"/>
        </w:rPr>
        <w:t>)</w:t>
      </w:r>
      <w:r>
        <w:rPr>
          <w:rFonts w:ascii="宋体" w:hAnsi="宋体" w:cs="宋体"/>
          <w:color w:val="000000"/>
          <w:szCs w:val="21"/>
        </w:rPr>
        <w:t>评审专家无法查看并检验电子标书中相关资料的；</w:t>
      </w:r>
    </w:p>
    <w:p w14:paraId="5FD60938">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6</w:t>
      </w:r>
      <w:r>
        <w:rPr>
          <w:rFonts w:ascii="宋体" w:hAnsi="宋体" w:cs="宋体"/>
          <w:color w:val="000000"/>
          <w:szCs w:val="21"/>
        </w:rPr>
        <w:t>)联合体响应未提交联合体协议的；</w:t>
      </w:r>
    </w:p>
    <w:p w14:paraId="0915F2B5">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7</w:t>
      </w:r>
      <w:r>
        <w:rPr>
          <w:rFonts w:ascii="宋体" w:hAnsi="宋体" w:cs="宋体"/>
          <w:color w:val="000000"/>
          <w:szCs w:val="21"/>
        </w:rPr>
        <w:t>)被暂停营业的；</w:t>
      </w:r>
    </w:p>
    <w:p w14:paraId="562DD01E">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8</w:t>
      </w:r>
      <w:r>
        <w:rPr>
          <w:rFonts w:ascii="宋体" w:hAnsi="宋体" w:cs="宋体"/>
          <w:color w:val="000000"/>
          <w:szCs w:val="21"/>
        </w:rPr>
        <w:t>)被暂停或取消响应资格的；</w:t>
      </w:r>
    </w:p>
    <w:p w14:paraId="728C9537">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9</w:t>
      </w:r>
      <w:r>
        <w:rPr>
          <w:rFonts w:ascii="宋体" w:hAnsi="宋体" w:cs="宋体"/>
          <w:color w:val="000000"/>
          <w:szCs w:val="21"/>
        </w:rPr>
        <w:t>)财产被接管或冻结的；</w:t>
      </w:r>
    </w:p>
    <w:p w14:paraId="092DDDD2">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0</w:t>
      </w:r>
      <w:r>
        <w:rPr>
          <w:rFonts w:ascii="宋体" w:hAnsi="宋体" w:cs="宋体"/>
          <w:color w:val="000000"/>
          <w:szCs w:val="21"/>
        </w:rPr>
        <w:t>)供应商单位负责人为同一人或者存在控股、管理关系的不同单位的；</w:t>
      </w:r>
    </w:p>
    <w:p w14:paraId="563C2976">
      <w:pPr>
        <w:snapToGrid w:val="0"/>
        <w:spacing w:line="400" w:lineRule="exact"/>
        <w:ind w:firstLine="315"/>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1</w:t>
      </w:r>
      <w:r>
        <w:rPr>
          <w:rFonts w:ascii="宋体" w:hAnsi="宋体" w:cs="宋体"/>
          <w:color w:val="000000"/>
          <w:szCs w:val="21"/>
        </w:rPr>
        <w:t>）供应商基本资格条件和特定资格条件中有一项及以上不符合要求的；</w:t>
      </w:r>
    </w:p>
    <w:p w14:paraId="66782DBD">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2</w:t>
      </w:r>
      <w:r>
        <w:rPr>
          <w:rFonts w:ascii="宋体" w:hAnsi="宋体" w:cs="宋体"/>
          <w:color w:val="000000"/>
          <w:szCs w:val="21"/>
        </w:rPr>
        <w:t>）供应商使用相同的MAC地址进行报名的；</w:t>
      </w:r>
    </w:p>
    <w:p w14:paraId="52E5BF16">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3</w:t>
      </w:r>
      <w:r>
        <w:rPr>
          <w:rFonts w:ascii="宋体" w:hAnsi="宋体" w:cs="宋体"/>
          <w:color w:val="000000"/>
          <w:szCs w:val="21"/>
        </w:rPr>
        <w:t>）其它情形，经磋商小组提出按无效响应处理，并经监督部门核准的；</w:t>
      </w:r>
    </w:p>
    <w:p w14:paraId="2C41A67B">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4</w:t>
      </w:r>
      <w:r>
        <w:rPr>
          <w:rFonts w:ascii="宋体" w:hAnsi="宋体" w:cs="宋体"/>
          <w:color w:val="000000"/>
          <w:szCs w:val="21"/>
        </w:rPr>
        <w:t>）供应商使用相同IP地址报名的，一经发现，监管部门将进一步核实，查实后按串通响应处理；</w:t>
      </w:r>
    </w:p>
    <w:p w14:paraId="4D5C8C27">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5</w:t>
      </w:r>
      <w:r>
        <w:rPr>
          <w:rFonts w:ascii="宋体" w:hAnsi="宋体" w:cs="宋体"/>
          <w:color w:val="000000"/>
          <w:szCs w:val="21"/>
        </w:rPr>
        <w:t>）</w:t>
      </w:r>
      <w:r>
        <w:rPr>
          <w:rFonts w:ascii="宋体" w:hAnsi="宋体" w:cs="宋体"/>
          <w:color w:val="000000"/>
          <w:szCs w:val="21"/>
          <w:lang w:eastAsia="zh-CN"/>
        </w:rPr>
        <w:t>采购文件</w:t>
      </w:r>
      <w:r>
        <w:rPr>
          <w:rFonts w:ascii="宋体" w:hAnsi="宋体" w:cs="宋体"/>
          <w:color w:val="000000"/>
          <w:szCs w:val="21"/>
        </w:rPr>
        <w:t>规定的其它无效响应情形。</w:t>
      </w:r>
    </w:p>
    <w:p w14:paraId="01A42E27">
      <w:pPr>
        <w:snapToGrid w:val="0"/>
        <w:spacing w:line="400" w:lineRule="exact"/>
        <w:rPr>
          <w:rFonts w:ascii="宋体" w:hAnsi="宋体" w:cs="宋体"/>
          <w:color w:val="000000"/>
          <w:szCs w:val="21"/>
          <w:highlight w:val="none"/>
        </w:rPr>
      </w:pPr>
      <w:r>
        <w:rPr>
          <w:rFonts w:ascii="宋体" w:hAnsi="宋体" w:cs="宋体"/>
          <w:color w:val="000000"/>
          <w:szCs w:val="21"/>
        </w:rPr>
        <w:t xml:space="preserve">   </w:t>
      </w:r>
      <w:r>
        <w:rPr>
          <w:rFonts w:ascii="宋体" w:hAnsi="宋体" w:cs="宋体"/>
          <w:color w:val="000000"/>
          <w:szCs w:val="21"/>
          <w:lang w:val="en-US" w:eastAsia="zh-CN"/>
        </w:rPr>
        <w:t>12</w:t>
      </w:r>
      <w:r>
        <w:rPr>
          <w:rFonts w:ascii="宋体" w:hAnsi="宋体" w:cs="宋体"/>
          <w:color w:val="000000"/>
          <w:szCs w:val="21"/>
        </w:rPr>
        <w:t>.3 供应商有下列情形之一的,符合性审查后其响应按无效响应处理：</w:t>
      </w:r>
    </w:p>
    <w:p w14:paraId="2729099F">
      <w:pPr>
        <w:snapToGrid w:val="0"/>
        <w:spacing w:line="400" w:lineRule="exact"/>
        <w:ind w:firstLine="420"/>
        <w:rPr>
          <w:rFonts w:ascii="宋体" w:hAnsi="宋体" w:cs="宋体"/>
          <w:color w:val="000000"/>
          <w:szCs w:val="21"/>
          <w:highlight w:val="none"/>
        </w:rPr>
      </w:pPr>
      <w:r>
        <w:rPr>
          <w:rFonts w:ascii="宋体" w:hAnsi="宋体" w:eastAsia="宋体" w:cs="宋体"/>
          <w:color w:val="000000"/>
          <w:szCs w:val="21"/>
        </w:rPr>
        <w:t xml:space="preserve">(1) </w:t>
      </w:r>
      <w:r>
        <w:rPr>
          <w:rFonts w:ascii="宋体" w:hAnsi="宋体" w:cs="宋体"/>
          <w:color w:val="000000"/>
          <w:szCs w:val="21"/>
        </w:rPr>
        <w:t>响应文件签字、盖章不全，经磋商小组一致认定对开评审内容有实质性影响并经监督部门核准的；</w:t>
      </w:r>
    </w:p>
    <w:p w14:paraId="272A5963">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2</w:t>
      </w:r>
      <w:r>
        <w:rPr>
          <w:rFonts w:ascii="宋体" w:hAnsi="宋体" w:cs="宋体"/>
          <w:color w:val="000000"/>
          <w:szCs w:val="21"/>
        </w:rPr>
        <w:t>)未按规定的格式填写，实质性内容不全或关键字迹模糊、无法辨认; 经监督部门核准的；</w:t>
      </w:r>
    </w:p>
    <w:p w14:paraId="72B51D31">
      <w:pPr>
        <w:snapToGrid w:val="0"/>
        <w:spacing w:line="400" w:lineRule="exact"/>
        <w:ind w:firstLine="420"/>
        <w:rPr>
          <w:rFonts w:ascii="宋体" w:hAnsi="宋体" w:cs="宋体"/>
          <w:color w:val="000000"/>
          <w:szCs w:val="21"/>
          <w:highlight w:val="none"/>
        </w:rPr>
      </w:pPr>
      <w:r>
        <w:rPr>
          <w:rFonts w:ascii="宋体" w:hAnsi="宋体" w:cs="宋体"/>
          <w:color w:val="000000"/>
          <w:szCs w:val="21"/>
        </w:rPr>
        <w:t>(4)同一供应商提交两个以上不同的响应文件或者磋商报价，但</w:t>
      </w:r>
      <w:r>
        <w:rPr>
          <w:rFonts w:ascii="宋体" w:hAnsi="宋体" w:cs="宋体"/>
          <w:color w:val="000000"/>
          <w:szCs w:val="21"/>
          <w:lang w:eastAsia="zh-CN"/>
        </w:rPr>
        <w:t>采购文件</w:t>
      </w:r>
      <w:r>
        <w:rPr>
          <w:rFonts w:ascii="宋体" w:hAnsi="宋体" w:cs="宋体"/>
          <w:color w:val="000000"/>
          <w:szCs w:val="21"/>
        </w:rPr>
        <w:t>规定提交备选方案的除外；</w:t>
      </w:r>
    </w:p>
    <w:p w14:paraId="5A8011EB">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3</w:t>
      </w:r>
      <w:r>
        <w:rPr>
          <w:rFonts w:ascii="宋体" w:hAnsi="宋体" w:cs="宋体"/>
          <w:color w:val="000000"/>
          <w:szCs w:val="21"/>
        </w:rPr>
        <w:t>)响应文件没有对</w:t>
      </w:r>
      <w:r>
        <w:rPr>
          <w:rFonts w:ascii="宋体" w:hAnsi="宋体" w:cs="宋体"/>
          <w:color w:val="000000"/>
          <w:szCs w:val="21"/>
          <w:lang w:eastAsia="zh-CN"/>
        </w:rPr>
        <w:t>采购文件</w:t>
      </w:r>
      <w:r>
        <w:rPr>
          <w:rFonts w:ascii="宋体" w:hAnsi="宋体" w:cs="宋体"/>
          <w:color w:val="000000"/>
          <w:szCs w:val="21"/>
        </w:rPr>
        <w:t>的实质性要求和条件作出响应;</w:t>
      </w:r>
    </w:p>
    <w:p w14:paraId="08FE0B29">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4</w:t>
      </w:r>
      <w:r>
        <w:rPr>
          <w:rFonts w:ascii="宋体" w:hAnsi="宋体" w:cs="宋体"/>
          <w:color w:val="000000"/>
          <w:szCs w:val="21"/>
        </w:rPr>
        <w:t>)磋商报价超出规定的响应</w:t>
      </w:r>
      <w:r>
        <w:rPr>
          <w:rFonts w:ascii="宋体" w:hAnsi="宋体" w:cs="宋体"/>
          <w:color w:val="000000"/>
          <w:szCs w:val="21"/>
          <w:lang w:val="en-US" w:eastAsia="zh-CN"/>
        </w:rPr>
        <w:t>最高</w:t>
      </w:r>
      <w:r>
        <w:rPr>
          <w:rFonts w:ascii="宋体" w:hAnsi="宋体" w:cs="宋体"/>
          <w:color w:val="000000"/>
          <w:szCs w:val="21"/>
        </w:rPr>
        <w:t>限价。</w:t>
      </w:r>
    </w:p>
    <w:p w14:paraId="5AF15B0C">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5</w:t>
      </w:r>
      <w:r>
        <w:rPr>
          <w:rFonts w:ascii="宋体" w:hAnsi="宋体" w:cs="宋体"/>
          <w:color w:val="000000"/>
          <w:szCs w:val="21"/>
        </w:rPr>
        <w:t>)不按磋商小组要求澄清、说明或补正的，或者磋商小组根据</w:t>
      </w:r>
      <w:r>
        <w:rPr>
          <w:rFonts w:ascii="宋体" w:hAnsi="宋体" w:cs="宋体"/>
          <w:color w:val="000000"/>
          <w:szCs w:val="21"/>
          <w:lang w:eastAsia="zh-CN"/>
        </w:rPr>
        <w:t>采购文件</w:t>
      </w:r>
      <w:r>
        <w:rPr>
          <w:rFonts w:ascii="宋体" w:hAnsi="宋体" w:cs="宋体"/>
          <w:color w:val="000000"/>
          <w:szCs w:val="21"/>
        </w:rPr>
        <w:t>的规定对</w:t>
      </w:r>
      <w:r>
        <w:rPr>
          <w:rFonts w:ascii="宋体" w:hAnsi="宋体" w:cs="宋体"/>
          <w:color w:val="000000"/>
          <w:szCs w:val="21"/>
          <w:lang w:eastAsia="zh-CN"/>
        </w:rPr>
        <w:t>采购文件</w:t>
      </w:r>
      <w:r>
        <w:rPr>
          <w:rFonts w:ascii="宋体" w:hAnsi="宋体" w:cs="宋体"/>
          <w:color w:val="000000"/>
          <w:szCs w:val="21"/>
        </w:rPr>
        <w:t>的计算错误进行修正后，供应商不接受修正的磋商报价的。</w:t>
      </w:r>
    </w:p>
    <w:p w14:paraId="7B91ACDB">
      <w:pPr>
        <w:spacing w:line="360" w:lineRule="auto"/>
        <w:ind w:firstLine="31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lang w:val="en-US" w:eastAsia="zh-CN"/>
        </w:rPr>
        <w:t>6</w:t>
      </w:r>
      <w:r>
        <w:rPr>
          <w:rFonts w:ascii="宋体" w:hAnsi="宋体" w:cs="宋体"/>
          <w:color w:val="000000"/>
          <w:szCs w:val="21"/>
        </w:rPr>
        <w:t>）其它情形，经磋商小组提出按无效响应处理，并经监督部门核准的；</w:t>
      </w:r>
    </w:p>
    <w:p w14:paraId="6CA0F771">
      <w:pPr>
        <w:spacing w:line="360" w:lineRule="auto"/>
        <w:ind w:firstLine="31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lang w:val="en-US" w:eastAsia="zh-CN"/>
        </w:rPr>
        <w:t>7</w:t>
      </w:r>
      <w:r>
        <w:rPr>
          <w:rFonts w:ascii="宋体" w:hAnsi="宋体" w:cs="宋体"/>
          <w:color w:val="000000"/>
          <w:szCs w:val="21"/>
        </w:rPr>
        <w:t>）未按照</w:t>
      </w:r>
      <w:r>
        <w:rPr>
          <w:rFonts w:ascii="宋体" w:hAnsi="宋体" w:cs="宋体"/>
          <w:color w:val="000000"/>
          <w:szCs w:val="21"/>
          <w:lang w:eastAsia="zh-CN"/>
        </w:rPr>
        <w:t>磋商文件</w:t>
      </w:r>
      <w:r>
        <w:rPr>
          <w:rFonts w:ascii="宋体" w:hAnsi="宋体" w:cs="宋体"/>
          <w:color w:val="000000"/>
          <w:szCs w:val="21"/>
        </w:rPr>
        <w:t>的规定提交磋商保证金的；</w:t>
      </w:r>
    </w:p>
    <w:p w14:paraId="355C3878">
      <w:pPr>
        <w:spacing w:line="360" w:lineRule="auto"/>
        <w:ind w:firstLine="31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lang w:val="en-US" w:eastAsia="zh-CN"/>
        </w:rPr>
        <w:t>8</w:t>
      </w:r>
      <w:r>
        <w:rPr>
          <w:rFonts w:ascii="宋体" w:hAnsi="宋体" w:cs="宋体"/>
          <w:color w:val="000000"/>
          <w:szCs w:val="21"/>
        </w:rPr>
        <w:t>）响应文件含有采购人不能接受的附加条件的</w:t>
      </w:r>
      <w:r>
        <w:rPr>
          <w:rFonts w:ascii="宋体" w:hAnsi="宋体" w:eastAsia="宋体" w:cs="宋体"/>
          <w:color w:val="000000"/>
          <w:szCs w:val="21"/>
        </w:rPr>
        <w:t>;</w:t>
      </w:r>
    </w:p>
    <w:p w14:paraId="7035039C">
      <w:pPr>
        <w:spacing w:line="360" w:lineRule="auto"/>
        <w:ind w:firstLine="31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lang w:val="en-US" w:eastAsia="zh-CN"/>
        </w:rPr>
        <w:t>9</w:t>
      </w:r>
      <w:r>
        <w:rPr>
          <w:rFonts w:ascii="宋体" w:hAnsi="宋体" w:cs="宋体"/>
          <w:color w:val="000000"/>
          <w:szCs w:val="21"/>
        </w:rPr>
        <w:t>）</w:t>
      </w:r>
      <w:r>
        <w:rPr>
          <w:rFonts w:ascii="宋体" w:hAnsi="宋体" w:cs="宋体"/>
          <w:color w:val="000000"/>
          <w:szCs w:val="21"/>
          <w:lang w:eastAsia="zh-CN"/>
        </w:rPr>
        <w:t>采购文件</w:t>
      </w:r>
      <w:r>
        <w:rPr>
          <w:rFonts w:ascii="宋体" w:hAnsi="宋体" w:cs="宋体"/>
          <w:color w:val="000000"/>
          <w:szCs w:val="21"/>
        </w:rPr>
        <w:t>规定的其它无效响应情形。</w:t>
      </w:r>
    </w:p>
    <w:p w14:paraId="04E614F7">
      <w:pPr>
        <w:spacing w:line="360" w:lineRule="auto"/>
        <w:ind w:firstLine="315"/>
        <w:jc w:val="left"/>
        <w:rPr>
          <w:rFonts w:ascii="宋体" w:hAnsi="宋体" w:eastAsia="宋体" w:cs="宋体"/>
          <w:color w:val="000000"/>
          <w:szCs w:val="21"/>
          <w:highlight w:val="none"/>
        </w:rPr>
      </w:pPr>
      <w:r>
        <w:rPr>
          <w:rFonts w:ascii="宋体" w:hAnsi="宋体" w:eastAsia="宋体" w:cs="宋体"/>
          <w:color w:val="000000"/>
          <w:szCs w:val="21"/>
          <w:lang w:val="en-US" w:eastAsia="zh-CN"/>
        </w:rPr>
        <w:t>12</w:t>
      </w:r>
      <w:r>
        <w:rPr>
          <w:rFonts w:ascii="宋体" w:hAnsi="宋体" w:eastAsia="宋体" w:cs="宋体"/>
          <w:color w:val="000000"/>
          <w:szCs w:val="21"/>
        </w:rPr>
        <w:t xml:space="preserve">.4 </w:t>
      </w:r>
      <w:r>
        <w:rPr>
          <w:rFonts w:ascii="宋体" w:hAnsi="宋体" w:cs="宋体"/>
          <w:color w:val="000000"/>
          <w:szCs w:val="21"/>
        </w:rPr>
        <w:t>供应商有下列情形之一的</w:t>
      </w:r>
      <w:r>
        <w:rPr>
          <w:rFonts w:ascii="宋体" w:hAnsi="宋体" w:eastAsia="宋体" w:cs="宋体"/>
          <w:color w:val="000000"/>
          <w:szCs w:val="21"/>
        </w:rPr>
        <w:t xml:space="preserve">, </w:t>
      </w:r>
      <w:r>
        <w:rPr>
          <w:rFonts w:ascii="宋体" w:hAnsi="宋体" w:cs="宋体"/>
          <w:color w:val="000000"/>
          <w:szCs w:val="21"/>
        </w:rPr>
        <w:t>详细评审后其响应按无效响应处理：</w:t>
      </w:r>
    </w:p>
    <w:p w14:paraId="026A3694">
      <w:pPr>
        <w:spacing w:line="360" w:lineRule="auto"/>
        <w:ind w:firstLine="525"/>
        <w:jc w:val="left"/>
        <w:rPr>
          <w:rFonts w:ascii="宋体" w:hAnsi="宋体" w:eastAsia="宋体" w:cs="宋体"/>
          <w:color w:val="000000"/>
          <w:szCs w:val="21"/>
          <w:highlight w:val="none"/>
        </w:rPr>
      </w:pPr>
      <w:r>
        <w:rPr>
          <w:rFonts w:ascii="宋体" w:hAnsi="宋体" w:eastAsia="宋体" w:cs="宋体"/>
          <w:color w:val="000000"/>
          <w:szCs w:val="21"/>
        </w:rPr>
        <w:t>(1)</w:t>
      </w:r>
      <w:r>
        <w:rPr>
          <w:rFonts w:ascii="宋体" w:hAnsi="宋体" w:cs="宋体"/>
          <w:color w:val="000000"/>
          <w:szCs w:val="21"/>
        </w:rPr>
        <w:t>响应产品不符合必须强制执行的国家标准的；</w:t>
      </w:r>
    </w:p>
    <w:p w14:paraId="1B97287F">
      <w:pPr>
        <w:spacing w:line="360" w:lineRule="auto"/>
        <w:ind w:firstLine="525"/>
        <w:jc w:val="left"/>
        <w:rPr>
          <w:rFonts w:ascii="宋体" w:hAnsi="宋体" w:eastAsia="宋体" w:cs="宋体"/>
          <w:color w:val="000000"/>
          <w:szCs w:val="21"/>
          <w:highlight w:val="none"/>
        </w:rPr>
      </w:pPr>
      <w:r>
        <w:rPr>
          <w:rFonts w:ascii="宋体" w:hAnsi="宋体" w:eastAsia="宋体" w:cs="宋体"/>
          <w:color w:val="000000"/>
          <w:szCs w:val="21"/>
        </w:rPr>
        <w:t>(2)</w:t>
      </w:r>
      <w:r>
        <w:rPr>
          <w:rFonts w:ascii="宋体" w:hAnsi="宋体" w:cs="宋体"/>
          <w:color w:val="000000"/>
          <w:szCs w:val="21"/>
        </w:rPr>
        <w:t>供应商有串通响应、弄虚作假、行贿等违法行为；</w:t>
      </w:r>
    </w:p>
    <w:p w14:paraId="131C6608">
      <w:pPr>
        <w:spacing w:line="360" w:lineRule="auto"/>
        <w:ind w:firstLine="525"/>
        <w:jc w:val="left"/>
        <w:rPr>
          <w:rFonts w:ascii="宋体" w:hAnsi="宋体" w:eastAsia="宋体" w:cs="宋体"/>
          <w:color w:val="000000"/>
          <w:szCs w:val="21"/>
          <w:highlight w:val="none"/>
        </w:rPr>
      </w:pPr>
      <w:r>
        <w:rPr>
          <w:rFonts w:ascii="宋体" w:hAnsi="宋体" w:eastAsia="宋体" w:cs="宋体"/>
          <w:color w:val="000000"/>
          <w:szCs w:val="21"/>
        </w:rPr>
        <w:t>(3)</w:t>
      </w:r>
      <w:r>
        <w:rPr>
          <w:rFonts w:ascii="宋体" w:hAnsi="宋体" w:cs="宋体"/>
          <w:color w:val="000000"/>
          <w:szCs w:val="21"/>
        </w:rPr>
        <w:t>响应文件含有违反国家法律、法规的内容，或附有采购人不能接受的条件的；</w:t>
      </w:r>
    </w:p>
    <w:p w14:paraId="15A604D0">
      <w:pPr>
        <w:spacing w:line="360" w:lineRule="auto"/>
        <w:ind w:firstLine="52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rPr>
        <w:t>4</w:t>
      </w:r>
      <w:r>
        <w:rPr>
          <w:rFonts w:ascii="宋体" w:hAnsi="宋体" w:cs="宋体"/>
          <w:color w:val="000000"/>
          <w:szCs w:val="21"/>
        </w:rPr>
        <w:t>）在同一项目（或同一标段）中有多个供应商有效磋商报价接近最高限价，且磋商小组认为报价出现异常的，可以宣布其响应无效；</w:t>
      </w:r>
    </w:p>
    <w:p w14:paraId="3A4CA746">
      <w:pPr>
        <w:spacing w:line="360" w:lineRule="auto"/>
        <w:ind w:firstLine="52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rPr>
        <w:t>5</w:t>
      </w:r>
      <w:r>
        <w:rPr>
          <w:rFonts w:ascii="宋体" w:hAnsi="宋体" w:cs="宋体"/>
          <w:color w:val="000000"/>
          <w:szCs w:val="21"/>
        </w:rPr>
        <w:t>）报价明显低于其他供应商，且不能证明报价合理性的响应无效；</w:t>
      </w:r>
    </w:p>
    <w:p w14:paraId="29C7F149">
      <w:pPr>
        <w:spacing w:line="360" w:lineRule="auto"/>
        <w:ind w:firstLine="52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rPr>
        <w:t>6</w:t>
      </w:r>
      <w:r>
        <w:rPr>
          <w:rFonts w:ascii="宋体" w:hAnsi="宋体" w:cs="宋体"/>
          <w:color w:val="000000"/>
          <w:szCs w:val="21"/>
        </w:rPr>
        <w:t>）拒不确认磋商小组评审修正的响应无效；</w:t>
      </w:r>
    </w:p>
    <w:p w14:paraId="5CD1179B">
      <w:pPr>
        <w:spacing w:line="360" w:lineRule="auto"/>
        <w:ind w:firstLine="52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rPr>
        <w:t>7</w:t>
      </w:r>
      <w:r>
        <w:rPr>
          <w:rFonts w:ascii="宋体" w:hAnsi="宋体" w:cs="宋体"/>
          <w:color w:val="000000"/>
          <w:szCs w:val="21"/>
        </w:rPr>
        <w:t>）其它情形，经磋商小组提出按无效响应处理，并经监督部门核准的；</w:t>
      </w:r>
    </w:p>
    <w:p w14:paraId="03BA60E5">
      <w:pPr>
        <w:spacing w:line="360" w:lineRule="auto"/>
        <w:ind w:firstLine="525"/>
        <w:jc w:val="left"/>
        <w:rPr>
          <w:rFonts w:ascii="宋体" w:hAnsi="宋体" w:eastAsia="宋体" w:cs="宋体"/>
          <w:color w:val="000000"/>
          <w:szCs w:val="21"/>
          <w:highlight w:val="none"/>
        </w:rPr>
        <w:sectPr>
          <w:headerReference r:id="rId5" w:type="default"/>
          <w:footerReference r:id="rId6" w:type="default"/>
          <w:pgSz w:w="11906" w:h="16838" w:orient="landscape"/>
          <w:pgMar w:top="1157" w:right="969" w:bottom="1157" w:left="1083" w:header="851" w:footer="992" w:gutter="0"/>
          <w:pgNumType w:fmt="decimal"/>
          <w:cols w:space="720" w:num="1"/>
          <w:formProt w:val="0"/>
          <w:docGrid w:type="linesAndChars" w:linePitch="312" w:charSpace="0"/>
        </w:sectPr>
      </w:pPr>
      <w:r>
        <w:rPr>
          <w:rFonts w:ascii="宋体" w:hAnsi="宋体" w:cs="宋体"/>
          <w:color w:val="000000"/>
          <w:szCs w:val="21"/>
        </w:rPr>
        <w:t>（</w:t>
      </w:r>
      <w:r>
        <w:rPr>
          <w:rFonts w:ascii="宋体" w:hAnsi="宋体" w:eastAsia="宋体" w:cs="宋体"/>
          <w:color w:val="000000"/>
          <w:szCs w:val="21"/>
        </w:rPr>
        <w:t>8</w:t>
      </w:r>
      <w:r>
        <w:rPr>
          <w:rFonts w:ascii="宋体" w:hAnsi="宋体" w:cs="宋体"/>
          <w:color w:val="000000"/>
          <w:szCs w:val="21"/>
        </w:rPr>
        <w:t>）</w:t>
      </w:r>
      <w:r>
        <w:rPr>
          <w:rFonts w:ascii="宋体" w:hAnsi="宋体" w:cs="宋体"/>
          <w:color w:val="000000"/>
          <w:szCs w:val="21"/>
          <w:lang w:eastAsia="zh-CN"/>
        </w:rPr>
        <w:t>采购文件</w:t>
      </w:r>
      <w:r>
        <w:rPr>
          <w:rFonts w:ascii="宋体" w:hAnsi="宋体" w:cs="宋体"/>
          <w:color w:val="000000"/>
          <w:szCs w:val="21"/>
        </w:rPr>
        <w:t>规定的其它无效响应情形。</w:t>
      </w:r>
      <w:r>
        <w:br w:type="page"/>
      </w:r>
    </w:p>
    <w:p w14:paraId="19FAE3D9">
      <w:pPr>
        <w:numPr>
          <w:ilvl w:val="0"/>
          <w:numId w:val="9"/>
        </w:numPr>
        <w:spacing w:line="360" w:lineRule="auto"/>
        <w:jc w:val="center"/>
        <w:outlineLvl w:val="0"/>
        <w:rPr>
          <w:rFonts w:ascii="宋体" w:hAnsi="宋体"/>
          <w:b/>
          <w:color w:val="000000"/>
          <w:sz w:val="32"/>
          <w:szCs w:val="32"/>
          <w:highlight w:val="none"/>
        </w:rPr>
      </w:pPr>
      <w:bookmarkStart w:id="8" w:name="OLE_LINK4"/>
      <w:bookmarkEnd w:id="8"/>
      <w:bookmarkStart w:id="9" w:name="__RefHeading___Toc469495737"/>
      <w:r>
        <w:rPr>
          <w:rFonts w:ascii="宋体" w:hAnsi="宋体" w:cs="宋体"/>
          <w:b/>
          <w:color w:val="000000"/>
          <w:sz w:val="32"/>
          <w:szCs w:val="32"/>
        </w:rPr>
        <w:t xml:space="preserve"> </w:t>
      </w:r>
      <w:bookmarkEnd w:id="9"/>
      <w:r>
        <w:rPr>
          <w:rFonts w:ascii="宋体" w:hAnsi="宋体" w:cs="Times New Roman"/>
          <w:b/>
          <w:color w:val="000000"/>
          <w:sz w:val="32"/>
          <w:szCs w:val="32"/>
          <w:lang w:val="en-US" w:eastAsia="zh-CN"/>
        </w:rPr>
        <w:t>工程量清单及商务要求</w:t>
      </w:r>
    </w:p>
    <w:p w14:paraId="0EB289C5">
      <w:pPr>
        <w:pStyle w:val="8"/>
        <w:rPr>
          <w:rFonts w:ascii="宋体" w:hAnsi="宋体"/>
          <w:b/>
          <w:color w:val="000000"/>
          <w:sz w:val="32"/>
          <w:szCs w:val="32"/>
          <w:highlight w:val="none"/>
        </w:rPr>
      </w:pPr>
    </w:p>
    <w:p w14:paraId="6F891B0F">
      <w:pPr>
        <w:rPr>
          <w:rFonts w:ascii="宋体" w:hAnsi="宋体" w:cs="宋体"/>
          <w:b/>
          <w:bCs/>
          <w:color w:val="000000"/>
          <w:szCs w:val="21"/>
          <w:highlight w:val="none"/>
          <w:lang w:val="en-US" w:eastAsia="zh-CN"/>
        </w:rPr>
      </w:pPr>
      <w:r>
        <w:rPr>
          <w:rFonts w:ascii="宋体" w:hAnsi="宋体" w:cs="宋体"/>
          <w:b/>
          <w:bCs/>
          <w:color w:val="000000"/>
          <w:szCs w:val="21"/>
          <w:lang w:val="en-US" w:eastAsia="zh-CN"/>
        </w:rPr>
        <w:t>一、工程量清单（另卷）</w:t>
      </w:r>
    </w:p>
    <w:p w14:paraId="6DD12FEC">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color w:val="0000FF"/>
          <w:kern w:val="2"/>
          <w:sz w:val="21"/>
          <w:szCs w:val="24"/>
          <w:lang w:val="en-US" w:eastAsia="zh-CN" w:bidi="ar-SA"/>
        </w:rPr>
      </w:pPr>
      <w:r>
        <w:rPr>
          <w:rFonts w:ascii="Times New Roman" w:hAnsi="Times New Roman" w:cs="Times New Roman"/>
          <w:color w:val="0000FF"/>
          <w:kern w:val="2"/>
          <w:sz w:val="21"/>
          <w:szCs w:val="24"/>
          <w:lang w:val="en-US" w:eastAsia="zh-CN" w:bidi="ar-SA"/>
        </w:rPr>
        <w:t>具体工程量清单详见附件</w:t>
      </w:r>
    </w:p>
    <w:p w14:paraId="4B6726CD">
      <w:pPr>
        <w:keepNext w:val="0"/>
        <w:keepLines w:val="0"/>
        <w:pageBreakBefore w:val="0"/>
        <w:kinsoku/>
        <w:overflowPunct/>
        <w:autoSpaceDE/>
        <w:bidi w:val="0"/>
        <w:snapToGrid/>
        <w:spacing w:line="440" w:lineRule="exact"/>
        <w:jc w:val="left"/>
        <w:textAlignment w:val="auto"/>
        <w:rPr>
          <w:rFonts w:ascii="宋体" w:hAnsi="宋体" w:eastAsia="宋体" w:cs="宋体"/>
          <w:b/>
          <w:bCs/>
          <w:color w:val="000000"/>
          <w:sz w:val="21"/>
          <w:szCs w:val="21"/>
          <w:highlight w:val="none"/>
        </w:rPr>
      </w:pPr>
      <w:r>
        <w:rPr>
          <w:rFonts w:ascii="宋体" w:hAnsi="宋体" w:cs="宋体"/>
          <w:b/>
          <w:bCs/>
          <w:color w:val="000000"/>
          <w:sz w:val="21"/>
          <w:szCs w:val="21"/>
          <w:lang w:val="en-US" w:eastAsia="zh-CN"/>
        </w:rPr>
        <w:t>二、商务</w:t>
      </w:r>
      <w:r>
        <w:rPr>
          <w:rFonts w:ascii="宋体" w:hAnsi="宋体" w:cs="宋体"/>
          <w:b/>
          <w:bCs/>
          <w:color w:val="000000"/>
          <w:sz w:val="21"/>
          <w:szCs w:val="21"/>
        </w:rPr>
        <w:t>要求</w:t>
      </w:r>
    </w:p>
    <w:p w14:paraId="34AF1816">
      <w:pPr>
        <w:keepNext w:val="0"/>
        <w:keepLines w:val="0"/>
        <w:pageBreakBefore w:val="0"/>
        <w:kinsoku/>
        <w:overflowPunct/>
        <w:autoSpaceDE/>
        <w:bidi w:val="0"/>
        <w:snapToGrid/>
        <w:spacing w:line="440" w:lineRule="exact"/>
        <w:jc w:val="left"/>
        <w:textAlignment w:val="auto"/>
        <w:rPr>
          <w:rFonts w:ascii="Times New Roman" w:hAnsi="Times New Roman" w:eastAsia="宋体" w:cs="Times New Roman"/>
          <w:b/>
          <w:bCs/>
          <w:kern w:val="2"/>
          <w:sz w:val="21"/>
          <w:szCs w:val="24"/>
          <w:lang w:val="en-US" w:eastAsia="zh-CN" w:bidi="ar-SA"/>
        </w:rPr>
      </w:pPr>
      <w:r>
        <w:rPr>
          <w:b/>
          <w:bCs/>
          <w:lang w:val="en-US" w:eastAsia="zh-CN"/>
        </w:rPr>
        <w:t>（</w:t>
      </w:r>
      <w:r>
        <w:rPr>
          <w:rFonts w:eastAsia="宋体" w:cs="Times New Roman"/>
          <w:b/>
          <w:bCs/>
          <w:kern w:val="2"/>
          <w:sz w:val="21"/>
          <w:szCs w:val="24"/>
          <w:lang w:val="en-US" w:eastAsia="zh-CN" w:bidi="ar-SA"/>
        </w:rPr>
        <w:t>1</w:t>
      </w:r>
      <w:r>
        <w:rPr>
          <w:rFonts w:ascii="Times New Roman" w:hAnsi="Times New Roman" w:cs="Times New Roman"/>
          <w:b/>
          <w:bCs/>
          <w:kern w:val="2"/>
          <w:sz w:val="21"/>
          <w:szCs w:val="24"/>
          <w:lang w:val="en-US" w:eastAsia="zh-CN" w:bidi="ar-SA"/>
        </w:rPr>
        <w:t>）施工地点</w:t>
      </w:r>
    </w:p>
    <w:p w14:paraId="1DD6F782">
      <w:pPr>
        <w:keepNext w:val="0"/>
        <w:keepLines w:val="0"/>
        <w:pageBreakBefore w:val="0"/>
        <w:kinsoku/>
        <w:overflowPunct/>
        <w:autoSpaceDE/>
        <w:bidi w:val="0"/>
        <w:snapToGrid/>
        <w:spacing w:line="440" w:lineRule="exact"/>
        <w:ind w:firstLine="420"/>
        <w:jc w:val="left"/>
        <w:textAlignment w:val="auto"/>
        <w:rPr>
          <w:rFonts w:hint="default" w:ascii="Times New Roman" w:hAnsi="Times New Roman" w:eastAsia="宋体" w:cs="Times New Roman"/>
          <w:color w:val="0000FF"/>
          <w:kern w:val="2"/>
          <w:sz w:val="21"/>
          <w:szCs w:val="24"/>
          <w:lang w:val="en-US" w:eastAsia="zh-CN" w:bidi="ar-SA"/>
        </w:rPr>
      </w:pPr>
      <w:r>
        <w:rPr>
          <w:rFonts w:hint="eastAsia" w:cs="Times New Roman"/>
          <w:color w:val="0000FF"/>
          <w:kern w:val="2"/>
          <w:sz w:val="21"/>
          <w:szCs w:val="24"/>
          <w:lang w:val="en-US" w:eastAsia="zh-CN" w:bidi="ar-SA"/>
        </w:rPr>
        <w:t>阿图什市光明路北4院</w:t>
      </w:r>
    </w:p>
    <w:p w14:paraId="3726483C">
      <w:pPr>
        <w:keepNext w:val="0"/>
        <w:keepLines w:val="0"/>
        <w:pageBreakBefore w:val="0"/>
        <w:numPr>
          <w:ilvl w:val="0"/>
          <w:numId w:val="10"/>
        </w:numPr>
        <w:kinsoku/>
        <w:overflowPunct/>
        <w:autoSpaceDE/>
        <w:bidi w:val="0"/>
        <w:snapToGrid/>
        <w:spacing w:line="440" w:lineRule="exact"/>
        <w:jc w:val="left"/>
        <w:textAlignment w:val="auto"/>
        <w:rPr>
          <w:rFonts w:ascii="Times New Roman" w:hAnsi="Times New Roman" w:eastAsia="宋体" w:cs="Times New Roman"/>
          <w:b/>
          <w:bCs/>
          <w:kern w:val="2"/>
          <w:sz w:val="21"/>
          <w:szCs w:val="24"/>
          <w:lang w:val="en-US" w:eastAsia="zh-CN" w:bidi="ar-SA"/>
        </w:rPr>
      </w:pPr>
      <w:r>
        <w:rPr>
          <w:rFonts w:ascii="Times New Roman" w:hAnsi="Times New Roman" w:cs="Times New Roman"/>
          <w:b/>
          <w:bCs/>
          <w:kern w:val="2"/>
          <w:sz w:val="21"/>
          <w:szCs w:val="24"/>
          <w:lang w:val="en-US" w:eastAsia="zh-CN" w:bidi="ar-SA"/>
        </w:rPr>
        <w:t>施工工期</w:t>
      </w:r>
    </w:p>
    <w:p w14:paraId="01837310">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color w:val="0000FF"/>
          <w:kern w:val="2"/>
          <w:sz w:val="21"/>
          <w:szCs w:val="24"/>
          <w:lang w:val="en-US" w:eastAsia="zh-CN" w:bidi="ar-SA"/>
        </w:rPr>
      </w:pPr>
      <w:r>
        <w:rPr>
          <w:rFonts w:ascii="Times New Roman" w:hAnsi="Times New Roman" w:cs="Times New Roman"/>
          <w:color w:val="0000FF"/>
          <w:kern w:val="2"/>
          <w:sz w:val="21"/>
          <w:szCs w:val="24"/>
          <w:lang w:val="en-US" w:eastAsia="zh-CN" w:bidi="ar-SA"/>
        </w:rPr>
        <w:t>确定成交供应商后</w:t>
      </w:r>
      <w:r>
        <w:rPr>
          <w:rFonts w:eastAsia="宋体" w:cs="Times New Roman"/>
          <w:color w:val="0000FF"/>
          <w:kern w:val="2"/>
          <w:sz w:val="21"/>
          <w:szCs w:val="24"/>
          <w:lang w:val="en-US" w:eastAsia="zh-CN" w:bidi="ar-SA"/>
        </w:rPr>
        <w:t>5</w:t>
      </w:r>
      <w:r>
        <w:rPr>
          <w:rFonts w:ascii="Times New Roman" w:hAnsi="Times New Roman" w:cs="Times New Roman"/>
          <w:color w:val="0000FF"/>
          <w:kern w:val="2"/>
          <w:sz w:val="21"/>
          <w:szCs w:val="24"/>
          <w:lang w:val="en-US" w:eastAsia="zh-CN" w:bidi="ar-SA"/>
        </w:rPr>
        <w:t>个工作日内与采购单位完成合同签订。并自签订合同之日起，</w:t>
      </w:r>
      <w:r>
        <w:rPr>
          <w:rFonts w:hint="eastAsia" w:cs="Times New Roman"/>
          <w:color w:val="0000FF"/>
          <w:kern w:val="2"/>
          <w:sz w:val="21"/>
          <w:szCs w:val="24"/>
          <w:lang w:val="en-US" w:eastAsia="zh-CN" w:bidi="ar-SA"/>
        </w:rPr>
        <w:t>60</w:t>
      </w:r>
      <w:r>
        <w:rPr>
          <w:rFonts w:ascii="Times New Roman" w:hAnsi="Times New Roman" w:cs="Times New Roman"/>
          <w:color w:val="0000FF"/>
          <w:kern w:val="2"/>
          <w:sz w:val="21"/>
          <w:szCs w:val="24"/>
          <w:lang w:val="en-US" w:eastAsia="zh-CN" w:bidi="ar-SA"/>
        </w:rPr>
        <w:t>个日历日完工并交付使用。</w:t>
      </w:r>
    </w:p>
    <w:p w14:paraId="424A457F">
      <w:pPr>
        <w:keepNext w:val="0"/>
        <w:keepLines w:val="0"/>
        <w:pageBreakBefore w:val="0"/>
        <w:numPr>
          <w:ilvl w:val="0"/>
          <w:numId w:val="0"/>
        </w:numPr>
        <w:kinsoku/>
        <w:overflowPunct/>
        <w:autoSpaceDE/>
        <w:bidi w:val="0"/>
        <w:snapToGrid/>
        <w:spacing w:line="440" w:lineRule="exact"/>
        <w:ind w:left="0" w:firstLine="0"/>
        <w:jc w:val="left"/>
        <w:textAlignment w:val="auto"/>
        <w:rPr>
          <w:rFonts w:ascii="Times New Roman" w:hAnsi="Times New Roman" w:eastAsia="宋体" w:cs="Times New Roman"/>
          <w:b/>
          <w:bCs/>
          <w:kern w:val="2"/>
          <w:sz w:val="21"/>
          <w:szCs w:val="24"/>
          <w:lang w:val="en-US" w:eastAsia="zh-CN" w:bidi="ar-SA"/>
        </w:rPr>
      </w:pPr>
      <w:r>
        <w:rPr>
          <w:rFonts w:ascii="Times New Roman" w:hAnsi="Times New Roman" w:cs="Times New Roman"/>
          <w:b/>
          <w:bCs/>
          <w:kern w:val="2"/>
          <w:sz w:val="21"/>
          <w:szCs w:val="24"/>
          <w:lang w:val="en-US" w:eastAsia="zh-CN" w:bidi="ar-SA"/>
        </w:rPr>
        <w:t>（</w:t>
      </w:r>
      <w:r>
        <w:rPr>
          <w:rFonts w:eastAsia="宋体" w:cs="Times New Roman"/>
          <w:b/>
          <w:bCs/>
          <w:kern w:val="2"/>
          <w:sz w:val="21"/>
          <w:szCs w:val="24"/>
          <w:lang w:val="en-US" w:eastAsia="zh-CN" w:bidi="ar-SA"/>
        </w:rPr>
        <w:t>3</w:t>
      </w:r>
      <w:r>
        <w:rPr>
          <w:rFonts w:ascii="Times New Roman" w:hAnsi="Times New Roman" w:cs="Times New Roman"/>
          <w:b/>
          <w:bCs/>
          <w:kern w:val="2"/>
          <w:sz w:val="21"/>
          <w:szCs w:val="24"/>
          <w:lang w:val="en-US" w:eastAsia="zh-CN" w:bidi="ar-SA"/>
        </w:rPr>
        <w:t>）质量要求</w:t>
      </w:r>
    </w:p>
    <w:p w14:paraId="64CD3330">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kern w:val="2"/>
          <w:sz w:val="21"/>
          <w:szCs w:val="24"/>
          <w:lang w:val="zh-CN" w:eastAsia="zh-CN" w:bidi="ar-SA"/>
        </w:rPr>
      </w:pPr>
      <w:r>
        <w:rPr>
          <w:rFonts w:eastAsia="宋体" w:cs="Times New Roman"/>
          <w:kern w:val="2"/>
          <w:sz w:val="21"/>
          <w:szCs w:val="24"/>
          <w:lang w:val="en-US" w:eastAsia="zh-CN" w:bidi="ar-SA"/>
        </w:rPr>
        <w:t>1</w:t>
      </w:r>
      <w:r>
        <w:rPr>
          <w:rFonts w:ascii="Times New Roman" w:hAnsi="Times New Roman" w:cs="Times New Roman"/>
          <w:kern w:val="2"/>
          <w:sz w:val="21"/>
          <w:szCs w:val="24"/>
          <w:lang w:val="en-US" w:eastAsia="zh-CN" w:bidi="ar-SA"/>
        </w:rPr>
        <w:t>、</w:t>
      </w:r>
      <w:r>
        <w:rPr>
          <w:rFonts w:ascii="Times New Roman" w:hAnsi="Times New Roman" w:cs="Times New Roman"/>
          <w:kern w:val="2"/>
          <w:sz w:val="21"/>
          <w:szCs w:val="24"/>
          <w:lang w:val="zh-CN" w:eastAsia="zh-CN" w:bidi="ar-SA"/>
        </w:rPr>
        <w:t>质量标准：</w:t>
      </w:r>
      <w:r>
        <w:rPr>
          <w:rFonts w:ascii="Times New Roman" w:hAnsi="Times New Roman" w:cs="Times New Roman"/>
          <w:kern w:val="2"/>
          <w:sz w:val="21"/>
          <w:szCs w:val="24"/>
          <w:lang w:val="en-US" w:eastAsia="zh-CN" w:bidi="ar-SA"/>
        </w:rPr>
        <w:t>符合现行国家有关工程施工验收规范和标准的合格要求。</w:t>
      </w:r>
    </w:p>
    <w:p w14:paraId="64AFFDCC">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kern w:val="2"/>
          <w:sz w:val="21"/>
          <w:szCs w:val="24"/>
          <w:lang w:val="zh-CN" w:eastAsia="zh-CN" w:bidi="ar-SA"/>
        </w:rPr>
      </w:pPr>
      <w:r>
        <w:rPr>
          <w:rFonts w:eastAsia="宋体" w:cs="Times New Roman"/>
          <w:kern w:val="2"/>
          <w:sz w:val="21"/>
          <w:szCs w:val="24"/>
          <w:lang w:val="en-US" w:eastAsia="zh-CN" w:bidi="ar-SA"/>
        </w:rPr>
        <w:t>2</w:t>
      </w:r>
      <w:r>
        <w:rPr>
          <w:rFonts w:ascii="Times New Roman" w:hAnsi="Times New Roman" w:cs="Times New Roman"/>
          <w:kern w:val="2"/>
          <w:sz w:val="21"/>
          <w:szCs w:val="24"/>
          <w:lang w:val="en-US" w:eastAsia="zh-CN" w:bidi="ar-SA"/>
        </w:rPr>
        <w:t>、</w:t>
      </w:r>
      <w:r>
        <w:rPr>
          <w:rFonts w:ascii="Times New Roman" w:hAnsi="Times New Roman" w:cs="Times New Roman"/>
          <w:kern w:val="2"/>
          <w:sz w:val="21"/>
          <w:szCs w:val="24"/>
          <w:lang w:val="zh-CN" w:eastAsia="zh-CN" w:bidi="ar-SA"/>
        </w:rPr>
        <w:t>质量保修期：</w:t>
      </w:r>
      <w:r>
        <w:rPr>
          <w:rFonts w:hint="eastAsia" w:ascii="宋体" w:hAnsi="宋体" w:eastAsia="宋体" w:cs="宋体"/>
          <w:color w:val="0000FF"/>
          <w:sz w:val="21"/>
          <w:szCs w:val="21"/>
          <w:highlight w:val="none"/>
          <w:lang w:val="en-US" w:eastAsia="zh-CN"/>
        </w:rPr>
        <w:t>装饰装修、安装工程整体质保期限不少于2年；防水工程质保期限不少于5年；净化设备、气体报警装置、UPS电源、空调类设备整机质保不少于2年。质保期内接到报修通知，4小时内进行响应，24小时到达项目现场开展免费维修、配件更换；非人为因素造成设备、工程损坏全部免费处置；因施工质量问题引发院感、安全隐患，全部责任由中标单位承担。</w:t>
      </w:r>
    </w:p>
    <w:p w14:paraId="7CF00F75">
      <w:pPr>
        <w:keepNext w:val="0"/>
        <w:keepLines w:val="0"/>
        <w:pageBreakBefore w:val="0"/>
        <w:numPr>
          <w:ilvl w:val="0"/>
          <w:numId w:val="0"/>
        </w:numPr>
        <w:kinsoku/>
        <w:overflowPunct/>
        <w:autoSpaceDE/>
        <w:bidi w:val="0"/>
        <w:snapToGrid/>
        <w:spacing w:line="440" w:lineRule="exact"/>
        <w:ind w:left="0" w:firstLine="0"/>
        <w:jc w:val="left"/>
        <w:textAlignment w:val="auto"/>
        <w:rPr>
          <w:rFonts w:ascii="Times New Roman" w:hAnsi="Times New Roman" w:eastAsia="宋体" w:cs="Times New Roman"/>
          <w:b/>
          <w:bCs/>
          <w:kern w:val="2"/>
          <w:sz w:val="21"/>
          <w:szCs w:val="24"/>
          <w:lang w:val="en-US" w:eastAsia="zh-CN" w:bidi="ar-SA"/>
        </w:rPr>
      </w:pPr>
      <w:r>
        <w:rPr>
          <w:rFonts w:ascii="Times New Roman" w:hAnsi="Times New Roman" w:cs="Times New Roman"/>
          <w:b/>
          <w:bCs/>
          <w:kern w:val="2"/>
          <w:sz w:val="21"/>
          <w:szCs w:val="24"/>
          <w:lang w:val="en-US" w:eastAsia="zh-CN" w:bidi="ar-SA"/>
        </w:rPr>
        <w:t>（</w:t>
      </w:r>
      <w:r>
        <w:rPr>
          <w:rFonts w:eastAsia="宋体" w:cs="Times New Roman"/>
          <w:b/>
          <w:bCs/>
          <w:kern w:val="2"/>
          <w:sz w:val="21"/>
          <w:szCs w:val="24"/>
          <w:lang w:val="en-US" w:eastAsia="zh-CN" w:bidi="ar-SA"/>
        </w:rPr>
        <w:t>4</w:t>
      </w:r>
      <w:r>
        <w:rPr>
          <w:rFonts w:ascii="Times New Roman" w:hAnsi="Times New Roman" w:cs="Times New Roman"/>
          <w:b/>
          <w:bCs/>
          <w:kern w:val="2"/>
          <w:sz w:val="21"/>
          <w:szCs w:val="24"/>
          <w:lang w:val="en-US" w:eastAsia="zh-CN" w:bidi="ar-SA"/>
        </w:rPr>
        <w:t>）适用规范、标准和规程</w:t>
      </w:r>
    </w:p>
    <w:p w14:paraId="0533BCDD">
      <w:pPr>
        <w:keepNext w:val="0"/>
        <w:keepLines w:val="0"/>
        <w:pageBreakBefore w:val="0"/>
        <w:numPr>
          <w:ilvl w:val="0"/>
          <w:numId w:val="0"/>
        </w:numPr>
        <w:kinsoku/>
        <w:overflowPunct/>
        <w:autoSpaceDE/>
        <w:bidi w:val="0"/>
        <w:snapToGrid/>
        <w:spacing w:line="440" w:lineRule="exact"/>
        <w:ind w:left="0" w:firstLine="420"/>
        <w:jc w:val="left"/>
        <w:textAlignment w:val="auto"/>
        <w:rPr>
          <w:rFonts w:ascii="Times New Roman" w:hAnsi="Times New Roman" w:eastAsia="宋体" w:cs="Times New Roman"/>
          <w:kern w:val="2"/>
          <w:sz w:val="21"/>
          <w:szCs w:val="24"/>
          <w:lang w:val="en-US" w:eastAsia="zh-CN" w:bidi="ar-SA"/>
        </w:rPr>
      </w:pPr>
      <w:r>
        <w:rPr>
          <w:rFonts w:eastAsia="宋体" w:cs="Times New Roman"/>
          <w:kern w:val="2"/>
          <w:sz w:val="21"/>
          <w:szCs w:val="24"/>
          <w:lang w:val="en-US" w:eastAsia="zh-CN" w:bidi="ar-SA"/>
        </w:rPr>
        <w:t>1</w:t>
      </w:r>
      <w:r>
        <w:rPr>
          <w:rFonts w:ascii="Times New Roman" w:hAnsi="Times New Roman" w:cs="Times New Roman"/>
          <w:kern w:val="2"/>
          <w:sz w:val="21"/>
          <w:szCs w:val="24"/>
          <w:lang w:val="en-US" w:eastAsia="zh-CN" w:bidi="ar-SA"/>
        </w:rPr>
        <w:t>、除合同另有约定外，本工程适用现行国家、行业和地方规范、标准和规程。</w:t>
      </w:r>
    </w:p>
    <w:p w14:paraId="0A7C3DB0">
      <w:pPr>
        <w:keepNext w:val="0"/>
        <w:keepLines w:val="0"/>
        <w:pageBreakBefore w:val="0"/>
        <w:numPr>
          <w:ilvl w:val="0"/>
          <w:numId w:val="0"/>
        </w:numPr>
        <w:kinsoku/>
        <w:overflowPunct/>
        <w:autoSpaceDE/>
        <w:bidi w:val="0"/>
        <w:snapToGrid/>
        <w:spacing w:line="440" w:lineRule="exact"/>
        <w:ind w:left="0" w:firstLine="420"/>
        <w:jc w:val="left"/>
        <w:textAlignment w:val="auto"/>
        <w:rPr>
          <w:rFonts w:ascii="Times New Roman" w:hAnsi="Times New Roman" w:eastAsia="宋体" w:cs="Times New Roman"/>
          <w:kern w:val="2"/>
          <w:sz w:val="21"/>
          <w:szCs w:val="24"/>
          <w:lang w:val="en-US" w:eastAsia="zh-CN" w:bidi="ar-SA"/>
        </w:rPr>
      </w:pPr>
      <w:r>
        <w:rPr>
          <w:rFonts w:eastAsia="宋体" w:cs="Times New Roman"/>
          <w:kern w:val="2"/>
          <w:sz w:val="21"/>
          <w:szCs w:val="24"/>
          <w:lang w:val="en-US" w:eastAsia="zh-CN" w:bidi="ar-SA"/>
        </w:rPr>
        <w:t>2</w:t>
      </w:r>
      <w:r>
        <w:rPr>
          <w:rFonts w:ascii="Times New Roman" w:hAnsi="Times New Roman" w:cs="Times New Roman"/>
          <w:kern w:val="2"/>
          <w:sz w:val="21"/>
          <w:szCs w:val="24"/>
          <w:lang w:val="en-US" w:eastAsia="zh-CN" w:bidi="ar-SA"/>
        </w:rPr>
        <w:t>、除合同另有约定外，材料、施工工艺和本工程都应依照本技术标准和要求以及适用的现行规范、标准和规程的最新版本执行。</w:t>
      </w:r>
    </w:p>
    <w:p w14:paraId="5F038A3B">
      <w:pPr>
        <w:keepNext w:val="0"/>
        <w:keepLines w:val="0"/>
        <w:pageBreakBefore w:val="0"/>
        <w:numPr>
          <w:ilvl w:val="0"/>
          <w:numId w:val="0"/>
        </w:numPr>
        <w:kinsoku/>
        <w:overflowPunct/>
        <w:autoSpaceDE/>
        <w:bidi w:val="0"/>
        <w:snapToGrid/>
        <w:spacing w:line="440" w:lineRule="exact"/>
        <w:ind w:left="0" w:firstLine="0"/>
        <w:jc w:val="left"/>
        <w:textAlignment w:val="auto"/>
        <w:rPr>
          <w:rFonts w:ascii="Times New Roman" w:hAnsi="Times New Roman" w:eastAsia="宋体" w:cs="Times New Roman"/>
          <w:b/>
          <w:bCs/>
          <w:kern w:val="2"/>
          <w:sz w:val="21"/>
          <w:szCs w:val="24"/>
          <w:lang w:val="en-US" w:eastAsia="zh-CN" w:bidi="ar-SA"/>
        </w:rPr>
      </w:pPr>
      <w:r>
        <w:rPr>
          <w:rFonts w:ascii="Times New Roman" w:hAnsi="Times New Roman" w:cs="Times New Roman"/>
          <w:b/>
          <w:bCs/>
          <w:kern w:val="2"/>
          <w:sz w:val="21"/>
          <w:szCs w:val="24"/>
          <w:lang w:val="en-US" w:eastAsia="zh-CN" w:bidi="ar-SA"/>
        </w:rPr>
        <w:t>（</w:t>
      </w:r>
      <w:r>
        <w:rPr>
          <w:rFonts w:eastAsia="宋体" w:cs="Times New Roman"/>
          <w:b/>
          <w:bCs/>
          <w:kern w:val="2"/>
          <w:sz w:val="21"/>
          <w:szCs w:val="24"/>
          <w:lang w:val="en-US" w:eastAsia="zh-CN" w:bidi="ar-SA"/>
        </w:rPr>
        <w:t>5</w:t>
      </w:r>
      <w:r>
        <w:rPr>
          <w:rFonts w:ascii="Times New Roman" w:hAnsi="Times New Roman" w:cs="Times New Roman"/>
          <w:b/>
          <w:bCs/>
          <w:kern w:val="2"/>
          <w:sz w:val="21"/>
          <w:szCs w:val="24"/>
          <w:lang w:val="en-US" w:eastAsia="zh-CN" w:bidi="ar-SA"/>
        </w:rPr>
        <w:t>）安全文明施工</w:t>
      </w:r>
    </w:p>
    <w:p w14:paraId="1AC36F0F">
      <w:pPr>
        <w:keepNext w:val="0"/>
        <w:keepLines w:val="0"/>
        <w:pageBreakBefore w:val="0"/>
        <w:numPr>
          <w:ilvl w:val="0"/>
          <w:numId w:val="0"/>
        </w:numPr>
        <w:kinsoku/>
        <w:overflowPunct/>
        <w:autoSpaceDE/>
        <w:bidi w:val="0"/>
        <w:snapToGrid/>
        <w:spacing w:line="440" w:lineRule="exact"/>
        <w:ind w:left="0" w:firstLine="420"/>
        <w:jc w:val="left"/>
        <w:textAlignment w:val="auto"/>
        <w:rPr>
          <w:lang w:val="zh-CN" w:eastAsia="zh-CN"/>
        </w:rPr>
      </w:pPr>
      <w:r>
        <w:rPr>
          <w:rFonts w:ascii="Times New Roman" w:hAnsi="Times New Roman" w:cs="Times New Roman"/>
          <w:kern w:val="2"/>
          <w:sz w:val="21"/>
          <w:szCs w:val="24"/>
          <w:lang w:val="en-US" w:eastAsia="zh-CN" w:bidi="ar-SA"/>
        </w:rPr>
        <w:t>在工程施工、竣工、交付及修补任何缺陷的过程中，承包人应当始终遵守国家和地方有关安全生产的法律、法规、规范、标准和规程等，履行其安全施工职责。</w:t>
      </w:r>
    </w:p>
    <w:p w14:paraId="6CE4F789">
      <w:pPr>
        <w:keepNext w:val="0"/>
        <w:keepLines w:val="0"/>
        <w:pageBreakBefore w:val="0"/>
        <w:numPr>
          <w:ilvl w:val="0"/>
          <w:numId w:val="0"/>
        </w:numPr>
        <w:kinsoku/>
        <w:overflowPunct/>
        <w:autoSpaceDE/>
        <w:bidi w:val="0"/>
        <w:snapToGrid/>
        <w:spacing w:line="440" w:lineRule="exact"/>
        <w:ind w:left="0" w:firstLine="0"/>
        <w:textAlignment w:val="auto"/>
        <w:rPr>
          <w:rFonts w:ascii="宋体" w:hAnsi="宋体" w:eastAsia="宋体" w:cs="宋体"/>
          <w:b/>
          <w:color w:val="000000"/>
          <w:sz w:val="21"/>
          <w:szCs w:val="21"/>
          <w:highlight w:val="none"/>
          <w:lang w:val="en-US"/>
        </w:rPr>
      </w:pPr>
      <w:r>
        <w:rPr>
          <w:rFonts w:ascii="宋体" w:hAnsi="宋体" w:cs="宋体"/>
          <w:b/>
          <w:color w:val="000000"/>
          <w:sz w:val="21"/>
          <w:szCs w:val="21"/>
          <w:lang w:val="en-US" w:eastAsia="zh-CN"/>
        </w:rPr>
        <w:t>（4）验收保证承诺</w:t>
      </w:r>
    </w:p>
    <w:p w14:paraId="5F81CAB9">
      <w:pPr>
        <w:keepNext w:val="0"/>
        <w:keepLines w:val="0"/>
        <w:pageBreakBefore w:val="0"/>
        <w:numPr>
          <w:ilvl w:val="0"/>
          <w:numId w:val="0"/>
        </w:numPr>
        <w:kinsoku/>
        <w:overflowPunct/>
        <w:autoSpaceDE/>
        <w:bidi w:val="0"/>
        <w:snapToGrid/>
        <w:spacing w:line="440" w:lineRule="exact"/>
        <w:ind w:left="0" w:firstLine="420"/>
        <w:jc w:val="left"/>
        <w:textAlignment w:val="auto"/>
        <w:rPr>
          <w:rFonts w:ascii="宋体" w:hAnsi="宋体" w:eastAsia="宋体" w:cs="宋体"/>
          <w:color w:val="000000"/>
          <w:kern w:val="0"/>
          <w:szCs w:val="21"/>
          <w:highlight w:val="none"/>
          <w:lang w:val="en-US" w:eastAsia="zh-CN"/>
        </w:rPr>
      </w:pPr>
      <w:r>
        <w:rPr>
          <w:rFonts w:ascii="宋体" w:hAnsi="宋体" w:cs="宋体"/>
          <w:color w:val="000000"/>
          <w:kern w:val="0"/>
          <w:szCs w:val="21"/>
          <w:lang w:val="en-US" w:eastAsia="zh-CN"/>
        </w:rPr>
        <w:t>施工单位施工的工程达到验收时移交采购人验收，验收标准须符合国家施工工程标准规范。</w:t>
      </w:r>
    </w:p>
    <w:p w14:paraId="7FDD2FD6">
      <w:pPr>
        <w:keepNext w:val="0"/>
        <w:keepLines w:val="0"/>
        <w:pageBreakBefore w:val="0"/>
        <w:kinsoku/>
        <w:overflowPunct/>
        <w:autoSpaceDE/>
        <w:bidi w:val="0"/>
        <w:snapToGrid/>
        <w:spacing w:line="440" w:lineRule="exact"/>
        <w:textAlignment w:val="auto"/>
        <w:rPr>
          <w:rFonts w:ascii="宋体" w:hAnsi="宋体" w:eastAsia="宋体" w:cs="宋体"/>
          <w:b/>
          <w:color w:val="000000"/>
          <w:sz w:val="21"/>
          <w:szCs w:val="21"/>
          <w:highlight w:val="none"/>
        </w:rPr>
      </w:pPr>
      <w:r>
        <w:rPr>
          <w:rFonts w:ascii="宋体" w:hAnsi="宋体" w:cs="宋体"/>
          <w:b/>
          <w:color w:val="000000"/>
          <w:sz w:val="21"/>
          <w:szCs w:val="21"/>
          <w:lang w:val="en-US" w:eastAsia="zh-CN"/>
        </w:rPr>
        <w:t>（5）</w:t>
      </w:r>
      <w:r>
        <w:rPr>
          <w:rFonts w:ascii="宋体" w:hAnsi="宋体" w:cs="宋体"/>
          <w:b/>
          <w:color w:val="000000"/>
          <w:sz w:val="21"/>
          <w:szCs w:val="21"/>
        </w:rPr>
        <w:t>报价要求</w:t>
      </w:r>
    </w:p>
    <w:p w14:paraId="3FD0A25A">
      <w:pPr>
        <w:keepNext w:val="0"/>
        <w:keepLines w:val="0"/>
        <w:pageBreakBefore w:val="0"/>
        <w:numPr>
          <w:ilvl w:val="0"/>
          <w:numId w:val="0"/>
        </w:numPr>
        <w:kinsoku/>
        <w:overflowPunct/>
        <w:autoSpaceDE/>
        <w:bidi w:val="0"/>
        <w:snapToGrid/>
        <w:spacing w:line="440" w:lineRule="exact"/>
        <w:ind w:left="0" w:firstLine="420"/>
        <w:jc w:val="left"/>
        <w:textAlignment w:val="auto"/>
        <w:rPr>
          <w:rFonts w:ascii="宋体" w:hAnsi="宋体" w:eastAsia="宋体" w:cs="宋体"/>
          <w:color w:val="000000"/>
          <w:kern w:val="0"/>
          <w:szCs w:val="21"/>
          <w:highlight w:val="none"/>
          <w:lang w:val="en-US" w:eastAsia="zh-CN"/>
        </w:rPr>
      </w:pPr>
      <w:r>
        <w:rPr>
          <w:rFonts w:ascii="宋体" w:hAnsi="宋体" w:cs="宋体"/>
          <w:color w:val="000000"/>
          <w:kern w:val="0"/>
          <w:szCs w:val="21"/>
          <w:lang w:val="en-US" w:eastAsia="zh-CN"/>
        </w:rPr>
        <w:t>本项目采用工程量清单报价，供应商应仔细阅读并编制响应的报价清单，不得缺项、漏项。否则其报价将被拒绝。</w:t>
      </w:r>
    </w:p>
    <w:p w14:paraId="60303B08">
      <w:pPr>
        <w:keepNext w:val="0"/>
        <w:keepLines w:val="0"/>
        <w:pageBreakBefore w:val="0"/>
        <w:numPr>
          <w:ilvl w:val="0"/>
          <w:numId w:val="0"/>
        </w:numPr>
        <w:kinsoku/>
        <w:overflowPunct/>
        <w:autoSpaceDE/>
        <w:bidi w:val="0"/>
        <w:snapToGrid/>
        <w:spacing w:line="440" w:lineRule="exact"/>
        <w:ind w:left="0" w:firstLine="420"/>
        <w:jc w:val="left"/>
        <w:textAlignment w:val="auto"/>
        <w:rPr>
          <w:rFonts w:ascii="宋体" w:hAnsi="宋体" w:eastAsia="宋体" w:cs="宋体"/>
          <w:color w:val="000000"/>
          <w:kern w:val="0"/>
          <w:szCs w:val="21"/>
          <w:highlight w:val="none"/>
          <w:lang w:val="en-US" w:eastAsia="zh-CN"/>
        </w:rPr>
      </w:pPr>
      <w:r>
        <w:rPr>
          <w:rFonts w:ascii="宋体" w:hAnsi="宋体" w:cs="宋体"/>
          <w:color w:val="000000"/>
          <w:kern w:val="0"/>
          <w:szCs w:val="21"/>
          <w:lang w:val="en-US" w:eastAsia="zh-CN"/>
        </w:rPr>
        <w:t>本项目磋商报价指完成工程量清单全部费用，各种费用和税金及其他所有成本费用应计算在内。</w:t>
      </w:r>
    </w:p>
    <w:p w14:paraId="461F4837">
      <w:pPr>
        <w:keepNext w:val="0"/>
        <w:keepLines w:val="0"/>
        <w:pageBreakBefore w:val="0"/>
        <w:numPr>
          <w:ilvl w:val="0"/>
          <w:numId w:val="0"/>
        </w:numPr>
        <w:kinsoku/>
        <w:overflowPunct/>
        <w:autoSpaceDE/>
        <w:bidi w:val="0"/>
        <w:snapToGrid/>
        <w:spacing w:line="440" w:lineRule="exact"/>
        <w:ind w:left="0" w:firstLine="0"/>
        <w:jc w:val="left"/>
        <w:textAlignment w:val="auto"/>
        <w:rPr>
          <w:rFonts w:ascii="宋体" w:hAnsi="宋体" w:eastAsia="宋体" w:cs="宋体"/>
          <w:b/>
          <w:bCs/>
          <w:color w:val="000000"/>
          <w:kern w:val="0"/>
          <w:sz w:val="21"/>
          <w:szCs w:val="21"/>
          <w:highlight w:val="none"/>
          <w:lang w:val="en-US" w:eastAsia="zh-CN"/>
        </w:rPr>
      </w:pPr>
      <w:r>
        <w:rPr>
          <w:rFonts w:ascii="宋体" w:hAnsi="宋体" w:cs="宋体"/>
          <w:b/>
          <w:bCs/>
          <w:color w:val="000000"/>
          <w:kern w:val="0"/>
          <w:sz w:val="21"/>
          <w:szCs w:val="21"/>
          <w:lang w:val="en-US" w:eastAsia="zh-CN"/>
        </w:rPr>
        <w:t>（6）售后要求</w:t>
      </w:r>
    </w:p>
    <w:p w14:paraId="36D1F276">
      <w:pPr>
        <w:keepNext w:val="0"/>
        <w:keepLines w:val="0"/>
        <w:pageBreakBefore w:val="0"/>
        <w:numPr>
          <w:ilvl w:val="0"/>
          <w:numId w:val="0"/>
        </w:numPr>
        <w:kinsoku/>
        <w:overflowPunct/>
        <w:autoSpaceDE/>
        <w:bidi w:val="0"/>
        <w:snapToGrid/>
        <w:spacing w:line="440" w:lineRule="exact"/>
        <w:ind w:left="0" w:firstLine="420"/>
        <w:jc w:val="left"/>
        <w:textAlignment w:val="auto"/>
        <w:rPr>
          <w:color w:val="000000"/>
          <w:highlight w:val="none"/>
          <w:lang w:val="en-US" w:eastAsia="zh-CN"/>
        </w:rPr>
      </w:pPr>
      <w:r>
        <w:rPr>
          <w:rFonts w:ascii="宋体" w:hAnsi="宋体" w:eastAsia="宋体" w:cs="宋体"/>
          <w:color w:val="000000"/>
          <w:kern w:val="0"/>
          <w:szCs w:val="21"/>
          <w:lang w:val="en-US" w:eastAsia="zh-CN"/>
        </w:rPr>
        <w:t>1</w:t>
      </w:r>
      <w:r>
        <w:rPr>
          <w:rFonts w:ascii="宋体" w:hAnsi="宋体" w:cs="宋体"/>
          <w:color w:val="000000"/>
          <w:kern w:val="0"/>
          <w:szCs w:val="21"/>
          <w:lang w:val="en-US" w:eastAsia="zh-CN"/>
        </w:rPr>
        <w:t>）质量技术：施工质量技术应符合国家施工工程标准规范执行。</w:t>
      </w:r>
    </w:p>
    <w:p w14:paraId="1A2CB347">
      <w:pPr>
        <w:keepNext w:val="0"/>
        <w:keepLines w:val="0"/>
        <w:pageBreakBefore w:val="0"/>
        <w:numPr>
          <w:ilvl w:val="0"/>
          <w:numId w:val="0"/>
        </w:numPr>
        <w:kinsoku/>
        <w:overflowPunct/>
        <w:autoSpaceDE/>
        <w:bidi w:val="0"/>
        <w:snapToGrid/>
        <w:spacing w:line="440" w:lineRule="exact"/>
        <w:ind w:left="0" w:firstLine="420"/>
        <w:jc w:val="left"/>
        <w:textAlignment w:val="auto"/>
        <w:rPr>
          <w:color w:val="000000"/>
          <w:sz w:val="21"/>
          <w:szCs w:val="21"/>
          <w:highlight w:val="none"/>
          <w:lang w:eastAsia="zh-CN"/>
        </w:rPr>
      </w:pPr>
      <w:r>
        <w:rPr>
          <w:rFonts w:hint="eastAsia" w:ascii="宋体" w:hAnsi="宋体" w:cs="宋体"/>
          <w:color w:val="000000"/>
          <w:kern w:val="0"/>
          <w:szCs w:val="21"/>
          <w:lang w:val="en-US" w:eastAsia="zh-CN"/>
        </w:rPr>
        <w:t>2</w:t>
      </w:r>
      <w:r>
        <w:rPr>
          <w:rFonts w:ascii="宋体" w:hAnsi="宋体" w:cs="宋体"/>
          <w:color w:val="000000"/>
          <w:kern w:val="0"/>
          <w:szCs w:val="21"/>
          <w:lang w:val="en-US" w:eastAsia="zh-CN"/>
        </w:rPr>
        <w:t>）理赔：施工单位施工的工程未达到竞争性</w:t>
      </w:r>
      <w:r>
        <w:rPr>
          <w:rFonts w:hint="eastAsia" w:ascii="宋体" w:hAnsi="宋体" w:cs="宋体"/>
          <w:color w:val="000000"/>
          <w:kern w:val="0"/>
          <w:szCs w:val="21"/>
          <w:lang w:val="en-US" w:eastAsia="zh-CN"/>
        </w:rPr>
        <w:t>磋商</w:t>
      </w:r>
      <w:r>
        <w:rPr>
          <w:rFonts w:ascii="宋体" w:hAnsi="宋体" w:cs="宋体"/>
          <w:color w:val="000000"/>
          <w:kern w:val="0"/>
          <w:szCs w:val="21"/>
          <w:lang w:val="en-US" w:eastAsia="zh-CN"/>
        </w:rPr>
        <w:t>文件规定要求，且对采购人造成损失的，由施工单位承担一切责任，并赔偿所造成的损失。</w:t>
      </w:r>
    </w:p>
    <w:p w14:paraId="6CED179C">
      <w:pPr>
        <w:keepNext w:val="0"/>
        <w:keepLines w:val="0"/>
        <w:pageBreakBefore w:val="0"/>
        <w:kinsoku/>
        <w:overflowPunct/>
        <w:autoSpaceDE/>
        <w:bidi w:val="0"/>
        <w:snapToGrid/>
        <w:spacing w:line="440" w:lineRule="exact"/>
        <w:textAlignment w:val="auto"/>
        <w:rPr>
          <w:rFonts w:ascii="宋体" w:hAnsi="宋体" w:eastAsia="宋体" w:cs="宋体"/>
          <w:b/>
          <w:color w:val="000000"/>
          <w:sz w:val="21"/>
          <w:szCs w:val="21"/>
          <w:highlight w:val="none"/>
        </w:rPr>
      </w:pPr>
      <w:r>
        <w:rPr>
          <w:rFonts w:ascii="宋体" w:hAnsi="宋体" w:cs="宋体"/>
          <w:b/>
          <w:color w:val="000000"/>
          <w:sz w:val="21"/>
          <w:szCs w:val="21"/>
          <w:lang w:val="en-US" w:eastAsia="zh-CN"/>
        </w:rPr>
        <w:t>(7)</w:t>
      </w:r>
      <w:r>
        <w:rPr>
          <w:rFonts w:ascii="宋体" w:hAnsi="宋体" w:cs="宋体"/>
          <w:b/>
          <w:color w:val="000000"/>
          <w:sz w:val="21"/>
          <w:szCs w:val="21"/>
        </w:rPr>
        <w:t>付款方式</w:t>
      </w:r>
    </w:p>
    <w:p w14:paraId="381AE619">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color w:val="0000FF"/>
          <w:kern w:val="2"/>
          <w:sz w:val="21"/>
          <w:szCs w:val="24"/>
          <w:lang w:val="en-US" w:eastAsia="zh-CN" w:bidi="ar-SA"/>
        </w:rPr>
      </w:pPr>
      <w:r>
        <w:rPr>
          <w:rFonts w:hint="eastAsia" w:cs="Times New Roman"/>
          <w:color w:val="0000FF"/>
          <w:kern w:val="2"/>
          <w:sz w:val="21"/>
          <w:szCs w:val="24"/>
          <w:lang w:val="en-US" w:eastAsia="zh-CN" w:bidi="ar-SA"/>
        </w:rPr>
        <w:t>合同签订后支付预付款30%；工程进度款按实际完成工程量进行支付；竣工验收合格，全套竣工资料完整归档移交后，支付至审定结算金额的97%；剩余3%作为质量保证金，质保期满，无质量问题，无息返还质量保证金。</w:t>
      </w:r>
    </w:p>
    <w:p w14:paraId="0E720C01">
      <w:pPr>
        <w:keepNext w:val="0"/>
        <w:keepLines w:val="0"/>
        <w:pageBreakBefore w:val="0"/>
        <w:kinsoku/>
        <w:overflowPunct/>
        <w:autoSpaceDE/>
        <w:bidi w:val="0"/>
        <w:snapToGrid/>
        <w:spacing w:line="360" w:lineRule="auto"/>
        <w:textAlignment w:val="auto"/>
        <w:rPr>
          <w:rFonts w:ascii="宋体" w:hAnsi="宋体" w:eastAsia="宋体" w:cs="宋体"/>
          <w:b/>
          <w:color w:val="000000"/>
          <w:sz w:val="21"/>
          <w:szCs w:val="21"/>
          <w:highlight w:val="none"/>
        </w:rPr>
      </w:pPr>
      <w:r>
        <w:rPr>
          <w:rFonts w:ascii="宋体" w:hAnsi="宋体" w:cs="宋体"/>
          <w:b/>
          <w:color w:val="000000"/>
          <w:sz w:val="21"/>
          <w:szCs w:val="21"/>
          <w:lang w:val="en-US" w:eastAsia="zh-CN"/>
        </w:rPr>
        <w:t>(8)</w:t>
      </w:r>
      <w:r>
        <w:rPr>
          <w:rFonts w:ascii="宋体" w:hAnsi="宋体" w:cs="宋体"/>
          <w:b/>
          <w:color w:val="000000"/>
          <w:sz w:val="21"/>
          <w:szCs w:val="21"/>
        </w:rPr>
        <w:t>知识产权</w:t>
      </w:r>
    </w:p>
    <w:p w14:paraId="53CF8D26">
      <w:pPr>
        <w:keepNext w:val="0"/>
        <w:keepLines w:val="0"/>
        <w:pageBreakBefore w:val="0"/>
        <w:kinsoku/>
        <w:overflowPunct/>
        <w:autoSpaceDE/>
        <w:bidi w:val="0"/>
        <w:snapToGrid/>
        <w:spacing w:line="440" w:lineRule="exact"/>
        <w:textAlignment w:val="auto"/>
        <w:rPr>
          <w:rFonts w:ascii="宋体" w:hAnsi="宋体" w:eastAsia="宋体" w:cs="宋体"/>
          <w:bCs/>
          <w:color w:val="000000"/>
          <w:sz w:val="21"/>
          <w:szCs w:val="21"/>
          <w:highlight w:val="none"/>
        </w:rPr>
      </w:pPr>
      <w:r>
        <w:rPr>
          <w:rFonts w:ascii="宋体" w:hAnsi="宋体" w:eastAsia="宋体" w:cs="宋体"/>
          <w:bCs/>
          <w:color w:val="000000"/>
          <w:sz w:val="21"/>
          <w:szCs w:val="21"/>
        </w:rPr>
        <w:t xml:space="preserve">     </w:t>
      </w:r>
      <w:r>
        <w:rPr>
          <w:rFonts w:ascii="宋体" w:hAnsi="宋体" w:cs="宋体"/>
          <w:bCs/>
          <w:color w:val="000000"/>
          <w:sz w:val="21"/>
          <w:szCs w:val="21"/>
        </w:rPr>
        <w:t>采购人在中华人民共和国境内使用供应商提供的货物及服务时免受第三方提出的侵犯其专利权或其它知识产权的起诉。如果第三方提出侵权指控，成交供应商应承担由此而引起的一切法律责任和费用。</w:t>
      </w:r>
    </w:p>
    <w:p w14:paraId="593246FA">
      <w:pPr>
        <w:keepNext w:val="0"/>
        <w:keepLines w:val="0"/>
        <w:pageBreakBefore w:val="0"/>
        <w:kinsoku/>
        <w:overflowPunct/>
        <w:autoSpaceDE/>
        <w:bidi w:val="0"/>
        <w:snapToGrid/>
        <w:spacing w:line="440" w:lineRule="exact"/>
        <w:textAlignment w:val="auto"/>
        <w:rPr>
          <w:rFonts w:ascii="宋体" w:hAnsi="宋体" w:eastAsia="宋体" w:cs="宋体"/>
          <w:b/>
          <w:color w:val="000000"/>
          <w:sz w:val="21"/>
          <w:szCs w:val="21"/>
        </w:rPr>
      </w:pPr>
      <w:r>
        <w:rPr>
          <w:rFonts w:ascii="宋体" w:hAnsi="宋体" w:cs="宋体"/>
          <w:b/>
          <w:color w:val="000000"/>
          <w:sz w:val="21"/>
          <w:szCs w:val="21"/>
          <w:lang w:val="en-US" w:eastAsia="zh-CN"/>
        </w:rPr>
        <w:t>(9)</w:t>
      </w:r>
      <w:r>
        <w:rPr>
          <w:rFonts w:ascii="宋体" w:hAnsi="宋体" w:cs="宋体"/>
          <w:b/>
          <w:color w:val="000000"/>
          <w:sz w:val="21"/>
          <w:szCs w:val="21"/>
        </w:rPr>
        <w:t>其他</w:t>
      </w:r>
    </w:p>
    <w:p w14:paraId="560E968F">
      <w:pPr>
        <w:keepNext w:val="0"/>
        <w:keepLines w:val="0"/>
        <w:pageBreakBefore w:val="0"/>
        <w:kinsoku/>
        <w:overflowPunct/>
        <w:autoSpaceDE/>
        <w:bidi w:val="0"/>
        <w:snapToGrid/>
        <w:spacing w:line="440" w:lineRule="exact"/>
        <w:ind w:firstLine="420"/>
        <w:textAlignment w:val="auto"/>
        <w:rPr>
          <w:rFonts w:ascii="宋体" w:hAnsi="宋体" w:eastAsia="宋体" w:cs="宋体"/>
          <w:bCs/>
          <w:color w:val="000000"/>
          <w:sz w:val="21"/>
          <w:szCs w:val="21"/>
        </w:rPr>
      </w:pPr>
      <w:r>
        <w:rPr>
          <w:rFonts w:ascii="宋体" w:hAnsi="宋体" w:eastAsia="宋体" w:cs="宋体"/>
          <w:bCs/>
          <w:color w:val="000000"/>
          <w:sz w:val="21"/>
          <w:szCs w:val="21"/>
        </w:rPr>
        <w:t>1</w:t>
      </w:r>
      <w:r>
        <w:rPr>
          <w:rFonts w:ascii="宋体" w:hAnsi="宋体" w:cs="宋体"/>
          <w:bCs/>
          <w:color w:val="000000"/>
          <w:sz w:val="21"/>
          <w:szCs w:val="21"/>
        </w:rPr>
        <w:t>、供应商必须在响应文件中对以上条款和服务承诺明确列出，承诺内容必须达到本篇及</w:t>
      </w:r>
      <w:r>
        <w:rPr>
          <w:rFonts w:hint="eastAsia" w:ascii="宋体" w:hAnsi="宋体" w:cs="宋体"/>
          <w:bCs/>
          <w:color w:val="000000"/>
          <w:sz w:val="21"/>
          <w:szCs w:val="21"/>
          <w:lang w:val="en-US" w:eastAsia="zh-CN"/>
        </w:rPr>
        <w:t>磋商</w:t>
      </w:r>
      <w:r>
        <w:rPr>
          <w:rFonts w:ascii="宋体" w:hAnsi="宋体" w:cs="宋体"/>
          <w:bCs/>
          <w:color w:val="000000"/>
          <w:sz w:val="21"/>
          <w:szCs w:val="21"/>
          <w:lang w:eastAsia="zh-CN"/>
        </w:rPr>
        <w:t>文件</w:t>
      </w:r>
      <w:r>
        <w:rPr>
          <w:rFonts w:ascii="宋体" w:hAnsi="宋体" w:cs="宋体"/>
          <w:bCs/>
          <w:color w:val="000000"/>
          <w:sz w:val="21"/>
          <w:szCs w:val="21"/>
        </w:rPr>
        <w:t>其他条款的要求。</w:t>
      </w:r>
    </w:p>
    <w:p w14:paraId="47D3CB71">
      <w:pPr>
        <w:keepNext w:val="0"/>
        <w:keepLines w:val="0"/>
        <w:pageBreakBefore w:val="0"/>
        <w:kinsoku/>
        <w:overflowPunct/>
        <w:autoSpaceDE/>
        <w:bidi w:val="0"/>
        <w:snapToGrid/>
        <w:spacing w:line="440" w:lineRule="exact"/>
        <w:ind w:firstLine="420"/>
        <w:textAlignment w:val="auto"/>
        <w:rPr>
          <w:rFonts w:ascii="宋体" w:hAnsi="宋体" w:eastAsia="宋体" w:cs="宋体"/>
          <w:bCs/>
          <w:color w:val="000000"/>
          <w:sz w:val="21"/>
          <w:szCs w:val="21"/>
        </w:rPr>
      </w:pPr>
      <w:r>
        <w:rPr>
          <w:rFonts w:ascii="宋体" w:hAnsi="宋体" w:eastAsia="宋体" w:cs="宋体"/>
          <w:bCs/>
          <w:color w:val="000000"/>
          <w:sz w:val="21"/>
          <w:szCs w:val="21"/>
        </w:rPr>
        <w:t>2</w:t>
      </w:r>
      <w:r>
        <w:rPr>
          <w:rFonts w:ascii="宋体" w:hAnsi="宋体" w:cs="宋体"/>
          <w:bCs/>
          <w:color w:val="000000"/>
          <w:sz w:val="21"/>
          <w:szCs w:val="21"/>
        </w:rPr>
        <w:t>、其他未尽事宜由供需双方在采购合同中详细约定。</w:t>
      </w:r>
    </w:p>
    <w:p w14:paraId="015F8F05">
      <w:pPr>
        <w:keepNext w:val="0"/>
        <w:keepLines w:val="0"/>
        <w:pageBreakBefore w:val="0"/>
        <w:kinsoku/>
        <w:overflowPunct/>
        <w:autoSpaceDE/>
        <w:bidi w:val="0"/>
        <w:snapToGrid/>
        <w:spacing w:line="440" w:lineRule="exact"/>
        <w:ind w:firstLine="420"/>
        <w:textAlignment w:val="auto"/>
        <w:rPr>
          <w:rFonts w:ascii="宋体" w:hAnsi="宋体" w:eastAsia="宋体" w:cs="宋体"/>
          <w:bCs/>
          <w:color w:val="000000"/>
          <w:sz w:val="21"/>
          <w:szCs w:val="21"/>
          <w:lang w:val="en-US" w:eastAsia="zh-CN"/>
        </w:rPr>
      </w:pPr>
      <w:r>
        <w:rPr>
          <w:rFonts w:ascii="宋体" w:hAnsi="宋体" w:eastAsia="宋体" w:cs="宋体"/>
          <w:bCs/>
          <w:color w:val="000000"/>
          <w:sz w:val="21"/>
          <w:szCs w:val="21"/>
          <w:lang w:val="en-US" w:eastAsia="zh-CN"/>
        </w:rPr>
        <w:t>3</w:t>
      </w:r>
      <w:r>
        <w:rPr>
          <w:rFonts w:ascii="宋体" w:hAnsi="宋体" w:cs="宋体"/>
          <w:bCs/>
          <w:color w:val="000000"/>
          <w:sz w:val="21"/>
          <w:szCs w:val="21"/>
          <w:lang w:val="en-US" w:eastAsia="zh-CN"/>
        </w:rPr>
        <w:t>、供应商在服务期必须遵守相关安全生产事项及规定。如发生安全事故由施工单位承担一切责任。</w:t>
      </w:r>
    </w:p>
    <w:p w14:paraId="3969CDD4">
      <w:pPr>
        <w:pStyle w:val="12"/>
        <w:rPr>
          <w:rFonts w:ascii="宋体" w:hAnsi="宋体" w:eastAsia="宋体" w:cs="宋体"/>
          <w:bCs/>
          <w:color w:val="000000"/>
          <w:kern w:val="0"/>
          <w:sz w:val="28"/>
          <w:szCs w:val="28"/>
          <w:lang w:val="en-US" w:eastAsia="zh-CN"/>
        </w:rPr>
      </w:pPr>
    </w:p>
    <w:p w14:paraId="21C5C2AC">
      <w:pPr>
        <w:rPr>
          <w:rFonts w:ascii="宋体" w:hAnsi="宋体" w:eastAsia="宋体" w:cs="宋体"/>
          <w:color w:val="000000"/>
          <w:kern w:val="0"/>
          <w:sz w:val="28"/>
          <w:szCs w:val="28"/>
          <w:lang w:eastAsia="zh-CN"/>
        </w:rPr>
      </w:pPr>
    </w:p>
    <w:p w14:paraId="1BC5224F">
      <w:pPr>
        <w:pStyle w:val="12"/>
        <w:rPr>
          <w:rFonts w:ascii="宋体" w:hAnsi="宋体" w:eastAsia="宋体" w:cs="宋体"/>
          <w:color w:val="000000"/>
          <w:kern w:val="0"/>
          <w:sz w:val="28"/>
          <w:szCs w:val="28"/>
          <w:lang w:eastAsia="zh-CN"/>
        </w:rPr>
      </w:pPr>
    </w:p>
    <w:p w14:paraId="4A2D8BD5">
      <w:pPr>
        <w:rPr>
          <w:rFonts w:ascii="宋体" w:hAnsi="宋体" w:eastAsia="宋体" w:cs="宋体"/>
          <w:color w:val="000000"/>
          <w:kern w:val="0"/>
          <w:sz w:val="28"/>
          <w:szCs w:val="28"/>
          <w:lang w:eastAsia="zh-CN"/>
        </w:rPr>
      </w:pPr>
    </w:p>
    <w:p w14:paraId="098EA61C">
      <w:pPr>
        <w:rPr>
          <w:rFonts w:ascii="宋体" w:hAnsi="宋体" w:eastAsia="宋体" w:cs="宋体"/>
          <w:color w:val="000000"/>
          <w:kern w:val="0"/>
          <w:sz w:val="28"/>
          <w:szCs w:val="28"/>
          <w:lang w:eastAsia="zh-CN"/>
        </w:rPr>
      </w:pPr>
    </w:p>
    <w:p w14:paraId="4D4FEC86">
      <w:pPr>
        <w:rPr>
          <w:rFonts w:ascii="宋体" w:hAnsi="宋体" w:eastAsia="宋体" w:cs="宋体"/>
          <w:color w:val="000000"/>
          <w:kern w:val="0"/>
          <w:sz w:val="28"/>
          <w:szCs w:val="28"/>
          <w:lang w:eastAsia="zh-CN"/>
        </w:rPr>
      </w:pPr>
    </w:p>
    <w:p w14:paraId="37074C1C">
      <w:pPr>
        <w:rPr>
          <w:rFonts w:ascii="宋体" w:hAnsi="宋体" w:eastAsia="宋体" w:cs="宋体"/>
          <w:color w:val="000000"/>
          <w:kern w:val="0"/>
          <w:sz w:val="28"/>
          <w:szCs w:val="28"/>
          <w:lang w:eastAsia="zh-CN"/>
        </w:rPr>
      </w:pPr>
    </w:p>
    <w:p w14:paraId="344CFA0A">
      <w:pPr>
        <w:rPr>
          <w:rFonts w:ascii="宋体" w:hAnsi="宋体" w:eastAsia="宋体" w:cs="宋体"/>
          <w:color w:val="000000"/>
          <w:kern w:val="0"/>
          <w:sz w:val="28"/>
          <w:szCs w:val="28"/>
          <w:lang w:eastAsia="zh-CN"/>
        </w:rPr>
      </w:pPr>
    </w:p>
    <w:p w14:paraId="13779104">
      <w:pPr>
        <w:rPr>
          <w:rFonts w:ascii="宋体" w:hAnsi="宋体" w:eastAsia="宋体" w:cs="宋体"/>
          <w:color w:val="000000"/>
          <w:kern w:val="0"/>
          <w:sz w:val="28"/>
          <w:szCs w:val="28"/>
          <w:lang w:eastAsia="zh-CN"/>
        </w:rPr>
      </w:pPr>
    </w:p>
    <w:p w14:paraId="63E034D4">
      <w:pPr>
        <w:rPr>
          <w:rFonts w:ascii="宋体" w:hAnsi="宋体" w:eastAsia="宋体" w:cs="宋体"/>
          <w:color w:val="000000"/>
          <w:kern w:val="0"/>
          <w:sz w:val="28"/>
          <w:szCs w:val="28"/>
          <w:lang w:eastAsia="zh-CN"/>
        </w:rPr>
      </w:pPr>
    </w:p>
    <w:p w14:paraId="29F590A0">
      <w:pPr>
        <w:rPr>
          <w:lang w:eastAsia="zh-CN"/>
        </w:rPr>
      </w:pPr>
    </w:p>
    <w:p w14:paraId="2694C7F8">
      <w:pPr>
        <w:keepNext w:val="0"/>
        <w:keepLines w:val="0"/>
        <w:pageBreakBefore w:val="0"/>
        <w:widowControl w:val="0"/>
        <w:numPr>
          <w:ilvl w:val="0"/>
          <w:numId w:val="11"/>
        </w:numPr>
        <w:kinsoku/>
        <w:overflowPunct/>
        <w:autoSpaceDE/>
        <w:bidi w:val="0"/>
        <w:snapToGrid/>
        <w:spacing w:line="480" w:lineRule="exact"/>
        <w:jc w:val="center"/>
        <w:textAlignment w:val="auto"/>
        <w:outlineLvl w:val="1"/>
        <w:rPr>
          <w:rFonts w:ascii="宋体" w:hAnsi="宋体"/>
          <w:b/>
          <w:color w:val="000000"/>
          <w:sz w:val="30"/>
          <w:szCs w:val="30"/>
          <w:highlight w:val="none"/>
        </w:rPr>
      </w:pPr>
      <w:bookmarkStart w:id="10" w:name="OLE_LINK4"/>
      <w:bookmarkEnd w:id="10"/>
      <w:bookmarkStart w:id="11" w:name="__RefHeading___Toc469495740"/>
      <w:bookmarkEnd w:id="11"/>
      <w:r>
        <w:rPr>
          <w:rFonts w:ascii="宋体" w:hAnsi="宋体" w:cs="宋体"/>
          <w:b/>
          <w:color w:val="000000"/>
          <w:sz w:val="30"/>
          <w:szCs w:val="30"/>
        </w:rPr>
        <w:t xml:space="preserve"> </w:t>
      </w:r>
      <w:r>
        <w:rPr>
          <w:rFonts w:ascii="宋体" w:hAnsi="宋体"/>
          <w:b/>
          <w:color w:val="000000"/>
          <w:sz w:val="30"/>
          <w:szCs w:val="30"/>
        </w:rPr>
        <w:t>合同条款及格式</w:t>
      </w:r>
    </w:p>
    <w:p w14:paraId="65050FE7">
      <w:pPr>
        <w:keepNext w:val="0"/>
        <w:keepLines w:val="0"/>
        <w:pageBreakBefore w:val="0"/>
        <w:widowControl w:val="0"/>
        <w:numPr>
          <w:ilvl w:val="0"/>
          <w:numId w:val="0"/>
        </w:numPr>
        <w:kinsoku/>
        <w:overflowPunct/>
        <w:autoSpaceDE/>
        <w:bidi w:val="0"/>
        <w:snapToGrid/>
        <w:spacing w:line="480" w:lineRule="exact"/>
        <w:ind w:left="0" w:firstLine="0"/>
        <w:jc w:val="center"/>
        <w:textAlignment w:val="auto"/>
        <w:outlineLvl w:val="1"/>
        <w:rPr>
          <w:rFonts w:ascii="宋体" w:hAnsi="宋体" w:eastAsia="宋体" w:cs="宋体"/>
          <w:color w:val="000000"/>
          <w:szCs w:val="21"/>
          <w:highlight w:val="none"/>
        </w:rPr>
      </w:pPr>
      <w:r>
        <w:rPr>
          <w:rFonts w:ascii="宋体" w:hAnsi="宋体" w:cs="宋体"/>
          <w:color w:val="000000"/>
          <w:szCs w:val="21"/>
        </w:rPr>
        <w:t>（本合同为合同样稿</w:t>
      </w:r>
      <w:r>
        <w:rPr>
          <w:rFonts w:ascii="宋体" w:hAnsi="宋体" w:cs="宋体"/>
          <w:color w:val="000000"/>
          <w:szCs w:val="21"/>
          <w:lang w:val="en-US" w:eastAsia="zh-CN"/>
        </w:rPr>
        <w:t>仅供参考</w:t>
      </w:r>
      <w:r>
        <w:rPr>
          <w:rFonts w:ascii="宋体" w:hAnsi="宋体" w:cs="宋体"/>
          <w:color w:val="000000"/>
          <w:szCs w:val="21"/>
        </w:rPr>
        <w:t>，最终稿由供需双方协商后确定）</w:t>
      </w:r>
    </w:p>
    <w:p w14:paraId="55615BCD">
      <w:pPr>
        <w:jc w:val="left"/>
        <w:rPr>
          <w:rFonts w:ascii="Times New Roman" w:hAnsi="Times New Roman" w:eastAsia="仿宋_GB2312;仿宋" w:cs="Times New Roman"/>
          <w:bCs/>
          <w:color w:val="000000"/>
          <w:sz w:val="32"/>
          <w:szCs w:val="32"/>
        </w:rPr>
      </w:pPr>
      <w:r>
        <w:rPr>
          <w:rFonts w:ascii="Times New Roman" w:hAnsi="Times New Roman" w:eastAsia="仿宋_GB2312;仿宋" w:cs="Times New Roman"/>
          <w:bCs/>
          <w:color w:val="000000"/>
          <w:sz w:val="32"/>
          <w:szCs w:val="32"/>
        </w:rPr>
        <w:t>（</w:t>
      </w:r>
      <w:r>
        <w:rPr>
          <w:rFonts w:eastAsia="仿宋_GB2312;仿宋" w:cs="Times New Roman"/>
          <w:bCs/>
          <w:color w:val="000000"/>
          <w:sz w:val="32"/>
          <w:szCs w:val="32"/>
        </w:rPr>
        <w:t>GF—201</w:t>
      </w:r>
      <w:r>
        <w:rPr>
          <w:rFonts w:eastAsia="仿宋_GB2312;仿宋" w:cs="Times New Roman"/>
          <w:bCs/>
          <w:color w:val="000000"/>
          <w:sz w:val="32"/>
          <w:szCs w:val="32"/>
          <w:lang w:val="en-US" w:eastAsia="zh-CN"/>
        </w:rPr>
        <w:t>7</w:t>
      </w:r>
      <w:r>
        <w:rPr>
          <w:rFonts w:eastAsia="仿宋_GB2312;仿宋" w:cs="Times New Roman"/>
          <w:bCs/>
          <w:color w:val="000000"/>
          <w:sz w:val="32"/>
          <w:szCs w:val="32"/>
        </w:rPr>
        <w:t>—</w:t>
      </w:r>
      <w:r>
        <w:rPr>
          <w:rFonts w:eastAsia="仿宋_GB2312;仿宋" w:cs="Times New Roman"/>
          <w:bCs/>
          <w:color w:val="000000"/>
          <w:sz w:val="32"/>
          <w:szCs w:val="32"/>
          <w:lang w:val="en-US" w:eastAsia="zh-CN"/>
        </w:rPr>
        <w:t>0201</w:t>
      </w:r>
      <w:r>
        <w:rPr>
          <w:rFonts w:ascii="Times New Roman" w:hAnsi="Times New Roman" w:eastAsia="仿宋_GB2312;仿宋" w:cs="Times New Roman"/>
          <w:bCs/>
          <w:color w:val="000000"/>
          <w:sz w:val="32"/>
          <w:szCs w:val="32"/>
        </w:rPr>
        <w:t>）</w:t>
      </w:r>
    </w:p>
    <w:p w14:paraId="046E5782">
      <w:pPr>
        <w:jc w:val="center"/>
        <w:rPr>
          <w:rFonts w:ascii="Times New Roman" w:hAnsi="Times New Roman" w:eastAsia="华文中宋;宋体" w:cs="Times New Roman"/>
          <w:b/>
          <w:bCs/>
          <w:color w:val="000000"/>
          <w:sz w:val="52"/>
          <w:szCs w:val="52"/>
        </w:rPr>
      </w:pPr>
    </w:p>
    <w:p w14:paraId="1099D61B">
      <w:pPr>
        <w:jc w:val="center"/>
        <w:rPr>
          <w:rFonts w:ascii="Times New Roman" w:hAnsi="Times New Roman" w:eastAsia="华文中宋;宋体" w:cs="Times New Roman"/>
          <w:b/>
          <w:color w:val="000000"/>
          <w:sz w:val="52"/>
          <w:szCs w:val="52"/>
        </w:rPr>
      </w:pPr>
    </w:p>
    <w:p w14:paraId="7B8F65BA">
      <w:pPr>
        <w:jc w:val="center"/>
        <w:rPr>
          <w:rFonts w:ascii="Times New Roman" w:hAnsi="Times New Roman" w:eastAsia="华文中宋;宋体" w:cs="Times New Roman"/>
          <w:b/>
          <w:color w:val="000000"/>
          <w:sz w:val="52"/>
          <w:szCs w:val="52"/>
        </w:rPr>
      </w:pPr>
    </w:p>
    <w:p w14:paraId="1B0DA40A">
      <w:pPr>
        <w:jc w:val="center"/>
        <w:rPr>
          <w:rFonts w:ascii="Times New Roman" w:hAnsi="Times New Roman" w:eastAsia="华文中宋;宋体" w:cs="Times New Roman"/>
          <w:b/>
          <w:color w:val="000000"/>
          <w:sz w:val="52"/>
          <w:szCs w:val="52"/>
        </w:rPr>
      </w:pPr>
      <w:r>
        <w:rPr>
          <w:rFonts w:ascii="Times New Roman" w:hAnsi="Times New Roman" w:eastAsia="华文中宋;宋体" w:cs="Times New Roman"/>
          <w:b/>
          <w:color w:val="000000"/>
          <w:sz w:val="72"/>
          <w:szCs w:val="52"/>
        </w:rPr>
        <w:t>建设工程施工合同</w:t>
      </w:r>
      <w:r>
        <w:rPr>
          <w:rFonts w:eastAsia="华文中宋;宋体" w:cs="Times New Roman"/>
          <w:b/>
          <w:color w:val="000000"/>
          <w:sz w:val="52"/>
          <w:szCs w:val="52"/>
        </w:rPr>
        <w:br w:type="textWrapping"/>
      </w:r>
      <w:r>
        <w:rPr>
          <w:rFonts w:ascii="Times New Roman" w:hAnsi="Times New Roman" w:eastAsia="华文中宋;宋体" w:cs="Times New Roman"/>
          <w:b/>
          <w:color w:val="000000"/>
          <w:sz w:val="52"/>
          <w:szCs w:val="52"/>
        </w:rPr>
        <w:t>（示范文本）</w:t>
      </w:r>
    </w:p>
    <w:p w14:paraId="3FA7FA77">
      <w:pPr>
        <w:jc w:val="center"/>
        <w:rPr>
          <w:rFonts w:ascii="Times New Roman" w:hAnsi="Times New Roman" w:eastAsia="华文中宋;宋体" w:cs="Times New Roman"/>
          <w:b/>
          <w:color w:val="000000"/>
          <w:sz w:val="52"/>
          <w:szCs w:val="52"/>
        </w:rPr>
      </w:pPr>
    </w:p>
    <w:p w14:paraId="36C40445">
      <w:pPr>
        <w:jc w:val="center"/>
        <w:rPr>
          <w:rFonts w:ascii="Times New Roman" w:hAnsi="Times New Roman" w:eastAsia="黑体" w:cs="Times New Roman"/>
          <w:b/>
          <w:color w:val="000000"/>
          <w:sz w:val="72"/>
          <w:szCs w:val="72"/>
        </w:rPr>
      </w:pPr>
    </w:p>
    <w:p w14:paraId="457AB9BF">
      <w:pPr>
        <w:jc w:val="center"/>
        <w:rPr>
          <w:rFonts w:ascii="Times New Roman" w:hAnsi="Times New Roman" w:eastAsia="楷体_GB2312;楷体" w:cs="Times New Roman"/>
          <w:b/>
          <w:color w:val="000000"/>
          <w:sz w:val="72"/>
          <w:szCs w:val="72"/>
        </w:rPr>
      </w:pPr>
    </w:p>
    <w:p w14:paraId="063A2624">
      <w:pPr>
        <w:jc w:val="center"/>
        <w:rPr>
          <w:rFonts w:ascii="Times New Roman" w:hAnsi="Times New Roman" w:eastAsia="黑体" w:cs="Times New Roman"/>
          <w:b/>
          <w:color w:val="000000"/>
          <w:sz w:val="52"/>
          <w:szCs w:val="52"/>
        </w:rPr>
      </w:pPr>
    </w:p>
    <w:p w14:paraId="25DEBFBA">
      <w:pPr>
        <w:rPr>
          <w:rFonts w:ascii="Times New Roman" w:hAnsi="Times New Roman" w:eastAsia="黑体" w:cs="Times New Roman"/>
          <w:b/>
          <w:color w:val="000000"/>
          <w:sz w:val="28"/>
          <w:szCs w:val="28"/>
        </w:rPr>
      </w:pPr>
    </w:p>
    <w:p w14:paraId="5E61A33C">
      <w:pPr>
        <w:rPr>
          <w:rFonts w:ascii="Times New Roman" w:hAnsi="Times New Roman" w:cs="Times New Roman"/>
          <w:b/>
          <w:color w:val="000000"/>
          <w:sz w:val="28"/>
          <w:szCs w:val="28"/>
        </w:rPr>
      </w:pPr>
    </w:p>
    <w:p w14:paraId="568922AC">
      <w:pPr>
        <w:rPr>
          <w:rFonts w:ascii="Times New Roman" w:hAnsi="Times New Roman" w:cs="Times New Roman"/>
          <w:b/>
          <w:color w:val="000000"/>
          <w:sz w:val="28"/>
          <w:szCs w:val="28"/>
        </w:rPr>
      </w:pPr>
    </w:p>
    <w:p w14:paraId="6B1277DC">
      <w:pPr>
        <w:rPr>
          <w:rFonts w:ascii="Times New Roman" w:hAnsi="Times New Roman" w:cs="Times New Roman"/>
          <w:b/>
          <w:color w:val="000000"/>
          <w:sz w:val="28"/>
          <w:szCs w:val="28"/>
        </w:rPr>
      </w:pPr>
    </w:p>
    <w:p w14:paraId="07B823B9">
      <w:pPr>
        <w:rPr>
          <w:rFonts w:ascii="Times New Roman" w:hAnsi="Times New Roman" w:cs="Times New Roman"/>
          <w:b/>
          <w:color w:val="000000"/>
          <w:sz w:val="28"/>
          <w:szCs w:val="28"/>
        </w:rPr>
      </w:pPr>
    </w:p>
    <w:p w14:paraId="606A76F8">
      <w:pPr>
        <w:ind w:right="2719" w:firstLine="2738"/>
        <w:jc w:val="distribute"/>
        <w:rPr>
          <w:rFonts w:ascii="Times New Roman" w:hAnsi="Times New Roman" w:cs="Times New Roman"/>
          <w:b/>
          <w:color w:val="000000"/>
          <w:sz w:val="32"/>
          <w:szCs w:val="28"/>
        </w:rPr>
      </w:pPr>
      <w:r>
        <w:rPr>
          <w:rFonts w:ascii="Times New Roman" w:hAnsi="Times New Roman" w:cs="Times New Roman"/>
          <w:b/>
          <w:color w:val="000000"/>
          <w:sz w:val="32"/>
          <w:szCs w:val="28"/>
        </w:rPr>
        <w:t>住房城乡建设部</w:t>
      </w:r>
      <w:r>
        <mc:AlternateContent>
          <mc:Choice Requires="wps">
            <w:drawing>
              <wp:anchor distT="0" distB="0" distL="114935" distR="114935" simplePos="0" relativeHeight="251660288" behindDoc="0" locked="0" layoutInCell="0" allowOverlap="1">
                <wp:simplePos x="0" y="0"/>
                <wp:positionH relativeFrom="column">
                  <wp:posOffset>3965575</wp:posOffset>
                </wp:positionH>
                <wp:positionV relativeFrom="paragraph">
                  <wp:posOffset>115570</wp:posOffset>
                </wp:positionV>
                <wp:extent cx="732790" cy="466090"/>
                <wp:effectExtent l="0" t="0" r="0" b="0"/>
                <wp:wrapNone/>
                <wp:docPr id="3" name="Frame1"/>
                <wp:cNvGraphicFramePr/>
                <a:graphic xmlns:a="http://schemas.openxmlformats.org/drawingml/2006/main">
                  <a:graphicData uri="http://schemas.microsoft.com/office/word/2010/wordprocessingShape">
                    <wps:wsp>
                      <wps:cNvSpPr txBox="1"/>
                      <wps:spPr>
                        <a:xfrm>
                          <a:off x="0" y="0"/>
                          <a:ext cx="732790" cy="466090"/>
                        </a:xfrm>
                        <a:prstGeom prst="rect">
                          <a:avLst/>
                        </a:prstGeom>
                        <a:solidFill>
                          <a:srgbClr val="FFFFFF">
                            <a:alpha val="0"/>
                          </a:srgbClr>
                        </a:solidFill>
                        <a:ln w="9525">
                          <a:solidFill>
                            <a:srgbClr val="FFFFFF"/>
                          </a:solidFill>
                        </a:ln>
                      </wps:spPr>
                      <wps:txbx>
                        <w:txbxContent>
                          <w:p w14:paraId="4A9974A4">
                            <w:pPr>
                              <w:rPr>
                                <w:b/>
                                <w:bCs/>
                                <w:sz w:val="32"/>
                              </w:rPr>
                            </w:pPr>
                            <w:r>
                              <w:rPr>
                                <w:b/>
                                <w:bCs/>
                                <w:sz w:val="32"/>
                              </w:rPr>
                              <w:t>制定</w:t>
                            </w:r>
                          </w:p>
                        </w:txbxContent>
                      </wps:txbx>
                      <wps:bodyPr lIns="91440" tIns="45720" rIns="91440" bIns="45720" anchor="t">
                        <a:noAutofit/>
                      </wps:bodyPr>
                    </wps:wsp>
                  </a:graphicData>
                </a:graphic>
              </wp:anchor>
            </w:drawing>
          </mc:Choice>
          <mc:Fallback>
            <w:pict>
              <v:shape id="Frame1" o:spid="_x0000_s1026" o:spt="202" type="#_x0000_t202" style="position:absolute;left:0pt;margin-left:312.25pt;margin-top:9.1pt;height:36.7pt;width:57.7pt;z-index:251660288;mso-width-relative:page;mso-height-relative:page;" fillcolor="#FFFFFF" filled="t" stroked="t" coordsize="21600,21600" o:allowincell="f" o:gfxdata="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kRU/fY&#10;AAAACQEAAA8AAAAAAAAAAQAgAAAAIgAAAGRycy9kb3ducmV2LnhtbFBLAQIUABQAAAAIAIdO4kCm&#10;42Zk5wEAAA0EAAAOAAAAAAAAAAEAIAAAACcBAABkcnMvZTJvRG9jLnhtbFBLBQYAAAAABgAGAFkB&#10;AACABQAAAAA=&#10;">
                <v:fill on="t" opacity="0f" focussize="0,0"/>
                <v:stroke color="#FFFFFF" joinstyle="round"/>
                <v:imagedata o:title=""/>
                <o:lock v:ext="edit" aspectratio="f"/>
                <v:textbox>
                  <w:txbxContent>
                    <w:p w14:paraId="4A9974A4">
                      <w:pPr>
                        <w:rPr>
                          <w:b/>
                          <w:bCs/>
                          <w:sz w:val="32"/>
                        </w:rPr>
                      </w:pPr>
                      <w:r>
                        <w:rPr>
                          <w:b/>
                          <w:bCs/>
                          <w:sz w:val="32"/>
                        </w:rPr>
                        <w:t>制定</w:t>
                      </w:r>
                    </w:p>
                  </w:txbxContent>
                </v:textbox>
              </v:shape>
            </w:pict>
          </mc:Fallback>
        </mc:AlternateContent>
      </w:r>
    </w:p>
    <w:p w14:paraId="18DBE9A3">
      <w:pPr>
        <w:ind w:right="2719" w:firstLine="2750"/>
        <w:jc w:val="distribute"/>
        <w:rPr>
          <w:rFonts w:ascii="Times New Roman" w:hAnsi="Times New Roman" w:cs="Times New Roman"/>
          <w:b/>
          <w:color w:val="000000"/>
          <w:sz w:val="32"/>
          <w:szCs w:val="28"/>
        </w:rPr>
      </w:pPr>
      <w:r>
        <w:rPr>
          <w:rFonts w:ascii="Times New Roman" w:hAnsi="Times New Roman" w:cs="Times New Roman"/>
          <w:b/>
          <w:color w:val="000000"/>
          <w:sz w:val="32"/>
          <w:szCs w:val="28"/>
        </w:rPr>
        <w:t>国家工商行政管理总局</w:t>
      </w:r>
    </w:p>
    <w:p w14:paraId="343C8AF0">
      <w:pPr>
        <w:pStyle w:val="83"/>
        <w:numPr>
          <w:ilvl w:val="0"/>
          <w:numId w:val="0"/>
        </w:numPr>
        <w:spacing w:before="0" w:after="0" w:line="240" w:lineRule="auto"/>
        <w:jc w:val="center"/>
        <w:outlineLvl w:val="0"/>
        <w:rPr>
          <w:rFonts w:ascii="Times New Roman" w:hAnsi="Times New Roman" w:eastAsia="华文中宋;宋体" w:cs="Times New Roman"/>
          <w:sz w:val="36"/>
          <w:szCs w:val="36"/>
          <w:lang w:val="zh-CN"/>
        </w:rPr>
      </w:pPr>
      <w:r>
        <w:rPr>
          <w:rFonts w:ascii="Times New Roman" w:hAnsi="Times New Roman" w:eastAsia="华文中宋;宋体" w:cs="Times New Roman"/>
          <w:sz w:val="36"/>
          <w:szCs w:val="36"/>
          <w:lang w:val="zh-CN"/>
        </w:rPr>
        <w:t>说</w:t>
      </w:r>
      <w:r>
        <w:rPr>
          <w:rFonts w:ascii="Times New Roman" w:hAnsi="Times New Roman" w:eastAsia="Times New Roman" w:cs="Times New Roman"/>
          <w:sz w:val="36"/>
          <w:szCs w:val="36"/>
          <w:lang w:val="zh-CN"/>
        </w:rPr>
        <w:t xml:space="preserve">  </w:t>
      </w:r>
      <w:r>
        <w:rPr>
          <w:rFonts w:ascii="Times New Roman" w:hAnsi="Times New Roman" w:eastAsia="华文中宋;宋体" w:cs="Times New Roman"/>
          <w:sz w:val="36"/>
          <w:szCs w:val="36"/>
          <w:lang w:val="zh-CN"/>
        </w:rPr>
        <w:t>明</w:t>
      </w:r>
    </w:p>
    <w:p w14:paraId="5618E353">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为了指导建设工程施工合同当事人的签约行为，维护合同当事人的合法权益，依据《</w:t>
      </w:r>
      <w:r>
        <w:rPr>
          <w:rFonts w:ascii="仿宋_GB2312;仿宋" w:hAnsi="仿宋_GB2312;仿宋" w:eastAsia="仿宋_GB2312;仿宋"/>
          <w:sz w:val="24"/>
          <w:szCs w:val="24"/>
          <w:lang w:eastAsia="zh-CN"/>
        </w:rPr>
        <w:t>中华人民共和国民法典</w:t>
      </w:r>
      <w:r>
        <w:rPr>
          <w:rFonts w:ascii="仿宋_GB2312;仿宋" w:hAnsi="仿宋_GB2312;仿宋" w:eastAsia="仿宋_GB2312;仿宋"/>
          <w:sz w:val="24"/>
          <w:szCs w:val="24"/>
        </w:rPr>
        <w:t>》、《中华人民共和国建筑法》、《中华人民共和国招标投标法》以及相关法律法规，住房城乡建设部、国家工商行政管理总局对《建设工程施工合同（示范文本）》（GF-</w:t>
      </w:r>
      <w:r>
        <w:rPr>
          <w:rFonts w:ascii="仿宋_GB2312;仿宋" w:hAnsi="仿宋_GB2312;仿宋" w:eastAsia="仿宋_GB2312;仿宋"/>
          <w:sz w:val="24"/>
          <w:szCs w:val="24"/>
          <w:lang w:val="en-US" w:eastAsia="zh-CN"/>
        </w:rPr>
        <w:t>2013</w:t>
      </w:r>
      <w:r>
        <w:rPr>
          <w:rFonts w:ascii="仿宋_GB2312;仿宋" w:hAnsi="仿宋_GB2312;仿宋" w:eastAsia="仿宋_GB2312;仿宋"/>
          <w:sz w:val="24"/>
          <w:szCs w:val="24"/>
        </w:rPr>
        <w:t>-0201）进行了修订，制定了《建设工程施工合同（示范文本）》（GF-201</w:t>
      </w:r>
      <w:r>
        <w:rPr>
          <w:rFonts w:ascii="仿宋_GB2312;仿宋" w:hAnsi="仿宋_GB2312;仿宋" w:eastAsia="仿宋_GB2312;仿宋"/>
          <w:sz w:val="24"/>
          <w:szCs w:val="24"/>
          <w:lang w:val="en-US" w:eastAsia="zh-CN"/>
        </w:rPr>
        <w:t>7</w:t>
      </w:r>
      <w:r>
        <w:rPr>
          <w:rFonts w:ascii="仿宋_GB2312;仿宋" w:hAnsi="仿宋_GB2312;仿宋" w:eastAsia="仿宋_GB2312;仿宋"/>
          <w:sz w:val="24"/>
          <w:szCs w:val="24"/>
        </w:rPr>
        <w:t>-0201）（以下简称《示范文本》）。为了便于合同当事人使用《示范文本》，现就有关问题说明如下：</w:t>
      </w:r>
    </w:p>
    <w:p w14:paraId="3D630E23">
      <w:pPr>
        <w:numPr>
          <w:ilvl w:val="0"/>
          <w:numId w:val="0"/>
        </w:numPr>
        <w:ind w:firstLine="480"/>
        <w:outlineLvl w:val="0"/>
        <w:rPr>
          <w:rFonts w:ascii="黑体" w:hAnsi="黑体" w:eastAsia="黑体" w:cs="黑体"/>
          <w:bCs/>
          <w:sz w:val="24"/>
          <w:szCs w:val="24"/>
        </w:rPr>
      </w:pPr>
      <w:r>
        <w:rPr>
          <w:rFonts w:ascii="黑体" w:hAnsi="黑体" w:eastAsia="黑体" w:cs="黑体"/>
          <w:bCs/>
          <w:sz w:val="24"/>
          <w:szCs w:val="24"/>
        </w:rPr>
        <w:t>一、《示范文本》的组成</w:t>
      </w:r>
    </w:p>
    <w:p w14:paraId="4283D836">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《示范文本》由合同协议书、通用合同条款和专用合同条款三部分组成。</w:t>
      </w:r>
    </w:p>
    <w:p w14:paraId="6D33A5B7">
      <w:pPr>
        <w:numPr>
          <w:ilvl w:val="0"/>
          <w:numId w:val="0"/>
        </w:numPr>
        <w:ind w:firstLine="480"/>
        <w:outlineLvl w:val="0"/>
        <w:rPr>
          <w:rFonts w:ascii="仿宋_GB2312;仿宋" w:hAnsi="仿宋_GB2312;仿宋" w:eastAsia="仿宋_GB2312;仿宋"/>
          <w:sz w:val="24"/>
          <w:szCs w:val="24"/>
        </w:rPr>
      </w:pPr>
      <w:r>
        <w:rPr>
          <w:rFonts w:ascii="仿宋_GB2312;仿宋" w:hAnsi="仿宋_GB2312;仿宋" w:eastAsia="仿宋_GB2312;仿宋"/>
          <w:sz w:val="24"/>
          <w:szCs w:val="24"/>
        </w:rPr>
        <w:t>（一）合同协议书</w:t>
      </w:r>
    </w:p>
    <w:p w14:paraId="326A6B89">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示范文本》合同协议书共计13条，主要包括：工程概况、合同工期、质量标准、签约合同价和合同价格形式、项目经理、合同文件构成、承诺以及合同生效条件等重要内容，集中约定了合同当事人基本的合同权利义务。</w:t>
      </w:r>
    </w:p>
    <w:p w14:paraId="67F45602">
      <w:pPr>
        <w:numPr>
          <w:ilvl w:val="0"/>
          <w:numId w:val="0"/>
        </w:numPr>
        <w:ind w:firstLine="480"/>
        <w:outlineLvl w:val="0"/>
        <w:rPr>
          <w:rFonts w:ascii="仿宋_GB2312;仿宋" w:hAnsi="仿宋_GB2312;仿宋" w:eastAsia="仿宋_GB2312;仿宋"/>
          <w:sz w:val="24"/>
          <w:szCs w:val="24"/>
        </w:rPr>
      </w:pPr>
      <w:r>
        <w:rPr>
          <w:rFonts w:ascii="仿宋_GB2312;仿宋" w:hAnsi="仿宋_GB2312;仿宋" w:eastAsia="仿宋_GB2312;仿宋"/>
          <w:sz w:val="24"/>
          <w:szCs w:val="24"/>
        </w:rPr>
        <w:t>（二）通用合同条款</w:t>
      </w:r>
    </w:p>
    <w:p w14:paraId="0B85B103">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通用合同条款是合同当事人根据《中华人民共和国建筑法》、《</w:t>
      </w:r>
      <w:r>
        <w:rPr>
          <w:rFonts w:ascii="仿宋_GB2312;仿宋" w:hAnsi="仿宋_GB2312;仿宋" w:eastAsia="仿宋_GB2312;仿宋"/>
          <w:sz w:val="24"/>
          <w:szCs w:val="24"/>
          <w:lang w:eastAsia="zh-CN"/>
        </w:rPr>
        <w:t>中华人民共和国民法典</w:t>
      </w:r>
      <w:r>
        <w:rPr>
          <w:rFonts w:ascii="仿宋_GB2312;仿宋" w:hAnsi="仿宋_GB2312;仿宋" w:eastAsia="仿宋_GB2312;仿宋"/>
          <w:sz w:val="24"/>
          <w:szCs w:val="24"/>
        </w:rPr>
        <w:t>》等法律法规的规定，就工程建设的实施及相关事项，对合同当事人的权利义务作出的原则性约定。</w:t>
      </w:r>
    </w:p>
    <w:p w14:paraId="55D65A8B">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14:paraId="26FAD9B1">
      <w:pPr>
        <w:numPr>
          <w:ilvl w:val="0"/>
          <w:numId w:val="0"/>
        </w:numPr>
        <w:ind w:firstLine="480"/>
        <w:outlineLvl w:val="0"/>
        <w:rPr>
          <w:rFonts w:ascii="仿宋_GB2312;仿宋" w:hAnsi="仿宋_GB2312;仿宋" w:eastAsia="仿宋_GB2312;仿宋"/>
          <w:sz w:val="24"/>
          <w:szCs w:val="24"/>
        </w:rPr>
      </w:pPr>
      <w:r>
        <w:rPr>
          <w:rFonts w:ascii="仿宋_GB2312;仿宋" w:hAnsi="仿宋_GB2312;仿宋" w:eastAsia="仿宋_GB2312;仿宋"/>
          <w:sz w:val="24"/>
          <w:szCs w:val="24"/>
        </w:rPr>
        <w:t>（三）专用合同条款</w:t>
      </w:r>
    </w:p>
    <w:p w14:paraId="4A61BA28">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14:paraId="7E4596A1">
      <w:pPr>
        <w:ind w:right="25" w:firstLine="480"/>
        <w:rPr>
          <w:rFonts w:ascii="仿宋_GB2312;仿宋" w:hAnsi="仿宋_GB2312;仿宋" w:eastAsia="仿宋_GB2312;仿宋"/>
          <w:sz w:val="24"/>
          <w:szCs w:val="24"/>
        </w:rPr>
      </w:pPr>
      <w:r>
        <w:rPr>
          <w:rFonts w:ascii="仿宋_GB2312;仿宋" w:hAnsi="仿宋_GB2312;仿宋" w:eastAsia="仿宋_GB2312;仿宋"/>
          <w:sz w:val="24"/>
          <w:szCs w:val="24"/>
        </w:rPr>
        <w:t>1</w:t>
      </w:r>
      <w:r>
        <w:rPr>
          <w:rFonts w:ascii="仿宋_GB2312;仿宋" w:hAnsi="仿宋_GB2312;仿宋" w:eastAsia="仿宋_GB2312;仿宋"/>
          <w:sz w:val="24"/>
          <w:szCs w:val="24"/>
          <w:lang w:eastAsia="zh-CN"/>
        </w:rPr>
        <w:t>.</w:t>
      </w:r>
      <w:r>
        <w:rPr>
          <w:rFonts w:ascii="仿宋_GB2312;仿宋" w:hAnsi="仿宋_GB2312;仿宋" w:eastAsia="仿宋_GB2312;仿宋"/>
          <w:sz w:val="24"/>
          <w:szCs w:val="24"/>
        </w:rPr>
        <w:t>专用合同条款的编号应与相应的通用合同条款的编号一致；</w:t>
      </w:r>
    </w:p>
    <w:p w14:paraId="08D0406A">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2</w:t>
      </w:r>
      <w:r>
        <w:rPr>
          <w:rFonts w:ascii="仿宋_GB2312;仿宋" w:hAnsi="仿宋_GB2312;仿宋" w:eastAsia="仿宋_GB2312;仿宋"/>
          <w:sz w:val="24"/>
          <w:szCs w:val="24"/>
          <w:lang w:eastAsia="zh-CN"/>
        </w:rPr>
        <w:t>.</w:t>
      </w:r>
      <w:r>
        <w:rPr>
          <w:rFonts w:ascii="仿宋_GB2312;仿宋" w:hAnsi="仿宋_GB2312;仿宋" w:eastAsia="仿宋_GB2312;仿宋"/>
          <w:sz w:val="24"/>
          <w:szCs w:val="24"/>
        </w:rPr>
        <w:t>合同当事人可以通过对专用合同条款的修改，满足具体建设工程的特殊要求，避免直接修改通用合同条款；</w:t>
      </w:r>
    </w:p>
    <w:p w14:paraId="6815C6A9">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3</w:t>
      </w:r>
      <w:r>
        <w:rPr>
          <w:rFonts w:ascii="仿宋_GB2312;仿宋" w:hAnsi="仿宋_GB2312;仿宋" w:eastAsia="仿宋_GB2312;仿宋"/>
          <w:sz w:val="24"/>
          <w:szCs w:val="24"/>
          <w:lang w:eastAsia="zh-CN"/>
        </w:rPr>
        <w:t>.</w:t>
      </w:r>
      <w:r>
        <w:rPr>
          <w:rFonts w:ascii="仿宋_GB2312;仿宋" w:hAnsi="仿宋_GB2312;仿宋" w:eastAsia="仿宋_GB2312;仿宋"/>
          <w:sz w:val="24"/>
          <w:szCs w:val="24"/>
        </w:rPr>
        <w:t>在专用合同条款中有横道线的地方，合同当事人可针对相应的通用合同条款进行细化、完善、补充、修改或另行约定；如无细化、完善、补充、修改或另行约定，则填写“无”或划“/”。</w:t>
      </w:r>
    </w:p>
    <w:p w14:paraId="1A4049F4">
      <w:pPr>
        <w:numPr>
          <w:ilvl w:val="0"/>
          <w:numId w:val="0"/>
        </w:numPr>
        <w:ind w:firstLine="480"/>
        <w:outlineLvl w:val="0"/>
        <w:rPr>
          <w:rFonts w:ascii="仿宋_GB2312;仿宋" w:hAnsi="仿宋_GB2312;仿宋" w:eastAsia="仿宋_GB2312;仿宋"/>
          <w:b/>
          <w:sz w:val="24"/>
          <w:szCs w:val="24"/>
        </w:rPr>
      </w:pPr>
      <w:r>
        <w:rPr>
          <w:rFonts w:ascii="黑体" w:hAnsi="黑体" w:eastAsia="黑体" w:cs="黑体"/>
          <w:bCs/>
          <w:sz w:val="24"/>
          <w:szCs w:val="24"/>
        </w:rPr>
        <w:t>二、《示范文本》的性质和适用范围</w:t>
      </w:r>
    </w:p>
    <w:p w14:paraId="73402116">
      <w:pPr>
        <w:ind w:firstLine="480"/>
        <w:rPr>
          <w:rFonts w:ascii="仿宋_GB2312;仿宋" w:hAnsi="仿宋_GB2312;仿宋" w:eastAsia="仿宋_GB2312;仿宋"/>
          <w:sz w:val="24"/>
          <w:szCs w:val="24"/>
        </w:rPr>
        <w:sectPr>
          <w:headerReference r:id="rId8" w:type="first"/>
          <w:footerReference r:id="rId10" w:type="first"/>
          <w:headerReference r:id="rId7" w:type="default"/>
          <w:footerReference r:id="rId9" w:type="default"/>
          <w:pgSz w:w="11906" w:h="16838"/>
          <w:pgMar w:top="1418" w:right="1555" w:bottom="1418" w:left="1531" w:header="851" w:footer="992" w:gutter="0"/>
          <w:pgNumType w:fmt="decimal"/>
          <w:cols w:space="720" w:num="1"/>
          <w:formProt w:val="0"/>
          <w:titlePg/>
          <w:docGrid w:type="lines" w:linePitch="312" w:charSpace="0"/>
        </w:sectPr>
      </w:pPr>
      <w:r>
        <w:rPr>
          <w:rFonts w:ascii="仿宋_GB2312;仿宋" w:hAnsi="仿宋_GB2312;仿宋" w:eastAsia="仿宋_GB2312;仿宋"/>
          <w:sz w:val="24"/>
          <w:szCs w:val="24"/>
        </w:rPr>
        <w:t>《示范文本》为非强制性使用文本。《示范文本》适用于房屋建筑工程、土木工程、线路管道和设备安装工程、装修工程等建设工程的施工承发包活动,合同当事人可结合建设工程具体情况，根据《示范文本》订立合同，并按照法律法规规定和合同约定承担相应的法律责任及合同权利义务。</w:t>
      </w:r>
    </w:p>
    <w:p w14:paraId="09411BFB">
      <w:pPr>
        <w:pStyle w:val="83"/>
        <w:spacing w:before="120" w:after="120"/>
        <w:jc w:val="center"/>
        <w:rPr>
          <w:rFonts w:ascii="Times New Roman" w:hAnsi="Times New Roman" w:eastAsia="华文中宋;宋体" w:cs="Times New Roman"/>
          <w:sz w:val="36"/>
          <w:szCs w:val="36"/>
        </w:rPr>
      </w:pPr>
      <w:r>
        <w:rPr>
          <w:rFonts w:ascii="Times New Roman" w:hAnsi="Times New Roman" w:eastAsia="华文中宋;宋体" w:cs="Times New Roman"/>
          <w:sz w:val="36"/>
          <w:szCs w:val="36"/>
          <w:lang w:val="zh-CN"/>
        </w:rPr>
        <w:t>目  录</w:t>
      </w:r>
    </w:p>
    <w:sdt>
      <w:sdtPr>
        <w:id w:val="147473705"/>
        <w:docPartObj>
          <w:docPartGallery w:val="Table of Contents"/>
          <w:docPartUnique/>
        </w:docPartObj>
      </w:sdtPr>
      <w:sdtContent>
        <w:p w14:paraId="2BBB599F">
          <w:pPr>
            <w:pStyle w:val="12"/>
            <w:tabs>
              <w:tab w:val="right" w:leader="dot" w:pos="8810"/>
            </w:tabs>
            <w:ind w:left="0" w:firstLine="330"/>
            <w:rPr>
              <w:rFonts w:ascii="Times New Roman" w:hAnsi="Times New Roman" w:eastAsia="仿宋_GB2312;仿宋" w:cs="Times New Roman"/>
              <w:b/>
              <w:sz w:val="24"/>
              <w:szCs w:val="24"/>
            </w:rPr>
          </w:pPr>
          <w:r>
            <w:fldChar w:fldCharType="begin"/>
          </w:r>
          <w:r>
            <w:rPr>
              <w:rStyle w:val="46"/>
              <w:rFonts w:ascii="Times New Roman" w:hAnsi="Times New Roman" w:eastAsia="仿宋_GB2312;仿宋" w:cs="Times New Roman"/>
              <w:b/>
              <w:sz w:val="24"/>
              <w:szCs w:val="24"/>
            </w:rPr>
            <w:instrText xml:space="preserve"> TOC \o "1-5" \h \z \u </w:instrText>
          </w:r>
          <w:r>
            <w:rPr>
              <w:rStyle w:val="46"/>
              <w:rFonts w:ascii="Times New Roman" w:hAnsi="Times New Roman" w:eastAsia="仿宋_GB2312;仿宋" w:cs="Times New Roman"/>
              <w:b/>
              <w:sz w:val="24"/>
              <w:szCs w:val="24"/>
            </w:rPr>
            <w:fldChar w:fldCharType="separate"/>
          </w:r>
          <w:r>
            <w:fldChar w:fldCharType="begin"/>
          </w:r>
          <w:r>
            <w:instrText xml:space="preserve"> HYPERLINK \l "__RefHeading___Toc351203480" \h </w:instrText>
          </w:r>
          <w:r>
            <w:fldChar w:fldCharType="separate"/>
          </w:r>
          <w:r>
            <w:rPr>
              <w:rStyle w:val="46"/>
              <w:rFonts w:ascii="Times New Roman" w:hAnsi="Times New Roman" w:eastAsia="仿宋_GB2312;仿宋" w:cs="Times New Roman"/>
              <w:b/>
              <w:sz w:val="24"/>
              <w:szCs w:val="24"/>
            </w:rPr>
            <w:t>第一部分</w:t>
          </w:r>
          <w:r>
            <w:rPr>
              <w:rStyle w:val="46"/>
              <w:rFonts w:ascii="Times New Roman" w:hAnsi="Times New Roman" w:eastAsia="Times New Roman" w:cs="Times New Roman"/>
              <w:b/>
              <w:sz w:val="24"/>
              <w:szCs w:val="24"/>
            </w:rPr>
            <w:t xml:space="preserve"> </w:t>
          </w:r>
          <w:r>
            <w:rPr>
              <w:rStyle w:val="46"/>
              <w:rFonts w:ascii="Times New Roman" w:hAnsi="Times New Roman" w:eastAsia="仿宋_GB2312;仿宋" w:cs="Times New Roman"/>
              <w:b/>
              <w:sz w:val="24"/>
              <w:szCs w:val="24"/>
            </w:rPr>
            <w:t>合同协议书</w:t>
          </w:r>
          <w:r>
            <w:rPr>
              <w:rStyle w:val="46"/>
              <w:rFonts w:ascii="Times New Roman" w:hAnsi="Times New Roman" w:eastAsia="仿宋_GB2312;仿宋" w:cs="Times New Roman"/>
              <w:sz w:val="22"/>
              <w:szCs w:val="22"/>
            </w:rPr>
            <w:t>………………</w:t>
          </w:r>
          <w:r>
            <w:rPr>
              <w:rStyle w:val="46"/>
              <w:rFonts w:ascii="Times New Roman" w:hAnsi="Times New Roman" w:eastAsia="仿宋_GB2312;仿宋" w:cs="Times New Roman"/>
              <w:sz w:val="22"/>
              <w:szCs w:val="22"/>
              <w:lang w:val="en-US" w:eastAsia="zh-CN"/>
            </w:rPr>
            <w:t>................................</w:t>
          </w:r>
          <w:r>
            <w:rPr>
              <w:rStyle w:val="46"/>
              <w:rFonts w:ascii="Times New Roman" w:hAnsi="Times New Roman" w:eastAsia="仿宋_GB2312;仿宋" w:cs="Times New Roman"/>
              <w:sz w:val="22"/>
              <w:szCs w:val="22"/>
            </w:rPr>
            <w:t>……</w:t>
          </w:r>
          <w:r>
            <w:rPr>
              <w:rStyle w:val="46"/>
              <w:rFonts w:ascii="Times New Roman" w:hAnsi="Times New Roman" w:eastAsia="仿宋_GB2312;仿宋" w:cs="Times New Roman"/>
              <w:spacing w:val="34"/>
              <w:sz w:val="22"/>
              <w:szCs w:val="22"/>
            </w:rPr>
            <w:t>…</w:t>
          </w:r>
          <w:r>
            <w:rPr>
              <w:rStyle w:val="46"/>
              <w:rFonts w:ascii="Times New Roman" w:hAnsi="Times New Roman" w:eastAsia="仿宋_GB2312;仿宋" w:cs="Times New Roman"/>
              <w:sz w:val="22"/>
              <w:szCs w:val="22"/>
            </w:rPr>
            <w:t>…......................…...</w:t>
          </w:r>
          <w:r>
            <w:rPr>
              <w:rStyle w:val="46"/>
              <w:rFonts w:ascii="Times New Roman" w:hAnsi="Times New Roman" w:eastAsia="仿宋_GB2312;仿宋" w:cs="Times New Roman"/>
              <w:sz w:val="24"/>
              <w:szCs w:val="24"/>
            </w:rPr>
            <w:t>51</w:t>
          </w:r>
          <w:r>
            <w:rPr>
              <w:rStyle w:val="46"/>
              <w:rFonts w:ascii="Times New Roman" w:hAnsi="Times New Roman" w:eastAsia="仿宋_GB2312;仿宋" w:cs="Times New Roman"/>
              <w:sz w:val="24"/>
              <w:szCs w:val="24"/>
            </w:rPr>
            <w:fldChar w:fldCharType="end"/>
          </w:r>
        </w:p>
        <w:p w14:paraId="4492C474">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"__RefHeading___Toc351203481" \h </w:instrText>
          </w:r>
          <w:r>
            <w:fldChar w:fldCharType="separate"/>
          </w:r>
          <w:r>
            <w:rPr>
              <w:rStyle w:val="46"/>
              <w:rFonts w:ascii="Times New Roman" w:hAnsi="Times New Roman" w:eastAsia="仿宋_GB2312;仿宋" w:cs="Times New Roman"/>
              <w:sz w:val="22"/>
              <w:szCs w:val="22"/>
            </w:rPr>
            <w:t>一、工程概况</w:t>
          </w:r>
          <w:r>
            <w:rPr>
              <w:rStyle w:val="46"/>
              <w:rFonts w:eastAsia="仿宋_GB2312;仿宋" w:cs="Times New Roman"/>
              <w:sz w:val="22"/>
              <w:szCs w:val="22"/>
            </w:rPr>
            <w:tab/>
          </w:r>
          <w:r>
            <w:rPr>
              <w:rStyle w:val="46"/>
              <w:rFonts w:eastAsia="仿宋_GB2312;仿宋" w:cs="Times New Roman"/>
              <w:sz w:val="22"/>
              <w:szCs w:val="22"/>
            </w:rPr>
            <w:t>..….51</w:t>
          </w:r>
          <w:r>
            <w:rPr>
              <w:rStyle w:val="46"/>
              <w:rFonts w:eastAsia="仿宋_GB2312;仿宋" w:cs="Times New Roman"/>
              <w:sz w:val="22"/>
              <w:szCs w:val="22"/>
            </w:rPr>
            <w:fldChar w:fldCharType="end"/>
          </w:r>
        </w:p>
        <w:p w14:paraId="79DE8DF6">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"__RefHeading___Toc351203482" \h </w:instrText>
          </w:r>
          <w:r>
            <w:fldChar w:fldCharType="separate"/>
          </w:r>
          <w:r>
            <w:rPr>
              <w:rStyle w:val="46"/>
              <w:rFonts w:ascii="Times New Roman" w:hAnsi="Times New Roman" w:eastAsia="仿宋_GB2312;仿宋" w:cs="Times New Roman"/>
              <w:sz w:val="22"/>
              <w:szCs w:val="22"/>
            </w:rPr>
            <w:t>二、合同工期</w:t>
          </w:r>
          <w:r>
            <w:rPr>
              <w:rStyle w:val="46"/>
              <w:rFonts w:eastAsia="仿宋_GB2312;仿宋" w:cs="Times New Roman"/>
              <w:sz w:val="22"/>
              <w:szCs w:val="22"/>
            </w:rPr>
            <w:tab/>
          </w:r>
          <w:r>
            <w:rPr>
              <w:rStyle w:val="46"/>
              <w:rFonts w:eastAsia="仿宋_GB2312;仿宋" w:cs="Times New Roman"/>
              <w:sz w:val="22"/>
              <w:szCs w:val="22"/>
            </w:rPr>
            <w:t>51</w:t>
          </w:r>
          <w:r>
            <w:rPr>
              <w:rStyle w:val="46"/>
              <w:rFonts w:eastAsia="仿宋_GB2312;仿宋" w:cs="Times New Roman"/>
              <w:sz w:val="22"/>
              <w:szCs w:val="22"/>
            </w:rPr>
            <w:fldChar w:fldCharType="end"/>
          </w:r>
        </w:p>
        <w:p w14:paraId="6CA80A05">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"__RefHeading___Toc351203483" \h </w:instrText>
          </w:r>
          <w:r>
            <w:fldChar w:fldCharType="separate"/>
          </w:r>
          <w:r>
            <w:rPr>
              <w:rStyle w:val="46"/>
              <w:rFonts w:ascii="Times New Roman" w:hAnsi="Times New Roman" w:eastAsia="仿宋_GB2312;仿宋" w:cs="Times New Roman"/>
              <w:sz w:val="22"/>
              <w:szCs w:val="22"/>
            </w:rPr>
            <w:t>三、质量标准</w:t>
          </w:r>
          <w:r>
            <w:rPr>
              <w:rStyle w:val="46"/>
              <w:rFonts w:eastAsia="仿宋_GB2312;仿宋" w:cs="Times New Roman"/>
              <w:sz w:val="22"/>
              <w:szCs w:val="22"/>
            </w:rPr>
            <w:tab/>
          </w:r>
          <w:r>
            <w:rPr>
              <w:rStyle w:val="46"/>
              <w:rFonts w:eastAsia="仿宋_GB2312;仿宋" w:cs="Times New Roman"/>
              <w:sz w:val="22"/>
              <w:szCs w:val="22"/>
            </w:rPr>
            <w:t>51</w:t>
          </w:r>
          <w:r>
            <w:rPr>
              <w:rStyle w:val="46"/>
              <w:rFonts w:eastAsia="仿宋_GB2312;仿宋" w:cs="Times New Roman"/>
              <w:sz w:val="22"/>
              <w:szCs w:val="22"/>
            </w:rPr>
            <w:fldChar w:fldCharType="end"/>
          </w:r>
        </w:p>
        <w:p w14:paraId="47627D07">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"__RefHeading___Toc351203484" \h </w:instrText>
          </w:r>
          <w:r>
            <w:fldChar w:fldCharType="separate"/>
          </w:r>
          <w:r>
            <w:rPr>
              <w:rStyle w:val="46"/>
              <w:rFonts w:ascii="Times New Roman" w:hAnsi="Times New Roman" w:eastAsia="仿宋_GB2312;仿宋" w:cs="Times New Roman"/>
              <w:sz w:val="22"/>
              <w:szCs w:val="22"/>
            </w:rPr>
            <w:t>四、签约合同价与合同价格形式</w:t>
          </w:r>
          <w:r>
            <w:rPr>
              <w:rStyle w:val="46"/>
              <w:rFonts w:eastAsia="仿宋_GB2312;仿宋" w:cs="Times New Roman"/>
              <w:sz w:val="22"/>
              <w:szCs w:val="22"/>
            </w:rPr>
            <w:tab/>
          </w:r>
          <w:r>
            <w:rPr>
              <w:rStyle w:val="46"/>
              <w:rFonts w:eastAsia="仿宋_GB2312;仿宋" w:cs="Times New Roman"/>
              <w:sz w:val="22"/>
              <w:szCs w:val="22"/>
            </w:rPr>
            <w:t>51</w:t>
          </w:r>
          <w:r>
            <w:rPr>
              <w:rStyle w:val="46"/>
              <w:rFonts w:eastAsia="仿宋_GB2312;仿宋" w:cs="Times New Roman"/>
              <w:sz w:val="22"/>
              <w:szCs w:val="22"/>
            </w:rPr>
            <w:fldChar w:fldCharType="end"/>
          </w:r>
        </w:p>
        <w:p w14:paraId="40C93909">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"__RefHeading___Toc351203485" \h </w:instrText>
          </w:r>
          <w:r>
            <w:fldChar w:fldCharType="separate"/>
          </w:r>
          <w:r>
            <w:rPr>
              <w:rStyle w:val="46"/>
              <w:rFonts w:ascii="Times New Roman" w:hAnsi="Times New Roman" w:eastAsia="仿宋_GB2312;仿宋" w:cs="Times New Roman"/>
              <w:sz w:val="22"/>
              <w:szCs w:val="22"/>
            </w:rPr>
            <w:t>五、项目经理</w:t>
          </w:r>
          <w:r>
            <w:rPr>
              <w:rStyle w:val="46"/>
              <w:rFonts w:eastAsia="仿宋_GB2312;仿宋" w:cs="Times New Roman"/>
              <w:sz w:val="22"/>
              <w:szCs w:val="22"/>
            </w:rPr>
            <w:tab/>
          </w:r>
          <w:r>
            <w:rPr>
              <w:rStyle w:val="46"/>
              <w:rFonts w:eastAsia="仿宋_GB2312;仿宋" w:cs="Times New Roman"/>
              <w:sz w:val="22"/>
              <w:szCs w:val="22"/>
            </w:rPr>
            <w:t>52</w:t>
          </w:r>
          <w:r>
            <w:rPr>
              <w:rStyle w:val="46"/>
              <w:rFonts w:eastAsia="仿宋_GB2312;仿宋" w:cs="Times New Roman"/>
              <w:sz w:val="22"/>
              <w:szCs w:val="22"/>
            </w:rPr>
            <w:fldChar w:fldCharType="end"/>
          </w:r>
        </w:p>
        <w:p w14:paraId="057F2FD0">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"__RefHeading___Toc351203486" \h </w:instrText>
          </w:r>
          <w:r>
            <w:fldChar w:fldCharType="separate"/>
          </w:r>
          <w:r>
            <w:rPr>
              <w:rStyle w:val="46"/>
              <w:rFonts w:ascii="Times New Roman" w:hAnsi="Times New Roman" w:eastAsia="仿宋_GB2312;仿宋" w:cs="Times New Roman"/>
              <w:sz w:val="22"/>
              <w:szCs w:val="22"/>
            </w:rPr>
            <w:t>六、合同文件构成</w:t>
          </w:r>
          <w:r>
            <w:rPr>
              <w:rStyle w:val="46"/>
              <w:rFonts w:eastAsia="仿宋_GB2312;仿宋" w:cs="Times New Roman"/>
              <w:sz w:val="22"/>
              <w:szCs w:val="22"/>
            </w:rPr>
            <w:tab/>
          </w:r>
          <w:r>
            <w:rPr>
              <w:rStyle w:val="46"/>
              <w:rFonts w:eastAsia="仿宋_GB2312;仿宋" w:cs="Times New Roman"/>
              <w:sz w:val="22"/>
              <w:szCs w:val="22"/>
            </w:rPr>
            <w:t>2</w:t>
          </w:r>
          <w:r>
            <w:rPr>
              <w:rStyle w:val="46"/>
              <w:rFonts w:eastAsia="仿宋_GB2312;仿宋" w:cs="Times New Roman"/>
              <w:sz w:val="22"/>
              <w:szCs w:val="22"/>
            </w:rPr>
            <w:fldChar w:fldCharType="end"/>
          </w:r>
        </w:p>
        <w:p w14:paraId="63E0F7F1">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"__RefHeading___Toc351203487" \h </w:instrText>
          </w:r>
          <w:r>
            <w:fldChar w:fldCharType="separate"/>
          </w:r>
          <w:r>
            <w:rPr>
              <w:rStyle w:val="46"/>
              <w:rFonts w:ascii="Times New Roman" w:hAnsi="Times New Roman" w:eastAsia="仿宋_GB2312;仿宋" w:cs="Times New Roman"/>
              <w:sz w:val="22"/>
              <w:szCs w:val="22"/>
            </w:rPr>
            <w:t>七、承诺</w:t>
          </w:r>
          <w:r>
            <w:rPr>
              <w:rStyle w:val="46"/>
              <w:rFonts w:eastAsia="仿宋_GB2312;仿宋" w:cs="Times New Roman"/>
              <w:sz w:val="22"/>
              <w:szCs w:val="22"/>
            </w:rPr>
            <w:tab/>
          </w:r>
          <w:r>
            <w:rPr>
              <w:rStyle w:val="46"/>
              <w:rFonts w:eastAsia="仿宋_GB2312;仿宋" w:cs="Times New Roman"/>
              <w:sz w:val="22"/>
              <w:szCs w:val="22"/>
            </w:rPr>
            <w:t>52</w:t>
          </w:r>
          <w:r>
            <w:rPr>
              <w:rStyle w:val="46"/>
              <w:rFonts w:eastAsia="仿宋_GB2312;仿宋" w:cs="Times New Roman"/>
              <w:sz w:val="22"/>
              <w:szCs w:val="22"/>
            </w:rPr>
            <w:fldChar w:fldCharType="end"/>
          </w:r>
        </w:p>
        <w:p w14:paraId="226CEE02">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"__RefHeading___Toc351203488" \h </w:instrText>
          </w:r>
          <w:r>
            <w:fldChar w:fldCharType="separate"/>
          </w:r>
          <w:r>
            <w:rPr>
              <w:rStyle w:val="46"/>
              <w:rFonts w:ascii="Times New Roman" w:hAnsi="Times New Roman" w:eastAsia="仿宋_GB2312;仿宋" w:cs="Times New Roman"/>
              <w:sz w:val="22"/>
              <w:szCs w:val="22"/>
            </w:rPr>
            <w:t>八、词语含义</w:t>
          </w:r>
          <w:r>
            <w:rPr>
              <w:rStyle w:val="46"/>
              <w:rFonts w:eastAsia="仿宋_GB2312;仿宋" w:cs="Times New Roman"/>
              <w:sz w:val="22"/>
              <w:szCs w:val="22"/>
            </w:rPr>
            <w:tab/>
          </w:r>
          <w:r>
            <w:rPr>
              <w:rStyle w:val="46"/>
              <w:rFonts w:eastAsia="仿宋_GB2312;仿宋" w:cs="Times New Roman"/>
              <w:sz w:val="22"/>
              <w:szCs w:val="22"/>
            </w:rPr>
            <w:t>3</w:t>
          </w:r>
          <w:r>
            <w:rPr>
              <w:rStyle w:val="46"/>
              <w:rFonts w:eastAsia="仿宋_GB2312;仿宋" w:cs="Times New Roman"/>
              <w:sz w:val="22"/>
              <w:szCs w:val="22"/>
            </w:rPr>
            <w:fldChar w:fldCharType="end"/>
          </w:r>
        </w:p>
        <w:p w14:paraId="615A0261">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"__RefHeading___Toc351203489" \h </w:instrText>
          </w:r>
          <w:r>
            <w:fldChar w:fldCharType="separate"/>
          </w:r>
          <w:r>
            <w:rPr>
              <w:rStyle w:val="46"/>
              <w:rFonts w:ascii="Times New Roman" w:hAnsi="Times New Roman" w:eastAsia="仿宋_GB2312;仿宋" w:cs="Times New Roman"/>
              <w:sz w:val="22"/>
              <w:szCs w:val="22"/>
            </w:rPr>
            <w:t>九、签订时间</w:t>
          </w:r>
          <w:r>
            <w:rPr>
              <w:rStyle w:val="46"/>
              <w:rFonts w:eastAsia="仿宋_GB2312;仿宋" w:cs="Times New Roman"/>
              <w:sz w:val="22"/>
              <w:szCs w:val="22"/>
            </w:rPr>
            <w:tab/>
          </w:r>
          <w:r>
            <w:rPr>
              <w:rStyle w:val="46"/>
              <w:rFonts w:eastAsia="仿宋_GB2312;仿宋" w:cs="Times New Roman"/>
              <w:sz w:val="22"/>
              <w:szCs w:val="22"/>
            </w:rPr>
            <w:t>53</w:t>
          </w:r>
          <w:r>
            <w:rPr>
              <w:rStyle w:val="46"/>
              <w:rFonts w:eastAsia="仿宋_GB2312;仿宋" w:cs="Times New Roman"/>
              <w:sz w:val="22"/>
              <w:szCs w:val="22"/>
            </w:rPr>
            <w:fldChar w:fldCharType="end"/>
          </w:r>
        </w:p>
        <w:p w14:paraId="042B0666">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"__RefHeading___Toc351203490" \h </w:instrText>
          </w:r>
          <w:r>
            <w:fldChar w:fldCharType="separate"/>
          </w:r>
          <w:r>
            <w:rPr>
              <w:rStyle w:val="46"/>
              <w:rFonts w:ascii="Times New Roman" w:hAnsi="Times New Roman" w:eastAsia="仿宋_GB2312;仿宋" w:cs="Times New Roman"/>
              <w:sz w:val="22"/>
              <w:szCs w:val="22"/>
            </w:rPr>
            <w:t>十、签订地点</w:t>
          </w:r>
          <w:r>
            <w:rPr>
              <w:rStyle w:val="46"/>
              <w:rFonts w:eastAsia="仿宋_GB2312;仿宋" w:cs="Times New Roman"/>
              <w:sz w:val="22"/>
              <w:szCs w:val="22"/>
            </w:rPr>
            <w:tab/>
          </w:r>
          <w:r>
            <w:rPr>
              <w:rStyle w:val="46"/>
              <w:rFonts w:eastAsia="仿宋_GB2312;仿宋" w:cs="Times New Roman"/>
              <w:sz w:val="22"/>
              <w:szCs w:val="22"/>
            </w:rPr>
            <w:t>53</w:t>
          </w:r>
          <w:r>
            <w:rPr>
              <w:rStyle w:val="46"/>
              <w:rFonts w:eastAsia="仿宋_GB2312;仿宋" w:cs="Times New Roman"/>
              <w:sz w:val="22"/>
              <w:szCs w:val="22"/>
            </w:rPr>
            <w:fldChar w:fldCharType="end"/>
          </w:r>
        </w:p>
        <w:p w14:paraId="584A669D">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"__RefHeading___Toc351203491" \h </w:instrText>
          </w:r>
          <w:r>
            <w:fldChar w:fldCharType="separate"/>
          </w:r>
          <w:r>
            <w:rPr>
              <w:rStyle w:val="46"/>
              <w:rFonts w:ascii="Times New Roman" w:hAnsi="Times New Roman" w:eastAsia="仿宋_GB2312;仿宋" w:cs="Times New Roman"/>
              <w:sz w:val="22"/>
              <w:szCs w:val="22"/>
            </w:rPr>
            <w:t>十一、补充协议</w:t>
          </w:r>
          <w:r>
            <w:rPr>
              <w:rStyle w:val="46"/>
              <w:rFonts w:eastAsia="仿宋_GB2312;仿宋" w:cs="Times New Roman"/>
              <w:sz w:val="22"/>
              <w:szCs w:val="22"/>
            </w:rPr>
            <w:tab/>
          </w:r>
          <w:r>
            <w:rPr>
              <w:rStyle w:val="46"/>
              <w:rFonts w:eastAsia="仿宋_GB2312;仿宋" w:cs="Times New Roman"/>
              <w:sz w:val="22"/>
              <w:szCs w:val="22"/>
            </w:rPr>
            <w:t>53</w:t>
          </w:r>
          <w:r>
            <w:rPr>
              <w:rStyle w:val="46"/>
              <w:rFonts w:eastAsia="仿宋_GB2312;仿宋" w:cs="Times New Roman"/>
              <w:sz w:val="22"/>
              <w:szCs w:val="22"/>
            </w:rPr>
            <w:fldChar w:fldCharType="end"/>
          </w:r>
        </w:p>
        <w:p w14:paraId="593463F1">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"__RefHeading___Toc351203492" \h </w:instrText>
          </w:r>
          <w:r>
            <w:fldChar w:fldCharType="separate"/>
          </w:r>
          <w:r>
            <w:rPr>
              <w:rStyle w:val="46"/>
              <w:rFonts w:ascii="Times New Roman" w:hAnsi="Times New Roman" w:eastAsia="仿宋_GB2312;仿宋" w:cs="Times New Roman"/>
              <w:sz w:val="22"/>
              <w:szCs w:val="22"/>
            </w:rPr>
            <w:t>十二、合同生效</w:t>
          </w:r>
          <w:r>
            <w:rPr>
              <w:rStyle w:val="46"/>
              <w:rFonts w:eastAsia="仿宋_GB2312;仿宋" w:cs="Times New Roman"/>
              <w:sz w:val="22"/>
              <w:szCs w:val="22"/>
            </w:rPr>
            <w:tab/>
          </w:r>
          <w:r>
            <w:rPr>
              <w:rStyle w:val="46"/>
              <w:rFonts w:eastAsia="仿宋_GB2312;仿宋" w:cs="Times New Roman"/>
              <w:sz w:val="22"/>
              <w:szCs w:val="22"/>
            </w:rPr>
            <w:t>53</w:t>
          </w:r>
          <w:r>
            <w:rPr>
              <w:rStyle w:val="46"/>
              <w:rFonts w:eastAsia="仿宋_GB2312;仿宋" w:cs="Times New Roman"/>
              <w:sz w:val="22"/>
              <w:szCs w:val="22"/>
            </w:rPr>
            <w:fldChar w:fldCharType="end"/>
          </w:r>
        </w:p>
        <w:p w14:paraId="62758C79">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"__RefHeading___Toc351203493" \h </w:instrText>
          </w:r>
          <w:r>
            <w:fldChar w:fldCharType="separate"/>
          </w:r>
          <w:r>
            <w:rPr>
              <w:rStyle w:val="46"/>
              <w:rFonts w:ascii="Times New Roman" w:hAnsi="Times New Roman" w:eastAsia="仿宋_GB2312;仿宋" w:cs="Times New Roman"/>
              <w:sz w:val="22"/>
              <w:szCs w:val="22"/>
            </w:rPr>
            <w:t>十三、合同份数</w:t>
          </w:r>
          <w:r>
            <w:rPr>
              <w:rStyle w:val="46"/>
              <w:rFonts w:eastAsia="仿宋_GB2312;仿宋" w:cs="Times New Roman"/>
              <w:sz w:val="22"/>
              <w:szCs w:val="22"/>
            </w:rPr>
            <w:tab/>
          </w:r>
          <w:r>
            <w:rPr>
              <w:rStyle w:val="46"/>
              <w:rFonts w:eastAsia="仿宋_GB2312;仿宋" w:cs="Times New Roman"/>
              <w:sz w:val="22"/>
              <w:szCs w:val="22"/>
            </w:rPr>
            <w:t>53</w:t>
          </w:r>
          <w:r>
            <w:rPr>
              <w:rStyle w:val="46"/>
              <w:rFonts w:eastAsia="仿宋_GB2312;仿宋" w:cs="Times New Roman"/>
              <w:sz w:val="22"/>
              <w:szCs w:val="22"/>
            </w:rPr>
            <w:fldChar w:fldCharType="end"/>
          </w:r>
        </w:p>
        <w:p w14:paraId="50CA07F1">
          <w:pPr>
            <w:pStyle w:val="12"/>
            <w:tabs>
              <w:tab w:val="right" w:leader="dot" w:pos="8810"/>
            </w:tabs>
            <w:ind w:left="0" w:firstLine="239"/>
            <w:rPr>
              <w:rFonts w:ascii="Times New Roman" w:hAnsi="Times New Roman" w:eastAsia="仿宋_GB2312;仿宋" w:cs="Times New Roman"/>
              <w:b/>
              <w:sz w:val="24"/>
              <w:szCs w:val="24"/>
            </w:rPr>
          </w:pPr>
          <w:r>
            <w:fldChar w:fldCharType="begin"/>
          </w:r>
          <w:r>
            <w:instrText xml:space="preserve"> HYPERLINK \l "__RefHeading___Toc351203494" \h </w:instrText>
          </w:r>
          <w:r>
            <w:fldChar w:fldCharType="separate"/>
          </w:r>
          <w:r>
            <w:rPr>
              <w:rStyle w:val="46"/>
              <w:rFonts w:ascii="Times New Roman" w:hAnsi="Times New Roman" w:eastAsia="仿宋_GB2312;仿宋" w:cs="Times New Roman"/>
              <w:b/>
              <w:sz w:val="24"/>
              <w:szCs w:val="24"/>
            </w:rPr>
            <w:t>第二部分</w:t>
          </w:r>
          <w:r>
            <w:rPr>
              <w:rStyle w:val="46"/>
              <w:rFonts w:ascii="Times New Roman" w:hAnsi="Times New Roman" w:eastAsia="Times New Roman" w:cs="Times New Roman"/>
              <w:b/>
              <w:sz w:val="24"/>
              <w:szCs w:val="24"/>
            </w:rPr>
            <w:t xml:space="preserve"> </w:t>
          </w:r>
          <w:r>
            <w:rPr>
              <w:rStyle w:val="46"/>
              <w:rFonts w:ascii="Times New Roman" w:hAnsi="Times New Roman" w:eastAsia="仿宋_GB2312;仿宋" w:cs="Times New Roman"/>
              <w:b/>
              <w:sz w:val="24"/>
              <w:szCs w:val="24"/>
            </w:rPr>
            <w:t>通用合同条款</w:t>
          </w:r>
          <w:r>
            <w:rPr>
              <w:rStyle w:val="46"/>
              <w:rFonts w:ascii="Times New Roman" w:hAnsi="Times New Roman" w:eastAsia="仿宋_GB2312;仿宋" w:cs="Times New Roman"/>
              <w:sz w:val="22"/>
              <w:szCs w:val="22"/>
            </w:rPr>
            <w:t>……………………......…............</w:t>
          </w:r>
          <w:r>
            <w:rPr>
              <w:rStyle w:val="46"/>
              <w:rFonts w:ascii="Times New Roman" w:hAnsi="Times New Roman" w:eastAsia="仿宋_GB2312;仿宋" w:cs="Times New Roman"/>
              <w:sz w:val="22"/>
              <w:szCs w:val="22"/>
              <w:lang w:val="en-US" w:eastAsia="zh-CN"/>
            </w:rPr>
            <w:t>................................</w:t>
          </w:r>
          <w:r>
            <w:rPr>
              <w:rStyle w:val="46"/>
              <w:rFonts w:ascii="Times New Roman" w:hAnsi="Times New Roman" w:eastAsia="仿宋_GB2312;仿宋" w:cs="Times New Roman"/>
              <w:sz w:val="22"/>
              <w:szCs w:val="22"/>
            </w:rPr>
            <w:t>...…......55</w:t>
          </w:r>
          <w:r>
            <w:rPr>
              <w:rStyle w:val="46"/>
              <w:rFonts w:ascii="Times New Roman" w:hAnsi="Times New Roman" w:eastAsia="仿宋_GB2312;仿宋" w:cs="Times New Roman"/>
              <w:sz w:val="22"/>
              <w:szCs w:val="22"/>
            </w:rPr>
            <w:fldChar w:fldCharType="end"/>
          </w:r>
        </w:p>
        <w:p w14:paraId="159973FF">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"__RefHeading___Toc351203495" \h </w:instrText>
          </w:r>
          <w:r>
            <w:fldChar w:fldCharType="separate"/>
          </w:r>
          <w:r>
            <w:rPr>
              <w:rStyle w:val="46"/>
              <w:rFonts w:eastAsia="仿宋_GB2312;仿宋" w:cs="Times New Roman"/>
              <w:sz w:val="22"/>
              <w:szCs w:val="22"/>
            </w:rPr>
            <w:t xml:space="preserve">1. </w:t>
          </w:r>
          <w:r>
            <w:rPr>
              <w:rStyle w:val="46"/>
              <w:rFonts w:ascii="Times New Roman" w:hAnsi="Times New Roman" w:eastAsia="仿宋_GB2312;仿宋" w:cs="Times New Roman"/>
              <w:sz w:val="22"/>
              <w:szCs w:val="22"/>
            </w:rPr>
            <w:t>一般约定</w:t>
          </w:r>
          <w:r>
            <w:rPr>
              <w:rStyle w:val="46"/>
              <w:rFonts w:eastAsia="仿宋_GB2312;仿宋" w:cs="Times New Roman"/>
              <w:sz w:val="22"/>
              <w:szCs w:val="22"/>
            </w:rPr>
            <w:tab/>
          </w:r>
          <w:r>
            <w:rPr>
              <w:rStyle w:val="46"/>
              <w:rFonts w:eastAsia="仿宋_GB2312;仿宋" w:cs="Times New Roman"/>
              <w:sz w:val="22"/>
              <w:szCs w:val="22"/>
            </w:rPr>
            <w:t>55</w:t>
          </w:r>
          <w:r>
            <w:rPr>
              <w:rStyle w:val="46"/>
              <w:rFonts w:eastAsia="仿宋_GB2312;仿宋" w:cs="Times New Roman"/>
              <w:sz w:val="22"/>
              <w:szCs w:val="22"/>
            </w:rPr>
            <w:fldChar w:fldCharType="end"/>
          </w:r>
        </w:p>
        <w:p w14:paraId="3C3FFC5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"__RefHeading___Toc351203496" \h </w:instrText>
          </w:r>
          <w:r>
            <w:fldChar w:fldCharType="separate"/>
          </w:r>
          <w:r>
            <w:rPr>
              <w:rStyle w:val="46"/>
              <w:rFonts w:eastAsia="仿宋_GB2312;仿宋" w:cs="Times New Roman"/>
              <w:sz w:val="22"/>
              <w:szCs w:val="22"/>
            </w:rPr>
            <w:t>1.1</w:t>
          </w:r>
          <w:r>
            <w:rPr>
              <w:rStyle w:val="46"/>
              <w:rFonts w:ascii="Times New Roman" w:hAnsi="Times New Roman" w:eastAsia="仿宋_GB2312;仿宋" w:cs="Times New Roman"/>
              <w:sz w:val="22"/>
              <w:szCs w:val="22"/>
            </w:rPr>
            <w:t>词语定义与解释</w:t>
          </w:r>
          <w:r>
            <w:rPr>
              <w:rStyle w:val="46"/>
              <w:rFonts w:eastAsia="仿宋_GB2312;仿宋" w:cs="Times New Roman"/>
              <w:sz w:val="22"/>
              <w:szCs w:val="22"/>
            </w:rPr>
            <w:tab/>
          </w:r>
          <w:r>
            <w:rPr>
              <w:rStyle w:val="46"/>
              <w:rFonts w:eastAsia="仿宋_GB2312;仿宋" w:cs="Times New Roman"/>
              <w:sz w:val="22"/>
              <w:szCs w:val="22"/>
            </w:rPr>
            <w:t>55</w:t>
          </w:r>
          <w:r>
            <w:rPr>
              <w:rStyle w:val="46"/>
              <w:rFonts w:eastAsia="仿宋_GB2312;仿宋" w:cs="Times New Roman"/>
              <w:sz w:val="22"/>
              <w:szCs w:val="22"/>
            </w:rPr>
            <w:fldChar w:fldCharType="end"/>
          </w:r>
        </w:p>
        <w:p w14:paraId="702516E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"__RefHeading___Toc351203497" \h </w:instrText>
          </w:r>
          <w:r>
            <w:fldChar w:fldCharType="separate"/>
          </w:r>
          <w:r>
            <w:rPr>
              <w:rStyle w:val="46"/>
              <w:rFonts w:eastAsia="仿宋_GB2312;仿宋" w:cs="Times New Roman"/>
              <w:sz w:val="22"/>
              <w:szCs w:val="22"/>
            </w:rPr>
            <w:t>1.2</w:t>
          </w:r>
          <w:r>
            <w:rPr>
              <w:rStyle w:val="46"/>
              <w:rFonts w:ascii="Times New Roman" w:hAnsi="Times New Roman" w:eastAsia="仿宋_GB2312;仿宋" w:cs="Times New Roman"/>
              <w:sz w:val="22"/>
              <w:szCs w:val="22"/>
            </w:rPr>
            <w:t>语言文字</w:t>
          </w:r>
          <w:r>
            <w:rPr>
              <w:rStyle w:val="46"/>
              <w:rFonts w:eastAsia="仿宋_GB2312;仿宋" w:cs="Times New Roman"/>
              <w:sz w:val="22"/>
              <w:szCs w:val="22"/>
            </w:rPr>
            <w:tab/>
          </w:r>
          <w:r>
            <w:rPr>
              <w:rStyle w:val="46"/>
              <w:rFonts w:eastAsia="仿宋_GB2312;仿宋" w:cs="Times New Roman"/>
              <w:sz w:val="22"/>
              <w:szCs w:val="22"/>
            </w:rPr>
            <w:t>58</w:t>
          </w:r>
          <w:r>
            <w:rPr>
              <w:rStyle w:val="46"/>
              <w:rFonts w:eastAsia="仿宋_GB2312;仿宋" w:cs="Times New Roman"/>
              <w:sz w:val="22"/>
              <w:szCs w:val="22"/>
            </w:rPr>
            <w:fldChar w:fldCharType="end"/>
          </w:r>
        </w:p>
        <w:p w14:paraId="4FEFFFC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"__RefHeading___Toc351203498" \h </w:instrText>
          </w:r>
          <w:r>
            <w:fldChar w:fldCharType="separate"/>
          </w:r>
          <w:r>
            <w:rPr>
              <w:rStyle w:val="46"/>
              <w:rFonts w:eastAsia="仿宋_GB2312;仿宋" w:cs="Times New Roman"/>
              <w:sz w:val="22"/>
              <w:szCs w:val="22"/>
            </w:rPr>
            <w:t>1.3</w:t>
          </w:r>
          <w:r>
            <w:rPr>
              <w:rStyle w:val="46"/>
              <w:rFonts w:ascii="Times New Roman" w:hAnsi="Times New Roman" w:eastAsia="仿宋_GB2312;仿宋" w:cs="Times New Roman"/>
              <w:sz w:val="22"/>
              <w:szCs w:val="22"/>
            </w:rPr>
            <w:t>法律</w:t>
          </w:r>
          <w:r>
            <w:rPr>
              <w:rStyle w:val="46"/>
              <w:rFonts w:eastAsia="仿宋_GB2312;仿宋" w:cs="Times New Roman"/>
              <w:sz w:val="22"/>
              <w:szCs w:val="22"/>
            </w:rPr>
            <w:tab/>
          </w:r>
          <w:r>
            <w:rPr>
              <w:rStyle w:val="46"/>
              <w:rFonts w:eastAsia="仿宋_GB2312;仿宋" w:cs="Times New Roman"/>
              <w:sz w:val="22"/>
              <w:szCs w:val="22"/>
            </w:rPr>
            <w:t>58</w:t>
          </w:r>
          <w:r>
            <w:rPr>
              <w:rStyle w:val="46"/>
              <w:rFonts w:eastAsia="仿宋_GB2312;仿宋" w:cs="Times New Roman"/>
              <w:sz w:val="22"/>
              <w:szCs w:val="22"/>
            </w:rPr>
            <w:fldChar w:fldCharType="end"/>
          </w:r>
        </w:p>
        <w:p w14:paraId="426A3BF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"__RefHeading___Toc351203499" \h </w:instrText>
          </w:r>
          <w:r>
            <w:fldChar w:fldCharType="separate"/>
          </w:r>
          <w:r>
            <w:rPr>
              <w:rStyle w:val="46"/>
              <w:rFonts w:eastAsia="仿宋_GB2312;仿宋" w:cs="Times New Roman"/>
              <w:sz w:val="22"/>
              <w:szCs w:val="22"/>
            </w:rPr>
            <w:t xml:space="preserve">1.4 </w:t>
          </w:r>
          <w:r>
            <w:rPr>
              <w:rStyle w:val="46"/>
              <w:rFonts w:ascii="Times New Roman" w:hAnsi="Times New Roman" w:eastAsia="仿宋_GB2312;仿宋" w:cs="Times New Roman"/>
              <w:sz w:val="22"/>
              <w:szCs w:val="22"/>
            </w:rPr>
            <w:t>标准和规范</w:t>
          </w:r>
          <w:r>
            <w:rPr>
              <w:rStyle w:val="46"/>
              <w:rFonts w:eastAsia="仿宋_GB2312;仿宋" w:cs="Times New Roman"/>
              <w:sz w:val="22"/>
              <w:szCs w:val="22"/>
            </w:rPr>
            <w:tab/>
          </w:r>
          <w:r>
            <w:rPr>
              <w:rStyle w:val="46"/>
              <w:rFonts w:eastAsia="仿宋_GB2312;仿宋" w:cs="Times New Roman"/>
              <w:sz w:val="22"/>
              <w:szCs w:val="22"/>
            </w:rPr>
            <w:t>58</w:t>
          </w:r>
          <w:r>
            <w:rPr>
              <w:rStyle w:val="46"/>
              <w:rFonts w:eastAsia="仿宋_GB2312;仿宋" w:cs="Times New Roman"/>
              <w:sz w:val="22"/>
              <w:szCs w:val="22"/>
            </w:rPr>
            <w:fldChar w:fldCharType="end"/>
          </w:r>
        </w:p>
        <w:p w14:paraId="640328C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"__RefHeading___Toc351203500" \h </w:instrText>
          </w:r>
          <w:r>
            <w:fldChar w:fldCharType="separate"/>
          </w:r>
          <w:r>
            <w:rPr>
              <w:rStyle w:val="46"/>
              <w:rFonts w:eastAsia="仿宋_GB2312;仿宋" w:cs="Times New Roman"/>
              <w:sz w:val="22"/>
              <w:szCs w:val="22"/>
            </w:rPr>
            <w:t xml:space="preserve">1.5 </w:t>
          </w:r>
          <w:r>
            <w:rPr>
              <w:rStyle w:val="46"/>
              <w:rFonts w:ascii="Times New Roman" w:hAnsi="Times New Roman" w:eastAsia="仿宋_GB2312;仿宋" w:cs="Times New Roman"/>
              <w:sz w:val="22"/>
              <w:szCs w:val="22"/>
            </w:rPr>
            <w:t>合同文件的优先顺序</w:t>
          </w:r>
          <w:r>
            <w:rPr>
              <w:rStyle w:val="46"/>
              <w:rFonts w:eastAsia="仿宋_GB2312;仿宋" w:cs="Times New Roman"/>
              <w:sz w:val="22"/>
              <w:szCs w:val="22"/>
            </w:rPr>
            <w:tab/>
          </w:r>
          <w:r>
            <w:rPr>
              <w:rStyle w:val="46"/>
              <w:rFonts w:eastAsia="仿宋_GB2312;仿宋" w:cs="Times New Roman"/>
              <w:sz w:val="22"/>
              <w:szCs w:val="22"/>
            </w:rPr>
            <w:t>59</w:t>
          </w:r>
          <w:r>
            <w:rPr>
              <w:rStyle w:val="46"/>
              <w:rFonts w:eastAsia="仿宋_GB2312;仿宋" w:cs="Times New Roman"/>
              <w:sz w:val="22"/>
              <w:szCs w:val="22"/>
            </w:rPr>
            <w:fldChar w:fldCharType="end"/>
          </w:r>
        </w:p>
        <w:p w14:paraId="42567AA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"__RefHeading___Toc351203501" \h </w:instrText>
          </w:r>
          <w:r>
            <w:fldChar w:fldCharType="separate"/>
          </w:r>
          <w:r>
            <w:rPr>
              <w:rStyle w:val="46"/>
              <w:rFonts w:eastAsia="仿宋_GB2312;仿宋" w:cs="Times New Roman"/>
              <w:sz w:val="22"/>
              <w:szCs w:val="22"/>
            </w:rPr>
            <w:t>1.6</w:t>
          </w:r>
          <w:r>
            <w:rPr>
              <w:rStyle w:val="46"/>
              <w:rFonts w:ascii="Times New Roman" w:hAnsi="Times New Roman" w:eastAsia="仿宋_GB2312;仿宋" w:cs="Times New Roman"/>
              <w:sz w:val="22"/>
              <w:szCs w:val="22"/>
            </w:rPr>
            <w:t>图纸和承包人文件</w:t>
          </w:r>
          <w:r>
            <w:rPr>
              <w:rStyle w:val="46"/>
              <w:rFonts w:eastAsia="仿宋_GB2312;仿宋" w:cs="Times New Roman"/>
              <w:sz w:val="22"/>
              <w:szCs w:val="22"/>
            </w:rPr>
            <w:tab/>
          </w:r>
          <w:r>
            <w:rPr>
              <w:rStyle w:val="46"/>
              <w:rFonts w:eastAsia="仿宋_GB2312;仿宋" w:cs="Times New Roman"/>
              <w:sz w:val="22"/>
              <w:szCs w:val="22"/>
            </w:rPr>
            <w:t>59</w:t>
          </w:r>
          <w:r>
            <w:rPr>
              <w:rStyle w:val="46"/>
              <w:rFonts w:eastAsia="仿宋_GB2312;仿宋" w:cs="Times New Roman"/>
              <w:sz w:val="22"/>
              <w:szCs w:val="22"/>
            </w:rPr>
            <w:fldChar w:fldCharType="end"/>
          </w:r>
        </w:p>
        <w:p w14:paraId="23F6B1E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"__RefHeading___Toc351203502" \h </w:instrText>
          </w:r>
          <w:r>
            <w:fldChar w:fldCharType="separate"/>
          </w:r>
          <w:r>
            <w:rPr>
              <w:rStyle w:val="46"/>
              <w:rFonts w:eastAsia="仿宋_GB2312;仿宋" w:cs="Times New Roman"/>
              <w:sz w:val="22"/>
              <w:szCs w:val="22"/>
            </w:rPr>
            <w:t>1.7</w:t>
          </w:r>
          <w:r>
            <w:rPr>
              <w:rStyle w:val="46"/>
              <w:rFonts w:ascii="Times New Roman" w:hAnsi="Times New Roman" w:eastAsia="仿宋_GB2312;仿宋" w:cs="Times New Roman"/>
              <w:sz w:val="22"/>
              <w:szCs w:val="22"/>
            </w:rPr>
            <w:t>联络</w:t>
          </w:r>
          <w:r>
            <w:rPr>
              <w:rStyle w:val="46"/>
              <w:rFonts w:eastAsia="仿宋_GB2312;仿宋" w:cs="Times New Roman"/>
              <w:sz w:val="22"/>
              <w:szCs w:val="22"/>
            </w:rPr>
            <w:tab/>
          </w:r>
          <w:r>
            <w:rPr>
              <w:rStyle w:val="46"/>
              <w:rFonts w:eastAsia="仿宋_GB2312;仿宋" w:cs="Times New Roman"/>
              <w:sz w:val="22"/>
              <w:szCs w:val="22"/>
            </w:rPr>
            <w:t>60</w:t>
          </w:r>
          <w:r>
            <w:rPr>
              <w:rStyle w:val="46"/>
              <w:rFonts w:eastAsia="仿宋_GB2312;仿宋" w:cs="Times New Roman"/>
              <w:sz w:val="22"/>
              <w:szCs w:val="22"/>
            </w:rPr>
            <w:fldChar w:fldCharType="end"/>
          </w:r>
        </w:p>
        <w:p w14:paraId="0504A52E">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"__RefHeading___Toc351203503" \h </w:instrText>
          </w:r>
          <w:r>
            <w:fldChar w:fldCharType="separate"/>
          </w:r>
          <w:r>
            <w:rPr>
              <w:rStyle w:val="46"/>
              <w:rFonts w:eastAsia="仿宋_GB2312;仿宋" w:cs="Times New Roman"/>
              <w:sz w:val="22"/>
              <w:szCs w:val="22"/>
            </w:rPr>
            <w:t>1.8</w:t>
          </w:r>
          <w:r>
            <w:rPr>
              <w:rStyle w:val="46"/>
              <w:rFonts w:ascii="Times New Roman" w:hAnsi="Times New Roman" w:eastAsia="仿宋_GB2312;仿宋" w:cs="Times New Roman"/>
              <w:sz w:val="22"/>
              <w:szCs w:val="22"/>
            </w:rPr>
            <w:t>严禁贿赂</w:t>
          </w:r>
          <w:r>
            <w:rPr>
              <w:rStyle w:val="46"/>
              <w:rFonts w:eastAsia="仿宋_GB2312;仿宋" w:cs="Times New Roman"/>
              <w:sz w:val="22"/>
              <w:szCs w:val="22"/>
            </w:rPr>
            <w:tab/>
          </w:r>
          <w:r>
            <w:rPr>
              <w:rStyle w:val="46"/>
              <w:rFonts w:eastAsia="仿宋_GB2312;仿宋" w:cs="Times New Roman"/>
              <w:sz w:val="22"/>
              <w:szCs w:val="22"/>
            </w:rPr>
            <w:t>60</w:t>
          </w:r>
          <w:r>
            <w:rPr>
              <w:rStyle w:val="46"/>
              <w:rFonts w:eastAsia="仿宋_GB2312;仿宋" w:cs="Times New Roman"/>
              <w:sz w:val="22"/>
              <w:szCs w:val="22"/>
            </w:rPr>
            <w:fldChar w:fldCharType="end"/>
          </w:r>
        </w:p>
        <w:p w14:paraId="5A658B1A">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"__RefHeading___Toc351203504" \h </w:instrText>
          </w:r>
          <w:r>
            <w:fldChar w:fldCharType="separate"/>
          </w:r>
          <w:r>
            <w:rPr>
              <w:rStyle w:val="46"/>
              <w:rFonts w:eastAsia="仿宋_GB2312;仿宋" w:cs="Times New Roman"/>
              <w:sz w:val="22"/>
              <w:szCs w:val="22"/>
            </w:rPr>
            <w:t>1.9</w:t>
          </w:r>
          <w:r>
            <w:rPr>
              <w:rStyle w:val="46"/>
              <w:rFonts w:ascii="Times New Roman" w:hAnsi="Times New Roman" w:eastAsia="仿宋_GB2312;仿宋" w:cs="Times New Roman"/>
              <w:sz w:val="22"/>
              <w:szCs w:val="22"/>
            </w:rPr>
            <w:t>化石、文物</w:t>
          </w:r>
          <w:r>
            <w:rPr>
              <w:rStyle w:val="46"/>
              <w:rFonts w:eastAsia="仿宋_GB2312;仿宋" w:cs="Times New Roman"/>
              <w:sz w:val="22"/>
              <w:szCs w:val="22"/>
            </w:rPr>
            <w:tab/>
          </w:r>
          <w:r>
            <w:rPr>
              <w:rStyle w:val="46"/>
              <w:rFonts w:eastAsia="仿宋_GB2312;仿宋" w:cs="Times New Roman"/>
              <w:sz w:val="22"/>
              <w:szCs w:val="22"/>
            </w:rPr>
            <w:t>61</w:t>
          </w:r>
          <w:r>
            <w:rPr>
              <w:rStyle w:val="46"/>
              <w:rFonts w:eastAsia="仿宋_GB2312;仿宋" w:cs="Times New Roman"/>
              <w:sz w:val="22"/>
              <w:szCs w:val="22"/>
            </w:rPr>
            <w:fldChar w:fldCharType="end"/>
          </w:r>
        </w:p>
        <w:p w14:paraId="7E28242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"__RefHeading___Toc351203505" \h </w:instrText>
          </w:r>
          <w:r>
            <w:fldChar w:fldCharType="separate"/>
          </w:r>
          <w:r>
            <w:rPr>
              <w:rStyle w:val="46"/>
              <w:rFonts w:eastAsia="仿宋_GB2312;仿宋" w:cs="Times New Roman"/>
              <w:sz w:val="22"/>
              <w:szCs w:val="22"/>
            </w:rPr>
            <w:t>1.10</w:t>
          </w:r>
          <w:r>
            <w:rPr>
              <w:rStyle w:val="46"/>
              <w:rFonts w:ascii="Times New Roman" w:hAnsi="Times New Roman" w:eastAsia="仿宋_GB2312;仿宋" w:cs="Times New Roman"/>
              <w:sz w:val="22"/>
              <w:szCs w:val="22"/>
            </w:rPr>
            <w:t>交通运输</w:t>
          </w:r>
          <w:r>
            <w:rPr>
              <w:rStyle w:val="46"/>
              <w:rFonts w:eastAsia="仿宋_GB2312;仿宋" w:cs="Times New Roman"/>
              <w:sz w:val="22"/>
              <w:szCs w:val="22"/>
            </w:rPr>
            <w:tab/>
          </w:r>
          <w:r>
            <w:rPr>
              <w:rStyle w:val="46"/>
              <w:rFonts w:eastAsia="仿宋_GB2312;仿宋" w:cs="Times New Roman"/>
              <w:sz w:val="22"/>
              <w:szCs w:val="22"/>
            </w:rPr>
            <w:t>61</w:t>
          </w:r>
          <w:r>
            <w:rPr>
              <w:rStyle w:val="46"/>
              <w:rFonts w:eastAsia="仿宋_GB2312;仿宋" w:cs="Times New Roman"/>
              <w:sz w:val="22"/>
              <w:szCs w:val="22"/>
            </w:rPr>
            <w:fldChar w:fldCharType="end"/>
          </w:r>
        </w:p>
        <w:p w14:paraId="65B56A3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"__RefHeading___Toc351203506" \h </w:instrText>
          </w:r>
          <w:r>
            <w:fldChar w:fldCharType="separate"/>
          </w:r>
          <w:r>
            <w:rPr>
              <w:rStyle w:val="46"/>
              <w:rFonts w:eastAsia="仿宋_GB2312;仿宋" w:cs="Times New Roman"/>
              <w:sz w:val="22"/>
              <w:szCs w:val="22"/>
            </w:rPr>
            <w:t>1.11</w:t>
          </w:r>
          <w:r>
            <w:rPr>
              <w:rStyle w:val="46"/>
              <w:rFonts w:ascii="Times New Roman" w:hAnsi="Times New Roman" w:eastAsia="仿宋_GB2312;仿宋" w:cs="Times New Roman"/>
              <w:sz w:val="22"/>
              <w:szCs w:val="22"/>
            </w:rPr>
            <w:t>知识产权</w:t>
          </w:r>
          <w:r>
            <w:rPr>
              <w:rStyle w:val="46"/>
              <w:rFonts w:eastAsia="仿宋_GB2312;仿宋" w:cs="Times New Roman"/>
              <w:sz w:val="22"/>
              <w:szCs w:val="22"/>
            </w:rPr>
            <w:tab/>
          </w:r>
          <w:r>
            <w:rPr>
              <w:rStyle w:val="46"/>
              <w:rFonts w:eastAsia="仿宋_GB2312;仿宋" w:cs="Times New Roman"/>
              <w:sz w:val="22"/>
              <w:szCs w:val="22"/>
            </w:rPr>
            <w:t>62</w:t>
          </w:r>
          <w:r>
            <w:rPr>
              <w:rStyle w:val="46"/>
              <w:rFonts w:eastAsia="仿宋_GB2312;仿宋" w:cs="Times New Roman"/>
              <w:sz w:val="22"/>
              <w:szCs w:val="22"/>
            </w:rPr>
            <w:fldChar w:fldCharType="end"/>
          </w:r>
        </w:p>
        <w:p w14:paraId="2C1A431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"__RefHeading___Toc351203507" \h </w:instrText>
          </w:r>
          <w:r>
            <w:fldChar w:fldCharType="separate"/>
          </w:r>
          <w:r>
            <w:rPr>
              <w:rStyle w:val="46"/>
              <w:rFonts w:eastAsia="仿宋_GB2312;仿宋" w:cs="Times New Roman"/>
              <w:sz w:val="22"/>
              <w:szCs w:val="22"/>
            </w:rPr>
            <w:t>1.12</w:t>
          </w:r>
          <w:r>
            <w:rPr>
              <w:rStyle w:val="46"/>
              <w:rFonts w:ascii="Times New Roman" w:hAnsi="Times New Roman" w:eastAsia="仿宋_GB2312;仿宋" w:cs="Times New Roman"/>
              <w:sz w:val="22"/>
              <w:szCs w:val="22"/>
            </w:rPr>
            <w:t>保密</w:t>
          </w:r>
          <w:r>
            <w:rPr>
              <w:rStyle w:val="46"/>
              <w:rFonts w:eastAsia="仿宋_GB2312;仿宋" w:cs="Times New Roman"/>
              <w:sz w:val="22"/>
              <w:szCs w:val="22"/>
            </w:rPr>
            <w:tab/>
          </w:r>
          <w:r>
            <w:rPr>
              <w:rStyle w:val="46"/>
              <w:rFonts w:eastAsia="仿宋_GB2312;仿宋" w:cs="Times New Roman"/>
              <w:sz w:val="22"/>
              <w:szCs w:val="22"/>
            </w:rPr>
            <w:t>63</w:t>
          </w:r>
          <w:r>
            <w:rPr>
              <w:rStyle w:val="46"/>
              <w:rFonts w:eastAsia="仿宋_GB2312;仿宋" w:cs="Times New Roman"/>
              <w:sz w:val="22"/>
              <w:szCs w:val="22"/>
            </w:rPr>
            <w:fldChar w:fldCharType="end"/>
          </w:r>
        </w:p>
        <w:p w14:paraId="7FBF001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"__RefHeading___Toc351203508" \h </w:instrText>
          </w:r>
          <w:r>
            <w:fldChar w:fldCharType="separate"/>
          </w:r>
          <w:r>
            <w:rPr>
              <w:rStyle w:val="46"/>
              <w:rFonts w:eastAsia="仿宋_GB2312;仿宋" w:cs="Times New Roman"/>
              <w:sz w:val="22"/>
              <w:szCs w:val="22"/>
            </w:rPr>
            <w:t>1.13</w:t>
          </w:r>
          <w:r>
            <w:rPr>
              <w:rStyle w:val="46"/>
              <w:rFonts w:ascii="Times New Roman" w:hAnsi="Times New Roman" w:eastAsia="仿宋_GB2312;仿宋" w:cs="Times New Roman"/>
              <w:sz w:val="22"/>
              <w:szCs w:val="22"/>
            </w:rPr>
            <w:t>工程量清单错误的修正</w:t>
          </w:r>
          <w:r>
            <w:rPr>
              <w:rStyle w:val="46"/>
              <w:rFonts w:eastAsia="仿宋_GB2312;仿宋" w:cs="Times New Roman"/>
              <w:sz w:val="22"/>
              <w:szCs w:val="22"/>
            </w:rPr>
            <w:tab/>
          </w:r>
          <w:r>
            <w:rPr>
              <w:rStyle w:val="46"/>
              <w:rFonts w:eastAsia="仿宋_GB2312;仿宋" w:cs="Times New Roman"/>
              <w:sz w:val="22"/>
              <w:szCs w:val="22"/>
            </w:rPr>
            <w:t>63</w:t>
          </w:r>
          <w:r>
            <w:rPr>
              <w:rStyle w:val="46"/>
              <w:rFonts w:eastAsia="仿宋_GB2312;仿宋" w:cs="Times New Roman"/>
              <w:sz w:val="22"/>
              <w:szCs w:val="22"/>
            </w:rPr>
            <w:fldChar w:fldCharType="end"/>
          </w:r>
        </w:p>
        <w:p w14:paraId="009ED0A6">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"__RefHeading___Toc351203509" \h </w:instrText>
          </w:r>
          <w:r>
            <w:fldChar w:fldCharType="separate"/>
          </w:r>
          <w:r>
            <w:rPr>
              <w:rStyle w:val="46"/>
              <w:rFonts w:eastAsia="仿宋_GB2312;仿宋" w:cs="Times New Roman"/>
              <w:sz w:val="22"/>
              <w:szCs w:val="22"/>
            </w:rPr>
            <w:t xml:space="preserve">2. </w:t>
          </w:r>
          <w:r>
            <w:rPr>
              <w:rStyle w:val="46"/>
              <w:rFonts w:ascii="Times New Roman" w:hAnsi="Times New Roman" w:eastAsia="仿宋_GB2312;仿宋" w:cs="Times New Roman"/>
              <w:sz w:val="22"/>
              <w:szCs w:val="22"/>
            </w:rPr>
            <w:t>发包人</w:t>
          </w:r>
          <w:r>
            <w:rPr>
              <w:rStyle w:val="46"/>
              <w:rFonts w:eastAsia="仿宋_GB2312;仿宋" w:cs="Times New Roman"/>
              <w:sz w:val="22"/>
              <w:szCs w:val="22"/>
            </w:rPr>
            <w:tab/>
          </w:r>
          <w:r>
            <w:rPr>
              <w:rStyle w:val="46"/>
              <w:rFonts w:eastAsia="仿宋_GB2312;仿宋" w:cs="Times New Roman"/>
              <w:sz w:val="22"/>
              <w:szCs w:val="22"/>
            </w:rPr>
            <w:t>63</w:t>
          </w:r>
          <w:r>
            <w:rPr>
              <w:rStyle w:val="46"/>
              <w:rFonts w:eastAsia="仿宋_GB2312;仿宋" w:cs="Times New Roman"/>
              <w:sz w:val="22"/>
              <w:szCs w:val="22"/>
            </w:rPr>
            <w:fldChar w:fldCharType="end"/>
          </w:r>
        </w:p>
        <w:p w14:paraId="3F2BCCD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"__RefHeading___Toc351203510" \h </w:instrText>
          </w:r>
          <w:r>
            <w:fldChar w:fldCharType="separate"/>
          </w:r>
          <w:r>
            <w:rPr>
              <w:rStyle w:val="46"/>
              <w:rFonts w:eastAsia="仿宋_GB2312;仿宋" w:cs="Times New Roman"/>
              <w:sz w:val="22"/>
              <w:szCs w:val="22"/>
            </w:rPr>
            <w:t xml:space="preserve">2.1 </w:t>
          </w:r>
          <w:r>
            <w:rPr>
              <w:rStyle w:val="46"/>
              <w:rFonts w:ascii="Times New Roman" w:hAnsi="Times New Roman" w:eastAsia="仿宋_GB2312;仿宋" w:cs="Times New Roman"/>
              <w:sz w:val="22"/>
              <w:szCs w:val="22"/>
            </w:rPr>
            <w:t>许可或批准</w:t>
          </w:r>
          <w:r>
            <w:rPr>
              <w:rStyle w:val="46"/>
              <w:rFonts w:eastAsia="仿宋_GB2312;仿宋" w:cs="Times New Roman"/>
              <w:sz w:val="22"/>
              <w:szCs w:val="22"/>
            </w:rPr>
            <w:tab/>
          </w:r>
          <w:r>
            <w:rPr>
              <w:rStyle w:val="46"/>
              <w:rFonts w:eastAsia="仿宋_GB2312;仿宋" w:cs="Times New Roman"/>
              <w:sz w:val="22"/>
              <w:szCs w:val="22"/>
            </w:rPr>
            <w:t>63</w:t>
          </w:r>
          <w:r>
            <w:rPr>
              <w:rStyle w:val="46"/>
              <w:rFonts w:eastAsia="仿宋_GB2312;仿宋" w:cs="Times New Roman"/>
              <w:sz w:val="22"/>
              <w:szCs w:val="22"/>
            </w:rPr>
            <w:fldChar w:fldCharType="end"/>
          </w:r>
        </w:p>
        <w:p w14:paraId="45A8D66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"__RefHeading___Toc351203511" \h </w:instrText>
          </w:r>
          <w:r>
            <w:fldChar w:fldCharType="separate"/>
          </w:r>
          <w:r>
            <w:rPr>
              <w:rStyle w:val="46"/>
              <w:rFonts w:eastAsia="仿宋_GB2312;仿宋" w:cs="Times New Roman"/>
              <w:sz w:val="22"/>
              <w:szCs w:val="22"/>
            </w:rPr>
            <w:t xml:space="preserve">2.2 </w:t>
          </w:r>
          <w:r>
            <w:rPr>
              <w:rStyle w:val="46"/>
              <w:rFonts w:ascii="Times New Roman" w:hAnsi="Times New Roman" w:eastAsia="仿宋_GB2312;仿宋" w:cs="Times New Roman"/>
              <w:sz w:val="22"/>
              <w:szCs w:val="22"/>
            </w:rPr>
            <w:t>发包人代表</w:t>
          </w:r>
          <w:r>
            <w:rPr>
              <w:rStyle w:val="46"/>
              <w:rFonts w:eastAsia="仿宋_GB2312;仿宋" w:cs="Times New Roman"/>
              <w:sz w:val="22"/>
              <w:szCs w:val="22"/>
            </w:rPr>
            <w:tab/>
          </w:r>
          <w:r>
            <w:rPr>
              <w:rStyle w:val="46"/>
              <w:rFonts w:eastAsia="仿宋_GB2312;仿宋" w:cs="Times New Roman"/>
              <w:sz w:val="22"/>
              <w:szCs w:val="22"/>
            </w:rPr>
            <w:t>63</w:t>
          </w:r>
          <w:r>
            <w:rPr>
              <w:rStyle w:val="46"/>
              <w:rFonts w:eastAsia="仿宋_GB2312;仿宋" w:cs="Times New Roman"/>
              <w:sz w:val="22"/>
              <w:szCs w:val="22"/>
            </w:rPr>
            <w:fldChar w:fldCharType="end"/>
          </w:r>
        </w:p>
        <w:p w14:paraId="48D21F9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"__RefHeading___Toc351203512" \h </w:instrText>
          </w:r>
          <w:r>
            <w:fldChar w:fldCharType="separate"/>
          </w:r>
          <w:r>
            <w:rPr>
              <w:rStyle w:val="46"/>
              <w:rFonts w:eastAsia="仿宋_GB2312;仿宋" w:cs="Times New Roman"/>
              <w:sz w:val="22"/>
              <w:szCs w:val="22"/>
            </w:rPr>
            <w:t xml:space="preserve">2.3 </w:t>
          </w:r>
          <w:r>
            <w:rPr>
              <w:rStyle w:val="46"/>
              <w:rFonts w:ascii="Times New Roman" w:hAnsi="Times New Roman" w:eastAsia="仿宋_GB2312;仿宋" w:cs="Times New Roman"/>
              <w:sz w:val="22"/>
              <w:szCs w:val="22"/>
            </w:rPr>
            <w:t>发包人人员</w:t>
          </w:r>
          <w:r>
            <w:rPr>
              <w:rStyle w:val="46"/>
              <w:rFonts w:eastAsia="仿宋_GB2312;仿宋" w:cs="Times New Roman"/>
              <w:sz w:val="22"/>
              <w:szCs w:val="22"/>
            </w:rPr>
            <w:tab/>
          </w:r>
          <w:r>
            <w:rPr>
              <w:rStyle w:val="46"/>
              <w:rFonts w:eastAsia="仿宋_GB2312;仿宋" w:cs="Times New Roman"/>
              <w:sz w:val="22"/>
              <w:szCs w:val="22"/>
            </w:rPr>
            <w:t>64</w:t>
          </w:r>
          <w:r>
            <w:rPr>
              <w:rStyle w:val="46"/>
              <w:rFonts w:eastAsia="仿宋_GB2312;仿宋" w:cs="Times New Roman"/>
              <w:sz w:val="22"/>
              <w:szCs w:val="22"/>
            </w:rPr>
            <w:fldChar w:fldCharType="end"/>
          </w:r>
        </w:p>
        <w:p w14:paraId="6D2B2127">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"__RefHeading___Toc351203513" \h </w:instrText>
          </w:r>
          <w:r>
            <w:fldChar w:fldCharType="separate"/>
          </w:r>
          <w:r>
            <w:rPr>
              <w:rStyle w:val="46"/>
              <w:rFonts w:eastAsia="仿宋_GB2312;仿宋" w:cs="Times New Roman"/>
              <w:sz w:val="22"/>
              <w:szCs w:val="22"/>
            </w:rPr>
            <w:t xml:space="preserve">2.4 </w:t>
          </w:r>
          <w:r>
            <w:rPr>
              <w:rStyle w:val="46"/>
              <w:rFonts w:ascii="Times New Roman" w:hAnsi="Times New Roman" w:eastAsia="仿宋_GB2312;仿宋" w:cs="Times New Roman"/>
              <w:sz w:val="22"/>
              <w:szCs w:val="22"/>
            </w:rPr>
            <w:t>施工现场、施工条件和基础资料的提供</w:t>
          </w:r>
          <w:r>
            <w:rPr>
              <w:rStyle w:val="46"/>
              <w:rFonts w:eastAsia="仿宋_GB2312;仿宋" w:cs="Times New Roman"/>
              <w:sz w:val="22"/>
              <w:szCs w:val="22"/>
            </w:rPr>
            <w:tab/>
          </w:r>
          <w:r>
            <w:rPr>
              <w:rStyle w:val="46"/>
              <w:rFonts w:eastAsia="仿宋_GB2312;仿宋" w:cs="Times New Roman"/>
              <w:sz w:val="22"/>
              <w:szCs w:val="22"/>
            </w:rPr>
            <w:t>64</w:t>
          </w:r>
          <w:r>
            <w:rPr>
              <w:rStyle w:val="46"/>
              <w:rFonts w:eastAsia="仿宋_GB2312;仿宋" w:cs="Times New Roman"/>
              <w:sz w:val="22"/>
              <w:szCs w:val="22"/>
            </w:rPr>
            <w:fldChar w:fldCharType="end"/>
          </w:r>
        </w:p>
        <w:p w14:paraId="100F9D54">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"__RefHeading___Toc351203514" \h </w:instrText>
          </w:r>
          <w:r>
            <w:fldChar w:fldCharType="separate"/>
          </w:r>
          <w:r>
            <w:rPr>
              <w:rStyle w:val="46"/>
              <w:rFonts w:eastAsia="仿宋_GB2312;仿宋" w:cs="Times New Roman"/>
              <w:sz w:val="22"/>
              <w:szCs w:val="22"/>
            </w:rPr>
            <w:t xml:space="preserve">2.5 </w:t>
          </w:r>
          <w:r>
            <w:rPr>
              <w:rStyle w:val="46"/>
              <w:rFonts w:ascii="Times New Roman" w:hAnsi="Times New Roman" w:eastAsia="仿宋_GB2312;仿宋" w:cs="Times New Roman"/>
              <w:sz w:val="22"/>
              <w:szCs w:val="22"/>
            </w:rPr>
            <w:t>资金来源证明及支付担保</w:t>
          </w:r>
          <w:r>
            <w:rPr>
              <w:rStyle w:val="46"/>
              <w:rFonts w:eastAsia="仿宋_GB2312;仿宋" w:cs="Times New Roman"/>
              <w:sz w:val="22"/>
              <w:szCs w:val="22"/>
            </w:rPr>
            <w:tab/>
          </w:r>
          <w:r>
            <w:rPr>
              <w:rStyle w:val="46"/>
              <w:rFonts w:eastAsia="仿宋_GB2312;仿宋" w:cs="Times New Roman"/>
              <w:sz w:val="22"/>
              <w:szCs w:val="22"/>
            </w:rPr>
            <w:t>64</w:t>
          </w:r>
          <w:r>
            <w:rPr>
              <w:rStyle w:val="46"/>
              <w:rFonts w:eastAsia="仿宋_GB2312;仿宋" w:cs="Times New Roman"/>
              <w:sz w:val="22"/>
              <w:szCs w:val="22"/>
            </w:rPr>
            <w:fldChar w:fldCharType="end"/>
          </w:r>
        </w:p>
        <w:p w14:paraId="34C5738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"__RefHeading___Toc351203515" \h </w:instrText>
          </w:r>
          <w:r>
            <w:fldChar w:fldCharType="separate"/>
          </w:r>
          <w:r>
            <w:rPr>
              <w:rStyle w:val="46"/>
              <w:rFonts w:eastAsia="仿宋_GB2312;仿宋" w:cs="Times New Roman"/>
              <w:sz w:val="22"/>
              <w:szCs w:val="22"/>
            </w:rPr>
            <w:t xml:space="preserve">2.6 </w:t>
          </w:r>
          <w:r>
            <w:rPr>
              <w:rStyle w:val="46"/>
              <w:rFonts w:ascii="Times New Roman" w:hAnsi="Times New Roman" w:eastAsia="仿宋_GB2312;仿宋" w:cs="Times New Roman"/>
              <w:sz w:val="22"/>
              <w:szCs w:val="22"/>
            </w:rPr>
            <w:t>支付合同价款</w:t>
          </w:r>
          <w:r>
            <w:rPr>
              <w:rStyle w:val="46"/>
              <w:rFonts w:eastAsia="仿宋_GB2312;仿宋" w:cs="Times New Roman"/>
              <w:sz w:val="22"/>
              <w:szCs w:val="22"/>
            </w:rPr>
            <w:tab/>
          </w:r>
          <w:r>
            <w:rPr>
              <w:rStyle w:val="46"/>
              <w:rFonts w:eastAsia="仿宋_GB2312;仿宋" w:cs="Times New Roman"/>
              <w:sz w:val="22"/>
              <w:szCs w:val="22"/>
            </w:rPr>
            <w:t>65</w:t>
          </w:r>
          <w:r>
            <w:rPr>
              <w:rStyle w:val="46"/>
              <w:rFonts w:eastAsia="仿宋_GB2312;仿宋" w:cs="Times New Roman"/>
              <w:sz w:val="22"/>
              <w:szCs w:val="22"/>
            </w:rPr>
            <w:fldChar w:fldCharType="end"/>
          </w:r>
        </w:p>
        <w:p w14:paraId="29C59B7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"__RefHeading___Toc351203516" \h </w:instrText>
          </w:r>
          <w:r>
            <w:fldChar w:fldCharType="separate"/>
          </w:r>
          <w:r>
            <w:rPr>
              <w:rStyle w:val="46"/>
              <w:rFonts w:eastAsia="仿宋_GB2312;仿宋" w:cs="Times New Roman"/>
              <w:sz w:val="22"/>
              <w:szCs w:val="22"/>
            </w:rPr>
            <w:t xml:space="preserve">2.7 </w:t>
          </w:r>
          <w:r>
            <w:rPr>
              <w:rStyle w:val="46"/>
              <w:rFonts w:ascii="Times New Roman" w:hAnsi="Times New Roman" w:eastAsia="仿宋_GB2312;仿宋" w:cs="Times New Roman"/>
              <w:sz w:val="22"/>
              <w:szCs w:val="22"/>
            </w:rPr>
            <w:t>组织竣工验收</w:t>
          </w:r>
          <w:r>
            <w:rPr>
              <w:rStyle w:val="46"/>
              <w:rFonts w:eastAsia="仿宋_GB2312;仿宋" w:cs="Times New Roman"/>
              <w:sz w:val="22"/>
              <w:szCs w:val="22"/>
            </w:rPr>
            <w:tab/>
          </w:r>
          <w:r>
            <w:rPr>
              <w:rStyle w:val="46"/>
              <w:rFonts w:eastAsia="仿宋_GB2312;仿宋" w:cs="Times New Roman"/>
              <w:sz w:val="22"/>
              <w:szCs w:val="22"/>
            </w:rPr>
            <w:t>65</w:t>
          </w:r>
          <w:r>
            <w:rPr>
              <w:rStyle w:val="46"/>
              <w:rFonts w:eastAsia="仿宋_GB2312;仿宋" w:cs="Times New Roman"/>
              <w:sz w:val="22"/>
              <w:szCs w:val="22"/>
            </w:rPr>
            <w:fldChar w:fldCharType="end"/>
          </w:r>
        </w:p>
        <w:p w14:paraId="3E27D13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"__RefHeading___Toc351203517" \h </w:instrText>
          </w:r>
          <w:r>
            <w:fldChar w:fldCharType="separate"/>
          </w:r>
          <w:r>
            <w:rPr>
              <w:rStyle w:val="46"/>
              <w:rFonts w:eastAsia="仿宋_GB2312;仿宋" w:cs="Times New Roman"/>
              <w:sz w:val="22"/>
              <w:szCs w:val="22"/>
            </w:rPr>
            <w:t xml:space="preserve">2.8 </w:t>
          </w:r>
          <w:r>
            <w:rPr>
              <w:rStyle w:val="46"/>
              <w:rFonts w:ascii="Times New Roman" w:hAnsi="Times New Roman" w:eastAsia="仿宋_GB2312;仿宋" w:cs="Times New Roman"/>
              <w:sz w:val="22"/>
              <w:szCs w:val="22"/>
            </w:rPr>
            <w:t>现场统一管理协议</w:t>
          </w:r>
          <w:r>
            <w:rPr>
              <w:rStyle w:val="46"/>
              <w:rFonts w:eastAsia="仿宋_GB2312;仿宋" w:cs="Times New Roman"/>
              <w:sz w:val="22"/>
              <w:szCs w:val="22"/>
            </w:rPr>
            <w:tab/>
          </w:r>
          <w:r>
            <w:rPr>
              <w:rStyle w:val="46"/>
              <w:rFonts w:eastAsia="仿宋_GB2312;仿宋" w:cs="Times New Roman"/>
              <w:sz w:val="22"/>
              <w:szCs w:val="22"/>
            </w:rPr>
            <w:t>65</w:t>
          </w:r>
          <w:r>
            <w:rPr>
              <w:rStyle w:val="46"/>
              <w:rFonts w:eastAsia="仿宋_GB2312;仿宋" w:cs="Times New Roman"/>
              <w:sz w:val="22"/>
              <w:szCs w:val="22"/>
            </w:rPr>
            <w:fldChar w:fldCharType="end"/>
          </w:r>
        </w:p>
        <w:p w14:paraId="6A7FE2D7">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"__RefHeading___Toc351203518" \h </w:instrText>
          </w:r>
          <w:r>
            <w:fldChar w:fldCharType="separate"/>
          </w:r>
          <w:r>
            <w:rPr>
              <w:rStyle w:val="46"/>
              <w:rFonts w:eastAsia="仿宋_GB2312;仿宋" w:cs="Times New Roman"/>
              <w:sz w:val="22"/>
              <w:szCs w:val="22"/>
            </w:rPr>
            <w:t xml:space="preserve">3. </w:t>
          </w:r>
          <w:r>
            <w:rPr>
              <w:rStyle w:val="46"/>
              <w:rFonts w:ascii="Times New Roman" w:hAnsi="Times New Roman" w:eastAsia="仿宋_GB2312;仿宋" w:cs="Times New Roman"/>
              <w:sz w:val="22"/>
              <w:szCs w:val="22"/>
            </w:rPr>
            <w:t>承包人</w:t>
          </w:r>
          <w:r>
            <w:rPr>
              <w:rStyle w:val="46"/>
              <w:rFonts w:eastAsia="仿宋_GB2312;仿宋" w:cs="Times New Roman"/>
              <w:sz w:val="22"/>
              <w:szCs w:val="22"/>
            </w:rPr>
            <w:tab/>
          </w:r>
          <w:r>
            <w:rPr>
              <w:rStyle w:val="46"/>
              <w:rFonts w:eastAsia="仿宋_GB2312;仿宋" w:cs="Times New Roman"/>
              <w:sz w:val="22"/>
              <w:szCs w:val="22"/>
            </w:rPr>
            <w:t>65</w:t>
          </w:r>
          <w:r>
            <w:rPr>
              <w:rStyle w:val="46"/>
              <w:rFonts w:eastAsia="仿宋_GB2312;仿宋" w:cs="Times New Roman"/>
              <w:sz w:val="22"/>
              <w:szCs w:val="22"/>
            </w:rPr>
            <w:fldChar w:fldCharType="end"/>
          </w:r>
        </w:p>
        <w:p w14:paraId="7AE926D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"__RefHeading___Toc351203519" \h </w:instrText>
          </w:r>
          <w:r>
            <w:fldChar w:fldCharType="separate"/>
          </w:r>
          <w:r>
            <w:rPr>
              <w:rStyle w:val="46"/>
              <w:rFonts w:eastAsia="仿宋_GB2312;仿宋" w:cs="Times New Roman"/>
              <w:sz w:val="22"/>
              <w:szCs w:val="22"/>
            </w:rPr>
            <w:t xml:space="preserve">3.1 </w:t>
          </w:r>
          <w:r>
            <w:rPr>
              <w:rStyle w:val="46"/>
              <w:rFonts w:ascii="Times New Roman" w:hAnsi="Times New Roman" w:eastAsia="仿宋_GB2312;仿宋" w:cs="Times New Roman"/>
              <w:sz w:val="22"/>
              <w:szCs w:val="22"/>
            </w:rPr>
            <w:t>承包人的一般义务</w:t>
          </w:r>
          <w:r>
            <w:rPr>
              <w:rStyle w:val="46"/>
              <w:rFonts w:eastAsia="仿宋_GB2312;仿宋" w:cs="Times New Roman"/>
              <w:sz w:val="22"/>
              <w:szCs w:val="22"/>
            </w:rPr>
            <w:tab/>
          </w:r>
          <w:r>
            <w:rPr>
              <w:rStyle w:val="46"/>
              <w:rFonts w:eastAsia="仿宋_GB2312;仿宋" w:cs="Times New Roman"/>
              <w:sz w:val="22"/>
              <w:szCs w:val="22"/>
            </w:rPr>
            <w:t>65</w:t>
          </w:r>
          <w:r>
            <w:rPr>
              <w:rStyle w:val="46"/>
              <w:rFonts w:eastAsia="仿宋_GB2312;仿宋" w:cs="Times New Roman"/>
              <w:sz w:val="22"/>
              <w:szCs w:val="22"/>
            </w:rPr>
            <w:fldChar w:fldCharType="end"/>
          </w:r>
        </w:p>
        <w:p w14:paraId="0B28A64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"__RefHeading___Toc351203520" \h </w:instrText>
          </w:r>
          <w:r>
            <w:fldChar w:fldCharType="separate"/>
          </w:r>
          <w:r>
            <w:rPr>
              <w:rStyle w:val="46"/>
              <w:rFonts w:eastAsia="仿宋_GB2312;仿宋" w:cs="Times New Roman"/>
              <w:sz w:val="22"/>
              <w:szCs w:val="22"/>
            </w:rPr>
            <w:t xml:space="preserve">3.2 </w:t>
          </w:r>
          <w:r>
            <w:rPr>
              <w:rStyle w:val="46"/>
              <w:rFonts w:ascii="Times New Roman" w:hAnsi="Times New Roman" w:eastAsia="仿宋_GB2312;仿宋" w:cs="Times New Roman"/>
              <w:sz w:val="22"/>
              <w:szCs w:val="22"/>
            </w:rPr>
            <w:t>项目经理</w:t>
          </w:r>
          <w:r>
            <w:rPr>
              <w:rStyle w:val="46"/>
              <w:rFonts w:eastAsia="仿宋_GB2312;仿宋" w:cs="Times New Roman"/>
              <w:sz w:val="22"/>
              <w:szCs w:val="22"/>
            </w:rPr>
            <w:tab/>
          </w:r>
          <w:r>
            <w:rPr>
              <w:rStyle w:val="46"/>
              <w:rFonts w:eastAsia="仿宋_GB2312;仿宋" w:cs="Times New Roman"/>
              <w:sz w:val="22"/>
              <w:szCs w:val="22"/>
            </w:rPr>
            <w:t>66</w:t>
          </w:r>
          <w:r>
            <w:rPr>
              <w:rStyle w:val="46"/>
              <w:rFonts w:eastAsia="仿宋_GB2312;仿宋" w:cs="Times New Roman"/>
              <w:sz w:val="22"/>
              <w:szCs w:val="22"/>
            </w:rPr>
            <w:fldChar w:fldCharType="end"/>
          </w:r>
        </w:p>
        <w:p w14:paraId="2A5D7C2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"__RefHeading___Toc351203521" \h </w:instrText>
          </w:r>
          <w:r>
            <w:fldChar w:fldCharType="separate"/>
          </w:r>
          <w:r>
            <w:rPr>
              <w:rStyle w:val="46"/>
              <w:rFonts w:eastAsia="仿宋_GB2312;仿宋" w:cs="Times New Roman"/>
              <w:sz w:val="22"/>
              <w:szCs w:val="22"/>
            </w:rPr>
            <w:t xml:space="preserve">3.3 </w:t>
          </w:r>
          <w:r>
            <w:rPr>
              <w:rStyle w:val="46"/>
              <w:rFonts w:ascii="Times New Roman" w:hAnsi="Times New Roman" w:eastAsia="仿宋_GB2312;仿宋" w:cs="Times New Roman"/>
              <w:sz w:val="22"/>
              <w:szCs w:val="22"/>
            </w:rPr>
            <w:t>承包人人员</w:t>
          </w:r>
          <w:r>
            <w:rPr>
              <w:rStyle w:val="46"/>
              <w:rFonts w:eastAsia="仿宋_GB2312;仿宋" w:cs="Times New Roman"/>
              <w:sz w:val="22"/>
              <w:szCs w:val="22"/>
            </w:rPr>
            <w:tab/>
          </w:r>
          <w:r>
            <w:rPr>
              <w:rStyle w:val="46"/>
              <w:rFonts w:eastAsia="仿宋_GB2312;仿宋" w:cs="Times New Roman"/>
              <w:sz w:val="22"/>
              <w:szCs w:val="22"/>
            </w:rPr>
            <w:t>67</w:t>
          </w:r>
          <w:r>
            <w:rPr>
              <w:rStyle w:val="46"/>
              <w:rFonts w:eastAsia="仿宋_GB2312;仿宋" w:cs="Times New Roman"/>
              <w:sz w:val="22"/>
              <w:szCs w:val="22"/>
            </w:rPr>
            <w:fldChar w:fldCharType="end"/>
          </w:r>
        </w:p>
        <w:p w14:paraId="089470E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"__RefHeading___Toc351203522" \h </w:instrText>
          </w:r>
          <w:r>
            <w:fldChar w:fldCharType="separate"/>
          </w:r>
          <w:r>
            <w:rPr>
              <w:rStyle w:val="46"/>
              <w:rFonts w:eastAsia="仿宋_GB2312;仿宋" w:cs="Times New Roman"/>
              <w:sz w:val="22"/>
              <w:szCs w:val="22"/>
            </w:rPr>
            <w:t xml:space="preserve">3.4 </w:t>
          </w:r>
          <w:r>
            <w:rPr>
              <w:rStyle w:val="46"/>
              <w:rFonts w:ascii="Times New Roman" w:hAnsi="Times New Roman" w:eastAsia="仿宋_GB2312;仿宋" w:cs="Times New Roman"/>
              <w:sz w:val="22"/>
              <w:szCs w:val="22"/>
            </w:rPr>
            <w:t>承包人现场查勘</w:t>
          </w:r>
          <w:r>
            <w:rPr>
              <w:rStyle w:val="46"/>
              <w:rFonts w:eastAsia="仿宋_GB2312;仿宋" w:cs="Times New Roman"/>
              <w:sz w:val="22"/>
              <w:szCs w:val="22"/>
            </w:rPr>
            <w:tab/>
          </w:r>
          <w:r>
            <w:rPr>
              <w:rStyle w:val="46"/>
              <w:rFonts w:eastAsia="仿宋_GB2312;仿宋" w:cs="Times New Roman"/>
              <w:sz w:val="22"/>
              <w:szCs w:val="22"/>
            </w:rPr>
            <w:t>68</w:t>
          </w:r>
          <w:r>
            <w:rPr>
              <w:rStyle w:val="46"/>
              <w:rFonts w:eastAsia="仿宋_GB2312;仿宋" w:cs="Times New Roman"/>
              <w:sz w:val="22"/>
              <w:szCs w:val="22"/>
            </w:rPr>
            <w:fldChar w:fldCharType="end"/>
          </w:r>
        </w:p>
        <w:p w14:paraId="0F0EB5C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"__RefHeading___Toc351203523" \h </w:instrText>
          </w:r>
          <w:r>
            <w:fldChar w:fldCharType="separate"/>
          </w:r>
          <w:r>
            <w:rPr>
              <w:rStyle w:val="46"/>
              <w:rFonts w:eastAsia="仿宋_GB2312;仿宋" w:cs="Times New Roman"/>
              <w:sz w:val="22"/>
              <w:szCs w:val="22"/>
            </w:rPr>
            <w:t xml:space="preserve">3.5 </w:t>
          </w:r>
          <w:r>
            <w:rPr>
              <w:rStyle w:val="46"/>
              <w:rFonts w:ascii="Times New Roman" w:hAnsi="Times New Roman" w:eastAsia="仿宋_GB2312;仿宋" w:cs="Times New Roman"/>
              <w:sz w:val="22"/>
              <w:szCs w:val="22"/>
            </w:rPr>
            <w:t>分包</w:t>
          </w:r>
          <w:r>
            <w:rPr>
              <w:rStyle w:val="46"/>
              <w:rFonts w:eastAsia="仿宋_GB2312;仿宋" w:cs="Times New Roman"/>
              <w:sz w:val="22"/>
              <w:szCs w:val="22"/>
            </w:rPr>
            <w:tab/>
          </w:r>
          <w:r>
            <w:rPr>
              <w:rStyle w:val="46"/>
              <w:rFonts w:eastAsia="仿宋_GB2312;仿宋" w:cs="Times New Roman"/>
              <w:sz w:val="22"/>
              <w:szCs w:val="22"/>
            </w:rPr>
            <w:t>68</w:t>
          </w:r>
          <w:r>
            <w:rPr>
              <w:rStyle w:val="46"/>
              <w:rFonts w:eastAsia="仿宋_GB2312;仿宋" w:cs="Times New Roman"/>
              <w:sz w:val="22"/>
              <w:szCs w:val="22"/>
            </w:rPr>
            <w:fldChar w:fldCharType="end"/>
          </w:r>
        </w:p>
        <w:p w14:paraId="696B8D5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"__RefHeading___Toc351203524" \h </w:instrText>
          </w:r>
          <w:r>
            <w:fldChar w:fldCharType="separate"/>
          </w:r>
          <w:r>
            <w:rPr>
              <w:rStyle w:val="46"/>
              <w:rFonts w:eastAsia="仿宋_GB2312;仿宋" w:cs="Times New Roman"/>
              <w:sz w:val="22"/>
              <w:szCs w:val="22"/>
            </w:rPr>
            <w:t xml:space="preserve">3.6 </w:t>
          </w:r>
          <w:r>
            <w:rPr>
              <w:rStyle w:val="46"/>
              <w:rFonts w:ascii="Times New Roman" w:hAnsi="Times New Roman" w:eastAsia="仿宋_GB2312;仿宋" w:cs="Times New Roman"/>
              <w:sz w:val="22"/>
              <w:szCs w:val="22"/>
            </w:rPr>
            <w:t>工程照管与成品、半成品保护</w:t>
          </w:r>
          <w:r>
            <w:rPr>
              <w:rStyle w:val="46"/>
              <w:rFonts w:eastAsia="仿宋_GB2312;仿宋" w:cs="Times New Roman"/>
              <w:sz w:val="22"/>
              <w:szCs w:val="22"/>
            </w:rPr>
            <w:tab/>
          </w:r>
          <w:r>
            <w:rPr>
              <w:rStyle w:val="46"/>
              <w:rFonts w:eastAsia="仿宋_GB2312;仿宋" w:cs="Times New Roman"/>
              <w:sz w:val="22"/>
              <w:szCs w:val="22"/>
            </w:rPr>
            <w:t>69</w:t>
          </w:r>
          <w:r>
            <w:rPr>
              <w:rStyle w:val="46"/>
              <w:rFonts w:eastAsia="仿宋_GB2312;仿宋" w:cs="Times New Roman"/>
              <w:sz w:val="22"/>
              <w:szCs w:val="22"/>
            </w:rPr>
            <w:fldChar w:fldCharType="end"/>
          </w:r>
        </w:p>
        <w:p w14:paraId="7A870DB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"__RefHeading___Toc351203525" \h </w:instrText>
          </w:r>
          <w:r>
            <w:fldChar w:fldCharType="separate"/>
          </w:r>
          <w:r>
            <w:rPr>
              <w:rStyle w:val="46"/>
              <w:rFonts w:eastAsia="仿宋_GB2312;仿宋" w:cs="Times New Roman"/>
              <w:sz w:val="22"/>
              <w:szCs w:val="22"/>
            </w:rPr>
            <w:t xml:space="preserve">3.7 </w:t>
          </w:r>
          <w:r>
            <w:rPr>
              <w:rStyle w:val="46"/>
              <w:rFonts w:ascii="Times New Roman" w:hAnsi="Times New Roman" w:eastAsia="仿宋_GB2312;仿宋" w:cs="Times New Roman"/>
              <w:sz w:val="22"/>
              <w:szCs w:val="22"/>
            </w:rPr>
            <w:t>履约担保</w:t>
          </w:r>
          <w:r>
            <w:rPr>
              <w:rStyle w:val="46"/>
              <w:rFonts w:eastAsia="仿宋_GB2312;仿宋" w:cs="Times New Roman"/>
              <w:sz w:val="22"/>
              <w:szCs w:val="22"/>
            </w:rPr>
            <w:tab/>
          </w:r>
          <w:r>
            <w:rPr>
              <w:rStyle w:val="46"/>
              <w:rFonts w:eastAsia="仿宋_GB2312;仿宋" w:cs="Times New Roman"/>
              <w:sz w:val="22"/>
              <w:szCs w:val="22"/>
            </w:rPr>
            <w:t>69</w:t>
          </w:r>
          <w:r>
            <w:rPr>
              <w:rStyle w:val="46"/>
              <w:rFonts w:eastAsia="仿宋_GB2312;仿宋" w:cs="Times New Roman"/>
              <w:sz w:val="22"/>
              <w:szCs w:val="22"/>
            </w:rPr>
            <w:fldChar w:fldCharType="end"/>
          </w:r>
        </w:p>
        <w:p w14:paraId="28B2B0D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"__RefHeading___Toc351203526" \h </w:instrText>
          </w:r>
          <w:r>
            <w:fldChar w:fldCharType="separate"/>
          </w:r>
          <w:r>
            <w:rPr>
              <w:rStyle w:val="46"/>
              <w:rFonts w:eastAsia="仿宋_GB2312;仿宋" w:cs="Times New Roman"/>
              <w:sz w:val="22"/>
              <w:szCs w:val="22"/>
            </w:rPr>
            <w:t xml:space="preserve">3.8 </w:t>
          </w:r>
          <w:r>
            <w:rPr>
              <w:rStyle w:val="46"/>
              <w:rFonts w:ascii="Times New Roman" w:hAnsi="Times New Roman" w:eastAsia="仿宋_GB2312;仿宋" w:cs="Times New Roman"/>
              <w:sz w:val="22"/>
              <w:szCs w:val="22"/>
            </w:rPr>
            <w:t>联合体</w:t>
          </w:r>
          <w:r>
            <w:rPr>
              <w:rStyle w:val="46"/>
              <w:rFonts w:eastAsia="仿宋_GB2312;仿宋" w:cs="Times New Roman"/>
              <w:sz w:val="22"/>
              <w:szCs w:val="22"/>
            </w:rPr>
            <w:tab/>
          </w:r>
          <w:r>
            <w:rPr>
              <w:rStyle w:val="46"/>
              <w:rFonts w:eastAsia="仿宋_GB2312;仿宋" w:cs="Times New Roman"/>
              <w:sz w:val="22"/>
              <w:szCs w:val="22"/>
            </w:rPr>
            <w:t>69</w:t>
          </w:r>
          <w:r>
            <w:rPr>
              <w:rStyle w:val="46"/>
              <w:rFonts w:eastAsia="仿宋_GB2312;仿宋" w:cs="Times New Roman"/>
              <w:sz w:val="22"/>
              <w:szCs w:val="22"/>
            </w:rPr>
            <w:fldChar w:fldCharType="end"/>
          </w:r>
        </w:p>
        <w:p w14:paraId="35C0B843">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"__RefHeading___Toc351203527" \h </w:instrText>
          </w:r>
          <w:r>
            <w:fldChar w:fldCharType="separate"/>
          </w:r>
          <w:r>
            <w:rPr>
              <w:rStyle w:val="46"/>
              <w:rFonts w:eastAsia="仿宋_GB2312;仿宋" w:cs="Times New Roman"/>
              <w:sz w:val="22"/>
              <w:szCs w:val="22"/>
            </w:rPr>
            <w:t xml:space="preserve">4. </w:t>
          </w:r>
          <w:r>
            <w:rPr>
              <w:rStyle w:val="46"/>
              <w:rFonts w:ascii="Times New Roman" w:hAnsi="Times New Roman" w:eastAsia="仿宋_GB2312;仿宋" w:cs="Times New Roman"/>
              <w:sz w:val="22"/>
              <w:szCs w:val="22"/>
            </w:rPr>
            <w:t>监理人</w:t>
          </w:r>
          <w:r>
            <w:rPr>
              <w:rStyle w:val="46"/>
              <w:rFonts w:eastAsia="仿宋_GB2312;仿宋" w:cs="Times New Roman"/>
              <w:sz w:val="22"/>
              <w:szCs w:val="22"/>
            </w:rPr>
            <w:tab/>
          </w:r>
          <w:r>
            <w:rPr>
              <w:rStyle w:val="46"/>
              <w:rFonts w:eastAsia="仿宋_GB2312;仿宋" w:cs="Times New Roman"/>
              <w:sz w:val="22"/>
              <w:szCs w:val="22"/>
            </w:rPr>
            <w:t>30</w:t>
          </w:r>
          <w:r>
            <w:rPr>
              <w:rStyle w:val="46"/>
              <w:rFonts w:eastAsia="仿宋_GB2312;仿宋" w:cs="Times New Roman"/>
              <w:sz w:val="22"/>
              <w:szCs w:val="22"/>
            </w:rPr>
            <w:fldChar w:fldCharType="end"/>
          </w:r>
        </w:p>
        <w:p w14:paraId="63B5F17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"__RefHeading___Toc351203528" \h </w:instrText>
          </w:r>
          <w:r>
            <w:fldChar w:fldCharType="separate"/>
          </w:r>
          <w:r>
            <w:rPr>
              <w:rStyle w:val="46"/>
              <w:rFonts w:eastAsia="仿宋_GB2312;仿宋" w:cs="Times New Roman"/>
              <w:sz w:val="22"/>
              <w:szCs w:val="22"/>
            </w:rPr>
            <w:t>4.1</w:t>
          </w:r>
          <w:r>
            <w:rPr>
              <w:rStyle w:val="46"/>
              <w:rFonts w:ascii="Times New Roman" w:hAnsi="Times New Roman" w:eastAsia="仿宋_GB2312;仿宋" w:cs="Times New Roman"/>
              <w:sz w:val="22"/>
              <w:szCs w:val="22"/>
            </w:rPr>
            <w:t>监理人的一般规定</w:t>
          </w:r>
          <w:r>
            <w:rPr>
              <w:rStyle w:val="46"/>
              <w:rFonts w:eastAsia="仿宋_GB2312;仿宋" w:cs="Times New Roman"/>
              <w:sz w:val="22"/>
              <w:szCs w:val="22"/>
            </w:rPr>
            <w:tab/>
          </w:r>
          <w:r>
            <w:rPr>
              <w:rStyle w:val="46"/>
              <w:rFonts w:eastAsia="仿宋_GB2312;仿宋" w:cs="Times New Roman"/>
              <w:sz w:val="22"/>
              <w:szCs w:val="22"/>
            </w:rPr>
            <w:t>30</w:t>
          </w:r>
          <w:r>
            <w:rPr>
              <w:rStyle w:val="46"/>
              <w:rFonts w:eastAsia="仿宋_GB2312;仿宋" w:cs="Times New Roman"/>
              <w:sz w:val="22"/>
              <w:szCs w:val="22"/>
            </w:rPr>
            <w:fldChar w:fldCharType="end"/>
          </w:r>
        </w:p>
        <w:p w14:paraId="03225A1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"__RefHeading___Toc351203529" \h </w:instrText>
          </w:r>
          <w:r>
            <w:fldChar w:fldCharType="separate"/>
          </w:r>
          <w:r>
            <w:rPr>
              <w:rStyle w:val="46"/>
              <w:rFonts w:eastAsia="仿宋_GB2312;仿宋" w:cs="Times New Roman"/>
              <w:sz w:val="22"/>
              <w:szCs w:val="22"/>
            </w:rPr>
            <w:t>4.2</w:t>
          </w:r>
          <w:r>
            <w:rPr>
              <w:rStyle w:val="46"/>
              <w:rFonts w:ascii="Times New Roman" w:hAnsi="Times New Roman" w:eastAsia="仿宋_GB2312;仿宋" w:cs="Times New Roman"/>
              <w:sz w:val="22"/>
              <w:szCs w:val="22"/>
            </w:rPr>
            <w:t>监理人员</w:t>
          </w:r>
          <w:r>
            <w:rPr>
              <w:rStyle w:val="46"/>
              <w:rFonts w:eastAsia="仿宋_GB2312;仿宋" w:cs="Times New Roman"/>
              <w:sz w:val="22"/>
              <w:szCs w:val="22"/>
            </w:rPr>
            <w:tab/>
          </w:r>
          <w:r>
            <w:rPr>
              <w:rStyle w:val="46"/>
              <w:rFonts w:eastAsia="仿宋_GB2312;仿宋" w:cs="Times New Roman"/>
              <w:sz w:val="22"/>
              <w:szCs w:val="22"/>
            </w:rPr>
            <w:t>70</w:t>
          </w:r>
          <w:r>
            <w:rPr>
              <w:rStyle w:val="46"/>
              <w:rFonts w:eastAsia="仿宋_GB2312;仿宋" w:cs="Times New Roman"/>
              <w:sz w:val="22"/>
              <w:szCs w:val="22"/>
            </w:rPr>
            <w:fldChar w:fldCharType="end"/>
          </w:r>
        </w:p>
        <w:p w14:paraId="1D4B7F1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"__RefHeading___Toc351203530" \h </w:instrText>
          </w:r>
          <w:r>
            <w:fldChar w:fldCharType="separate"/>
          </w:r>
          <w:r>
            <w:rPr>
              <w:rStyle w:val="46"/>
              <w:rFonts w:eastAsia="仿宋_GB2312;仿宋" w:cs="Times New Roman"/>
              <w:sz w:val="22"/>
              <w:szCs w:val="22"/>
            </w:rPr>
            <w:t>4.3</w:t>
          </w:r>
          <w:r>
            <w:rPr>
              <w:rStyle w:val="46"/>
              <w:rFonts w:ascii="Times New Roman" w:hAnsi="Times New Roman" w:eastAsia="仿宋_GB2312;仿宋" w:cs="Times New Roman"/>
              <w:sz w:val="22"/>
              <w:szCs w:val="22"/>
            </w:rPr>
            <w:t>监理人的指示</w:t>
          </w:r>
          <w:r>
            <w:rPr>
              <w:rStyle w:val="46"/>
              <w:rFonts w:eastAsia="仿宋_GB2312;仿宋" w:cs="Times New Roman"/>
              <w:sz w:val="22"/>
              <w:szCs w:val="22"/>
            </w:rPr>
            <w:tab/>
          </w:r>
          <w:r>
            <w:rPr>
              <w:rStyle w:val="46"/>
              <w:rFonts w:eastAsia="仿宋_GB2312;仿宋" w:cs="Times New Roman"/>
              <w:sz w:val="22"/>
              <w:szCs w:val="22"/>
            </w:rPr>
            <w:t>70</w:t>
          </w:r>
          <w:r>
            <w:rPr>
              <w:rStyle w:val="46"/>
              <w:rFonts w:eastAsia="仿宋_GB2312;仿宋" w:cs="Times New Roman"/>
              <w:sz w:val="22"/>
              <w:szCs w:val="22"/>
            </w:rPr>
            <w:fldChar w:fldCharType="end"/>
          </w:r>
        </w:p>
        <w:p w14:paraId="7FF6910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"__RefHeading___Toc351203531" \h </w:instrText>
          </w:r>
          <w:r>
            <w:fldChar w:fldCharType="separate"/>
          </w:r>
          <w:r>
            <w:rPr>
              <w:rStyle w:val="46"/>
              <w:rFonts w:eastAsia="仿宋_GB2312;仿宋" w:cs="Times New Roman"/>
              <w:sz w:val="22"/>
              <w:szCs w:val="22"/>
            </w:rPr>
            <w:t xml:space="preserve">4.4 </w:t>
          </w:r>
          <w:r>
            <w:rPr>
              <w:rStyle w:val="46"/>
              <w:rFonts w:ascii="Times New Roman" w:hAnsi="Times New Roman" w:eastAsia="仿宋_GB2312;仿宋" w:cs="Times New Roman"/>
              <w:sz w:val="22"/>
              <w:szCs w:val="22"/>
            </w:rPr>
            <w:t>商定或确定</w:t>
          </w:r>
          <w:r>
            <w:rPr>
              <w:rStyle w:val="46"/>
              <w:rFonts w:eastAsia="仿宋_GB2312;仿宋" w:cs="Times New Roman"/>
              <w:sz w:val="22"/>
              <w:szCs w:val="22"/>
            </w:rPr>
            <w:tab/>
          </w:r>
          <w:r>
            <w:rPr>
              <w:rStyle w:val="46"/>
              <w:rFonts w:eastAsia="仿宋_GB2312;仿宋" w:cs="Times New Roman"/>
              <w:sz w:val="22"/>
              <w:szCs w:val="22"/>
            </w:rPr>
            <w:t>71</w:t>
          </w:r>
          <w:r>
            <w:rPr>
              <w:rStyle w:val="46"/>
              <w:rFonts w:eastAsia="仿宋_GB2312;仿宋" w:cs="Times New Roman"/>
              <w:sz w:val="22"/>
              <w:szCs w:val="22"/>
            </w:rPr>
            <w:fldChar w:fldCharType="end"/>
          </w:r>
        </w:p>
        <w:p w14:paraId="06573DFD">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"__RefHeading___Toc351203532" \h </w:instrText>
          </w:r>
          <w:r>
            <w:fldChar w:fldCharType="separate"/>
          </w:r>
          <w:r>
            <w:rPr>
              <w:rStyle w:val="46"/>
              <w:rFonts w:eastAsia="仿宋_GB2312;仿宋" w:cs="Times New Roman"/>
              <w:sz w:val="22"/>
              <w:szCs w:val="22"/>
            </w:rPr>
            <w:t xml:space="preserve">5. </w:t>
          </w:r>
          <w:r>
            <w:rPr>
              <w:rStyle w:val="46"/>
              <w:rFonts w:ascii="Times New Roman" w:hAnsi="Times New Roman" w:eastAsia="仿宋_GB2312;仿宋" w:cs="Times New Roman"/>
              <w:sz w:val="22"/>
              <w:szCs w:val="22"/>
            </w:rPr>
            <w:t>工程质量</w:t>
          </w:r>
          <w:r>
            <w:rPr>
              <w:rStyle w:val="46"/>
              <w:rFonts w:eastAsia="仿宋_GB2312;仿宋" w:cs="Times New Roman"/>
              <w:sz w:val="22"/>
              <w:szCs w:val="22"/>
            </w:rPr>
            <w:tab/>
          </w:r>
          <w:r>
            <w:rPr>
              <w:rStyle w:val="46"/>
              <w:rFonts w:eastAsia="仿宋_GB2312;仿宋" w:cs="Times New Roman"/>
              <w:sz w:val="22"/>
              <w:szCs w:val="22"/>
            </w:rPr>
            <w:t>71</w:t>
          </w:r>
          <w:r>
            <w:rPr>
              <w:rStyle w:val="46"/>
              <w:rFonts w:eastAsia="仿宋_GB2312;仿宋" w:cs="Times New Roman"/>
              <w:sz w:val="22"/>
              <w:szCs w:val="22"/>
            </w:rPr>
            <w:fldChar w:fldCharType="end"/>
          </w:r>
        </w:p>
        <w:p w14:paraId="04A2AD2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"__RefHeading___Toc351203533" \h </w:instrText>
          </w:r>
          <w:r>
            <w:fldChar w:fldCharType="separate"/>
          </w:r>
          <w:r>
            <w:rPr>
              <w:rStyle w:val="46"/>
              <w:rFonts w:eastAsia="仿宋_GB2312;仿宋" w:cs="Times New Roman"/>
              <w:sz w:val="22"/>
              <w:szCs w:val="22"/>
            </w:rPr>
            <w:t>5.1</w:t>
          </w:r>
          <w:r>
            <w:rPr>
              <w:rStyle w:val="46"/>
              <w:rFonts w:ascii="Times New Roman" w:hAnsi="Times New Roman" w:eastAsia="仿宋_GB2312;仿宋" w:cs="Times New Roman"/>
              <w:sz w:val="22"/>
              <w:szCs w:val="22"/>
            </w:rPr>
            <w:t>质量要求</w:t>
          </w:r>
          <w:r>
            <w:rPr>
              <w:rStyle w:val="46"/>
              <w:rFonts w:eastAsia="仿宋_GB2312;仿宋" w:cs="Times New Roman"/>
              <w:sz w:val="22"/>
              <w:szCs w:val="22"/>
            </w:rPr>
            <w:tab/>
          </w:r>
          <w:r>
            <w:rPr>
              <w:rStyle w:val="46"/>
              <w:rFonts w:eastAsia="仿宋_GB2312;仿宋" w:cs="Times New Roman"/>
              <w:sz w:val="22"/>
              <w:szCs w:val="22"/>
            </w:rPr>
            <w:t>71</w:t>
          </w:r>
          <w:r>
            <w:rPr>
              <w:rStyle w:val="46"/>
              <w:rFonts w:eastAsia="仿宋_GB2312;仿宋" w:cs="Times New Roman"/>
              <w:sz w:val="22"/>
              <w:szCs w:val="22"/>
            </w:rPr>
            <w:fldChar w:fldCharType="end"/>
          </w:r>
        </w:p>
        <w:p w14:paraId="4DC1EE2A">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"__RefHeading___Toc351203534" \h </w:instrText>
          </w:r>
          <w:r>
            <w:fldChar w:fldCharType="separate"/>
          </w:r>
          <w:r>
            <w:rPr>
              <w:rStyle w:val="46"/>
              <w:rFonts w:eastAsia="仿宋_GB2312;仿宋" w:cs="Times New Roman"/>
              <w:sz w:val="22"/>
              <w:szCs w:val="22"/>
            </w:rPr>
            <w:t>5.2</w:t>
          </w:r>
          <w:r>
            <w:rPr>
              <w:rStyle w:val="46"/>
              <w:rFonts w:ascii="Times New Roman" w:hAnsi="Times New Roman" w:eastAsia="仿宋_GB2312;仿宋" w:cs="Times New Roman"/>
              <w:sz w:val="22"/>
              <w:szCs w:val="22"/>
            </w:rPr>
            <w:t>质量保证措施</w:t>
          </w:r>
          <w:r>
            <w:rPr>
              <w:rStyle w:val="46"/>
              <w:rFonts w:eastAsia="仿宋_GB2312;仿宋" w:cs="Times New Roman"/>
              <w:sz w:val="22"/>
              <w:szCs w:val="22"/>
            </w:rPr>
            <w:tab/>
          </w:r>
          <w:r>
            <w:rPr>
              <w:rStyle w:val="46"/>
              <w:rFonts w:eastAsia="仿宋_GB2312;仿宋" w:cs="Times New Roman"/>
              <w:sz w:val="22"/>
              <w:szCs w:val="22"/>
            </w:rPr>
            <w:t>71</w:t>
          </w:r>
          <w:r>
            <w:rPr>
              <w:rStyle w:val="46"/>
              <w:rFonts w:eastAsia="仿宋_GB2312;仿宋" w:cs="Times New Roman"/>
              <w:sz w:val="22"/>
              <w:szCs w:val="22"/>
            </w:rPr>
            <w:fldChar w:fldCharType="end"/>
          </w:r>
        </w:p>
        <w:p w14:paraId="56534CB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"__RefHeading___Toc351203535" \h </w:instrText>
          </w:r>
          <w:r>
            <w:fldChar w:fldCharType="separate"/>
          </w:r>
          <w:r>
            <w:rPr>
              <w:rStyle w:val="46"/>
              <w:rFonts w:eastAsia="仿宋_GB2312;仿宋" w:cs="Times New Roman"/>
              <w:sz w:val="22"/>
              <w:szCs w:val="22"/>
            </w:rPr>
            <w:t xml:space="preserve">5.3 </w:t>
          </w:r>
          <w:r>
            <w:rPr>
              <w:rStyle w:val="46"/>
              <w:rFonts w:ascii="Times New Roman" w:hAnsi="Times New Roman" w:eastAsia="仿宋_GB2312;仿宋" w:cs="Times New Roman"/>
              <w:sz w:val="22"/>
              <w:szCs w:val="22"/>
            </w:rPr>
            <w:t>隐蔽工程检查</w:t>
          </w:r>
          <w:r>
            <w:rPr>
              <w:rStyle w:val="46"/>
              <w:rFonts w:eastAsia="仿宋_GB2312;仿宋" w:cs="Times New Roman"/>
              <w:sz w:val="22"/>
              <w:szCs w:val="22"/>
            </w:rPr>
            <w:tab/>
          </w:r>
          <w:r>
            <w:rPr>
              <w:rStyle w:val="46"/>
              <w:rFonts w:eastAsia="仿宋_GB2312;仿宋" w:cs="Times New Roman"/>
              <w:sz w:val="22"/>
              <w:szCs w:val="22"/>
            </w:rPr>
            <w:t>72</w:t>
          </w:r>
          <w:r>
            <w:rPr>
              <w:rStyle w:val="46"/>
              <w:rFonts w:eastAsia="仿宋_GB2312;仿宋" w:cs="Times New Roman"/>
              <w:sz w:val="22"/>
              <w:szCs w:val="22"/>
            </w:rPr>
            <w:fldChar w:fldCharType="end"/>
          </w:r>
        </w:p>
        <w:p w14:paraId="560DD9B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"__RefHeading___Toc351203536" \h </w:instrText>
          </w:r>
          <w:r>
            <w:fldChar w:fldCharType="separate"/>
          </w:r>
          <w:r>
            <w:rPr>
              <w:rStyle w:val="46"/>
              <w:rFonts w:eastAsia="仿宋_GB2312;仿宋" w:cs="Times New Roman"/>
              <w:sz w:val="22"/>
              <w:szCs w:val="22"/>
            </w:rPr>
            <w:t>5.4</w:t>
          </w:r>
          <w:r>
            <w:rPr>
              <w:rStyle w:val="46"/>
              <w:rFonts w:ascii="Times New Roman" w:hAnsi="Times New Roman" w:eastAsia="仿宋_GB2312;仿宋" w:cs="Times New Roman"/>
              <w:sz w:val="22"/>
              <w:szCs w:val="22"/>
            </w:rPr>
            <w:t>不合格工程的处理</w:t>
          </w:r>
          <w:r>
            <w:rPr>
              <w:rStyle w:val="46"/>
              <w:rFonts w:eastAsia="仿宋_GB2312;仿宋" w:cs="Times New Roman"/>
              <w:sz w:val="22"/>
              <w:szCs w:val="22"/>
            </w:rPr>
            <w:tab/>
          </w:r>
          <w:r>
            <w:rPr>
              <w:rStyle w:val="46"/>
              <w:rFonts w:eastAsia="仿宋_GB2312;仿宋" w:cs="Times New Roman"/>
              <w:sz w:val="22"/>
              <w:szCs w:val="22"/>
            </w:rPr>
            <w:t>73</w:t>
          </w:r>
          <w:r>
            <w:rPr>
              <w:rStyle w:val="46"/>
              <w:rFonts w:eastAsia="仿宋_GB2312;仿宋" w:cs="Times New Roman"/>
              <w:sz w:val="22"/>
              <w:szCs w:val="22"/>
            </w:rPr>
            <w:fldChar w:fldCharType="end"/>
          </w:r>
        </w:p>
        <w:p w14:paraId="3613310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"__RefHeading___Toc351203537" \h </w:instrText>
          </w:r>
          <w:r>
            <w:fldChar w:fldCharType="separate"/>
          </w:r>
          <w:r>
            <w:rPr>
              <w:rStyle w:val="46"/>
              <w:rFonts w:eastAsia="仿宋_GB2312;仿宋" w:cs="Times New Roman"/>
              <w:sz w:val="22"/>
              <w:szCs w:val="22"/>
            </w:rPr>
            <w:t xml:space="preserve">5.5 </w:t>
          </w:r>
          <w:r>
            <w:rPr>
              <w:rStyle w:val="46"/>
              <w:rFonts w:ascii="Times New Roman" w:hAnsi="Times New Roman" w:eastAsia="仿宋_GB2312;仿宋" w:cs="Times New Roman"/>
              <w:sz w:val="22"/>
              <w:szCs w:val="22"/>
            </w:rPr>
            <w:t>质量争议检测</w:t>
          </w:r>
          <w:r>
            <w:rPr>
              <w:rStyle w:val="46"/>
              <w:rFonts w:eastAsia="仿宋_GB2312;仿宋" w:cs="Times New Roman"/>
              <w:sz w:val="22"/>
              <w:szCs w:val="22"/>
            </w:rPr>
            <w:tab/>
          </w:r>
          <w:r>
            <w:rPr>
              <w:rStyle w:val="46"/>
              <w:rFonts w:eastAsia="仿宋_GB2312;仿宋" w:cs="Times New Roman"/>
              <w:sz w:val="22"/>
              <w:szCs w:val="22"/>
            </w:rPr>
            <w:t>73</w:t>
          </w:r>
          <w:r>
            <w:rPr>
              <w:rStyle w:val="46"/>
              <w:rFonts w:eastAsia="仿宋_GB2312;仿宋" w:cs="Times New Roman"/>
              <w:sz w:val="22"/>
              <w:szCs w:val="22"/>
            </w:rPr>
            <w:fldChar w:fldCharType="end"/>
          </w:r>
        </w:p>
        <w:p w14:paraId="0BA6D4D3">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"__RefHeading___Toc351203538" \h </w:instrText>
          </w:r>
          <w:r>
            <w:fldChar w:fldCharType="separate"/>
          </w:r>
          <w:r>
            <w:rPr>
              <w:rStyle w:val="46"/>
              <w:rFonts w:eastAsia="仿宋_GB2312;仿宋" w:cs="Times New Roman"/>
              <w:sz w:val="22"/>
              <w:szCs w:val="22"/>
            </w:rPr>
            <w:t xml:space="preserve">6. </w:t>
          </w:r>
          <w:r>
            <w:rPr>
              <w:rStyle w:val="46"/>
              <w:rFonts w:ascii="Times New Roman" w:hAnsi="Times New Roman" w:eastAsia="仿宋_GB2312;仿宋" w:cs="Times New Roman"/>
              <w:sz w:val="22"/>
              <w:szCs w:val="22"/>
            </w:rPr>
            <w:t>安全文明施工与环境保护</w:t>
          </w:r>
          <w:r>
            <w:rPr>
              <w:rStyle w:val="46"/>
              <w:rFonts w:eastAsia="仿宋_GB2312;仿宋" w:cs="Times New Roman"/>
              <w:sz w:val="22"/>
              <w:szCs w:val="22"/>
            </w:rPr>
            <w:tab/>
          </w:r>
          <w:r>
            <w:rPr>
              <w:rStyle w:val="46"/>
              <w:rFonts w:eastAsia="仿宋_GB2312;仿宋" w:cs="Times New Roman"/>
              <w:sz w:val="22"/>
              <w:szCs w:val="22"/>
            </w:rPr>
            <w:t>73</w:t>
          </w:r>
          <w:r>
            <w:rPr>
              <w:rStyle w:val="46"/>
              <w:rFonts w:eastAsia="仿宋_GB2312;仿宋" w:cs="Times New Roman"/>
              <w:sz w:val="22"/>
              <w:szCs w:val="22"/>
            </w:rPr>
            <w:fldChar w:fldCharType="end"/>
          </w:r>
        </w:p>
        <w:p w14:paraId="16B53AB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"__RefHeading___Toc351203539" \h </w:instrText>
          </w:r>
          <w:r>
            <w:fldChar w:fldCharType="separate"/>
          </w:r>
          <w:r>
            <w:rPr>
              <w:rStyle w:val="46"/>
              <w:rFonts w:eastAsia="仿宋_GB2312;仿宋" w:cs="Times New Roman"/>
              <w:sz w:val="22"/>
              <w:szCs w:val="22"/>
            </w:rPr>
            <w:t>6.1</w:t>
          </w:r>
          <w:r>
            <w:rPr>
              <w:rStyle w:val="46"/>
              <w:rFonts w:ascii="Times New Roman" w:hAnsi="Times New Roman" w:eastAsia="仿宋_GB2312;仿宋" w:cs="Times New Roman"/>
              <w:sz w:val="22"/>
              <w:szCs w:val="22"/>
            </w:rPr>
            <w:t>安全文明施工</w:t>
          </w:r>
          <w:r>
            <w:rPr>
              <w:rStyle w:val="46"/>
              <w:rFonts w:eastAsia="仿宋_GB2312;仿宋" w:cs="Times New Roman"/>
              <w:sz w:val="22"/>
              <w:szCs w:val="22"/>
            </w:rPr>
            <w:tab/>
          </w:r>
          <w:r>
            <w:rPr>
              <w:rStyle w:val="46"/>
              <w:rFonts w:eastAsia="仿宋_GB2312;仿宋" w:cs="Times New Roman"/>
              <w:sz w:val="22"/>
              <w:szCs w:val="22"/>
            </w:rPr>
            <w:t>73</w:t>
          </w:r>
          <w:r>
            <w:rPr>
              <w:rStyle w:val="46"/>
              <w:rFonts w:eastAsia="仿宋_GB2312;仿宋" w:cs="Times New Roman"/>
              <w:sz w:val="22"/>
              <w:szCs w:val="22"/>
            </w:rPr>
            <w:fldChar w:fldCharType="end"/>
          </w:r>
        </w:p>
        <w:p w14:paraId="00B030A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"__RefHeading___Toc351203540" \h </w:instrText>
          </w:r>
          <w:r>
            <w:fldChar w:fldCharType="separate"/>
          </w:r>
          <w:r>
            <w:rPr>
              <w:rStyle w:val="46"/>
              <w:rFonts w:eastAsia="仿宋_GB2312;仿宋" w:cs="Times New Roman"/>
              <w:sz w:val="22"/>
              <w:szCs w:val="22"/>
            </w:rPr>
            <w:t xml:space="preserve">6.2 </w:t>
          </w:r>
          <w:r>
            <w:rPr>
              <w:rStyle w:val="46"/>
              <w:rFonts w:ascii="Times New Roman" w:hAnsi="Times New Roman" w:eastAsia="仿宋_GB2312;仿宋" w:cs="Times New Roman"/>
              <w:sz w:val="22"/>
              <w:szCs w:val="22"/>
            </w:rPr>
            <w:t>职业健康</w:t>
          </w:r>
          <w:r>
            <w:rPr>
              <w:rStyle w:val="46"/>
              <w:rFonts w:eastAsia="仿宋_GB2312;仿宋" w:cs="Times New Roman"/>
              <w:sz w:val="22"/>
              <w:szCs w:val="22"/>
            </w:rPr>
            <w:tab/>
          </w:r>
          <w:r>
            <w:rPr>
              <w:rStyle w:val="46"/>
              <w:rFonts w:eastAsia="仿宋_GB2312;仿宋" w:cs="Times New Roman"/>
              <w:sz w:val="22"/>
              <w:szCs w:val="22"/>
            </w:rPr>
            <w:t>76</w:t>
          </w:r>
          <w:r>
            <w:rPr>
              <w:rStyle w:val="46"/>
              <w:rFonts w:eastAsia="仿宋_GB2312;仿宋" w:cs="Times New Roman"/>
              <w:sz w:val="22"/>
              <w:szCs w:val="22"/>
            </w:rPr>
            <w:fldChar w:fldCharType="end"/>
          </w:r>
        </w:p>
        <w:p w14:paraId="1D822DA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"__RefHeading___Toc351203541" \h </w:instrText>
          </w:r>
          <w:r>
            <w:fldChar w:fldCharType="separate"/>
          </w:r>
          <w:r>
            <w:rPr>
              <w:rStyle w:val="46"/>
              <w:rFonts w:eastAsia="仿宋_GB2312;仿宋" w:cs="Times New Roman"/>
              <w:sz w:val="22"/>
              <w:szCs w:val="22"/>
            </w:rPr>
            <w:t xml:space="preserve">6.3 </w:t>
          </w:r>
          <w:r>
            <w:rPr>
              <w:rStyle w:val="46"/>
              <w:rFonts w:ascii="Times New Roman" w:hAnsi="Times New Roman" w:eastAsia="仿宋_GB2312;仿宋" w:cs="Times New Roman"/>
              <w:sz w:val="22"/>
              <w:szCs w:val="22"/>
            </w:rPr>
            <w:t>环境保护</w:t>
          </w:r>
          <w:r>
            <w:rPr>
              <w:rStyle w:val="46"/>
              <w:rFonts w:eastAsia="仿宋_GB2312;仿宋" w:cs="Times New Roman"/>
              <w:sz w:val="22"/>
              <w:szCs w:val="22"/>
            </w:rPr>
            <w:tab/>
          </w:r>
          <w:r>
            <w:rPr>
              <w:rStyle w:val="46"/>
              <w:rFonts w:eastAsia="仿宋_GB2312;仿宋" w:cs="Times New Roman"/>
              <w:sz w:val="22"/>
              <w:szCs w:val="22"/>
            </w:rPr>
            <w:t>77</w:t>
          </w:r>
          <w:r>
            <w:rPr>
              <w:rStyle w:val="46"/>
              <w:rFonts w:eastAsia="仿宋_GB2312;仿宋" w:cs="Times New Roman"/>
              <w:sz w:val="22"/>
              <w:szCs w:val="22"/>
            </w:rPr>
            <w:fldChar w:fldCharType="end"/>
          </w:r>
        </w:p>
        <w:p w14:paraId="69CB6E90">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"__RefHeading___Toc351203542" \h </w:instrText>
          </w:r>
          <w:r>
            <w:fldChar w:fldCharType="separate"/>
          </w:r>
          <w:r>
            <w:rPr>
              <w:rStyle w:val="46"/>
              <w:rFonts w:eastAsia="仿宋_GB2312;仿宋" w:cs="Times New Roman"/>
              <w:sz w:val="22"/>
              <w:szCs w:val="22"/>
            </w:rPr>
            <w:t xml:space="preserve">7. </w:t>
          </w:r>
          <w:r>
            <w:rPr>
              <w:rStyle w:val="46"/>
              <w:rFonts w:ascii="Times New Roman" w:hAnsi="Times New Roman" w:eastAsia="仿宋_GB2312;仿宋" w:cs="Times New Roman"/>
              <w:sz w:val="22"/>
              <w:szCs w:val="22"/>
            </w:rPr>
            <w:t>工期和进度</w:t>
          </w:r>
          <w:r>
            <w:rPr>
              <w:rStyle w:val="46"/>
              <w:rFonts w:eastAsia="仿宋_GB2312;仿宋" w:cs="Times New Roman"/>
              <w:sz w:val="22"/>
              <w:szCs w:val="22"/>
            </w:rPr>
            <w:tab/>
          </w:r>
          <w:r>
            <w:rPr>
              <w:rStyle w:val="46"/>
              <w:rFonts w:eastAsia="仿宋_GB2312;仿宋" w:cs="Times New Roman"/>
              <w:sz w:val="22"/>
              <w:szCs w:val="22"/>
            </w:rPr>
            <w:t>77</w:t>
          </w:r>
          <w:r>
            <w:rPr>
              <w:rStyle w:val="46"/>
              <w:rFonts w:eastAsia="仿宋_GB2312;仿宋" w:cs="Times New Roman"/>
              <w:sz w:val="22"/>
              <w:szCs w:val="22"/>
            </w:rPr>
            <w:fldChar w:fldCharType="end"/>
          </w:r>
        </w:p>
        <w:p w14:paraId="0592E6C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"__RefHeading___Toc351203543" \h </w:instrText>
          </w:r>
          <w:r>
            <w:fldChar w:fldCharType="separate"/>
          </w:r>
          <w:r>
            <w:rPr>
              <w:rStyle w:val="46"/>
              <w:rFonts w:eastAsia="仿宋_GB2312;仿宋" w:cs="Times New Roman"/>
              <w:sz w:val="22"/>
              <w:szCs w:val="22"/>
            </w:rPr>
            <w:t>7.1</w:t>
          </w:r>
          <w:r>
            <w:rPr>
              <w:rStyle w:val="46"/>
              <w:rFonts w:ascii="Times New Roman" w:hAnsi="Times New Roman" w:eastAsia="仿宋_GB2312;仿宋" w:cs="Times New Roman"/>
              <w:sz w:val="22"/>
              <w:szCs w:val="22"/>
            </w:rPr>
            <w:t>施工组织设计</w:t>
          </w:r>
          <w:r>
            <w:rPr>
              <w:rStyle w:val="46"/>
              <w:rFonts w:eastAsia="仿宋_GB2312;仿宋" w:cs="Times New Roman"/>
              <w:sz w:val="22"/>
              <w:szCs w:val="22"/>
            </w:rPr>
            <w:tab/>
          </w:r>
          <w:r>
            <w:rPr>
              <w:rStyle w:val="46"/>
              <w:rFonts w:eastAsia="仿宋_GB2312;仿宋" w:cs="Times New Roman"/>
              <w:sz w:val="22"/>
              <w:szCs w:val="22"/>
            </w:rPr>
            <w:t>77</w:t>
          </w:r>
          <w:r>
            <w:rPr>
              <w:rStyle w:val="46"/>
              <w:rFonts w:eastAsia="仿宋_GB2312;仿宋" w:cs="Times New Roman"/>
              <w:sz w:val="22"/>
              <w:szCs w:val="22"/>
            </w:rPr>
            <w:fldChar w:fldCharType="end"/>
          </w:r>
        </w:p>
        <w:p w14:paraId="39E06117">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"__RefHeading___Toc351203544" \h </w:instrText>
          </w:r>
          <w:r>
            <w:fldChar w:fldCharType="separate"/>
          </w:r>
          <w:r>
            <w:rPr>
              <w:rStyle w:val="46"/>
              <w:rFonts w:eastAsia="仿宋_GB2312;仿宋" w:cs="Times New Roman"/>
              <w:sz w:val="22"/>
              <w:szCs w:val="22"/>
            </w:rPr>
            <w:t xml:space="preserve">7.2 </w:t>
          </w:r>
          <w:r>
            <w:rPr>
              <w:rStyle w:val="46"/>
              <w:rFonts w:ascii="Times New Roman" w:hAnsi="Times New Roman" w:eastAsia="仿宋_GB2312;仿宋" w:cs="Times New Roman"/>
              <w:sz w:val="22"/>
              <w:szCs w:val="22"/>
            </w:rPr>
            <w:t>施工进度计划</w:t>
          </w:r>
          <w:r>
            <w:rPr>
              <w:rStyle w:val="46"/>
              <w:rFonts w:eastAsia="仿宋_GB2312;仿宋" w:cs="Times New Roman"/>
              <w:sz w:val="22"/>
              <w:szCs w:val="22"/>
            </w:rPr>
            <w:tab/>
          </w:r>
          <w:r>
            <w:rPr>
              <w:rStyle w:val="46"/>
              <w:rFonts w:eastAsia="仿宋_GB2312;仿宋" w:cs="Times New Roman"/>
              <w:sz w:val="22"/>
              <w:szCs w:val="22"/>
            </w:rPr>
            <w:t>78</w:t>
          </w:r>
          <w:r>
            <w:rPr>
              <w:rStyle w:val="46"/>
              <w:rFonts w:eastAsia="仿宋_GB2312;仿宋" w:cs="Times New Roman"/>
              <w:sz w:val="22"/>
              <w:szCs w:val="22"/>
            </w:rPr>
            <w:fldChar w:fldCharType="end"/>
          </w:r>
        </w:p>
        <w:p w14:paraId="5E33AA1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"__RefHeading___Toc351203545" \h </w:instrText>
          </w:r>
          <w:r>
            <w:fldChar w:fldCharType="separate"/>
          </w:r>
          <w:r>
            <w:rPr>
              <w:rStyle w:val="46"/>
              <w:rFonts w:eastAsia="仿宋_GB2312;仿宋" w:cs="Times New Roman"/>
              <w:sz w:val="22"/>
              <w:szCs w:val="22"/>
            </w:rPr>
            <w:t xml:space="preserve">7.3 </w:t>
          </w:r>
          <w:r>
            <w:rPr>
              <w:rStyle w:val="46"/>
              <w:rFonts w:ascii="Times New Roman" w:hAnsi="Times New Roman" w:eastAsia="仿宋_GB2312;仿宋" w:cs="Times New Roman"/>
              <w:sz w:val="22"/>
              <w:szCs w:val="22"/>
            </w:rPr>
            <w:t>开工</w:t>
          </w:r>
          <w:r>
            <w:rPr>
              <w:rStyle w:val="46"/>
              <w:rFonts w:eastAsia="仿宋_GB2312;仿宋" w:cs="Times New Roman"/>
              <w:sz w:val="22"/>
              <w:szCs w:val="22"/>
            </w:rPr>
            <w:tab/>
          </w:r>
          <w:r>
            <w:rPr>
              <w:rStyle w:val="46"/>
              <w:rFonts w:eastAsia="仿宋_GB2312;仿宋" w:cs="Times New Roman"/>
              <w:sz w:val="22"/>
              <w:szCs w:val="22"/>
            </w:rPr>
            <w:t>78</w:t>
          </w:r>
          <w:r>
            <w:rPr>
              <w:rStyle w:val="46"/>
              <w:rFonts w:eastAsia="仿宋_GB2312;仿宋" w:cs="Times New Roman"/>
              <w:sz w:val="22"/>
              <w:szCs w:val="22"/>
            </w:rPr>
            <w:fldChar w:fldCharType="end"/>
          </w:r>
        </w:p>
        <w:p w14:paraId="0042256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"__RefHeading___Toc351203546" \h </w:instrText>
          </w:r>
          <w:r>
            <w:fldChar w:fldCharType="separate"/>
          </w:r>
          <w:r>
            <w:rPr>
              <w:rStyle w:val="46"/>
              <w:rFonts w:eastAsia="仿宋_GB2312;仿宋" w:cs="Times New Roman"/>
              <w:sz w:val="22"/>
              <w:szCs w:val="22"/>
            </w:rPr>
            <w:t>7.4</w:t>
          </w:r>
          <w:r>
            <w:rPr>
              <w:rStyle w:val="46"/>
              <w:rFonts w:ascii="Times New Roman" w:hAnsi="Times New Roman" w:eastAsia="仿宋_GB2312;仿宋" w:cs="Times New Roman"/>
              <w:sz w:val="22"/>
              <w:szCs w:val="22"/>
            </w:rPr>
            <w:t>测量放线</w:t>
          </w:r>
          <w:r>
            <w:rPr>
              <w:rStyle w:val="46"/>
              <w:rFonts w:eastAsia="仿宋_GB2312;仿宋" w:cs="Times New Roman"/>
              <w:sz w:val="22"/>
              <w:szCs w:val="22"/>
            </w:rPr>
            <w:tab/>
          </w:r>
          <w:r>
            <w:rPr>
              <w:rStyle w:val="46"/>
              <w:rFonts w:eastAsia="仿宋_GB2312;仿宋" w:cs="Times New Roman"/>
              <w:sz w:val="22"/>
              <w:szCs w:val="22"/>
            </w:rPr>
            <w:t>79</w:t>
          </w:r>
          <w:r>
            <w:rPr>
              <w:rStyle w:val="46"/>
              <w:rFonts w:eastAsia="仿宋_GB2312;仿宋" w:cs="Times New Roman"/>
              <w:sz w:val="22"/>
              <w:szCs w:val="22"/>
            </w:rPr>
            <w:fldChar w:fldCharType="end"/>
          </w:r>
        </w:p>
        <w:p w14:paraId="4F457A3E">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"__RefHeading___Toc351203547" \h </w:instrText>
          </w:r>
          <w:r>
            <w:fldChar w:fldCharType="separate"/>
          </w:r>
          <w:r>
            <w:rPr>
              <w:rStyle w:val="46"/>
              <w:rFonts w:eastAsia="仿宋_GB2312;仿宋" w:cs="Times New Roman"/>
              <w:sz w:val="22"/>
              <w:szCs w:val="22"/>
            </w:rPr>
            <w:t>7.5</w:t>
          </w:r>
          <w:r>
            <w:rPr>
              <w:rStyle w:val="46"/>
              <w:rFonts w:ascii="Times New Roman" w:hAnsi="Times New Roman" w:eastAsia="仿宋_GB2312;仿宋" w:cs="Times New Roman"/>
              <w:sz w:val="22"/>
              <w:szCs w:val="22"/>
            </w:rPr>
            <w:t>工期延误</w:t>
          </w:r>
          <w:r>
            <w:rPr>
              <w:rStyle w:val="46"/>
              <w:rFonts w:eastAsia="仿宋_GB2312;仿宋" w:cs="Times New Roman"/>
              <w:sz w:val="22"/>
              <w:szCs w:val="22"/>
            </w:rPr>
            <w:tab/>
          </w:r>
          <w:r>
            <w:rPr>
              <w:rStyle w:val="46"/>
              <w:rFonts w:eastAsia="仿宋_GB2312;仿宋" w:cs="Times New Roman"/>
              <w:sz w:val="22"/>
              <w:szCs w:val="22"/>
            </w:rPr>
            <w:t>79</w:t>
          </w:r>
          <w:r>
            <w:rPr>
              <w:rStyle w:val="46"/>
              <w:rFonts w:eastAsia="仿宋_GB2312;仿宋" w:cs="Times New Roman"/>
              <w:sz w:val="22"/>
              <w:szCs w:val="22"/>
            </w:rPr>
            <w:fldChar w:fldCharType="end"/>
          </w:r>
        </w:p>
        <w:p w14:paraId="106B489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"__RefHeading___Toc351203548" \h </w:instrText>
          </w:r>
          <w:r>
            <w:fldChar w:fldCharType="separate"/>
          </w:r>
          <w:r>
            <w:rPr>
              <w:rStyle w:val="46"/>
              <w:rFonts w:eastAsia="仿宋_GB2312;仿宋" w:cs="Times New Roman"/>
              <w:sz w:val="22"/>
              <w:szCs w:val="22"/>
            </w:rPr>
            <w:t xml:space="preserve">7.6 </w:t>
          </w:r>
          <w:r>
            <w:rPr>
              <w:rStyle w:val="46"/>
              <w:rFonts w:ascii="Times New Roman" w:hAnsi="Times New Roman" w:eastAsia="仿宋_GB2312;仿宋" w:cs="Times New Roman"/>
              <w:sz w:val="22"/>
              <w:szCs w:val="22"/>
            </w:rPr>
            <w:t>不利物质条件</w:t>
          </w:r>
          <w:r>
            <w:rPr>
              <w:rStyle w:val="46"/>
              <w:rFonts w:eastAsia="仿宋_GB2312;仿宋" w:cs="Times New Roman"/>
              <w:sz w:val="22"/>
              <w:szCs w:val="22"/>
            </w:rPr>
            <w:tab/>
          </w:r>
          <w:r>
            <w:rPr>
              <w:rStyle w:val="46"/>
              <w:rFonts w:eastAsia="仿宋_GB2312;仿宋" w:cs="Times New Roman"/>
              <w:sz w:val="22"/>
              <w:szCs w:val="22"/>
            </w:rPr>
            <w:t>80</w:t>
          </w:r>
          <w:r>
            <w:rPr>
              <w:rStyle w:val="46"/>
              <w:rFonts w:eastAsia="仿宋_GB2312;仿宋" w:cs="Times New Roman"/>
              <w:sz w:val="22"/>
              <w:szCs w:val="22"/>
            </w:rPr>
            <w:fldChar w:fldCharType="end"/>
          </w:r>
        </w:p>
        <w:p w14:paraId="6B955CE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"__RefHeading___Toc351203549" \h </w:instrText>
          </w:r>
          <w:r>
            <w:fldChar w:fldCharType="separate"/>
          </w:r>
          <w:r>
            <w:rPr>
              <w:rStyle w:val="46"/>
              <w:rFonts w:eastAsia="仿宋_GB2312;仿宋" w:cs="Times New Roman"/>
              <w:sz w:val="22"/>
              <w:szCs w:val="22"/>
            </w:rPr>
            <w:t>7.7</w:t>
          </w:r>
          <w:r>
            <w:rPr>
              <w:rStyle w:val="46"/>
              <w:rFonts w:ascii="Times New Roman" w:hAnsi="Times New Roman" w:eastAsia="仿宋_GB2312;仿宋" w:cs="Times New Roman"/>
              <w:sz w:val="22"/>
              <w:szCs w:val="22"/>
            </w:rPr>
            <w:t>异常恶劣的气候条件</w:t>
          </w:r>
          <w:r>
            <w:rPr>
              <w:rStyle w:val="46"/>
              <w:rFonts w:eastAsia="仿宋_GB2312;仿宋" w:cs="Times New Roman"/>
              <w:sz w:val="22"/>
              <w:szCs w:val="22"/>
            </w:rPr>
            <w:tab/>
          </w:r>
          <w:r>
            <w:rPr>
              <w:rStyle w:val="46"/>
              <w:rFonts w:eastAsia="仿宋_GB2312;仿宋" w:cs="Times New Roman"/>
              <w:sz w:val="22"/>
              <w:szCs w:val="22"/>
            </w:rPr>
            <w:t>80</w:t>
          </w:r>
          <w:r>
            <w:rPr>
              <w:rStyle w:val="46"/>
              <w:rFonts w:eastAsia="仿宋_GB2312;仿宋" w:cs="Times New Roman"/>
              <w:sz w:val="22"/>
              <w:szCs w:val="22"/>
            </w:rPr>
            <w:fldChar w:fldCharType="end"/>
          </w:r>
        </w:p>
        <w:p w14:paraId="2D6E8AF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"__RefHeading___Toc351203550" \h </w:instrText>
          </w:r>
          <w:r>
            <w:fldChar w:fldCharType="separate"/>
          </w:r>
          <w:r>
            <w:rPr>
              <w:rStyle w:val="46"/>
              <w:rFonts w:eastAsia="仿宋_GB2312;仿宋" w:cs="Times New Roman"/>
              <w:sz w:val="22"/>
              <w:szCs w:val="22"/>
            </w:rPr>
            <w:t xml:space="preserve">7.8 </w:t>
          </w:r>
          <w:r>
            <w:rPr>
              <w:rStyle w:val="46"/>
              <w:rFonts w:ascii="Times New Roman" w:hAnsi="Times New Roman" w:eastAsia="仿宋_GB2312;仿宋" w:cs="Times New Roman"/>
              <w:sz w:val="22"/>
              <w:szCs w:val="22"/>
            </w:rPr>
            <w:t>暂停施工</w:t>
          </w:r>
          <w:r>
            <w:rPr>
              <w:rStyle w:val="46"/>
              <w:rFonts w:eastAsia="仿宋_GB2312;仿宋" w:cs="Times New Roman"/>
              <w:sz w:val="22"/>
              <w:szCs w:val="22"/>
            </w:rPr>
            <w:tab/>
          </w:r>
          <w:r>
            <w:rPr>
              <w:rStyle w:val="46"/>
              <w:rFonts w:eastAsia="仿宋_GB2312;仿宋" w:cs="Times New Roman"/>
              <w:sz w:val="22"/>
              <w:szCs w:val="22"/>
            </w:rPr>
            <w:t>80</w:t>
          </w:r>
          <w:r>
            <w:rPr>
              <w:rStyle w:val="46"/>
              <w:rFonts w:eastAsia="仿宋_GB2312;仿宋" w:cs="Times New Roman"/>
              <w:sz w:val="22"/>
              <w:szCs w:val="22"/>
            </w:rPr>
            <w:fldChar w:fldCharType="end"/>
          </w:r>
        </w:p>
        <w:p w14:paraId="1228E48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"__RefHeading___Toc351203551" \h </w:instrText>
          </w:r>
          <w:r>
            <w:fldChar w:fldCharType="separate"/>
          </w:r>
          <w:r>
            <w:rPr>
              <w:rStyle w:val="46"/>
              <w:rFonts w:eastAsia="仿宋_GB2312;仿宋" w:cs="Times New Roman"/>
              <w:sz w:val="22"/>
              <w:szCs w:val="22"/>
            </w:rPr>
            <w:t xml:space="preserve">7.9 </w:t>
          </w:r>
          <w:r>
            <w:rPr>
              <w:rStyle w:val="46"/>
              <w:rFonts w:ascii="Times New Roman" w:hAnsi="Times New Roman" w:eastAsia="仿宋_GB2312;仿宋" w:cs="Times New Roman"/>
              <w:sz w:val="22"/>
              <w:szCs w:val="22"/>
            </w:rPr>
            <w:t>提前竣工</w:t>
          </w:r>
          <w:r>
            <w:rPr>
              <w:rStyle w:val="46"/>
              <w:rFonts w:eastAsia="仿宋_GB2312;仿宋" w:cs="Times New Roman"/>
              <w:sz w:val="22"/>
              <w:szCs w:val="22"/>
            </w:rPr>
            <w:tab/>
          </w:r>
          <w:r>
            <w:rPr>
              <w:rStyle w:val="46"/>
              <w:rFonts w:eastAsia="仿宋_GB2312;仿宋" w:cs="Times New Roman"/>
              <w:sz w:val="22"/>
              <w:szCs w:val="22"/>
            </w:rPr>
            <w:t>82</w:t>
          </w:r>
          <w:r>
            <w:rPr>
              <w:rStyle w:val="46"/>
              <w:rFonts w:eastAsia="仿宋_GB2312;仿宋" w:cs="Times New Roman"/>
              <w:sz w:val="22"/>
              <w:szCs w:val="22"/>
            </w:rPr>
            <w:fldChar w:fldCharType="end"/>
          </w:r>
        </w:p>
        <w:p w14:paraId="5552DE39">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"__RefHeading___Toc351203552" \h </w:instrText>
          </w:r>
          <w:r>
            <w:fldChar w:fldCharType="separate"/>
          </w:r>
          <w:r>
            <w:rPr>
              <w:rStyle w:val="46"/>
              <w:rFonts w:eastAsia="仿宋_GB2312;仿宋" w:cs="Times New Roman"/>
              <w:sz w:val="22"/>
              <w:szCs w:val="22"/>
            </w:rPr>
            <w:t xml:space="preserve">8. </w:t>
          </w:r>
          <w:r>
            <w:rPr>
              <w:rStyle w:val="46"/>
              <w:rFonts w:ascii="Times New Roman" w:hAnsi="Times New Roman" w:eastAsia="仿宋_GB2312;仿宋" w:cs="Times New Roman"/>
              <w:sz w:val="22"/>
              <w:szCs w:val="22"/>
            </w:rPr>
            <w:t>材料与设备</w:t>
          </w:r>
          <w:r>
            <w:rPr>
              <w:rStyle w:val="46"/>
              <w:rFonts w:eastAsia="仿宋_GB2312;仿宋" w:cs="Times New Roman"/>
              <w:sz w:val="22"/>
              <w:szCs w:val="22"/>
            </w:rPr>
            <w:tab/>
          </w:r>
          <w:r>
            <w:rPr>
              <w:rStyle w:val="46"/>
              <w:rFonts w:eastAsia="仿宋_GB2312;仿宋" w:cs="Times New Roman"/>
              <w:sz w:val="22"/>
              <w:szCs w:val="22"/>
            </w:rPr>
            <w:t>50</w:t>
          </w:r>
          <w:r>
            <w:rPr>
              <w:rStyle w:val="46"/>
              <w:rFonts w:eastAsia="仿宋_GB2312;仿宋" w:cs="Times New Roman"/>
              <w:sz w:val="22"/>
              <w:szCs w:val="22"/>
            </w:rPr>
            <w:fldChar w:fldCharType="end"/>
          </w:r>
        </w:p>
        <w:p w14:paraId="45B740B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"__RefHeading___Toc351203553" \h </w:instrText>
          </w:r>
          <w:r>
            <w:fldChar w:fldCharType="separate"/>
          </w:r>
          <w:r>
            <w:rPr>
              <w:rStyle w:val="46"/>
              <w:rFonts w:eastAsia="仿宋_GB2312;仿宋" w:cs="Times New Roman"/>
              <w:sz w:val="22"/>
              <w:szCs w:val="22"/>
            </w:rPr>
            <w:t>8.1</w:t>
          </w:r>
          <w:r>
            <w:rPr>
              <w:rStyle w:val="46"/>
              <w:rFonts w:ascii="Times New Roman" w:hAnsi="Times New Roman" w:eastAsia="仿宋_GB2312;仿宋" w:cs="Times New Roman"/>
              <w:sz w:val="22"/>
              <w:szCs w:val="22"/>
            </w:rPr>
            <w:t>发包人供应材料与工程设备</w:t>
          </w:r>
          <w:r>
            <w:rPr>
              <w:rStyle w:val="46"/>
              <w:rFonts w:eastAsia="仿宋_GB2312;仿宋" w:cs="Times New Roman"/>
              <w:sz w:val="22"/>
              <w:szCs w:val="22"/>
            </w:rPr>
            <w:tab/>
          </w:r>
          <w:r>
            <w:rPr>
              <w:rStyle w:val="46"/>
              <w:rFonts w:eastAsia="仿宋_GB2312;仿宋" w:cs="Times New Roman"/>
              <w:sz w:val="22"/>
              <w:szCs w:val="22"/>
            </w:rPr>
            <w:t>50</w:t>
          </w:r>
          <w:r>
            <w:rPr>
              <w:rStyle w:val="46"/>
              <w:rFonts w:eastAsia="仿宋_GB2312;仿宋" w:cs="Times New Roman"/>
              <w:sz w:val="22"/>
              <w:szCs w:val="22"/>
            </w:rPr>
            <w:fldChar w:fldCharType="end"/>
          </w:r>
        </w:p>
        <w:p w14:paraId="4515261E">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"__RefHeading___Toc351203554" \h </w:instrText>
          </w:r>
          <w:r>
            <w:fldChar w:fldCharType="separate"/>
          </w:r>
          <w:r>
            <w:rPr>
              <w:rStyle w:val="46"/>
              <w:rFonts w:eastAsia="仿宋_GB2312;仿宋" w:cs="Times New Roman"/>
              <w:sz w:val="22"/>
              <w:szCs w:val="22"/>
            </w:rPr>
            <w:t>8.2</w:t>
          </w:r>
          <w:r>
            <w:rPr>
              <w:rStyle w:val="46"/>
              <w:rFonts w:ascii="Times New Roman" w:hAnsi="Times New Roman" w:eastAsia="仿宋_GB2312;仿宋" w:cs="Times New Roman"/>
              <w:sz w:val="22"/>
              <w:szCs w:val="22"/>
            </w:rPr>
            <w:t>承包人采购材料与工程设备</w:t>
          </w:r>
          <w:r>
            <w:rPr>
              <w:rStyle w:val="46"/>
              <w:rFonts w:eastAsia="仿宋_GB2312;仿宋" w:cs="Times New Roman"/>
              <w:sz w:val="22"/>
              <w:szCs w:val="22"/>
            </w:rPr>
            <w:tab/>
          </w:r>
          <w:r>
            <w:rPr>
              <w:rStyle w:val="46"/>
              <w:rFonts w:eastAsia="仿宋_GB2312;仿宋" w:cs="Times New Roman"/>
              <w:sz w:val="22"/>
              <w:szCs w:val="22"/>
            </w:rPr>
            <w:t>82</w:t>
          </w:r>
          <w:r>
            <w:rPr>
              <w:rStyle w:val="46"/>
              <w:rFonts w:eastAsia="仿宋_GB2312;仿宋" w:cs="Times New Roman"/>
              <w:sz w:val="22"/>
              <w:szCs w:val="22"/>
            </w:rPr>
            <w:fldChar w:fldCharType="end"/>
          </w:r>
        </w:p>
        <w:p w14:paraId="0AB17C2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"__RefHeading___Toc351203555" \h </w:instrText>
          </w:r>
          <w:r>
            <w:fldChar w:fldCharType="separate"/>
          </w:r>
          <w:r>
            <w:rPr>
              <w:rStyle w:val="46"/>
              <w:rFonts w:eastAsia="仿宋_GB2312;仿宋" w:cs="Times New Roman"/>
              <w:sz w:val="22"/>
              <w:szCs w:val="22"/>
            </w:rPr>
            <w:t>8.3</w:t>
          </w:r>
          <w:r>
            <w:rPr>
              <w:rStyle w:val="46"/>
              <w:rFonts w:ascii="Times New Roman" w:hAnsi="Times New Roman" w:eastAsia="仿宋_GB2312;仿宋" w:cs="Times New Roman"/>
              <w:sz w:val="22"/>
              <w:szCs w:val="22"/>
            </w:rPr>
            <w:t>材料与工程设备的接收与拒收</w:t>
          </w:r>
          <w:r>
            <w:rPr>
              <w:rStyle w:val="46"/>
              <w:rFonts w:eastAsia="仿宋_GB2312;仿宋" w:cs="Times New Roman"/>
              <w:sz w:val="22"/>
              <w:szCs w:val="22"/>
            </w:rPr>
            <w:tab/>
          </w:r>
          <w:r>
            <w:rPr>
              <w:rStyle w:val="46"/>
              <w:rFonts w:eastAsia="仿宋_GB2312;仿宋" w:cs="Times New Roman"/>
              <w:sz w:val="22"/>
              <w:szCs w:val="22"/>
            </w:rPr>
            <w:t>83</w:t>
          </w:r>
          <w:r>
            <w:rPr>
              <w:rStyle w:val="46"/>
              <w:rFonts w:eastAsia="仿宋_GB2312;仿宋" w:cs="Times New Roman"/>
              <w:sz w:val="22"/>
              <w:szCs w:val="22"/>
            </w:rPr>
            <w:fldChar w:fldCharType="end"/>
          </w:r>
        </w:p>
        <w:p w14:paraId="12F3F7E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"__RefHeading___Toc351203556" \h </w:instrText>
          </w:r>
          <w:r>
            <w:fldChar w:fldCharType="separate"/>
          </w:r>
          <w:r>
            <w:rPr>
              <w:rStyle w:val="46"/>
              <w:rFonts w:eastAsia="仿宋_GB2312;仿宋" w:cs="Times New Roman"/>
              <w:sz w:val="22"/>
              <w:szCs w:val="22"/>
            </w:rPr>
            <w:t>8.4</w:t>
          </w:r>
          <w:r>
            <w:rPr>
              <w:rStyle w:val="46"/>
              <w:rFonts w:ascii="Times New Roman" w:hAnsi="Times New Roman" w:eastAsia="仿宋_GB2312;仿宋" w:cs="Times New Roman"/>
              <w:sz w:val="22"/>
              <w:szCs w:val="22"/>
            </w:rPr>
            <w:t>材料与工程设备的保管与使用</w:t>
          </w:r>
          <w:r>
            <w:rPr>
              <w:rStyle w:val="46"/>
              <w:rFonts w:eastAsia="仿宋_GB2312;仿宋" w:cs="Times New Roman"/>
              <w:sz w:val="22"/>
              <w:szCs w:val="22"/>
            </w:rPr>
            <w:tab/>
          </w:r>
          <w:r>
            <w:rPr>
              <w:rStyle w:val="46"/>
              <w:rFonts w:eastAsia="仿宋_GB2312;仿宋" w:cs="Times New Roman"/>
              <w:sz w:val="22"/>
              <w:szCs w:val="22"/>
            </w:rPr>
            <w:t>83</w:t>
          </w:r>
          <w:r>
            <w:rPr>
              <w:rStyle w:val="46"/>
              <w:rFonts w:eastAsia="仿宋_GB2312;仿宋" w:cs="Times New Roman"/>
              <w:sz w:val="22"/>
              <w:szCs w:val="22"/>
            </w:rPr>
            <w:fldChar w:fldCharType="end"/>
          </w:r>
        </w:p>
        <w:p w14:paraId="438D024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"__RefHeading___Toc351203557" \h </w:instrText>
          </w:r>
          <w:r>
            <w:fldChar w:fldCharType="separate"/>
          </w:r>
          <w:r>
            <w:rPr>
              <w:rStyle w:val="46"/>
              <w:rFonts w:eastAsia="仿宋_GB2312;仿宋" w:cs="Times New Roman"/>
              <w:sz w:val="22"/>
              <w:szCs w:val="22"/>
            </w:rPr>
            <w:t xml:space="preserve">8.5 </w:t>
          </w:r>
          <w:r>
            <w:rPr>
              <w:rStyle w:val="46"/>
              <w:rFonts w:ascii="Times New Roman" w:hAnsi="Times New Roman" w:eastAsia="仿宋_GB2312;仿宋" w:cs="Times New Roman"/>
              <w:sz w:val="22"/>
              <w:szCs w:val="22"/>
            </w:rPr>
            <w:t>禁止使用不合格的材料和工程设备</w:t>
          </w:r>
          <w:r>
            <w:rPr>
              <w:rStyle w:val="46"/>
              <w:rFonts w:eastAsia="仿宋_GB2312;仿宋" w:cs="Times New Roman"/>
              <w:sz w:val="22"/>
              <w:szCs w:val="22"/>
            </w:rPr>
            <w:tab/>
          </w:r>
          <w:r>
            <w:rPr>
              <w:rStyle w:val="46"/>
              <w:rFonts w:eastAsia="仿宋_GB2312;仿宋" w:cs="Times New Roman"/>
              <w:sz w:val="22"/>
              <w:szCs w:val="22"/>
            </w:rPr>
            <w:t>84</w:t>
          </w:r>
          <w:r>
            <w:rPr>
              <w:rStyle w:val="46"/>
              <w:rFonts w:eastAsia="仿宋_GB2312;仿宋" w:cs="Times New Roman"/>
              <w:sz w:val="22"/>
              <w:szCs w:val="22"/>
            </w:rPr>
            <w:fldChar w:fldCharType="end"/>
          </w:r>
        </w:p>
        <w:p w14:paraId="0EC30A6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"__RefHeading___Toc351203558" \h </w:instrText>
          </w:r>
          <w:r>
            <w:fldChar w:fldCharType="separate"/>
          </w:r>
          <w:r>
            <w:rPr>
              <w:rStyle w:val="46"/>
              <w:rFonts w:eastAsia="仿宋_GB2312;仿宋" w:cs="Times New Roman"/>
              <w:sz w:val="22"/>
              <w:szCs w:val="22"/>
            </w:rPr>
            <w:t xml:space="preserve">8.6 </w:t>
          </w:r>
          <w:r>
            <w:rPr>
              <w:rStyle w:val="46"/>
              <w:rFonts w:ascii="Times New Roman" w:hAnsi="Times New Roman" w:eastAsia="仿宋_GB2312;仿宋" w:cs="Times New Roman"/>
              <w:sz w:val="22"/>
              <w:szCs w:val="22"/>
            </w:rPr>
            <w:t>样品</w:t>
          </w:r>
          <w:r>
            <w:rPr>
              <w:rStyle w:val="46"/>
              <w:rFonts w:eastAsia="仿宋_GB2312;仿宋" w:cs="Times New Roman"/>
              <w:sz w:val="22"/>
              <w:szCs w:val="22"/>
            </w:rPr>
            <w:tab/>
          </w:r>
          <w:r>
            <w:rPr>
              <w:rStyle w:val="46"/>
              <w:rFonts w:eastAsia="仿宋_GB2312;仿宋" w:cs="Times New Roman"/>
              <w:sz w:val="22"/>
              <w:szCs w:val="22"/>
            </w:rPr>
            <w:t>84</w:t>
          </w:r>
          <w:r>
            <w:rPr>
              <w:rStyle w:val="46"/>
              <w:rFonts w:eastAsia="仿宋_GB2312;仿宋" w:cs="Times New Roman"/>
              <w:sz w:val="22"/>
              <w:szCs w:val="22"/>
            </w:rPr>
            <w:fldChar w:fldCharType="end"/>
          </w:r>
        </w:p>
        <w:p w14:paraId="4482641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"__RefHeading___Toc351203559" \h </w:instrText>
          </w:r>
          <w:r>
            <w:fldChar w:fldCharType="separate"/>
          </w:r>
          <w:r>
            <w:rPr>
              <w:rStyle w:val="46"/>
              <w:rFonts w:eastAsia="仿宋_GB2312;仿宋" w:cs="Times New Roman"/>
              <w:sz w:val="22"/>
              <w:szCs w:val="22"/>
            </w:rPr>
            <w:t xml:space="preserve">8.7 </w:t>
          </w:r>
          <w:r>
            <w:rPr>
              <w:rStyle w:val="46"/>
              <w:rFonts w:ascii="Times New Roman" w:hAnsi="Times New Roman" w:eastAsia="仿宋_GB2312;仿宋" w:cs="Times New Roman"/>
              <w:sz w:val="22"/>
              <w:szCs w:val="22"/>
            </w:rPr>
            <w:t>材料与工程设备的替代</w:t>
          </w:r>
          <w:r>
            <w:rPr>
              <w:rStyle w:val="46"/>
              <w:rFonts w:eastAsia="仿宋_GB2312;仿宋" w:cs="Times New Roman"/>
              <w:sz w:val="22"/>
              <w:szCs w:val="22"/>
            </w:rPr>
            <w:tab/>
          </w:r>
          <w:r>
            <w:rPr>
              <w:rStyle w:val="46"/>
              <w:rFonts w:eastAsia="仿宋_GB2312;仿宋" w:cs="Times New Roman"/>
              <w:sz w:val="22"/>
              <w:szCs w:val="22"/>
            </w:rPr>
            <w:t>85</w:t>
          </w:r>
          <w:r>
            <w:rPr>
              <w:rStyle w:val="46"/>
              <w:rFonts w:eastAsia="仿宋_GB2312;仿宋" w:cs="Times New Roman"/>
              <w:sz w:val="22"/>
              <w:szCs w:val="22"/>
            </w:rPr>
            <w:fldChar w:fldCharType="end"/>
          </w:r>
        </w:p>
        <w:p w14:paraId="5281FBB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"__RefHeading___Toc351203560" \h </w:instrText>
          </w:r>
          <w:r>
            <w:fldChar w:fldCharType="separate"/>
          </w:r>
          <w:r>
            <w:rPr>
              <w:rStyle w:val="46"/>
              <w:rFonts w:eastAsia="仿宋_GB2312;仿宋" w:cs="Times New Roman"/>
              <w:sz w:val="22"/>
              <w:szCs w:val="22"/>
            </w:rPr>
            <w:t xml:space="preserve">8.8 </w:t>
          </w:r>
          <w:r>
            <w:rPr>
              <w:rStyle w:val="46"/>
              <w:rFonts w:ascii="Times New Roman" w:hAnsi="Times New Roman" w:eastAsia="仿宋_GB2312;仿宋" w:cs="Times New Roman"/>
              <w:sz w:val="22"/>
              <w:szCs w:val="22"/>
            </w:rPr>
            <w:t>施工设备和临时设施</w:t>
          </w:r>
          <w:r>
            <w:rPr>
              <w:rStyle w:val="46"/>
              <w:rFonts w:eastAsia="仿宋_GB2312;仿宋" w:cs="Times New Roman"/>
              <w:sz w:val="22"/>
              <w:szCs w:val="22"/>
            </w:rPr>
            <w:tab/>
          </w:r>
          <w:r>
            <w:rPr>
              <w:rStyle w:val="46"/>
              <w:rFonts w:eastAsia="仿宋_GB2312;仿宋" w:cs="Times New Roman"/>
              <w:sz w:val="22"/>
              <w:szCs w:val="22"/>
            </w:rPr>
            <w:t>85</w:t>
          </w:r>
          <w:r>
            <w:rPr>
              <w:rStyle w:val="46"/>
              <w:rFonts w:eastAsia="仿宋_GB2312;仿宋" w:cs="Times New Roman"/>
              <w:sz w:val="22"/>
              <w:szCs w:val="22"/>
            </w:rPr>
            <w:fldChar w:fldCharType="end"/>
          </w:r>
        </w:p>
        <w:p w14:paraId="24DDAB1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"__RefHeading___Toc351203561" \h </w:instrText>
          </w:r>
          <w:r>
            <w:fldChar w:fldCharType="separate"/>
          </w:r>
          <w:r>
            <w:rPr>
              <w:rStyle w:val="46"/>
              <w:rFonts w:eastAsia="仿宋_GB2312;仿宋" w:cs="Times New Roman"/>
              <w:sz w:val="22"/>
              <w:szCs w:val="22"/>
            </w:rPr>
            <w:t>8.9</w:t>
          </w:r>
          <w:r>
            <w:rPr>
              <w:rStyle w:val="46"/>
              <w:rFonts w:ascii="Times New Roman" w:hAnsi="Times New Roman" w:eastAsia="仿宋_GB2312;仿宋" w:cs="Times New Roman"/>
              <w:sz w:val="22"/>
              <w:szCs w:val="22"/>
            </w:rPr>
            <w:t>材料与设备专用要求</w:t>
          </w:r>
          <w:r>
            <w:rPr>
              <w:rStyle w:val="46"/>
              <w:rFonts w:eastAsia="仿宋_GB2312;仿宋" w:cs="Times New Roman"/>
              <w:sz w:val="22"/>
              <w:szCs w:val="22"/>
            </w:rPr>
            <w:tab/>
          </w:r>
          <w:r>
            <w:rPr>
              <w:rStyle w:val="46"/>
              <w:rFonts w:eastAsia="仿宋_GB2312;仿宋" w:cs="Times New Roman"/>
              <w:sz w:val="22"/>
              <w:szCs w:val="22"/>
            </w:rPr>
            <w:t>86</w:t>
          </w:r>
          <w:r>
            <w:rPr>
              <w:rStyle w:val="46"/>
              <w:rFonts w:eastAsia="仿宋_GB2312;仿宋" w:cs="Times New Roman"/>
              <w:sz w:val="22"/>
              <w:szCs w:val="22"/>
            </w:rPr>
            <w:fldChar w:fldCharType="end"/>
          </w:r>
        </w:p>
        <w:p w14:paraId="0D1DAE52">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"__RefHeading___Toc351203562" \h </w:instrText>
          </w:r>
          <w:r>
            <w:fldChar w:fldCharType="separate"/>
          </w:r>
          <w:r>
            <w:rPr>
              <w:rStyle w:val="46"/>
              <w:rFonts w:eastAsia="仿宋_GB2312;仿宋" w:cs="Times New Roman"/>
              <w:sz w:val="22"/>
              <w:szCs w:val="22"/>
            </w:rPr>
            <w:t xml:space="preserve">9. </w:t>
          </w:r>
          <w:r>
            <w:rPr>
              <w:rStyle w:val="46"/>
              <w:rFonts w:ascii="Times New Roman" w:hAnsi="Times New Roman" w:eastAsia="仿宋_GB2312;仿宋" w:cs="Times New Roman"/>
              <w:sz w:val="22"/>
              <w:szCs w:val="22"/>
            </w:rPr>
            <w:t>试验与检验</w:t>
          </w:r>
          <w:r>
            <w:rPr>
              <w:rStyle w:val="46"/>
              <w:rFonts w:eastAsia="仿宋_GB2312;仿宋" w:cs="Times New Roman"/>
              <w:sz w:val="22"/>
              <w:szCs w:val="22"/>
            </w:rPr>
            <w:tab/>
          </w:r>
          <w:r>
            <w:rPr>
              <w:rStyle w:val="46"/>
              <w:rFonts w:eastAsia="仿宋_GB2312;仿宋" w:cs="Times New Roman"/>
              <w:sz w:val="22"/>
              <w:szCs w:val="22"/>
            </w:rPr>
            <w:t>86</w:t>
          </w:r>
          <w:r>
            <w:rPr>
              <w:rStyle w:val="46"/>
              <w:rFonts w:eastAsia="仿宋_GB2312;仿宋" w:cs="Times New Roman"/>
              <w:sz w:val="22"/>
              <w:szCs w:val="22"/>
            </w:rPr>
            <w:fldChar w:fldCharType="end"/>
          </w:r>
        </w:p>
        <w:p w14:paraId="5E6DD10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"__RefHeading___Toc351203563" \h </w:instrText>
          </w:r>
          <w:r>
            <w:fldChar w:fldCharType="separate"/>
          </w:r>
          <w:r>
            <w:rPr>
              <w:rStyle w:val="46"/>
              <w:rFonts w:eastAsia="仿宋_GB2312;仿宋" w:cs="Times New Roman"/>
              <w:sz w:val="22"/>
              <w:szCs w:val="22"/>
            </w:rPr>
            <w:t>9.1</w:t>
          </w:r>
          <w:r>
            <w:rPr>
              <w:rStyle w:val="46"/>
              <w:rFonts w:ascii="Times New Roman" w:hAnsi="Times New Roman" w:eastAsia="仿宋_GB2312;仿宋" w:cs="Times New Roman"/>
              <w:sz w:val="22"/>
              <w:szCs w:val="22"/>
            </w:rPr>
            <w:t>试验设备与试验人员</w:t>
          </w:r>
          <w:r>
            <w:rPr>
              <w:rStyle w:val="46"/>
              <w:rFonts w:eastAsia="仿宋_GB2312;仿宋" w:cs="Times New Roman"/>
              <w:sz w:val="22"/>
              <w:szCs w:val="22"/>
            </w:rPr>
            <w:tab/>
          </w:r>
          <w:r>
            <w:rPr>
              <w:rStyle w:val="46"/>
              <w:rFonts w:eastAsia="仿宋_GB2312;仿宋" w:cs="Times New Roman"/>
              <w:sz w:val="22"/>
              <w:szCs w:val="22"/>
            </w:rPr>
            <w:t>86</w:t>
          </w:r>
          <w:r>
            <w:rPr>
              <w:rStyle w:val="46"/>
              <w:rFonts w:eastAsia="仿宋_GB2312;仿宋" w:cs="Times New Roman"/>
              <w:sz w:val="22"/>
              <w:szCs w:val="22"/>
            </w:rPr>
            <w:fldChar w:fldCharType="end"/>
          </w:r>
        </w:p>
        <w:p w14:paraId="79317C6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"__RefHeading___Toc351203564" \h </w:instrText>
          </w:r>
          <w:r>
            <w:fldChar w:fldCharType="separate"/>
          </w:r>
          <w:r>
            <w:rPr>
              <w:rStyle w:val="46"/>
              <w:rFonts w:eastAsia="仿宋_GB2312;仿宋" w:cs="Times New Roman"/>
              <w:sz w:val="22"/>
              <w:szCs w:val="22"/>
            </w:rPr>
            <w:t>9.2</w:t>
          </w:r>
          <w:r>
            <w:rPr>
              <w:rStyle w:val="46"/>
              <w:rFonts w:ascii="Times New Roman" w:hAnsi="Times New Roman" w:eastAsia="仿宋_GB2312;仿宋" w:cs="Times New Roman"/>
              <w:sz w:val="22"/>
              <w:szCs w:val="22"/>
            </w:rPr>
            <w:t>取样</w:t>
          </w:r>
          <w:r>
            <w:rPr>
              <w:rStyle w:val="46"/>
              <w:rFonts w:eastAsia="仿宋_GB2312;仿宋" w:cs="Times New Roman"/>
              <w:sz w:val="22"/>
              <w:szCs w:val="22"/>
            </w:rPr>
            <w:tab/>
          </w:r>
          <w:r>
            <w:rPr>
              <w:rStyle w:val="46"/>
              <w:rFonts w:eastAsia="仿宋_GB2312;仿宋" w:cs="Times New Roman"/>
              <w:sz w:val="22"/>
              <w:szCs w:val="22"/>
            </w:rPr>
            <w:t>86</w:t>
          </w:r>
          <w:r>
            <w:rPr>
              <w:rStyle w:val="46"/>
              <w:rFonts w:eastAsia="仿宋_GB2312;仿宋" w:cs="Times New Roman"/>
              <w:sz w:val="22"/>
              <w:szCs w:val="22"/>
            </w:rPr>
            <w:fldChar w:fldCharType="end"/>
          </w:r>
        </w:p>
        <w:p w14:paraId="742BE54A">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"__RefHeading___Toc351203565" \h </w:instrText>
          </w:r>
          <w:r>
            <w:fldChar w:fldCharType="separate"/>
          </w:r>
          <w:r>
            <w:rPr>
              <w:rStyle w:val="46"/>
              <w:rFonts w:eastAsia="仿宋_GB2312;仿宋" w:cs="Times New Roman"/>
              <w:sz w:val="22"/>
              <w:szCs w:val="22"/>
            </w:rPr>
            <w:t xml:space="preserve">9.3 </w:t>
          </w:r>
          <w:r>
            <w:rPr>
              <w:rStyle w:val="46"/>
              <w:rFonts w:ascii="Times New Roman" w:hAnsi="Times New Roman" w:eastAsia="仿宋_GB2312;仿宋" w:cs="Times New Roman"/>
              <w:sz w:val="22"/>
              <w:szCs w:val="22"/>
            </w:rPr>
            <w:t>材料、工程设备和工程的试验和检验</w:t>
          </w:r>
          <w:r>
            <w:rPr>
              <w:rStyle w:val="46"/>
              <w:rFonts w:eastAsia="仿宋_GB2312;仿宋" w:cs="Times New Roman"/>
              <w:sz w:val="22"/>
              <w:szCs w:val="22"/>
            </w:rPr>
            <w:tab/>
          </w:r>
          <w:r>
            <w:rPr>
              <w:rStyle w:val="46"/>
              <w:rFonts w:eastAsia="仿宋_GB2312;仿宋" w:cs="Times New Roman"/>
              <w:sz w:val="22"/>
              <w:szCs w:val="22"/>
            </w:rPr>
            <w:t>87</w:t>
          </w:r>
          <w:r>
            <w:rPr>
              <w:rStyle w:val="46"/>
              <w:rFonts w:eastAsia="仿宋_GB2312;仿宋" w:cs="Times New Roman"/>
              <w:sz w:val="22"/>
              <w:szCs w:val="22"/>
            </w:rPr>
            <w:fldChar w:fldCharType="end"/>
          </w:r>
        </w:p>
        <w:p w14:paraId="5F128CB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"__RefHeading___Toc351203566" \h </w:instrText>
          </w:r>
          <w:r>
            <w:fldChar w:fldCharType="separate"/>
          </w:r>
          <w:r>
            <w:rPr>
              <w:rStyle w:val="46"/>
              <w:rFonts w:eastAsia="仿宋_GB2312;仿宋" w:cs="Times New Roman"/>
              <w:sz w:val="22"/>
              <w:szCs w:val="22"/>
            </w:rPr>
            <w:t xml:space="preserve">9.4 </w:t>
          </w:r>
          <w:r>
            <w:rPr>
              <w:rStyle w:val="46"/>
              <w:rFonts w:ascii="Times New Roman" w:hAnsi="Times New Roman" w:eastAsia="仿宋_GB2312;仿宋" w:cs="Times New Roman"/>
              <w:sz w:val="22"/>
              <w:szCs w:val="22"/>
            </w:rPr>
            <w:t>现场工艺试验</w:t>
          </w:r>
          <w:r>
            <w:rPr>
              <w:rStyle w:val="46"/>
              <w:rFonts w:eastAsia="仿宋_GB2312;仿宋" w:cs="Times New Roman"/>
              <w:sz w:val="22"/>
              <w:szCs w:val="22"/>
            </w:rPr>
            <w:tab/>
          </w:r>
          <w:r>
            <w:rPr>
              <w:rStyle w:val="46"/>
              <w:rFonts w:eastAsia="仿宋_GB2312;仿宋" w:cs="Times New Roman"/>
              <w:sz w:val="22"/>
              <w:szCs w:val="22"/>
            </w:rPr>
            <w:t>87</w:t>
          </w:r>
          <w:r>
            <w:rPr>
              <w:rStyle w:val="46"/>
              <w:rFonts w:eastAsia="仿宋_GB2312;仿宋" w:cs="Times New Roman"/>
              <w:sz w:val="22"/>
              <w:szCs w:val="22"/>
            </w:rPr>
            <w:fldChar w:fldCharType="end"/>
          </w:r>
        </w:p>
        <w:p w14:paraId="088CDAB8">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"__RefHeading___Toc351203567" \h </w:instrText>
          </w:r>
          <w:r>
            <w:fldChar w:fldCharType="separate"/>
          </w:r>
          <w:r>
            <w:rPr>
              <w:rStyle w:val="46"/>
              <w:rFonts w:eastAsia="仿宋_GB2312;仿宋" w:cs="Times New Roman"/>
              <w:sz w:val="22"/>
              <w:szCs w:val="22"/>
            </w:rPr>
            <w:t xml:space="preserve">10. </w:t>
          </w:r>
          <w:r>
            <w:rPr>
              <w:rStyle w:val="46"/>
              <w:rFonts w:ascii="Times New Roman" w:hAnsi="Times New Roman" w:eastAsia="仿宋_GB2312;仿宋" w:cs="Times New Roman"/>
              <w:sz w:val="22"/>
              <w:szCs w:val="22"/>
            </w:rPr>
            <w:t>变更</w:t>
          </w:r>
          <w:r>
            <w:rPr>
              <w:rStyle w:val="46"/>
              <w:rFonts w:eastAsia="仿宋_GB2312;仿宋" w:cs="Times New Roman"/>
              <w:sz w:val="22"/>
              <w:szCs w:val="22"/>
            </w:rPr>
            <w:tab/>
          </w:r>
          <w:r>
            <w:rPr>
              <w:rStyle w:val="46"/>
              <w:rFonts w:eastAsia="仿宋_GB2312;仿宋" w:cs="Times New Roman"/>
              <w:sz w:val="22"/>
              <w:szCs w:val="22"/>
            </w:rPr>
            <w:t>87</w:t>
          </w:r>
          <w:r>
            <w:rPr>
              <w:rStyle w:val="46"/>
              <w:rFonts w:eastAsia="仿宋_GB2312;仿宋" w:cs="Times New Roman"/>
              <w:sz w:val="22"/>
              <w:szCs w:val="22"/>
            </w:rPr>
            <w:fldChar w:fldCharType="end"/>
          </w:r>
        </w:p>
        <w:p w14:paraId="5B74E51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"__RefHeading___Toc351203568" \h </w:instrText>
          </w:r>
          <w:r>
            <w:fldChar w:fldCharType="separate"/>
          </w:r>
          <w:r>
            <w:rPr>
              <w:rStyle w:val="46"/>
              <w:rFonts w:eastAsia="仿宋_GB2312;仿宋" w:cs="Times New Roman"/>
              <w:sz w:val="22"/>
              <w:szCs w:val="22"/>
            </w:rPr>
            <w:t>10.1</w:t>
          </w:r>
          <w:r>
            <w:rPr>
              <w:rStyle w:val="46"/>
              <w:rFonts w:ascii="Times New Roman" w:hAnsi="Times New Roman" w:eastAsia="仿宋_GB2312;仿宋" w:cs="Times New Roman"/>
              <w:sz w:val="22"/>
              <w:szCs w:val="22"/>
            </w:rPr>
            <w:t>变更的范围</w:t>
          </w:r>
          <w:r>
            <w:rPr>
              <w:rStyle w:val="46"/>
              <w:rFonts w:eastAsia="仿宋_GB2312;仿宋" w:cs="Times New Roman"/>
              <w:sz w:val="22"/>
              <w:szCs w:val="22"/>
            </w:rPr>
            <w:tab/>
          </w:r>
          <w:r>
            <w:rPr>
              <w:rStyle w:val="46"/>
              <w:rFonts w:eastAsia="仿宋_GB2312;仿宋" w:cs="Times New Roman"/>
              <w:sz w:val="22"/>
              <w:szCs w:val="22"/>
            </w:rPr>
            <w:t>87</w:t>
          </w:r>
          <w:r>
            <w:rPr>
              <w:rStyle w:val="46"/>
              <w:rFonts w:eastAsia="仿宋_GB2312;仿宋" w:cs="Times New Roman"/>
              <w:sz w:val="22"/>
              <w:szCs w:val="22"/>
            </w:rPr>
            <w:fldChar w:fldCharType="end"/>
          </w:r>
        </w:p>
        <w:p w14:paraId="7C88B78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"__RefHeading___Toc351203569" \h </w:instrText>
          </w:r>
          <w:r>
            <w:fldChar w:fldCharType="separate"/>
          </w:r>
          <w:r>
            <w:rPr>
              <w:rStyle w:val="46"/>
              <w:rFonts w:eastAsia="仿宋_GB2312;仿宋" w:cs="Times New Roman"/>
              <w:sz w:val="22"/>
              <w:szCs w:val="22"/>
            </w:rPr>
            <w:t xml:space="preserve">10.2 </w:t>
          </w:r>
          <w:r>
            <w:rPr>
              <w:rStyle w:val="46"/>
              <w:rFonts w:ascii="Times New Roman" w:hAnsi="Times New Roman" w:eastAsia="仿宋_GB2312;仿宋" w:cs="Times New Roman"/>
              <w:sz w:val="22"/>
              <w:szCs w:val="22"/>
            </w:rPr>
            <w:t>变更权</w:t>
          </w:r>
          <w:r>
            <w:rPr>
              <w:rStyle w:val="46"/>
              <w:rFonts w:eastAsia="仿宋_GB2312;仿宋" w:cs="Times New Roman"/>
              <w:sz w:val="22"/>
              <w:szCs w:val="22"/>
            </w:rPr>
            <w:tab/>
          </w:r>
          <w:r>
            <w:rPr>
              <w:rStyle w:val="46"/>
              <w:rFonts w:eastAsia="仿宋_GB2312;仿宋" w:cs="Times New Roman"/>
              <w:sz w:val="22"/>
              <w:szCs w:val="22"/>
            </w:rPr>
            <w:t>88</w:t>
          </w:r>
          <w:r>
            <w:rPr>
              <w:rStyle w:val="46"/>
              <w:rFonts w:eastAsia="仿宋_GB2312;仿宋" w:cs="Times New Roman"/>
              <w:sz w:val="22"/>
              <w:szCs w:val="22"/>
            </w:rPr>
            <w:fldChar w:fldCharType="end"/>
          </w:r>
        </w:p>
        <w:p w14:paraId="6BD7803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"__RefHeading___Toc351203570" \h </w:instrText>
          </w:r>
          <w:r>
            <w:fldChar w:fldCharType="separate"/>
          </w:r>
          <w:r>
            <w:rPr>
              <w:rStyle w:val="46"/>
              <w:rFonts w:eastAsia="仿宋_GB2312;仿宋" w:cs="Times New Roman"/>
              <w:sz w:val="22"/>
              <w:szCs w:val="22"/>
            </w:rPr>
            <w:t>10.3</w:t>
          </w:r>
          <w:r>
            <w:rPr>
              <w:rStyle w:val="46"/>
              <w:rFonts w:ascii="Times New Roman" w:hAnsi="Times New Roman" w:eastAsia="仿宋_GB2312;仿宋" w:cs="Times New Roman"/>
              <w:sz w:val="22"/>
              <w:szCs w:val="22"/>
            </w:rPr>
            <w:t>变更程序</w:t>
          </w:r>
          <w:r>
            <w:rPr>
              <w:rStyle w:val="46"/>
              <w:rFonts w:eastAsia="仿宋_GB2312;仿宋" w:cs="Times New Roman"/>
              <w:sz w:val="22"/>
              <w:szCs w:val="22"/>
            </w:rPr>
            <w:tab/>
          </w:r>
          <w:r>
            <w:rPr>
              <w:rStyle w:val="46"/>
              <w:rFonts w:eastAsia="仿宋_GB2312;仿宋" w:cs="Times New Roman"/>
              <w:sz w:val="22"/>
              <w:szCs w:val="22"/>
            </w:rPr>
            <w:t>88</w:t>
          </w:r>
          <w:r>
            <w:rPr>
              <w:rStyle w:val="46"/>
              <w:rFonts w:eastAsia="仿宋_GB2312;仿宋" w:cs="Times New Roman"/>
              <w:sz w:val="22"/>
              <w:szCs w:val="22"/>
            </w:rPr>
            <w:fldChar w:fldCharType="end"/>
          </w:r>
        </w:p>
        <w:p w14:paraId="3E35B28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"__RefHeading___Toc351203571" \h </w:instrText>
          </w:r>
          <w:r>
            <w:fldChar w:fldCharType="separate"/>
          </w:r>
          <w:r>
            <w:rPr>
              <w:rStyle w:val="46"/>
              <w:rFonts w:eastAsia="仿宋_GB2312;仿宋" w:cs="Times New Roman"/>
              <w:sz w:val="22"/>
              <w:szCs w:val="22"/>
            </w:rPr>
            <w:t>10.4</w:t>
          </w:r>
          <w:r>
            <w:rPr>
              <w:rStyle w:val="46"/>
              <w:rFonts w:ascii="Times New Roman" w:hAnsi="Times New Roman" w:eastAsia="仿宋_GB2312;仿宋" w:cs="Times New Roman"/>
              <w:sz w:val="22"/>
              <w:szCs w:val="22"/>
            </w:rPr>
            <w:t>变更估价</w:t>
          </w:r>
          <w:r>
            <w:rPr>
              <w:rStyle w:val="46"/>
              <w:rFonts w:eastAsia="仿宋_GB2312;仿宋" w:cs="Times New Roman"/>
              <w:sz w:val="22"/>
              <w:szCs w:val="22"/>
            </w:rPr>
            <w:tab/>
          </w:r>
          <w:r>
            <w:rPr>
              <w:rStyle w:val="46"/>
              <w:rFonts w:eastAsia="仿宋_GB2312;仿宋" w:cs="Times New Roman"/>
              <w:sz w:val="22"/>
              <w:szCs w:val="22"/>
            </w:rPr>
            <w:t>88</w:t>
          </w:r>
          <w:r>
            <w:rPr>
              <w:rStyle w:val="46"/>
              <w:rFonts w:eastAsia="仿宋_GB2312;仿宋" w:cs="Times New Roman"/>
              <w:sz w:val="22"/>
              <w:szCs w:val="22"/>
            </w:rPr>
            <w:fldChar w:fldCharType="end"/>
          </w:r>
        </w:p>
        <w:p w14:paraId="19FF4FE4">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"__RefHeading___Toc351203572" \h </w:instrText>
          </w:r>
          <w:r>
            <w:fldChar w:fldCharType="separate"/>
          </w:r>
          <w:r>
            <w:rPr>
              <w:rStyle w:val="46"/>
              <w:rFonts w:eastAsia="仿宋_GB2312;仿宋" w:cs="Times New Roman"/>
              <w:sz w:val="22"/>
              <w:szCs w:val="22"/>
            </w:rPr>
            <w:t xml:space="preserve">10.5 </w:t>
          </w:r>
          <w:r>
            <w:rPr>
              <w:rStyle w:val="46"/>
              <w:rFonts w:ascii="Times New Roman" w:hAnsi="Times New Roman" w:eastAsia="仿宋_GB2312;仿宋" w:cs="Times New Roman"/>
              <w:sz w:val="22"/>
              <w:szCs w:val="22"/>
            </w:rPr>
            <w:t>承包人的合理化建议</w:t>
          </w:r>
          <w:r>
            <w:rPr>
              <w:rStyle w:val="46"/>
              <w:rFonts w:eastAsia="仿宋_GB2312;仿宋" w:cs="Times New Roman"/>
              <w:sz w:val="22"/>
              <w:szCs w:val="22"/>
            </w:rPr>
            <w:tab/>
          </w:r>
          <w:r>
            <w:rPr>
              <w:rStyle w:val="46"/>
              <w:rFonts w:eastAsia="仿宋_GB2312;仿宋" w:cs="Times New Roman"/>
              <w:sz w:val="22"/>
              <w:szCs w:val="22"/>
            </w:rPr>
            <w:t>89</w:t>
          </w:r>
          <w:r>
            <w:rPr>
              <w:rStyle w:val="46"/>
              <w:rFonts w:eastAsia="仿宋_GB2312;仿宋" w:cs="Times New Roman"/>
              <w:sz w:val="22"/>
              <w:szCs w:val="22"/>
            </w:rPr>
            <w:fldChar w:fldCharType="end"/>
          </w:r>
        </w:p>
        <w:p w14:paraId="637EC85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"__RefHeading___Toc351203573" \h </w:instrText>
          </w:r>
          <w:r>
            <w:fldChar w:fldCharType="separate"/>
          </w:r>
          <w:r>
            <w:rPr>
              <w:rStyle w:val="46"/>
              <w:rFonts w:eastAsia="仿宋_GB2312;仿宋" w:cs="Times New Roman"/>
              <w:sz w:val="22"/>
              <w:szCs w:val="22"/>
            </w:rPr>
            <w:t xml:space="preserve">10.6 </w:t>
          </w:r>
          <w:r>
            <w:rPr>
              <w:rStyle w:val="46"/>
              <w:rFonts w:ascii="Times New Roman" w:hAnsi="Times New Roman" w:eastAsia="仿宋_GB2312;仿宋" w:cs="Times New Roman"/>
              <w:sz w:val="22"/>
              <w:szCs w:val="22"/>
            </w:rPr>
            <w:t>变更引起的工期调整</w:t>
          </w:r>
          <w:r>
            <w:rPr>
              <w:rStyle w:val="46"/>
              <w:rFonts w:eastAsia="仿宋_GB2312;仿宋" w:cs="Times New Roman"/>
              <w:sz w:val="22"/>
              <w:szCs w:val="22"/>
            </w:rPr>
            <w:tab/>
          </w:r>
          <w:r>
            <w:rPr>
              <w:rStyle w:val="46"/>
              <w:rFonts w:eastAsia="仿宋_GB2312;仿宋" w:cs="Times New Roman"/>
              <w:sz w:val="22"/>
              <w:szCs w:val="22"/>
            </w:rPr>
            <w:t>89</w:t>
          </w:r>
          <w:r>
            <w:rPr>
              <w:rStyle w:val="46"/>
              <w:rFonts w:eastAsia="仿宋_GB2312;仿宋" w:cs="Times New Roman"/>
              <w:sz w:val="22"/>
              <w:szCs w:val="22"/>
            </w:rPr>
            <w:fldChar w:fldCharType="end"/>
          </w:r>
        </w:p>
        <w:p w14:paraId="13916EF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"__RefHeading___Toc351203574" \h </w:instrText>
          </w:r>
          <w:r>
            <w:fldChar w:fldCharType="separate"/>
          </w:r>
          <w:r>
            <w:rPr>
              <w:rStyle w:val="46"/>
              <w:rFonts w:eastAsia="仿宋_GB2312;仿宋" w:cs="Times New Roman"/>
              <w:sz w:val="22"/>
              <w:szCs w:val="22"/>
            </w:rPr>
            <w:t xml:space="preserve">10.7 </w:t>
          </w:r>
          <w:r>
            <w:rPr>
              <w:rStyle w:val="46"/>
              <w:rFonts w:ascii="Times New Roman" w:hAnsi="Times New Roman" w:eastAsia="仿宋_GB2312;仿宋" w:cs="Times New Roman"/>
              <w:sz w:val="22"/>
              <w:szCs w:val="22"/>
            </w:rPr>
            <w:t>暂估价</w:t>
          </w:r>
          <w:r>
            <w:rPr>
              <w:rStyle w:val="46"/>
              <w:rFonts w:eastAsia="仿宋_GB2312;仿宋" w:cs="Times New Roman"/>
              <w:sz w:val="22"/>
              <w:szCs w:val="22"/>
            </w:rPr>
            <w:tab/>
          </w:r>
          <w:r>
            <w:rPr>
              <w:rStyle w:val="46"/>
              <w:rFonts w:eastAsia="仿宋_GB2312;仿宋" w:cs="Times New Roman"/>
              <w:sz w:val="22"/>
              <w:szCs w:val="22"/>
            </w:rPr>
            <w:t>89</w:t>
          </w:r>
          <w:r>
            <w:rPr>
              <w:rStyle w:val="46"/>
              <w:rFonts w:eastAsia="仿宋_GB2312;仿宋" w:cs="Times New Roman"/>
              <w:sz w:val="22"/>
              <w:szCs w:val="22"/>
            </w:rPr>
            <w:fldChar w:fldCharType="end"/>
          </w:r>
        </w:p>
        <w:p w14:paraId="2DAFB12E">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"__RefHeading___Toc351203575" \h </w:instrText>
          </w:r>
          <w:r>
            <w:fldChar w:fldCharType="separate"/>
          </w:r>
          <w:r>
            <w:rPr>
              <w:rStyle w:val="46"/>
              <w:rFonts w:eastAsia="仿宋_GB2312;仿宋" w:cs="Times New Roman"/>
              <w:sz w:val="22"/>
              <w:szCs w:val="22"/>
            </w:rPr>
            <w:t xml:space="preserve">10.8 </w:t>
          </w:r>
          <w:r>
            <w:rPr>
              <w:rStyle w:val="46"/>
              <w:rFonts w:ascii="Times New Roman" w:hAnsi="Times New Roman" w:eastAsia="仿宋_GB2312;仿宋" w:cs="Times New Roman"/>
              <w:sz w:val="22"/>
              <w:szCs w:val="22"/>
            </w:rPr>
            <w:t>暂列金额</w:t>
          </w:r>
          <w:r>
            <w:rPr>
              <w:rStyle w:val="46"/>
              <w:rFonts w:eastAsia="仿宋_GB2312;仿宋" w:cs="Times New Roman"/>
              <w:sz w:val="22"/>
              <w:szCs w:val="22"/>
            </w:rPr>
            <w:tab/>
          </w:r>
          <w:r>
            <w:rPr>
              <w:rStyle w:val="46"/>
              <w:rFonts w:eastAsia="仿宋_GB2312;仿宋" w:cs="Times New Roman"/>
              <w:sz w:val="22"/>
              <w:szCs w:val="22"/>
            </w:rPr>
            <w:t>91</w:t>
          </w:r>
          <w:r>
            <w:rPr>
              <w:rStyle w:val="46"/>
              <w:rFonts w:eastAsia="仿宋_GB2312;仿宋" w:cs="Times New Roman"/>
              <w:sz w:val="22"/>
              <w:szCs w:val="22"/>
            </w:rPr>
            <w:fldChar w:fldCharType="end"/>
          </w:r>
        </w:p>
        <w:p w14:paraId="72C652D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"__RefHeading___Toc351203576" \h </w:instrText>
          </w:r>
          <w:r>
            <w:fldChar w:fldCharType="separate"/>
          </w:r>
          <w:r>
            <w:rPr>
              <w:rStyle w:val="46"/>
              <w:rFonts w:eastAsia="仿宋_GB2312;仿宋" w:cs="Times New Roman"/>
              <w:sz w:val="22"/>
              <w:szCs w:val="22"/>
            </w:rPr>
            <w:t xml:space="preserve">10.9 </w:t>
          </w:r>
          <w:r>
            <w:rPr>
              <w:rStyle w:val="46"/>
              <w:rFonts w:ascii="Times New Roman" w:hAnsi="Times New Roman" w:eastAsia="仿宋_GB2312;仿宋" w:cs="Times New Roman"/>
              <w:sz w:val="22"/>
              <w:szCs w:val="22"/>
            </w:rPr>
            <w:t>计日工</w:t>
          </w:r>
          <w:r>
            <w:rPr>
              <w:rStyle w:val="46"/>
              <w:rFonts w:eastAsia="仿宋_GB2312;仿宋" w:cs="Times New Roman"/>
              <w:sz w:val="22"/>
              <w:szCs w:val="22"/>
            </w:rPr>
            <w:tab/>
          </w:r>
          <w:r>
            <w:rPr>
              <w:rStyle w:val="46"/>
              <w:rFonts w:eastAsia="仿宋_GB2312;仿宋" w:cs="Times New Roman"/>
              <w:sz w:val="22"/>
              <w:szCs w:val="22"/>
            </w:rPr>
            <w:t>91</w:t>
          </w:r>
          <w:r>
            <w:rPr>
              <w:rStyle w:val="46"/>
              <w:rFonts w:eastAsia="仿宋_GB2312;仿宋" w:cs="Times New Roman"/>
              <w:sz w:val="22"/>
              <w:szCs w:val="22"/>
            </w:rPr>
            <w:fldChar w:fldCharType="end"/>
          </w:r>
        </w:p>
        <w:p w14:paraId="5671B333">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"__RefHeading___Toc351203577" \h </w:instrText>
          </w:r>
          <w:r>
            <w:fldChar w:fldCharType="separate"/>
          </w:r>
          <w:r>
            <w:rPr>
              <w:rStyle w:val="46"/>
              <w:rFonts w:eastAsia="仿宋_GB2312;仿宋" w:cs="Times New Roman"/>
              <w:sz w:val="22"/>
              <w:szCs w:val="22"/>
            </w:rPr>
            <w:t xml:space="preserve">11. </w:t>
          </w:r>
          <w:r>
            <w:rPr>
              <w:rStyle w:val="46"/>
              <w:rFonts w:ascii="Times New Roman" w:hAnsi="Times New Roman" w:eastAsia="仿宋_GB2312;仿宋" w:cs="Times New Roman"/>
              <w:sz w:val="22"/>
              <w:szCs w:val="22"/>
            </w:rPr>
            <w:t>价格调整</w:t>
          </w:r>
          <w:r>
            <w:rPr>
              <w:rStyle w:val="46"/>
              <w:rFonts w:eastAsia="仿宋_GB2312;仿宋" w:cs="Times New Roman"/>
              <w:sz w:val="22"/>
              <w:szCs w:val="22"/>
            </w:rPr>
            <w:tab/>
          </w:r>
          <w:r>
            <w:rPr>
              <w:rStyle w:val="46"/>
              <w:rFonts w:eastAsia="仿宋_GB2312;仿宋" w:cs="Times New Roman"/>
              <w:sz w:val="22"/>
              <w:szCs w:val="22"/>
            </w:rPr>
            <w:t>91</w:t>
          </w:r>
          <w:r>
            <w:rPr>
              <w:rStyle w:val="46"/>
              <w:rFonts w:eastAsia="仿宋_GB2312;仿宋" w:cs="Times New Roman"/>
              <w:sz w:val="22"/>
              <w:szCs w:val="22"/>
            </w:rPr>
            <w:fldChar w:fldCharType="end"/>
          </w:r>
        </w:p>
        <w:p w14:paraId="29FBB04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"__RefHeading___Toc351203578" \h </w:instrText>
          </w:r>
          <w:r>
            <w:fldChar w:fldCharType="separate"/>
          </w:r>
          <w:r>
            <w:rPr>
              <w:rStyle w:val="46"/>
              <w:rFonts w:eastAsia="仿宋_GB2312;仿宋" w:cs="Times New Roman"/>
              <w:sz w:val="22"/>
              <w:szCs w:val="22"/>
            </w:rPr>
            <w:t xml:space="preserve">11.1 </w:t>
          </w:r>
          <w:r>
            <w:rPr>
              <w:rStyle w:val="46"/>
              <w:rFonts w:ascii="Times New Roman" w:hAnsi="Times New Roman" w:eastAsia="仿宋_GB2312;仿宋" w:cs="Times New Roman"/>
              <w:sz w:val="22"/>
              <w:szCs w:val="22"/>
            </w:rPr>
            <w:t>市场价格波动引起的调整</w:t>
          </w:r>
          <w:r>
            <w:rPr>
              <w:rStyle w:val="46"/>
              <w:rFonts w:eastAsia="仿宋_GB2312;仿宋" w:cs="Times New Roman"/>
              <w:sz w:val="22"/>
              <w:szCs w:val="22"/>
            </w:rPr>
            <w:tab/>
          </w:r>
          <w:r>
            <w:rPr>
              <w:rStyle w:val="46"/>
              <w:rFonts w:eastAsia="仿宋_GB2312;仿宋" w:cs="Times New Roman"/>
              <w:sz w:val="22"/>
              <w:szCs w:val="22"/>
            </w:rPr>
            <w:t>91</w:t>
          </w:r>
          <w:r>
            <w:rPr>
              <w:rStyle w:val="46"/>
              <w:rFonts w:eastAsia="仿宋_GB2312;仿宋" w:cs="Times New Roman"/>
              <w:sz w:val="22"/>
              <w:szCs w:val="22"/>
            </w:rPr>
            <w:fldChar w:fldCharType="end"/>
          </w:r>
        </w:p>
        <w:p w14:paraId="128B404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"__RefHeading___Toc351203579" \h </w:instrText>
          </w:r>
          <w:r>
            <w:fldChar w:fldCharType="separate"/>
          </w:r>
          <w:r>
            <w:rPr>
              <w:rStyle w:val="46"/>
              <w:rFonts w:eastAsia="仿宋_GB2312;仿宋" w:cs="Times New Roman"/>
              <w:sz w:val="22"/>
              <w:szCs w:val="22"/>
            </w:rPr>
            <w:t xml:space="preserve">11.2 </w:t>
          </w:r>
          <w:r>
            <w:rPr>
              <w:rStyle w:val="46"/>
              <w:rFonts w:ascii="Times New Roman" w:hAnsi="Times New Roman" w:eastAsia="仿宋_GB2312;仿宋" w:cs="Times New Roman"/>
              <w:sz w:val="22"/>
              <w:szCs w:val="22"/>
            </w:rPr>
            <w:t>法律变化引起的调整</w:t>
          </w:r>
          <w:r>
            <w:rPr>
              <w:rStyle w:val="46"/>
              <w:rFonts w:eastAsia="仿宋_GB2312;仿宋" w:cs="Times New Roman"/>
              <w:sz w:val="22"/>
              <w:szCs w:val="22"/>
            </w:rPr>
            <w:tab/>
          </w:r>
          <w:r>
            <w:rPr>
              <w:rStyle w:val="46"/>
              <w:rFonts w:eastAsia="仿宋_GB2312;仿宋" w:cs="Times New Roman"/>
              <w:sz w:val="22"/>
              <w:szCs w:val="22"/>
            </w:rPr>
            <w:t>94</w:t>
          </w:r>
          <w:r>
            <w:rPr>
              <w:rStyle w:val="46"/>
              <w:rFonts w:eastAsia="仿宋_GB2312;仿宋" w:cs="Times New Roman"/>
              <w:sz w:val="22"/>
              <w:szCs w:val="22"/>
            </w:rPr>
            <w:fldChar w:fldCharType="end"/>
          </w:r>
        </w:p>
        <w:p w14:paraId="5E205EFC">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"__RefHeading___Toc351203580" \h </w:instrText>
          </w:r>
          <w:r>
            <w:fldChar w:fldCharType="separate"/>
          </w:r>
          <w:r>
            <w:rPr>
              <w:rStyle w:val="46"/>
              <w:rFonts w:eastAsia="仿宋_GB2312;仿宋" w:cs="Times New Roman"/>
              <w:sz w:val="22"/>
              <w:szCs w:val="22"/>
            </w:rPr>
            <w:t xml:space="preserve">12. </w:t>
          </w:r>
          <w:r>
            <w:rPr>
              <w:rStyle w:val="46"/>
              <w:rFonts w:ascii="Times New Roman" w:hAnsi="Times New Roman" w:eastAsia="仿宋_GB2312;仿宋" w:cs="Times New Roman"/>
              <w:sz w:val="22"/>
              <w:szCs w:val="22"/>
            </w:rPr>
            <w:t>合同价格、计量与支付</w:t>
          </w:r>
          <w:r>
            <w:rPr>
              <w:rStyle w:val="46"/>
              <w:rFonts w:eastAsia="仿宋_GB2312;仿宋" w:cs="Times New Roman"/>
              <w:sz w:val="22"/>
              <w:szCs w:val="22"/>
            </w:rPr>
            <w:tab/>
          </w:r>
          <w:r>
            <w:rPr>
              <w:rStyle w:val="46"/>
              <w:rFonts w:eastAsia="仿宋_GB2312;仿宋" w:cs="Times New Roman"/>
              <w:sz w:val="22"/>
              <w:szCs w:val="22"/>
            </w:rPr>
            <w:t>94</w:t>
          </w:r>
          <w:r>
            <w:rPr>
              <w:rStyle w:val="46"/>
              <w:rFonts w:eastAsia="仿宋_GB2312;仿宋" w:cs="Times New Roman"/>
              <w:sz w:val="22"/>
              <w:szCs w:val="22"/>
            </w:rPr>
            <w:fldChar w:fldCharType="end"/>
          </w:r>
        </w:p>
        <w:p w14:paraId="0186DC3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"__RefHeading___Toc351203581" \h </w:instrText>
          </w:r>
          <w:r>
            <w:fldChar w:fldCharType="separate"/>
          </w:r>
          <w:r>
            <w:rPr>
              <w:rStyle w:val="46"/>
              <w:rFonts w:eastAsia="仿宋_GB2312;仿宋" w:cs="Times New Roman"/>
              <w:sz w:val="22"/>
              <w:szCs w:val="22"/>
            </w:rPr>
            <w:t xml:space="preserve">12.1 </w:t>
          </w:r>
          <w:r>
            <w:rPr>
              <w:rStyle w:val="46"/>
              <w:rFonts w:ascii="Times New Roman" w:hAnsi="Times New Roman" w:eastAsia="仿宋_GB2312;仿宋" w:cs="Times New Roman"/>
              <w:sz w:val="22"/>
              <w:szCs w:val="22"/>
            </w:rPr>
            <w:t>合同价格形式</w:t>
          </w:r>
          <w:r>
            <w:rPr>
              <w:rStyle w:val="46"/>
              <w:rFonts w:eastAsia="仿宋_GB2312;仿宋" w:cs="Times New Roman"/>
              <w:sz w:val="22"/>
              <w:szCs w:val="22"/>
            </w:rPr>
            <w:tab/>
          </w:r>
          <w:r>
            <w:rPr>
              <w:rStyle w:val="46"/>
              <w:rFonts w:eastAsia="仿宋_GB2312;仿宋" w:cs="Times New Roman"/>
              <w:sz w:val="22"/>
              <w:szCs w:val="22"/>
            </w:rPr>
            <w:t>94</w:t>
          </w:r>
          <w:r>
            <w:rPr>
              <w:rStyle w:val="46"/>
              <w:rFonts w:eastAsia="仿宋_GB2312;仿宋" w:cs="Times New Roman"/>
              <w:sz w:val="22"/>
              <w:szCs w:val="22"/>
            </w:rPr>
            <w:fldChar w:fldCharType="end"/>
          </w:r>
        </w:p>
        <w:p w14:paraId="49530C1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"__RefHeading___Toc351203582" \h </w:instrText>
          </w:r>
          <w:r>
            <w:fldChar w:fldCharType="separate"/>
          </w:r>
          <w:r>
            <w:rPr>
              <w:rStyle w:val="46"/>
              <w:rFonts w:eastAsia="仿宋_GB2312;仿宋" w:cs="Times New Roman"/>
              <w:sz w:val="22"/>
              <w:szCs w:val="22"/>
            </w:rPr>
            <w:t xml:space="preserve">12.2 </w:t>
          </w:r>
          <w:r>
            <w:rPr>
              <w:rStyle w:val="46"/>
              <w:rFonts w:ascii="Times New Roman" w:hAnsi="Times New Roman" w:eastAsia="仿宋_GB2312;仿宋" w:cs="Times New Roman"/>
              <w:sz w:val="22"/>
              <w:szCs w:val="22"/>
            </w:rPr>
            <w:t>预付款</w:t>
          </w:r>
          <w:r>
            <w:rPr>
              <w:rStyle w:val="46"/>
              <w:rFonts w:eastAsia="仿宋_GB2312;仿宋" w:cs="Times New Roman"/>
              <w:sz w:val="22"/>
              <w:szCs w:val="22"/>
            </w:rPr>
            <w:tab/>
          </w:r>
          <w:r>
            <w:rPr>
              <w:rStyle w:val="46"/>
              <w:rFonts w:eastAsia="仿宋_GB2312;仿宋" w:cs="Times New Roman"/>
              <w:sz w:val="22"/>
              <w:szCs w:val="22"/>
            </w:rPr>
            <w:t>95</w:t>
          </w:r>
          <w:r>
            <w:rPr>
              <w:rStyle w:val="46"/>
              <w:rFonts w:eastAsia="仿宋_GB2312;仿宋" w:cs="Times New Roman"/>
              <w:sz w:val="22"/>
              <w:szCs w:val="22"/>
            </w:rPr>
            <w:fldChar w:fldCharType="end"/>
          </w:r>
        </w:p>
        <w:p w14:paraId="7E34695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"__RefHeading___Toc351203583" \h </w:instrText>
          </w:r>
          <w:r>
            <w:fldChar w:fldCharType="separate"/>
          </w:r>
          <w:r>
            <w:rPr>
              <w:rStyle w:val="46"/>
              <w:rFonts w:eastAsia="仿宋_GB2312;仿宋" w:cs="Times New Roman"/>
              <w:sz w:val="22"/>
              <w:szCs w:val="22"/>
            </w:rPr>
            <w:t xml:space="preserve">12.3 </w:t>
          </w:r>
          <w:r>
            <w:rPr>
              <w:rStyle w:val="46"/>
              <w:rFonts w:ascii="Times New Roman" w:hAnsi="Times New Roman" w:eastAsia="仿宋_GB2312;仿宋" w:cs="Times New Roman"/>
              <w:sz w:val="22"/>
              <w:szCs w:val="22"/>
            </w:rPr>
            <w:t>计量</w:t>
          </w:r>
          <w:r>
            <w:rPr>
              <w:rStyle w:val="46"/>
              <w:rFonts w:eastAsia="仿宋_GB2312;仿宋" w:cs="Times New Roman"/>
              <w:sz w:val="22"/>
              <w:szCs w:val="22"/>
            </w:rPr>
            <w:tab/>
          </w:r>
          <w:r>
            <w:rPr>
              <w:rStyle w:val="46"/>
              <w:rFonts w:eastAsia="仿宋_GB2312;仿宋" w:cs="Times New Roman"/>
              <w:sz w:val="22"/>
              <w:szCs w:val="22"/>
            </w:rPr>
            <w:t>70</w:t>
          </w:r>
          <w:r>
            <w:rPr>
              <w:rStyle w:val="46"/>
              <w:rFonts w:eastAsia="仿宋_GB2312;仿宋" w:cs="Times New Roman"/>
              <w:sz w:val="22"/>
              <w:szCs w:val="22"/>
            </w:rPr>
            <w:fldChar w:fldCharType="end"/>
          </w:r>
        </w:p>
        <w:p w14:paraId="4131376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"__RefHeading___Toc351203584" \h </w:instrText>
          </w:r>
          <w:r>
            <w:fldChar w:fldCharType="separate"/>
          </w:r>
          <w:r>
            <w:rPr>
              <w:rStyle w:val="46"/>
              <w:rFonts w:eastAsia="仿宋_GB2312;仿宋" w:cs="Times New Roman"/>
              <w:sz w:val="22"/>
              <w:szCs w:val="22"/>
            </w:rPr>
            <w:t xml:space="preserve">12.4 </w:t>
          </w:r>
          <w:r>
            <w:rPr>
              <w:rStyle w:val="46"/>
              <w:rFonts w:ascii="Times New Roman" w:hAnsi="Times New Roman" w:eastAsia="仿宋_GB2312;仿宋" w:cs="Times New Roman"/>
              <w:sz w:val="22"/>
              <w:szCs w:val="22"/>
            </w:rPr>
            <w:t>工程进度款支付</w:t>
          </w:r>
          <w:r>
            <w:rPr>
              <w:rStyle w:val="46"/>
              <w:rFonts w:eastAsia="仿宋_GB2312;仿宋" w:cs="Times New Roman"/>
              <w:sz w:val="22"/>
              <w:szCs w:val="22"/>
            </w:rPr>
            <w:tab/>
          </w:r>
          <w:r>
            <w:rPr>
              <w:rStyle w:val="46"/>
              <w:rFonts w:eastAsia="仿宋_GB2312;仿宋" w:cs="Times New Roman"/>
              <w:sz w:val="22"/>
              <w:szCs w:val="22"/>
            </w:rPr>
            <w:t>96</w:t>
          </w:r>
          <w:r>
            <w:rPr>
              <w:rStyle w:val="46"/>
              <w:rFonts w:eastAsia="仿宋_GB2312;仿宋" w:cs="Times New Roman"/>
              <w:sz w:val="22"/>
              <w:szCs w:val="22"/>
            </w:rPr>
            <w:fldChar w:fldCharType="end"/>
          </w:r>
        </w:p>
        <w:p w14:paraId="6E2F368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"__RefHeading___Toc351203585" \h </w:instrText>
          </w:r>
          <w:r>
            <w:fldChar w:fldCharType="separate"/>
          </w:r>
          <w:r>
            <w:rPr>
              <w:rStyle w:val="46"/>
              <w:rFonts w:eastAsia="仿宋_GB2312;仿宋" w:cs="Times New Roman"/>
              <w:sz w:val="22"/>
              <w:szCs w:val="22"/>
            </w:rPr>
            <w:t xml:space="preserve">12.5 </w:t>
          </w:r>
          <w:r>
            <w:rPr>
              <w:rStyle w:val="46"/>
              <w:rFonts w:ascii="Times New Roman" w:hAnsi="Times New Roman" w:eastAsia="仿宋_GB2312;仿宋" w:cs="Times New Roman"/>
              <w:sz w:val="22"/>
              <w:szCs w:val="22"/>
            </w:rPr>
            <w:t>支付账户</w:t>
          </w:r>
          <w:r>
            <w:rPr>
              <w:rStyle w:val="46"/>
              <w:rFonts w:eastAsia="仿宋_GB2312;仿宋" w:cs="Times New Roman"/>
              <w:sz w:val="22"/>
              <w:szCs w:val="22"/>
            </w:rPr>
            <w:tab/>
          </w:r>
          <w:r>
            <w:rPr>
              <w:rStyle w:val="46"/>
              <w:rFonts w:eastAsia="仿宋_GB2312;仿宋" w:cs="Times New Roman"/>
              <w:sz w:val="22"/>
              <w:szCs w:val="22"/>
            </w:rPr>
            <w:t>99</w:t>
          </w:r>
          <w:r>
            <w:rPr>
              <w:rStyle w:val="46"/>
              <w:rFonts w:eastAsia="仿宋_GB2312;仿宋" w:cs="Times New Roman"/>
              <w:sz w:val="22"/>
              <w:szCs w:val="22"/>
            </w:rPr>
            <w:fldChar w:fldCharType="end"/>
          </w:r>
        </w:p>
        <w:p w14:paraId="3BFD9C52">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"__RefHeading___Toc351203586" \h </w:instrText>
          </w:r>
          <w:r>
            <w:fldChar w:fldCharType="separate"/>
          </w:r>
          <w:r>
            <w:rPr>
              <w:rStyle w:val="46"/>
              <w:rFonts w:eastAsia="仿宋_GB2312;仿宋" w:cs="Times New Roman"/>
              <w:sz w:val="22"/>
              <w:szCs w:val="22"/>
            </w:rPr>
            <w:t xml:space="preserve">13. </w:t>
          </w:r>
          <w:r>
            <w:rPr>
              <w:rStyle w:val="46"/>
              <w:rFonts w:ascii="Times New Roman" w:hAnsi="Times New Roman" w:eastAsia="仿宋_GB2312;仿宋" w:cs="Times New Roman"/>
              <w:sz w:val="22"/>
              <w:szCs w:val="22"/>
            </w:rPr>
            <w:t>验收和工程试车</w:t>
          </w:r>
          <w:r>
            <w:rPr>
              <w:rStyle w:val="46"/>
              <w:rFonts w:eastAsia="仿宋_GB2312;仿宋" w:cs="Times New Roman"/>
              <w:sz w:val="22"/>
              <w:szCs w:val="22"/>
            </w:rPr>
            <w:tab/>
          </w:r>
          <w:r>
            <w:rPr>
              <w:rStyle w:val="46"/>
              <w:rFonts w:eastAsia="仿宋_GB2312;仿宋" w:cs="Times New Roman"/>
              <w:sz w:val="22"/>
              <w:szCs w:val="22"/>
            </w:rPr>
            <w:t>99</w:t>
          </w:r>
          <w:r>
            <w:rPr>
              <w:rStyle w:val="46"/>
              <w:rFonts w:eastAsia="仿宋_GB2312;仿宋" w:cs="Times New Roman"/>
              <w:sz w:val="22"/>
              <w:szCs w:val="22"/>
            </w:rPr>
            <w:fldChar w:fldCharType="end"/>
          </w:r>
        </w:p>
        <w:p w14:paraId="46C9FEC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"__RefHeading___Toc351203587" \h </w:instrText>
          </w:r>
          <w:r>
            <w:fldChar w:fldCharType="separate"/>
          </w:r>
          <w:r>
            <w:rPr>
              <w:rStyle w:val="46"/>
              <w:rFonts w:eastAsia="仿宋_GB2312;仿宋" w:cs="Times New Roman"/>
              <w:sz w:val="22"/>
              <w:szCs w:val="22"/>
            </w:rPr>
            <w:t xml:space="preserve">13.1 </w:t>
          </w:r>
          <w:r>
            <w:rPr>
              <w:rStyle w:val="46"/>
              <w:rFonts w:ascii="Times New Roman" w:hAnsi="Times New Roman" w:eastAsia="仿宋_GB2312;仿宋" w:cs="Times New Roman"/>
              <w:sz w:val="22"/>
              <w:szCs w:val="22"/>
            </w:rPr>
            <w:t>分部分项工程验收</w:t>
          </w:r>
          <w:r>
            <w:rPr>
              <w:rStyle w:val="46"/>
              <w:rFonts w:eastAsia="仿宋_GB2312;仿宋" w:cs="Times New Roman"/>
              <w:sz w:val="22"/>
              <w:szCs w:val="22"/>
            </w:rPr>
            <w:tab/>
          </w:r>
          <w:r>
            <w:rPr>
              <w:rStyle w:val="46"/>
              <w:rFonts w:eastAsia="仿宋_GB2312;仿宋" w:cs="Times New Roman"/>
              <w:sz w:val="22"/>
              <w:szCs w:val="22"/>
            </w:rPr>
            <w:t>99</w:t>
          </w:r>
          <w:r>
            <w:rPr>
              <w:rStyle w:val="46"/>
              <w:rFonts w:eastAsia="仿宋_GB2312;仿宋" w:cs="Times New Roman"/>
              <w:sz w:val="22"/>
              <w:szCs w:val="22"/>
            </w:rPr>
            <w:fldChar w:fldCharType="end"/>
          </w:r>
        </w:p>
        <w:p w14:paraId="372B191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"__RefHeading___Toc351203588" \h </w:instrText>
          </w:r>
          <w:r>
            <w:fldChar w:fldCharType="separate"/>
          </w:r>
          <w:r>
            <w:rPr>
              <w:rStyle w:val="46"/>
              <w:rFonts w:eastAsia="仿宋_GB2312;仿宋" w:cs="Times New Roman"/>
              <w:sz w:val="22"/>
              <w:szCs w:val="22"/>
            </w:rPr>
            <w:t>13.2</w:t>
          </w:r>
          <w:r>
            <w:rPr>
              <w:rStyle w:val="46"/>
              <w:rFonts w:ascii="Times New Roman" w:hAnsi="Times New Roman" w:eastAsia="仿宋_GB2312;仿宋" w:cs="Times New Roman"/>
              <w:sz w:val="22"/>
              <w:szCs w:val="22"/>
            </w:rPr>
            <w:t>竣工验收</w:t>
          </w:r>
          <w:r>
            <w:rPr>
              <w:rStyle w:val="46"/>
              <w:rFonts w:eastAsia="仿宋_GB2312;仿宋" w:cs="Times New Roman"/>
              <w:sz w:val="22"/>
              <w:szCs w:val="22"/>
            </w:rPr>
            <w:tab/>
          </w:r>
          <w:r>
            <w:rPr>
              <w:rStyle w:val="46"/>
              <w:rFonts w:eastAsia="仿宋_GB2312;仿宋" w:cs="Times New Roman"/>
              <w:sz w:val="22"/>
              <w:szCs w:val="22"/>
            </w:rPr>
            <w:t>99</w:t>
          </w:r>
          <w:r>
            <w:rPr>
              <w:rStyle w:val="46"/>
              <w:rFonts w:eastAsia="仿宋_GB2312;仿宋" w:cs="Times New Roman"/>
              <w:sz w:val="22"/>
              <w:szCs w:val="22"/>
            </w:rPr>
            <w:fldChar w:fldCharType="end"/>
          </w:r>
        </w:p>
        <w:p w14:paraId="1EA432A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"__RefHeading___Toc351203589" \h </w:instrText>
          </w:r>
          <w:r>
            <w:fldChar w:fldCharType="separate"/>
          </w:r>
          <w:r>
            <w:rPr>
              <w:rStyle w:val="46"/>
              <w:rFonts w:eastAsia="仿宋_GB2312;仿宋" w:cs="Times New Roman"/>
              <w:sz w:val="22"/>
              <w:szCs w:val="22"/>
            </w:rPr>
            <w:t>13.3</w:t>
          </w:r>
          <w:r>
            <w:rPr>
              <w:rStyle w:val="46"/>
              <w:rFonts w:ascii="Times New Roman" w:hAnsi="Times New Roman" w:eastAsia="仿宋_GB2312;仿宋" w:cs="Times New Roman"/>
              <w:sz w:val="22"/>
              <w:szCs w:val="22"/>
            </w:rPr>
            <w:t>工程试车</w:t>
          </w:r>
          <w:r>
            <w:rPr>
              <w:rStyle w:val="46"/>
              <w:rFonts w:eastAsia="仿宋_GB2312;仿宋" w:cs="Times New Roman"/>
              <w:sz w:val="22"/>
              <w:szCs w:val="22"/>
            </w:rPr>
            <w:tab/>
          </w:r>
          <w:r>
            <w:rPr>
              <w:rStyle w:val="46"/>
              <w:rFonts w:eastAsia="仿宋_GB2312;仿宋" w:cs="Times New Roman"/>
              <w:sz w:val="22"/>
              <w:szCs w:val="22"/>
            </w:rPr>
            <w:t>101</w:t>
          </w:r>
          <w:r>
            <w:rPr>
              <w:rStyle w:val="46"/>
              <w:rFonts w:eastAsia="仿宋_GB2312;仿宋" w:cs="Times New Roman"/>
              <w:sz w:val="22"/>
              <w:szCs w:val="22"/>
            </w:rPr>
            <w:fldChar w:fldCharType="end"/>
          </w:r>
        </w:p>
        <w:p w14:paraId="4B7D3F2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"__RefHeading___Toc351203590" \h </w:instrText>
          </w:r>
          <w:r>
            <w:fldChar w:fldCharType="separate"/>
          </w:r>
          <w:r>
            <w:rPr>
              <w:rStyle w:val="46"/>
              <w:rFonts w:eastAsia="仿宋_GB2312;仿宋" w:cs="Times New Roman"/>
              <w:sz w:val="22"/>
              <w:szCs w:val="22"/>
            </w:rPr>
            <w:t>13.4</w:t>
          </w:r>
          <w:r>
            <w:rPr>
              <w:rStyle w:val="46"/>
              <w:rFonts w:ascii="Times New Roman" w:hAnsi="Times New Roman" w:eastAsia="仿宋_GB2312;仿宋" w:cs="Times New Roman"/>
              <w:sz w:val="22"/>
              <w:szCs w:val="22"/>
            </w:rPr>
            <w:t>提前交付单位工程的验收</w:t>
          </w:r>
          <w:r>
            <w:rPr>
              <w:rStyle w:val="46"/>
              <w:rFonts w:eastAsia="仿宋_GB2312;仿宋" w:cs="Times New Roman"/>
              <w:sz w:val="22"/>
              <w:szCs w:val="22"/>
            </w:rPr>
            <w:tab/>
          </w:r>
          <w:r>
            <w:rPr>
              <w:rStyle w:val="46"/>
              <w:rFonts w:eastAsia="仿宋_GB2312;仿宋" w:cs="Times New Roman"/>
              <w:sz w:val="22"/>
              <w:szCs w:val="22"/>
            </w:rPr>
            <w:t>102</w:t>
          </w:r>
          <w:r>
            <w:rPr>
              <w:rStyle w:val="46"/>
              <w:rFonts w:eastAsia="仿宋_GB2312;仿宋" w:cs="Times New Roman"/>
              <w:sz w:val="22"/>
              <w:szCs w:val="22"/>
            </w:rPr>
            <w:fldChar w:fldCharType="end"/>
          </w:r>
        </w:p>
        <w:p w14:paraId="16AF2C80">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"__RefHeading___Toc351203591" \h </w:instrText>
          </w:r>
          <w:r>
            <w:fldChar w:fldCharType="separate"/>
          </w:r>
          <w:r>
            <w:rPr>
              <w:rStyle w:val="46"/>
              <w:rFonts w:eastAsia="仿宋_GB2312;仿宋" w:cs="Times New Roman"/>
              <w:sz w:val="22"/>
              <w:szCs w:val="22"/>
            </w:rPr>
            <w:t xml:space="preserve">13.5 </w:t>
          </w:r>
          <w:r>
            <w:rPr>
              <w:rStyle w:val="46"/>
              <w:rFonts w:ascii="Times New Roman" w:hAnsi="Times New Roman" w:eastAsia="仿宋_GB2312;仿宋" w:cs="Times New Roman"/>
              <w:sz w:val="22"/>
              <w:szCs w:val="22"/>
            </w:rPr>
            <w:t>施工期运行</w:t>
          </w:r>
          <w:r>
            <w:rPr>
              <w:rStyle w:val="46"/>
              <w:rFonts w:eastAsia="仿宋_GB2312;仿宋" w:cs="Times New Roman"/>
              <w:sz w:val="22"/>
              <w:szCs w:val="22"/>
            </w:rPr>
            <w:tab/>
          </w:r>
          <w:r>
            <w:rPr>
              <w:rStyle w:val="46"/>
              <w:rFonts w:eastAsia="仿宋_GB2312;仿宋" w:cs="Times New Roman"/>
              <w:sz w:val="22"/>
              <w:szCs w:val="22"/>
            </w:rPr>
            <w:t>102</w:t>
          </w:r>
          <w:r>
            <w:rPr>
              <w:rStyle w:val="46"/>
              <w:rFonts w:eastAsia="仿宋_GB2312;仿宋" w:cs="Times New Roman"/>
              <w:sz w:val="22"/>
              <w:szCs w:val="22"/>
            </w:rPr>
            <w:fldChar w:fldCharType="end"/>
          </w:r>
        </w:p>
        <w:p w14:paraId="37C963D0">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"__RefHeading___Toc351203592" \h </w:instrText>
          </w:r>
          <w:r>
            <w:fldChar w:fldCharType="separate"/>
          </w:r>
          <w:r>
            <w:rPr>
              <w:rStyle w:val="46"/>
              <w:rFonts w:eastAsia="仿宋_GB2312;仿宋" w:cs="Times New Roman"/>
              <w:sz w:val="22"/>
              <w:szCs w:val="22"/>
            </w:rPr>
            <w:t xml:space="preserve">13.6 </w:t>
          </w:r>
          <w:r>
            <w:rPr>
              <w:rStyle w:val="46"/>
              <w:rFonts w:ascii="Times New Roman" w:hAnsi="Times New Roman" w:eastAsia="仿宋_GB2312;仿宋" w:cs="Times New Roman"/>
              <w:sz w:val="22"/>
              <w:szCs w:val="22"/>
            </w:rPr>
            <w:t>竣工退场</w:t>
          </w:r>
          <w:r>
            <w:rPr>
              <w:rStyle w:val="46"/>
              <w:rFonts w:eastAsia="仿宋_GB2312;仿宋" w:cs="Times New Roman"/>
              <w:sz w:val="22"/>
              <w:szCs w:val="22"/>
            </w:rPr>
            <w:tab/>
          </w:r>
          <w:r>
            <w:rPr>
              <w:rStyle w:val="46"/>
              <w:rFonts w:eastAsia="仿宋_GB2312;仿宋" w:cs="Times New Roman"/>
              <w:sz w:val="22"/>
              <w:szCs w:val="22"/>
            </w:rPr>
            <w:t>102</w:t>
          </w:r>
          <w:r>
            <w:rPr>
              <w:rStyle w:val="46"/>
              <w:rFonts w:eastAsia="仿宋_GB2312;仿宋" w:cs="Times New Roman"/>
              <w:sz w:val="22"/>
              <w:szCs w:val="22"/>
            </w:rPr>
            <w:fldChar w:fldCharType="end"/>
          </w:r>
        </w:p>
        <w:p w14:paraId="6CA8DFE2">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"__RefHeading___Toc351203593" \h </w:instrText>
          </w:r>
          <w:r>
            <w:fldChar w:fldCharType="separate"/>
          </w:r>
          <w:r>
            <w:rPr>
              <w:rStyle w:val="46"/>
              <w:rFonts w:eastAsia="仿宋_GB2312;仿宋" w:cs="Times New Roman"/>
              <w:sz w:val="22"/>
              <w:szCs w:val="22"/>
            </w:rPr>
            <w:t xml:space="preserve">14. </w:t>
          </w:r>
          <w:r>
            <w:rPr>
              <w:rStyle w:val="46"/>
              <w:rFonts w:ascii="Times New Roman" w:hAnsi="Times New Roman" w:eastAsia="仿宋_GB2312;仿宋" w:cs="Times New Roman"/>
              <w:sz w:val="22"/>
              <w:szCs w:val="22"/>
            </w:rPr>
            <w:t>竣工结算</w:t>
          </w:r>
          <w:r>
            <w:rPr>
              <w:rStyle w:val="46"/>
              <w:rFonts w:eastAsia="仿宋_GB2312;仿宋" w:cs="Times New Roman"/>
              <w:sz w:val="22"/>
              <w:szCs w:val="22"/>
            </w:rPr>
            <w:tab/>
          </w:r>
          <w:r>
            <w:rPr>
              <w:rStyle w:val="46"/>
              <w:rFonts w:eastAsia="仿宋_GB2312;仿宋" w:cs="Times New Roman"/>
              <w:sz w:val="22"/>
              <w:szCs w:val="22"/>
            </w:rPr>
            <w:t>103</w:t>
          </w:r>
          <w:r>
            <w:rPr>
              <w:rStyle w:val="46"/>
              <w:rFonts w:eastAsia="仿宋_GB2312;仿宋" w:cs="Times New Roman"/>
              <w:sz w:val="22"/>
              <w:szCs w:val="22"/>
            </w:rPr>
            <w:fldChar w:fldCharType="end"/>
          </w:r>
        </w:p>
        <w:p w14:paraId="3C06B0E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"__RefHeading___Toc351203594" \h </w:instrText>
          </w:r>
          <w:r>
            <w:fldChar w:fldCharType="separate"/>
          </w:r>
          <w:r>
            <w:rPr>
              <w:rStyle w:val="46"/>
              <w:rFonts w:eastAsia="仿宋_GB2312;仿宋" w:cs="Times New Roman"/>
              <w:sz w:val="22"/>
              <w:szCs w:val="22"/>
            </w:rPr>
            <w:t xml:space="preserve">14.1 </w:t>
          </w:r>
          <w:r>
            <w:rPr>
              <w:rStyle w:val="46"/>
              <w:rFonts w:ascii="Times New Roman" w:hAnsi="Times New Roman" w:eastAsia="仿宋_GB2312;仿宋" w:cs="Times New Roman"/>
              <w:sz w:val="22"/>
              <w:szCs w:val="22"/>
            </w:rPr>
            <w:t>竣工结算申请</w:t>
          </w:r>
          <w:r>
            <w:rPr>
              <w:rStyle w:val="46"/>
              <w:rFonts w:eastAsia="仿宋_GB2312;仿宋" w:cs="Times New Roman"/>
              <w:sz w:val="22"/>
              <w:szCs w:val="22"/>
            </w:rPr>
            <w:tab/>
          </w:r>
          <w:r>
            <w:rPr>
              <w:rStyle w:val="46"/>
              <w:rFonts w:eastAsia="仿宋_GB2312;仿宋" w:cs="Times New Roman"/>
              <w:sz w:val="22"/>
              <w:szCs w:val="22"/>
            </w:rPr>
            <w:t>103</w:t>
          </w:r>
          <w:r>
            <w:rPr>
              <w:rStyle w:val="46"/>
              <w:rFonts w:eastAsia="仿宋_GB2312;仿宋" w:cs="Times New Roman"/>
              <w:sz w:val="22"/>
              <w:szCs w:val="22"/>
            </w:rPr>
            <w:fldChar w:fldCharType="end"/>
          </w:r>
        </w:p>
        <w:p w14:paraId="388C836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"__RefHeading___Toc351203595" \h </w:instrText>
          </w:r>
          <w:r>
            <w:fldChar w:fldCharType="separate"/>
          </w:r>
          <w:r>
            <w:rPr>
              <w:rStyle w:val="46"/>
              <w:rFonts w:eastAsia="仿宋_GB2312;仿宋" w:cs="Times New Roman"/>
              <w:sz w:val="22"/>
              <w:szCs w:val="22"/>
            </w:rPr>
            <w:t xml:space="preserve">14.2 </w:t>
          </w:r>
          <w:r>
            <w:rPr>
              <w:rStyle w:val="46"/>
              <w:rFonts w:ascii="Times New Roman" w:hAnsi="Times New Roman" w:eastAsia="仿宋_GB2312;仿宋" w:cs="Times New Roman"/>
              <w:sz w:val="22"/>
              <w:szCs w:val="22"/>
            </w:rPr>
            <w:t>竣工结算审核</w:t>
          </w:r>
          <w:r>
            <w:rPr>
              <w:rStyle w:val="46"/>
              <w:rFonts w:eastAsia="仿宋_GB2312;仿宋" w:cs="Times New Roman"/>
              <w:sz w:val="22"/>
              <w:szCs w:val="22"/>
            </w:rPr>
            <w:tab/>
          </w:r>
          <w:r>
            <w:rPr>
              <w:rStyle w:val="46"/>
              <w:rFonts w:eastAsia="仿宋_GB2312;仿宋" w:cs="Times New Roman"/>
              <w:sz w:val="22"/>
              <w:szCs w:val="22"/>
            </w:rPr>
            <w:t>103</w:t>
          </w:r>
          <w:r>
            <w:rPr>
              <w:rStyle w:val="46"/>
              <w:rFonts w:eastAsia="仿宋_GB2312;仿宋" w:cs="Times New Roman"/>
              <w:sz w:val="22"/>
              <w:szCs w:val="22"/>
            </w:rPr>
            <w:fldChar w:fldCharType="end"/>
          </w:r>
        </w:p>
        <w:p w14:paraId="5E8D22A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"__RefHeading___Toc351203596" \h </w:instrText>
          </w:r>
          <w:r>
            <w:fldChar w:fldCharType="separate"/>
          </w:r>
          <w:r>
            <w:rPr>
              <w:rStyle w:val="46"/>
              <w:rFonts w:eastAsia="仿宋_GB2312;仿宋" w:cs="Times New Roman"/>
              <w:sz w:val="22"/>
              <w:szCs w:val="22"/>
            </w:rPr>
            <w:t xml:space="preserve">14.3 </w:t>
          </w:r>
          <w:r>
            <w:rPr>
              <w:rStyle w:val="46"/>
              <w:rFonts w:ascii="Times New Roman" w:hAnsi="Times New Roman" w:eastAsia="仿宋_GB2312;仿宋" w:cs="Times New Roman"/>
              <w:sz w:val="22"/>
              <w:szCs w:val="22"/>
            </w:rPr>
            <w:t>甩项竣工协议</w:t>
          </w:r>
          <w:r>
            <w:rPr>
              <w:rStyle w:val="46"/>
              <w:rFonts w:eastAsia="仿宋_GB2312;仿宋" w:cs="Times New Roman"/>
              <w:sz w:val="22"/>
              <w:szCs w:val="22"/>
            </w:rPr>
            <w:tab/>
          </w:r>
          <w:r>
            <w:rPr>
              <w:rStyle w:val="46"/>
              <w:rFonts w:eastAsia="仿宋_GB2312;仿宋" w:cs="Times New Roman"/>
              <w:sz w:val="22"/>
              <w:szCs w:val="22"/>
            </w:rPr>
            <w:t>104</w:t>
          </w:r>
          <w:r>
            <w:rPr>
              <w:rStyle w:val="46"/>
              <w:rFonts w:eastAsia="仿宋_GB2312;仿宋" w:cs="Times New Roman"/>
              <w:sz w:val="22"/>
              <w:szCs w:val="22"/>
            </w:rPr>
            <w:fldChar w:fldCharType="end"/>
          </w:r>
        </w:p>
        <w:p w14:paraId="5B21B93E">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"__RefHeading___Toc351203597" \h </w:instrText>
          </w:r>
          <w:r>
            <w:fldChar w:fldCharType="separate"/>
          </w:r>
          <w:r>
            <w:rPr>
              <w:rStyle w:val="46"/>
              <w:rFonts w:eastAsia="仿宋_GB2312;仿宋" w:cs="Times New Roman"/>
              <w:sz w:val="22"/>
              <w:szCs w:val="22"/>
            </w:rPr>
            <w:t xml:space="preserve">14.4 </w:t>
          </w:r>
          <w:r>
            <w:rPr>
              <w:rStyle w:val="46"/>
              <w:rFonts w:ascii="Times New Roman" w:hAnsi="Times New Roman" w:eastAsia="仿宋_GB2312;仿宋" w:cs="Times New Roman"/>
              <w:sz w:val="22"/>
              <w:szCs w:val="22"/>
            </w:rPr>
            <w:t>最终结清</w:t>
          </w:r>
          <w:r>
            <w:rPr>
              <w:rStyle w:val="46"/>
              <w:rFonts w:eastAsia="仿宋_GB2312;仿宋" w:cs="Times New Roman"/>
              <w:sz w:val="22"/>
              <w:szCs w:val="22"/>
            </w:rPr>
            <w:tab/>
          </w:r>
          <w:r>
            <w:rPr>
              <w:rStyle w:val="46"/>
              <w:rFonts w:eastAsia="仿宋_GB2312;仿宋" w:cs="Times New Roman"/>
              <w:sz w:val="22"/>
              <w:szCs w:val="22"/>
            </w:rPr>
            <w:t>104</w:t>
          </w:r>
          <w:r>
            <w:rPr>
              <w:rStyle w:val="46"/>
              <w:rFonts w:eastAsia="仿宋_GB2312;仿宋" w:cs="Times New Roman"/>
              <w:sz w:val="22"/>
              <w:szCs w:val="22"/>
            </w:rPr>
            <w:fldChar w:fldCharType="end"/>
          </w:r>
        </w:p>
        <w:p w14:paraId="23DF3D6B">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"__RefHeading___Toc351203598" \h </w:instrText>
          </w:r>
          <w:r>
            <w:fldChar w:fldCharType="separate"/>
          </w:r>
          <w:r>
            <w:rPr>
              <w:rStyle w:val="46"/>
              <w:rFonts w:eastAsia="仿宋_GB2312;仿宋" w:cs="Times New Roman"/>
              <w:sz w:val="22"/>
              <w:szCs w:val="22"/>
            </w:rPr>
            <w:t xml:space="preserve">15. </w:t>
          </w:r>
          <w:r>
            <w:rPr>
              <w:rStyle w:val="46"/>
              <w:rFonts w:ascii="Times New Roman" w:hAnsi="Times New Roman" w:eastAsia="仿宋_GB2312;仿宋" w:cs="Times New Roman"/>
              <w:sz w:val="22"/>
              <w:szCs w:val="22"/>
            </w:rPr>
            <w:t>缺陷责任与保修</w:t>
          </w:r>
          <w:r>
            <w:rPr>
              <w:rStyle w:val="46"/>
              <w:rFonts w:eastAsia="仿宋_GB2312;仿宋" w:cs="Times New Roman"/>
              <w:sz w:val="22"/>
              <w:szCs w:val="22"/>
            </w:rPr>
            <w:tab/>
          </w:r>
          <w:r>
            <w:rPr>
              <w:rStyle w:val="46"/>
              <w:rFonts w:eastAsia="仿宋_GB2312;仿宋" w:cs="Times New Roman"/>
              <w:sz w:val="22"/>
              <w:szCs w:val="22"/>
            </w:rPr>
            <w:t>105</w:t>
          </w:r>
          <w:r>
            <w:rPr>
              <w:rStyle w:val="46"/>
              <w:rFonts w:eastAsia="仿宋_GB2312;仿宋" w:cs="Times New Roman"/>
              <w:sz w:val="22"/>
              <w:szCs w:val="22"/>
            </w:rPr>
            <w:fldChar w:fldCharType="end"/>
          </w:r>
        </w:p>
        <w:p w14:paraId="740646F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"__RefHeading___Toc351203599" \h </w:instrText>
          </w:r>
          <w:r>
            <w:fldChar w:fldCharType="separate"/>
          </w:r>
          <w:r>
            <w:rPr>
              <w:rStyle w:val="46"/>
              <w:rFonts w:eastAsia="仿宋_GB2312;仿宋" w:cs="Times New Roman"/>
              <w:sz w:val="22"/>
              <w:szCs w:val="22"/>
            </w:rPr>
            <w:t xml:space="preserve">15.1 </w:t>
          </w:r>
          <w:r>
            <w:rPr>
              <w:rStyle w:val="46"/>
              <w:rFonts w:ascii="Times New Roman" w:hAnsi="Times New Roman" w:eastAsia="仿宋_GB2312;仿宋" w:cs="Times New Roman"/>
              <w:sz w:val="22"/>
              <w:szCs w:val="22"/>
            </w:rPr>
            <w:t>工程保修的原则</w:t>
          </w:r>
          <w:r>
            <w:rPr>
              <w:rStyle w:val="46"/>
              <w:rFonts w:eastAsia="仿宋_GB2312;仿宋" w:cs="Times New Roman"/>
              <w:sz w:val="22"/>
              <w:szCs w:val="22"/>
            </w:rPr>
            <w:tab/>
          </w:r>
          <w:r>
            <w:rPr>
              <w:rStyle w:val="46"/>
              <w:rFonts w:eastAsia="仿宋_GB2312;仿宋" w:cs="Times New Roman"/>
              <w:sz w:val="22"/>
              <w:szCs w:val="22"/>
            </w:rPr>
            <w:t>105</w:t>
          </w:r>
          <w:r>
            <w:rPr>
              <w:rStyle w:val="46"/>
              <w:rFonts w:eastAsia="仿宋_GB2312;仿宋" w:cs="Times New Roman"/>
              <w:sz w:val="22"/>
              <w:szCs w:val="22"/>
            </w:rPr>
            <w:fldChar w:fldCharType="end"/>
          </w:r>
        </w:p>
        <w:p w14:paraId="1848726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"__RefHeading___Toc351203600" \h </w:instrText>
          </w:r>
          <w:r>
            <w:fldChar w:fldCharType="separate"/>
          </w:r>
          <w:r>
            <w:rPr>
              <w:rStyle w:val="46"/>
              <w:rFonts w:eastAsia="仿宋_GB2312;仿宋" w:cs="Times New Roman"/>
              <w:sz w:val="22"/>
              <w:szCs w:val="22"/>
            </w:rPr>
            <w:t xml:space="preserve">15.2 </w:t>
          </w:r>
          <w:r>
            <w:rPr>
              <w:rStyle w:val="46"/>
              <w:rFonts w:ascii="Times New Roman" w:hAnsi="Times New Roman" w:eastAsia="仿宋_GB2312;仿宋" w:cs="Times New Roman"/>
              <w:sz w:val="22"/>
              <w:szCs w:val="22"/>
            </w:rPr>
            <w:t>缺陷责任期</w:t>
          </w:r>
          <w:r>
            <w:rPr>
              <w:rStyle w:val="46"/>
              <w:rFonts w:eastAsia="仿宋_GB2312;仿宋" w:cs="Times New Roman"/>
              <w:sz w:val="22"/>
              <w:szCs w:val="22"/>
            </w:rPr>
            <w:tab/>
          </w:r>
          <w:r>
            <w:rPr>
              <w:rStyle w:val="46"/>
              <w:rFonts w:eastAsia="仿宋_GB2312;仿宋" w:cs="Times New Roman"/>
              <w:sz w:val="22"/>
              <w:szCs w:val="22"/>
            </w:rPr>
            <w:t>105</w:t>
          </w:r>
          <w:r>
            <w:rPr>
              <w:rStyle w:val="46"/>
              <w:rFonts w:eastAsia="仿宋_GB2312;仿宋" w:cs="Times New Roman"/>
              <w:sz w:val="22"/>
              <w:szCs w:val="22"/>
            </w:rPr>
            <w:fldChar w:fldCharType="end"/>
          </w:r>
        </w:p>
        <w:p w14:paraId="1C45D48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"__RefHeading___Toc351203601" \h </w:instrText>
          </w:r>
          <w:r>
            <w:fldChar w:fldCharType="separate"/>
          </w:r>
          <w:r>
            <w:rPr>
              <w:rStyle w:val="46"/>
              <w:rFonts w:eastAsia="仿宋_GB2312;仿宋" w:cs="Times New Roman"/>
              <w:sz w:val="22"/>
              <w:szCs w:val="22"/>
            </w:rPr>
            <w:t xml:space="preserve">15.3 </w:t>
          </w:r>
          <w:r>
            <w:rPr>
              <w:rStyle w:val="46"/>
              <w:rFonts w:ascii="Times New Roman" w:hAnsi="Times New Roman" w:eastAsia="仿宋_GB2312;仿宋" w:cs="Times New Roman"/>
              <w:sz w:val="22"/>
              <w:szCs w:val="22"/>
            </w:rPr>
            <w:t>质量保证金</w:t>
          </w:r>
          <w:r>
            <w:rPr>
              <w:rStyle w:val="46"/>
              <w:rFonts w:eastAsia="仿宋_GB2312;仿宋" w:cs="Times New Roman"/>
              <w:sz w:val="22"/>
              <w:szCs w:val="22"/>
            </w:rPr>
            <w:tab/>
          </w:r>
          <w:r>
            <w:rPr>
              <w:rStyle w:val="46"/>
              <w:rFonts w:eastAsia="仿宋_GB2312;仿宋" w:cs="Times New Roman"/>
              <w:sz w:val="22"/>
              <w:szCs w:val="22"/>
            </w:rPr>
            <w:t>106</w:t>
          </w:r>
          <w:r>
            <w:rPr>
              <w:rStyle w:val="46"/>
              <w:rFonts w:eastAsia="仿宋_GB2312;仿宋" w:cs="Times New Roman"/>
              <w:sz w:val="22"/>
              <w:szCs w:val="22"/>
            </w:rPr>
            <w:fldChar w:fldCharType="end"/>
          </w:r>
        </w:p>
        <w:p w14:paraId="565FBCA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"__RefHeading___Toc351203602" \h </w:instrText>
          </w:r>
          <w:r>
            <w:fldChar w:fldCharType="separate"/>
          </w:r>
          <w:r>
            <w:rPr>
              <w:rStyle w:val="46"/>
              <w:rFonts w:eastAsia="仿宋_GB2312;仿宋" w:cs="Times New Roman"/>
              <w:sz w:val="22"/>
              <w:szCs w:val="22"/>
            </w:rPr>
            <w:t xml:space="preserve">15.4 </w:t>
          </w:r>
          <w:r>
            <w:rPr>
              <w:rStyle w:val="46"/>
              <w:rFonts w:ascii="Times New Roman" w:hAnsi="Times New Roman" w:eastAsia="仿宋_GB2312;仿宋" w:cs="Times New Roman"/>
              <w:sz w:val="22"/>
              <w:szCs w:val="22"/>
            </w:rPr>
            <w:t>保修</w:t>
          </w:r>
          <w:r>
            <w:rPr>
              <w:rStyle w:val="46"/>
              <w:rFonts w:eastAsia="仿宋_GB2312;仿宋" w:cs="Times New Roman"/>
              <w:sz w:val="22"/>
              <w:szCs w:val="22"/>
            </w:rPr>
            <w:tab/>
          </w:r>
          <w:r>
            <w:rPr>
              <w:rStyle w:val="46"/>
              <w:rFonts w:eastAsia="仿宋_GB2312;仿宋" w:cs="Times New Roman"/>
              <w:sz w:val="22"/>
              <w:szCs w:val="22"/>
            </w:rPr>
            <w:t>107</w:t>
          </w:r>
          <w:r>
            <w:rPr>
              <w:rStyle w:val="46"/>
              <w:rFonts w:eastAsia="仿宋_GB2312;仿宋" w:cs="Times New Roman"/>
              <w:sz w:val="22"/>
              <w:szCs w:val="22"/>
            </w:rPr>
            <w:fldChar w:fldCharType="end"/>
          </w:r>
        </w:p>
        <w:p w14:paraId="0D68FDEE">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"__RefHeading___Toc351203603" \h </w:instrText>
          </w:r>
          <w:r>
            <w:fldChar w:fldCharType="separate"/>
          </w:r>
          <w:r>
            <w:rPr>
              <w:rStyle w:val="46"/>
              <w:rFonts w:eastAsia="仿宋_GB2312;仿宋" w:cs="Times New Roman"/>
              <w:sz w:val="22"/>
              <w:szCs w:val="22"/>
            </w:rPr>
            <w:t xml:space="preserve">16. </w:t>
          </w:r>
          <w:r>
            <w:rPr>
              <w:rStyle w:val="46"/>
              <w:rFonts w:ascii="Times New Roman" w:hAnsi="Times New Roman" w:eastAsia="仿宋_GB2312;仿宋" w:cs="Times New Roman"/>
              <w:sz w:val="22"/>
              <w:szCs w:val="22"/>
            </w:rPr>
            <w:t>违约</w:t>
          </w:r>
          <w:r>
            <w:rPr>
              <w:rStyle w:val="46"/>
              <w:rFonts w:eastAsia="仿宋_GB2312;仿宋" w:cs="Times New Roman"/>
              <w:sz w:val="22"/>
              <w:szCs w:val="22"/>
            </w:rPr>
            <w:tab/>
          </w:r>
          <w:r>
            <w:rPr>
              <w:rStyle w:val="46"/>
              <w:rFonts w:eastAsia="仿宋_GB2312;仿宋" w:cs="Times New Roman"/>
              <w:sz w:val="22"/>
              <w:szCs w:val="22"/>
            </w:rPr>
            <w:t>108</w:t>
          </w:r>
          <w:r>
            <w:rPr>
              <w:rStyle w:val="46"/>
              <w:rFonts w:eastAsia="仿宋_GB2312;仿宋" w:cs="Times New Roman"/>
              <w:sz w:val="22"/>
              <w:szCs w:val="22"/>
            </w:rPr>
            <w:fldChar w:fldCharType="end"/>
          </w:r>
        </w:p>
        <w:p w14:paraId="554CC18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"__RefHeading___Toc351203604" \h </w:instrText>
          </w:r>
          <w:r>
            <w:fldChar w:fldCharType="separate"/>
          </w:r>
          <w:r>
            <w:rPr>
              <w:rStyle w:val="46"/>
              <w:rFonts w:eastAsia="仿宋_GB2312;仿宋" w:cs="Times New Roman"/>
              <w:sz w:val="22"/>
              <w:szCs w:val="22"/>
            </w:rPr>
            <w:t xml:space="preserve">16.1 </w:t>
          </w:r>
          <w:r>
            <w:rPr>
              <w:rStyle w:val="46"/>
              <w:rFonts w:ascii="Times New Roman" w:hAnsi="Times New Roman" w:eastAsia="仿宋_GB2312;仿宋" w:cs="Times New Roman"/>
              <w:sz w:val="22"/>
              <w:szCs w:val="22"/>
            </w:rPr>
            <w:t>发包人违约</w:t>
          </w:r>
          <w:r>
            <w:rPr>
              <w:rStyle w:val="46"/>
              <w:rFonts w:eastAsia="仿宋_GB2312;仿宋" w:cs="Times New Roman"/>
              <w:sz w:val="22"/>
              <w:szCs w:val="22"/>
            </w:rPr>
            <w:tab/>
          </w:r>
          <w:r>
            <w:rPr>
              <w:rStyle w:val="46"/>
              <w:rFonts w:eastAsia="仿宋_GB2312;仿宋" w:cs="Times New Roman"/>
              <w:sz w:val="22"/>
              <w:szCs w:val="22"/>
            </w:rPr>
            <w:t>108</w:t>
          </w:r>
          <w:r>
            <w:rPr>
              <w:rStyle w:val="46"/>
              <w:rFonts w:eastAsia="仿宋_GB2312;仿宋" w:cs="Times New Roman"/>
              <w:sz w:val="22"/>
              <w:szCs w:val="22"/>
            </w:rPr>
            <w:fldChar w:fldCharType="end"/>
          </w:r>
        </w:p>
        <w:p w14:paraId="613B589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"__RefHeading___Toc351203605" \h </w:instrText>
          </w:r>
          <w:r>
            <w:fldChar w:fldCharType="separate"/>
          </w:r>
          <w:r>
            <w:rPr>
              <w:rStyle w:val="46"/>
              <w:rFonts w:eastAsia="仿宋_GB2312;仿宋" w:cs="Times New Roman"/>
              <w:sz w:val="22"/>
              <w:szCs w:val="22"/>
            </w:rPr>
            <w:t xml:space="preserve">16.2 </w:t>
          </w:r>
          <w:r>
            <w:rPr>
              <w:rStyle w:val="46"/>
              <w:rFonts w:ascii="Times New Roman" w:hAnsi="Times New Roman" w:eastAsia="仿宋_GB2312;仿宋" w:cs="Times New Roman"/>
              <w:sz w:val="22"/>
              <w:szCs w:val="22"/>
            </w:rPr>
            <w:t>承包人违约</w:t>
          </w:r>
          <w:r>
            <w:rPr>
              <w:rStyle w:val="46"/>
              <w:rFonts w:eastAsia="仿宋_GB2312;仿宋" w:cs="Times New Roman"/>
              <w:sz w:val="22"/>
              <w:szCs w:val="22"/>
            </w:rPr>
            <w:tab/>
          </w:r>
          <w:r>
            <w:rPr>
              <w:rStyle w:val="46"/>
              <w:rFonts w:eastAsia="仿宋_GB2312;仿宋" w:cs="Times New Roman"/>
              <w:sz w:val="22"/>
              <w:szCs w:val="22"/>
            </w:rPr>
            <w:t>110</w:t>
          </w:r>
          <w:r>
            <w:rPr>
              <w:rStyle w:val="46"/>
              <w:rFonts w:eastAsia="仿宋_GB2312;仿宋" w:cs="Times New Roman"/>
              <w:sz w:val="22"/>
              <w:szCs w:val="22"/>
            </w:rPr>
            <w:fldChar w:fldCharType="end"/>
          </w:r>
        </w:p>
        <w:p w14:paraId="427C7B0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"__RefHeading___Toc351203606" \h </w:instrText>
          </w:r>
          <w:r>
            <w:fldChar w:fldCharType="separate"/>
          </w:r>
          <w:r>
            <w:rPr>
              <w:rStyle w:val="46"/>
              <w:rFonts w:eastAsia="仿宋_GB2312;仿宋" w:cs="Times New Roman"/>
              <w:sz w:val="22"/>
              <w:szCs w:val="22"/>
            </w:rPr>
            <w:t xml:space="preserve">16.3 </w:t>
          </w:r>
          <w:r>
            <w:rPr>
              <w:rStyle w:val="46"/>
              <w:rFonts w:ascii="Times New Roman" w:hAnsi="Times New Roman" w:eastAsia="仿宋_GB2312;仿宋" w:cs="Times New Roman"/>
              <w:sz w:val="22"/>
              <w:szCs w:val="22"/>
            </w:rPr>
            <w:t>第三人造成的违约</w:t>
          </w:r>
          <w:r>
            <w:rPr>
              <w:rStyle w:val="46"/>
              <w:rFonts w:eastAsia="仿宋_GB2312;仿宋" w:cs="Times New Roman"/>
              <w:sz w:val="22"/>
              <w:szCs w:val="22"/>
            </w:rPr>
            <w:tab/>
          </w:r>
          <w:r>
            <w:rPr>
              <w:rStyle w:val="46"/>
              <w:rFonts w:eastAsia="仿宋_GB2312;仿宋" w:cs="Times New Roman"/>
              <w:sz w:val="22"/>
              <w:szCs w:val="22"/>
            </w:rPr>
            <w:t>111</w:t>
          </w:r>
          <w:r>
            <w:rPr>
              <w:rStyle w:val="46"/>
              <w:rFonts w:eastAsia="仿宋_GB2312;仿宋" w:cs="Times New Roman"/>
              <w:sz w:val="22"/>
              <w:szCs w:val="22"/>
            </w:rPr>
            <w:fldChar w:fldCharType="end"/>
          </w:r>
        </w:p>
        <w:p w14:paraId="5897EF6F">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"__RefHeading___Toc351203607" \h </w:instrText>
          </w:r>
          <w:r>
            <w:fldChar w:fldCharType="separate"/>
          </w:r>
          <w:r>
            <w:rPr>
              <w:rStyle w:val="46"/>
              <w:rFonts w:eastAsia="仿宋_GB2312;仿宋" w:cs="Times New Roman"/>
              <w:sz w:val="22"/>
              <w:szCs w:val="22"/>
            </w:rPr>
            <w:t xml:space="preserve">17. </w:t>
          </w:r>
          <w:r>
            <w:rPr>
              <w:rStyle w:val="46"/>
              <w:rFonts w:ascii="Times New Roman" w:hAnsi="Times New Roman" w:eastAsia="仿宋_GB2312;仿宋" w:cs="Times New Roman"/>
              <w:sz w:val="22"/>
              <w:szCs w:val="22"/>
            </w:rPr>
            <w:t>不可抗力</w:t>
          </w:r>
          <w:r>
            <w:rPr>
              <w:rStyle w:val="46"/>
              <w:rFonts w:eastAsia="仿宋_GB2312;仿宋" w:cs="Times New Roman"/>
              <w:sz w:val="22"/>
              <w:szCs w:val="22"/>
            </w:rPr>
            <w:tab/>
          </w:r>
          <w:r>
            <w:rPr>
              <w:rStyle w:val="46"/>
              <w:rFonts w:eastAsia="仿宋_GB2312;仿宋" w:cs="Times New Roman"/>
              <w:sz w:val="22"/>
              <w:szCs w:val="22"/>
            </w:rPr>
            <w:t>111</w:t>
          </w:r>
          <w:r>
            <w:rPr>
              <w:rStyle w:val="46"/>
              <w:rFonts w:eastAsia="仿宋_GB2312;仿宋" w:cs="Times New Roman"/>
              <w:sz w:val="22"/>
              <w:szCs w:val="22"/>
            </w:rPr>
            <w:fldChar w:fldCharType="end"/>
          </w:r>
        </w:p>
        <w:p w14:paraId="6473F05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"__RefHeading___Toc351203608" \h </w:instrText>
          </w:r>
          <w:r>
            <w:fldChar w:fldCharType="separate"/>
          </w:r>
          <w:r>
            <w:rPr>
              <w:rStyle w:val="46"/>
              <w:rFonts w:eastAsia="仿宋_GB2312;仿宋" w:cs="Times New Roman"/>
              <w:sz w:val="22"/>
              <w:szCs w:val="22"/>
            </w:rPr>
            <w:t xml:space="preserve">17.1 </w:t>
          </w:r>
          <w:r>
            <w:rPr>
              <w:rStyle w:val="46"/>
              <w:rFonts w:ascii="Times New Roman" w:hAnsi="Times New Roman" w:eastAsia="仿宋_GB2312;仿宋" w:cs="Times New Roman"/>
              <w:sz w:val="22"/>
              <w:szCs w:val="22"/>
            </w:rPr>
            <w:t>不可抗力的确认</w:t>
          </w:r>
          <w:r>
            <w:rPr>
              <w:rStyle w:val="46"/>
              <w:rFonts w:eastAsia="仿宋_GB2312;仿宋" w:cs="Times New Roman"/>
              <w:sz w:val="22"/>
              <w:szCs w:val="22"/>
            </w:rPr>
            <w:tab/>
          </w:r>
          <w:r>
            <w:rPr>
              <w:rStyle w:val="46"/>
              <w:rFonts w:eastAsia="仿宋_GB2312;仿宋" w:cs="Times New Roman"/>
              <w:sz w:val="22"/>
              <w:szCs w:val="22"/>
            </w:rPr>
            <w:t>111</w:t>
          </w:r>
          <w:r>
            <w:rPr>
              <w:rStyle w:val="46"/>
              <w:rFonts w:eastAsia="仿宋_GB2312;仿宋" w:cs="Times New Roman"/>
              <w:sz w:val="22"/>
              <w:szCs w:val="22"/>
            </w:rPr>
            <w:fldChar w:fldCharType="end"/>
          </w:r>
        </w:p>
        <w:p w14:paraId="6968187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"__RefHeading___Toc351203609" \h </w:instrText>
          </w:r>
          <w:r>
            <w:fldChar w:fldCharType="separate"/>
          </w:r>
          <w:r>
            <w:rPr>
              <w:rStyle w:val="46"/>
              <w:rFonts w:eastAsia="仿宋_GB2312;仿宋" w:cs="Times New Roman"/>
              <w:sz w:val="22"/>
              <w:szCs w:val="22"/>
            </w:rPr>
            <w:t xml:space="preserve">17.2 </w:t>
          </w:r>
          <w:r>
            <w:rPr>
              <w:rStyle w:val="46"/>
              <w:rFonts w:ascii="Times New Roman" w:hAnsi="Times New Roman" w:eastAsia="仿宋_GB2312;仿宋" w:cs="Times New Roman"/>
              <w:sz w:val="22"/>
              <w:szCs w:val="22"/>
            </w:rPr>
            <w:t>不可抗力的通知</w:t>
          </w:r>
          <w:r>
            <w:rPr>
              <w:rStyle w:val="46"/>
              <w:rFonts w:eastAsia="仿宋_GB2312;仿宋" w:cs="Times New Roman"/>
              <w:sz w:val="22"/>
              <w:szCs w:val="22"/>
            </w:rPr>
            <w:tab/>
          </w:r>
          <w:r>
            <w:rPr>
              <w:rStyle w:val="46"/>
              <w:rFonts w:eastAsia="仿宋_GB2312;仿宋" w:cs="Times New Roman"/>
              <w:sz w:val="22"/>
              <w:szCs w:val="22"/>
            </w:rPr>
            <w:t>111</w:t>
          </w:r>
          <w:r>
            <w:rPr>
              <w:rStyle w:val="46"/>
              <w:rFonts w:eastAsia="仿宋_GB2312;仿宋" w:cs="Times New Roman"/>
              <w:sz w:val="22"/>
              <w:szCs w:val="22"/>
            </w:rPr>
            <w:fldChar w:fldCharType="end"/>
          </w:r>
        </w:p>
        <w:p w14:paraId="5EBBDF9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"__RefHeading___Toc351203610" \h </w:instrText>
          </w:r>
          <w:r>
            <w:fldChar w:fldCharType="separate"/>
          </w:r>
          <w:r>
            <w:rPr>
              <w:rStyle w:val="46"/>
              <w:rFonts w:eastAsia="仿宋_GB2312;仿宋" w:cs="Times New Roman"/>
              <w:sz w:val="22"/>
              <w:szCs w:val="22"/>
            </w:rPr>
            <w:t xml:space="preserve">17.3 </w:t>
          </w:r>
          <w:r>
            <w:rPr>
              <w:rStyle w:val="46"/>
              <w:rFonts w:ascii="Times New Roman" w:hAnsi="Times New Roman" w:eastAsia="仿宋_GB2312;仿宋" w:cs="Times New Roman"/>
              <w:sz w:val="22"/>
              <w:szCs w:val="22"/>
            </w:rPr>
            <w:t>不可抗力后果的承担</w:t>
          </w:r>
          <w:r>
            <w:rPr>
              <w:rStyle w:val="46"/>
              <w:rFonts w:eastAsia="仿宋_GB2312;仿宋" w:cs="Times New Roman"/>
              <w:sz w:val="22"/>
              <w:szCs w:val="22"/>
            </w:rPr>
            <w:tab/>
          </w:r>
          <w:r>
            <w:rPr>
              <w:rStyle w:val="46"/>
              <w:rFonts w:eastAsia="仿宋_GB2312;仿宋" w:cs="Times New Roman"/>
              <w:sz w:val="22"/>
              <w:szCs w:val="22"/>
            </w:rPr>
            <w:t>112</w:t>
          </w:r>
          <w:r>
            <w:rPr>
              <w:rStyle w:val="46"/>
              <w:rFonts w:eastAsia="仿宋_GB2312;仿宋" w:cs="Times New Roman"/>
              <w:sz w:val="22"/>
              <w:szCs w:val="22"/>
            </w:rPr>
            <w:fldChar w:fldCharType="end"/>
          </w:r>
        </w:p>
        <w:p w14:paraId="66D6D89A">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"__RefHeading___Toc351203611" \h </w:instrText>
          </w:r>
          <w:r>
            <w:fldChar w:fldCharType="separate"/>
          </w:r>
          <w:r>
            <w:rPr>
              <w:rStyle w:val="46"/>
              <w:rFonts w:eastAsia="仿宋_GB2312;仿宋" w:cs="Times New Roman"/>
              <w:sz w:val="22"/>
              <w:szCs w:val="22"/>
            </w:rPr>
            <w:t xml:space="preserve">17.4 </w:t>
          </w:r>
          <w:r>
            <w:rPr>
              <w:rStyle w:val="46"/>
              <w:rFonts w:ascii="Times New Roman" w:hAnsi="Times New Roman" w:eastAsia="仿宋_GB2312;仿宋" w:cs="Times New Roman"/>
              <w:sz w:val="22"/>
              <w:szCs w:val="22"/>
            </w:rPr>
            <w:t>因不可抗力解除合同</w:t>
          </w:r>
          <w:r>
            <w:rPr>
              <w:rStyle w:val="46"/>
              <w:rFonts w:eastAsia="仿宋_GB2312;仿宋" w:cs="Times New Roman"/>
              <w:sz w:val="22"/>
              <w:szCs w:val="22"/>
            </w:rPr>
            <w:tab/>
          </w:r>
          <w:r>
            <w:rPr>
              <w:rStyle w:val="46"/>
              <w:rFonts w:eastAsia="仿宋_GB2312;仿宋" w:cs="Times New Roman"/>
              <w:sz w:val="22"/>
              <w:szCs w:val="22"/>
            </w:rPr>
            <w:t>112</w:t>
          </w:r>
          <w:r>
            <w:rPr>
              <w:rStyle w:val="46"/>
              <w:rFonts w:eastAsia="仿宋_GB2312;仿宋" w:cs="Times New Roman"/>
              <w:sz w:val="22"/>
              <w:szCs w:val="22"/>
            </w:rPr>
            <w:fldChar w:fldCharType="end"/>
          </w:r>
        </w:p>
        <w:p w14:paraId="17715508">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"__RefHeading___Toc351203612" \h </w:instrText>
          </w:r>
          <w:r>
            <w:fldChar w:fldCharType="separate"/>
          </w:r>
          <w:r>
            <w:rPr>
              <w:rStyle w:val="46"/>
              <w:rFonts w:eastAsia="仿宋_GB2312;仿宋" w:cs="Times New Roman"/>
              <w:sz w:val="22"/>
              <w:szCs w:val="22"/>
            </w:rPr>
            <w:t xml:space="preserve">18. </w:t>
          </w:r>
          <w:r>
            <w:rPr>
              <w:rStyle w:val="46"/>
              <w:rFonts w:ascii="Times New Roman" w:hAnsi="Times New Roman" w:eastAsia="仿宋_GB2312;仿宋" w:cs="Times New Roman"/>
              <w:sz w:val="22"/>
              <w:szCs w:val="22"/>
            </w:rPr>
            <w:t>保险</w:t>
          </w:r>
          <w:r>
            <w:rPr>
              <w:rStyle w:val="46"/>
              <w:rFonts w:eastAsia="仿宋_GB2312;仿宋" w:cs="Times New Roman"/>
              <w:sz w:val="22"/>
              <w:szCs w:val="22"/>
            </w:rPr>
            <w:tab/>
          </w:r>
          <w:r>
            <w:rPr>
              <w:rStyle w:val="46"/>
              <w:rFonts w:eastAsia="仿宋_GB2312;仿宋" w:cs="Times New Roman"/>
              <w:sz w:val="22"/>
              <w:szCs w:val="22"/>
            </w:rPr>
            <w:t>113</w:t>
          </w:r>
          <w:r>
            <w:rPr>
              <w:rStyle w:val="46"/>
              <w:rFonts w:eastAsia="仿宋_GB2312;仿宋" w:cs="Times New Roman"/>
              <w:sz w:val="22"/>
              <w:szCs w:val="22"/>
            </w:rPr>
            <w:fldChar w:fldCharType="end"/>
          </w:r>
        </w:p>
        <w:p w14:paraId="4109252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"__RefHeading___Toc351203613" \h </w:instrText>
          </w:r>
          <w:r>
            <w:fldChar w:fldCharType="separate"/>
          </w:r>
          <w:r>
            <w:rPr>
              <w:rStyle w:val="46"/>
              <w:rFonts w:eastAsia="仿宋_GB2312;仿宋" w:cs="Times New Roman"/>
              <w:sz w:val="22"/>
              <w:szCs w:val="22"/>
            </w:rPr>
            <w:t xml:space="preserve">18.1 </w:t>
          </w:r>
          <w:r>
            <w:rPr>
              <w:rStyle w:val="46"/>
              <w:rFonts w:ascii="Times New Roman" w:hAnsi="Times New Roman" w:eastAsia="仿宋_GB2312;仿宋" w:cs="Times New Roman"/>
              <w:sz w:val="22"/>
              <w:szCs w:val="22"/>
            </w:rPr>
            <w:t>工程保险</w:t>
          </w:r>
          <w:r>
            <w:rPr>
              <w:rStyle w:val="46"/>
              <w:rFonts w:eastAsia="仿宋_GB2312;仿宋" w:cs="Times New Roman"/>
              <w:sz w:val="22"/>
              <w:szCs w:val="22"/>
            </w:rPr>
            <w:tab/>
          </w:r>
          <w:r>
            <w:rPr>
              <w:rStyle w:val="46"/>
              <w:rFonts w:eastAsia="仿宋_GB2312;仿宋" w:cs="Times New Roman"/>
              <w:sz w:val="22"/>
              <w:szCs w:val="22"/>
            </w:rPr>
            <w:t>113</w:t>
          </w:r>
          <w:r>
            <w:rPr>
              <w:rStyle w:val="46"/>
              <w:rFonts w:eastAsia="仿宋_GB2312;仿宋" w:cs="Times New Roman"/>
              <w:sz w:val="22"/>
              <w:szCs w:val="22"/>
            </w:rPr>
            <w:fldChar w:fldCharType="end"/>
          </w:r>
        </w:p>
        <w:p w14:paraId="3CF4DAB7">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"__RefHeading___Toc351203614" \h </w:instrText>
          </w:r>
          <w:r>
            <w:fldChar w:fldCharType="separate"/>
          </w:r>
          <w:r>
            <w:rPr>
              <w:rStyle w:val="46"/>
              <w:rFonts w:eastAsia="仿宋_GB2312;仿宋" w:cs="Times New Roman"/>
              <w:sz w:val="22"/>
              <w:szCs w:val="22"/>
            </w:rPr>
            <w:t xml:space="preserve">18.2 </w:t>
          </w:r>
          <w:r>
            <w:rPr>
              <w:rStyle w:val="46"/>
              <w:rFonts w:ascii="Times New Roman" w:hAnsi="Times New Roman" w:eastAsia="仿宋_GB2312;仿宋" w:cs="Times New Roman"/>
              <w:sz w:val="22"/>
              <w:szCs w:val="22"/>
            </w:rPr>
            <w:t>工伤保险</w:t>
          </w:r>
          <w:r>
            <w:rPr>
              <w:rStyle w:val="46"/>
              <w:rFonts w:eastAsia="仿宋_GB2312;仿宋" w:cs="Times New Roman"/>
              <w:sz w:val="22"/>
              <w:szCs w:val="22"/>
            </w:rPr>
            <w:tab/>
          </w:r>
          <w:r>
            <w:rPr>
              <w:rStyle w:val="46"/>
              <w:rFonts w:eastAsia="仿宋_GB2312;仿宋" w:cs="Times New Roman"/>
              <w:sz w:val="22"/>
              <w:szCs w:val="22"/>
            </w:rPr>
            <w:t>113</w:t>
          </w:r>
          <w:r>
            <w:rPr>
              <w:rStyle w:val="46"/>
              <w:rFonts w:eastAsia="仿宋_GB2312;仿宋" w:cs="Times New Roman"/>
              <w:sz w:val="22"/>
              <w:szCs w:val="22"/>
            </w:rPr>
            <w:fldChar w:fldCharType="end"/>
          </w:r>
        </w:p>
        <w:p w14:paraId="71642FF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"__RefHeading___Toc351203615" \h </w:instrText>
          </w:r>
          <w:r>
            <w:fldChar w:fldCharType="separate"/>
          </w:r>
          <w:r>
            <w:rPr>
              <w:rStyle w:val="46"/>
              <w:rFonts w:eastAsia="仿宋_GB2312;仿宋" w:cs="Times New Roman"/>
              <w:sz w:val="22"/>
              <w:szCs w:val="22"/>
            </w:rPr>
            <w:t xml:space="preserve">18.3 </w:t>
          </w:r>
          <w:r>
            <w:rPr>
              <w:rStyle w:val="46"/>
              <w:rFonts w:ascii="Times New Roman" w:hAnsi="Times New Roman" w:eastAsia="仿宋_GB2312;仿宋" w:cs="Times New Roman"/>
              <w:sz w:val="22"/>
              <w:szCs w:val="22"/>
            </w:rPr>
            <w:t>其他保险</w:t>
          </w:r>
          <w:r>
            <w:rPr>
              <w:rStyle w:val="46"/>
              <w:rFonts w:eastAsia="仿宋_GB2312;仿宋" w:cs="Times New Roman"/>
              <w:sz w:val="22"/>
              <w:szCs w:val="22"/>
            </w:rPr>
            <w:tab/>
          </w:r>
          <w:r>
            <w:rPr>
              <w:rStyle w:val="46"/>
              <w:rFonts w:eastAsia="仿宋_GB2312;仿宋" w:cs="Times New Roman"/>
              <w:sz w:val="22"/>
              <w:szCs w:val="22"/>
            </w:rPr>
            <w:t>113</w:t>
          </w:r>
          <w:r>
            <w:rPr>
              <w:rStyle w:val="46"/>
              <w:rFonts w:eastAsia="仿宋_GB2312;仿宋" w:cs="Times New Roman"/>
              <w:sz w:val="22"/>
              <w:szCs w:val="22"/>
            </w:rPr>
            <w:fldChar w:fldCharType="end"/>
          </w:r>
        </w:p>
        <w:p w14:paraId="4A95860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"__RefHeading___Toc351203616" \h </w:instrText>
          </w:r>
          <w:r>
            <w:fldChar w:fldCharType="separate"/>
          </w:r>
          <w:r>
            <w:rPr>
              <w:rStyle w:val="46"/>
              <w:rFonts w:eastAsia="仿宋_GB2312;仿宋" w:cs="Times New Roman"/>
              <w:sz w:val="22"/>
              <w:szCs w:val="22"/>
            </w:rPr>
            <w:t xml:space="preserve">18.4 </w:t>
          </w:r>
          <w:r>
            <w:rPr>
              <w:rStyle w:val="46"/>
              <w:rFonts w:ascii="Times New Roman" w:hAnsi="Times New Roman" w:eastAsia="仿宋_GB2312;仿宋" w:cs="Times New Roman"/>
              <w:sz w:val="22"/>
              <w:szCs w:val="22"/>
            </w:rPr>
            <w:t>持续保险</w:t>
          </w:r>
          <w:r>
            <w:rPr>
              <w:rStyle w:val="46"/>
              <w:rFonts w:eastAsia="仿宋_GB2312;仿宋" w:cs="Times New Roman"/>
              <w:sz w:val="22"/>
              <w:szCs w:val="22"/>
            </w:rPr>
            <w:tab/>
          </w:r>
          <w:r>
            <w:rPr>
              <w:rStyle w:val="46"/>
              <w:rFonts w:eastAsia="仿宋_GB2312;仿宋" w:cs="Times New Roman"/>
              <w:sz w:val="22"/>
              <w:szCs w:val="22"/>
            </w:rPr>
            <w:t>114</w:t>
          </w:r>
          <w:r>
            <w:rPr>
              <w:rStyle w:val="46"/>
              <w:rFonts w:eastAsia="仿宋_GB2312;仿宋" w:cs="Times New Roman"/>
              <w:sz w:val="22"/>
              <w:szCs w:val="22"/>
            </w:rPr>
            <w:fldChar w:fldCharType="end"/>
          </w:r>
        </w:p>
        <w:p w14:paraId="048BB17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"__RefHeading___Toc351203617" \h </w:instrText>
          </w:r>
          <w:r>
            <w:fldChar w:fldCharType="separate"/>
          </w:r>
          <w:r>
            <w:rPr>
              <w:rStyle w:val="46"/>
              <w:rFonts w:eastAsia="仿宋_GB2312;仿宋" w:cs="Times New Roman"/>
              <w:sz w:val="22"/>
              <w:szCs w:val="22"/>
            </w:rPr>
            <w:t xml:space="preserve">18.5 </w:t>
          </w:r>
          <w:r>
            <w:rPr>
              <w:rStyle w:val="46"/>
              <w:rFonts w:ascii="Times New Roman" w:hAnsi="Times New Roman" w:eastAsia="仿宋_GB2312;仿宋" w:cs="Times New Roman"/>
              <w:sz w:val="22"/>
              <w:szCs w:val="22"/>
            </w:rPr>
            <w:t>保险凭证</w:t>
          </w:r>
          <w:r>
            <w:rPr>
              <w:rStyle w:val="46"/>
              <w:rFonts w:eastAsia="仿宋_GB2312;仿宋" w:cs="Times New Roman"/>
              <w:sz w:val="22"/>
              <w:szCs w:val="22"/>
            </w:rPr>
            <w:tab/>
          </w:r>
          <w:r>
            <w:rPr>
              <w:rStyle w:val="46"/>
              <w:rFonts w:eastAsia="仿宋_GB2312;仿宋" w:cs="Times New Roman"/>
              <w:sz w:val="22"/>
              <w:szCs w:val="22"/>
            </w:rPr>
            <w:t>114</w:t>
          </w:r>
          <w:r>
            <w:rPr>
              <w:rStyle w:val="46"/>
              <w:rFonts w:eastAsia="仿宋_GB2312;仿宋" w:cs="Times New Roman"/>
              <w:sz w:val="22"/>
              <w:szCs w:val="22"/>
            </w:rPr>
            <w:fldChar w:fldCharType="end"/>
          </w:r>
        </w:p>
        <w:p w14:paraId="1BC60370">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"__RefHeading___Toc351203618" \h </w:instrText>
          </w:r>
          <w:r>
            <w:fldChar w:fldCharType="separate"/>
          </w:r>
          <w:r>
            <w:rPr>
              <w:rStyle w:val="46"/>
              <w:rFonts w:eastAsia="仿宋_GB2312;仿宋" w:cs="Times New Roman"/>
              <w:sz w:val="22"/>
              <w:szCs w:val="22"/>
            </w:rPr>
            <w:t xml:space="preserve">18.6 </w:t>
          </w:r>
          <w:r>
            <w:rPr>
              <w:rStyle w:val="46"/>
              <w:rFonts w:ascii="Times New Roman" w:hAnsi="Times New Roman" w:eastAsia="仿宋_GB2312;仿宋" w:cs="Times New Roman"/>
              <w:sz w:val="22"/>
              <w:szCs w:val="22"/>
            </w:rPr>
            <w:t>未按约定投保的补救</w:t>
          </w:r>
          <w:r>
            <w:rPr>
              <w:rStyle w:val="46"/>
              <w:rFonts w:eastAsia="仿宋_GB2312;仿宋" w:cs="Times New Roman"/>
              <w:sz w:val="22"/>
              <w:szCs w:val="22"/>
            </w:rPr>
            <w:tab/>
          </w:r>
          <w:r>
            <w:rPr>
              <w:rStyle w:val="46"/>
              <w:rFonts w:eastAsia="仿宋_GB2312;仿宋" w:cs="Times New Roman"/>
              <w:sz w:val="22"/>
              <w:szCs w:val="22"/>
            </w:rPr>
            <w:t>114</w:t>
          </w:r>
          <w:r>
            <w:rPr>
              <w:rStyle w:val="46"/>
              <w:rFonts w:eastAsia="仿宋_GB2312;仿宋" w:cs="Times New Roman"/>
              <w:sz w:val="22"/>
              <w:szCs w:val="22"/>
            </w:rPr>
            <w:fldChar w:fldCharType="end"/>
          </w:r>
        </w:p>
        <w:p w14:paraId="3F9C19E7">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"__RefHeading___Toc351203619" \h </w:instrText>
          </w:r>
          <w:r>
            <w:fldChar w:fldCharType="separate"/>
          </w:r>
          <w:r>
            <w:rPr>
              <w:rStyle w:val="46"/>
              <w:rFonts w:eastAsia="仿宋_GB2312;仿宋" w:cs="Times New Roman"/>
              <w:sz w:val="22"/>
              <w:szCs w:val="22"/>
            </w:rPr>
            <w:t xml:space="preserve">18.7 </w:t>
          </w:r>
          <w:r>
            <w:rPr>
              <w:rStyle w:val="46"/>
              <w:rFonts w:ascii="Times New Roman" w:hAnsi="Times New Roman" w:eastAsia="仿宋_GB2312;仿宋" w:cs="Times New Roman"/>
              <w:sz w:val="22"/>
              <w:szCs w:val="22"/>
            </w:rPr>
            <w:t>通知义务</w:t>
          </w:r>
          <w:r>
            <w:rPr>
              <w:rStyle w:val="46"/>
              <w:rFonts w:eastAsia="仿宋_GB2312;仿宋" w:cs="Times New Roman"/>
              <w:sz w:val="22"/>
              <w:szCs w:val="22"/>
            </w:rPr>
            <w:tab/>
          </w:r>
          <w:r>
            <w:rPr>
              <w:rStyle w:val="46"/>
              <w:rFonts w:eastAsia="仿宋_GB2312;仿宋" w:cs="Times New Roman"/>
              <w:sz w:val="22"/>
              <w:szCs w:val="22"/>
            </w:rPr>
            <w:t>114</w:t>
          </w:r>
          <w:r>
            <w:rPr>
              <w:rStyle w:val="46"/>
              <w:rFonts w:eastAsia="仿宋_GB2312;仿宋" w:cs="Times New Roman"/>
              <w:sz w:val="22"/>
              <w:szCs w:val="22"/>
            </w:rPr>
            <w:fldChar w:fldCharType="end"/>
          </w:r>
        </w:p>
        <w:p w14:paraId="41417459">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"__RefHeading___Toc351203620" \h </w:instrText>
          </w:r>
          <w:r>
            <w:fldChar w:fldCharType="separate"/>
          </w:r>
          <w:r>
            <w:rPr>
              <w:rStyle w:val="46"/>
              <w:rFonts w:eastAsia="仿宋_GB2312;仿宋" w:cs="Times New Roman"/>
              <w:sz w:val="22"/>
              <w:szCs w:val="22"/>
            </w:rPr>
            <w:t xml:space="preserve">19. </w:t>
          </w:r>
          <w:r>
            <w:rPr>
              <w:rStyle w:val="46"/>
              <w:rFonts w:ascii="Times New Roman" w:hAnsi="Times New Roman" w:eastAsia="仿宋_GB2312;仿宋" w:cs="Times New Roman"/>
              <w:sz w:val="22"/>
              <w:szCs w:val="22"/>
            </w:rPr>
            <w:t>索赔</w:t>
          </w:r>
          <w:r>
            <w:rPr>
              <w:rStyle w:val="46"/>
              <w:rFonts w:eastAsia="仿宋_GB2312;仿宋" w:cs="Times New Roman"/>
              <w:sz w:val="22"/>
              <w:szCs w:val="22"/>
            </w:rPr>
            <w:tab/>
          </w:r>
          <w:r>
            <w:rPr>
              <w:rStyle w:val="46"/>
              <w:rFonts w:eastAsia="仿宋_GB2312;仿宋" w:cs="Times New Roman"/>
              <w:sz w:val="22"/>
              <w:szCs w:val="22"/>
            </w:rPr>
            <w:t>114</w:t>
          </w:r>
          <w:r>
            <w:rPr>
              <w:rStyle w:val="46"/>
              <w:rFonts w:eastAsia="仿宋_GB2312;仿宋" w:cs="Times New Roman"/>
              <w:sz w:val="22"/>
              <w:szCs w:val="22"/>
            </w:rPr>
            <w:fldChar w:fldCharType="end"/>
          </w:r>
        </w:p>
        <w:p w14:paraId="494E3A0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"__RefHeading___Toc351203621" \h </w:instrText>
          </w:r>
          <w:r>
            <w:fldChar w:fldCharType="separate"/>
          </w:r>
          <w:r>
            <w:rPr>
              <w:rStyle w:val="46"/>
              <w:rFonts w:eastAsia="仿宋_GB2312;仿宋" w:cs="Times New Roman"/>
              <w:sz w:val="22"/>
              <w:szCs w:val="22"/>
            </w:rPr>
            <w:t xml:space="preserve">19.1 </w:t>
          </w:r>
          <w:r>
            <w:rPr>
              <w:rStyle w:val="46"/>
              <w:rFonts w:ascii="Times New Roman" w:hAnsi="Times New Roman" w:eastAsia="仿宋_GB2312;仿宋" w:cs="Times New Roman"/>
              <w:sz w:val="22"/>
              <w:szCs w:val="22"/>
            </w:rPr>
            <w:t>承包人的索赔</w:t>
          </w:r>
          <w:r>
            <w:rPr>
              <w:rStyle w:val="46"/>
              <w:rFonts w:eastAsia="仿宋_GB2312;仿宋" w:cs="Times New Roman"/>
              <w:sz w:val="22"/>
              <w:szCs w:val="22"/>
            </w:rPr>
            <w:tab/>
          </w:r>
          <w:r>
            <w:rPr>
              <w:rStyle w:val="46"/>
              <w:rFonts w:eastAsia="仿宋_GB2312;仿宋" w:cs="Times New Roman"/>
              <w:sz w:val="22"/>
              <w:szCs w:val="22"/>
            </w:rPr>
            <w:t>114</w:t>
          </w:r>
          <w:r>
            <w:rPr>
              <w:rStyle w:val="46"/>
              <w:rFonts w:eastAsia="仿宋_GB2312;仿宋" w:cs="Times New Roman"/>
              <w:sz w:val="22"/>
              <w:szCs w:val="22"/>
            </w:rPr>
            <w:fldChar w:fldCharType="end"/>
          </w:r>
        </w:p>
        <w:p w14:paraId="539D939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"__RefHeading___Toc351203622" \h </w:instrText>
          </w:r>
          <w:r>
            <w:fldChar w:fldCharType="separate"/>
          </w:r>
          <w:r>
            <w:rPr>
              <w:rStyle w:val="46"/>
              <w:rFonts w:eastAsia="仿宋_GB2312;仿宋" w:cs="Times New Roman"/>
              <w:sz w:val="22"/>
              <w:szCs w:val="22"/>
            </w:rPr>
            <w:t xml:space="preserve">19.2 </w:t>
          </w:r>
          <w:r>
            <w:rPr>
              <w:rStyle w:val="46"/>
              <w:rFonts w:ascii="Times New Roman" w:hAnsi="Times New Roman" w:eastAsia="仿宋_GB2312;仿宋" w:cs="Times New Roman"/>
              <w:sz w:val="22"/>
              <w:szCs w:val="22"/>
            </w:rPr>
            <w:t>对承包人索赔的处理</w:t>
          </w:r>
          <w:r>
            <w:rPr>
              <w:rStyle w:val="46"/>
              <w:rFonts w:eastAsia="仿宋_GB2312;仿宋" w:cs="Times New Roman"/>
              <w:sz w:val="22"/>
              <w:szCs w:val="22"/>
            </w:rPr>
            <w:tab/>
          </w:r>
          <w:r>
            <w:rPr>
              <w:rStyle w:val="46"/>
              <w:rFonts w:eastAsia="仿宋_GB2312;仿宋" w:cs="Times New Roman"/>
              <w:sz w:val="22"/>
              <w:szCs w:val="22"/>
            </w:rPr>
            <w:t>115</w:t>
          </w:r>
          <w:r>
            <w:rPr>
              <w:rStyle w:val="46"/>
              <w:rFonts w:eastAsia="仿宋_GB2312;仿宋" w:cs="Times New Roman"/>
              <w:sz w:val="22"/>
              <w:szCs w:val="22"/>
            </w:rPr>
            <w:fldChar w:fldCharType="end"/>
          </w:r>
        </w:p>
        <w:p w14:paraId="73F9C6D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"__RefHeading___Toc351203623" \h </w:instrText>
          </w:r>
          <w:r>
            <w:fldChar w:fldCharType="separate"/>
          </w:r>
          <w:r>
            <w:rPr>
              <w:rStyle w:val="46"/>
              <w:rFonts w:eastAsia="仿宋_GB2312;仿宋" w:cs="Times New Roman"/>
              <w:sz w:val="22"/>
              <w:szCs w:val="22"/>
            </w:rPr>
            <w:t xml:space="preserve">19.3 </w:t>
          </w:r>
          <w:r>
            <w:rPr>
              <w:rStyle w:val="46"/>
              <w:rFonts w:ascii="Times New Roman" w:hAnsi="Times New Roman" w:eastAsia="仿宋_GB2312;仿宋" w:cs="Times New Roman"/>
              <w:sz w:val="22"/>
              <w:szCs w:val="22"/>
            </w:rPr>
            <w:t>发包人的索赔</w:t>
          </w:r>
          <w:r>
            <w:rPr>
              <w:rStyle w:val="46"/>
              <w:rFonts w:eastAsia="仿宋_GB2312;仿宋" w:cs="Times New Roman"/>
              <w:sz w:val="22"/>
              <w:szCs w:val="22"/>
            </w:rPr>
            <w:tab/>
          </w:r>
          <w:r>
            <w:rPr>
              <w:rStyle w:val="46"/>
              <w:rFonts w:eastAsia="仿宋_GB2312;仿宋" w:cs="Times New Roman"/>
              <w:sz w:val="22"/>
              <w:szCs w:val="22"/>
            </w:rPr>
            <w:t>100</w:t>
          </w:r>
          <w:r>
            <w:rPr>
              <w:rStyle w:val="46"/>
              <w:rFonts w:eastAsia="仿宋_GB2312;仿宋" w:cs="Times New Roman"/>
              <w:sz w:val="22"/>
              <w:szCs w:val="22"/>
            </w:rPr>
            <w:fldChar w:fldCharType="end"/>
          </w:r>
        </w:p>
        <w:p w14:paraId="2F2798E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"__RefHeading___Toc351203624" \h </w:instrText>
          </w:r>
          <w:r>
            <w:fldChar w:fldCharType="separate"/>
          </w:r>
          <w:r>
            <w:rPr>
              <w:rStyle w:val="46"/>
              <w:rFonts w:eastAsia="仿宋_GB2312;仿宋" w:cs="Times New Roman"/>
              <w:sz w:val="22"/>
              <w:szCs w:val="22"/>
            </w:rPr>
            <w:t xml:space="preserve">19.4 </w:t>
          </w:r>
          <w:r>
            <w:rPr>
              <w:rStyle w:val="46"/>
              <w:rFonts w:ascii="Times New Roman" w:hAnsi="Times New Roman" w:eastAsia="仿宋_GB2312;仿宋" w:cs="Times New Roman"/>
              <w:sz w:val="22"/>
              <w:szCs w:val="22"/>
            </w:rPr>
            <w:t>对发包人索赔的处理</w:t>
          </w:r>
          <w:r>
            <w:rPr>
              <w:rStyle w:val="46"/>
              <w:rFonts w:eastAsia="仿宋_GB2312;仿宋" w:cs="Times New Roman"/>
              <w:sz w:val="22"/>
              <w:szCs w:val="22"/>
            </w:rPr>
            <w:tab/>
          </w:r>
          <w:r>
            <w:rPr>
              <w:rStyle w:val="46"/>
              <w:rFonts w:eastAsia="仿宋_GB2312;仿宋" w:cs="Times New Roman"/>
              <w:sz w:val="22"/>
              <w:szCs w:val="22"/>
            </w:rPr>
            <w:t>115</w:t>
          </w:r>
          <w:r>
            <w:rPr>
              <w:rStyle w:val="46"/>
              <w:rFonts w:eastAsia="仿宋_GB2312;仿宋" w:cs="Times New Roman"/>
              <w:sz w:val="22"/>
              <w:szCs w:val="22"/>
            </w:rPr>
            <w:fldChar w:fldCharType="end"/>
          </w:r>
        </w:p>
        <w:p w14:paraId="2F38572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"__RefHeading___Toc351203625" \h </w:instrText>
          </w:r>
          <w:r>
            <w:fldChar w:fldCharType="separate"/>
          </w:r>
          <w:r>
            <w:rPr>
              <w:rStyle w:val="46"/>
              <w:rFonts w:eastAsia="仿宋_GB2312;仿宋" w:cs="Times New Roman"/>
              <w:sz w:val="22"/>
              <w:szCs w:val="22"/>
            </w:rPr>
            <w:t xml:space="preserve">19.5 </w:t>
          </w:r>
          <w:r>
            <w:rPr>
              <w:rStyle w:val="46"/>
              <w:rFonts w:ascii="Times New Roman" w:hAnsi="Times New Roman" w:eastAsia="仿宋_GB2312;仿宋" w:cs="Times New Roman"/>
              <w:sz w:val="22"/>
              <w:szCs w:val="22"/>
            </w:rPr>
            <w:t>提出索赔的期限</w:t>
          </w:r>
          <w:r>
            <w:rPr>
              <w:rStyle w:val="46"/>
              <w:rFonts w:eastAsia="仿宋_GB2312;仿宋" w:cs="Times New Roman"/>
              <w:sz w:val="22"/>
              <w:szCs w:val="22"/>
            </w:rPr>
            <w:tab/>
          </w:r>
          <w:r>
            <w:rPr>
              <w:rStyle w:val="46"/>
              <w:rFonts w:eastAsia="仿宋_GB2312;仿宋" w:cs="Times New Roman"/>
              <w:sz w:val="22"/>
              <w:szCs w:val="22"/>
            </w:rPr>
            <w:t>116</w:t>
          </w:r>
          <w:r>
            <w:rPr>
              <w:rStyle w:val="46"/>
              <w:rFonts w:eastAsia="仿宋_GB2312;仿宋" w:cs="Times New Roman"/>
              <w:sz w:val="22"/>
              <w:szCs w:val="22"/>
            </w:rPr>
            <w:fldChar w:fldCharType="end"/>
          </w:r>
        </w:p>
        <w:p w14:paraId="45C5FF7B">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"__RefHeading___Toc351203626" \h </w:instrText>
          </w:r>
          <w:r>
            <w:fldChar w:fldCharType="separate"/>
          </w:r>
          <w:r>
            <w:rPr>
              <w:rStyle w:val="46"/>
              <w:rFonts w:eastAsia="仿宋_GB2312;仿宋" w:cs="Times New Roman"/>
              <w:sz w:val="22"/>
              <w:szCs w:val="22"/>
            </w:rPr>
            <w:t xml:space="preserve">20. </w:t>
          </w:r>
          <w:r>
            <w:rPr>
              <w:rStyle w:val="46"/>
              <w:rFonts w:ascii="Times New Roman" w:hAnsi="Times New Roman" w:eastAsia="仿宋_GB2312;仿宋" w:cs="Times New Roman"/>
              <w:sz w:val="22"/>
              <w:szCs w:val="22"/>
            </w:rPr>
            <w:t>争议解决</w:t>
          </w:r>
          <w:r>
            <w:rPr>
              <w:rStyle w:val="46"/>
              <w:rFonts w:eastAsia="仿宋_GB2312;仿宋" w:cs="Times New Roman"/>
              <w:sz w:val="22"/>
              <w:szCs w:val="22"/>
            </w:rPr>
            <w:tab/>
          </w:r>
          <w:r>
            <w:rPr>
              <w:rStyle w:val="46"/>
              <w:rFonts w:eastAsia="仿宋_GB2312;仿宋" w:cs="Times New Roman"/>
              <w:sz w:val="22"/>
              <w:szCs w:val="22"/>
            </w:rPr>
            <w:t>116</w:t>
          </w:r>
          <w:r>
            <w:rPr>
              <w:rStyle w:val="46"/>
              <w:rFonts w:eastAsia="仿宋_GB2312;仿宋" w:cs="Times New Roman"/>
              <w:sz w:val="22"/>
              <w:szCs w:val="22"/>
            </w:rPr>
            <w:fldChar w:fldCharType="end"/>
          </w:r>
        </w:p>
        <w:p w14:paraId="320976C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"__RefHeading___Toc351203627" \h </w:instrText>
          </w:r>
          <w:r>
            <w:fldChar w:fldCharType="separate"/>
          </w:r>
          <w:r>
            <w:rPr>
              <w:rStyle w:val="46"/>
              <w:rFonts w:eastAsia="仿宋_GB2312;仿宋" w:cs="Times New Roman"/>
              <w:sz w:val="22"/>
              <w:szCs w:val="22"/>
            </w:rPr>
            <w:t>20.1</w:t>
          </w:r>
          <w:r>
            <w:rPr>
              <w:rStyle w:val="46"/>
              <w:rFonts w:ascii="Times New Roman" w:hAnsi="Times New Roman" w:eastAsia="仿宋_GB2312;仿宋" w:cs="Times New Roman"/>
              <w:sz w:val="22"/>
              <w:szCs w:val="22"/>
            </w:rPr>
            <w:t>和解</w:t>
          </w:r>
          <w:r>
            <w:rPr>
              <w:rStyle w:val="46"/>
              <w:rFonts w:eastAsia="仿宋_GB2312;仿宋" w:cs="Times New Roman"/>
              <w:sz w:val="22"/>
              <w:szCs w:val="22"/>
            </w:rPr>
            <w:tab/>
          </w:r>
          <w:r>
            <w:rPr>
              <w:rStyle w:val="46"/>
              <w:rFonts w:eastAsia="仿宋_GB2312;仿宋" w:cs="Times New Roman"/>
              <w:sz w:val="22"/>
              <w:szCs w:val="22"/>
            </w:rPr>
            <w:t>116</w:t>
          </w:r>
          <w:r>
            <w:rPr>
              <w:rStyle w:val="46"/>
              <w:rFonts w:eastAsia="仿宋_GB2312;仿宋" w:cs="Times New Roman"/>
              <w:sz w:val="22"/>
              <w:szCs w:val="22"/>
            </w:rPr>
            <w:fldChar w:fldCharType="end"/>
          </w:r>
        </w:p>
        <w:p w14:paraId="0E18FBA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"__RefHeading___Toc351203628" \h </w:instrText>
          </w:r>
          <w:r>
            <w:fldChar w:fldCharType="separate"/>
          </w:r>
          <w:r>
            <w:rPr>
              <w:rStyle w:val="46"/>
              <w:rFonts w:eastAsia="仿宋_GB2312;仿宋" w:cs="Times New Roman"/>
              <w:sz w:val="22"/>
              <w:szCs w:val="22"/>
            </w:rPr>
            <w:t>20.2</w:t>
          </w:r>
          <w:r>
            <w:rPr>
              <w:rStyle w:val="46"/>
              <w:rFonts w:ascii="Times New Roman" w:hAnsi="Times New Roman" w:eastAsia="仿宋_GB2312;仿宋" w:cs="Times New Roman"/>
              <w:sz w:val="22"/>
              <w:szCs w:val="22"/>
            </w:rPr>
            <w:t>调解</w:t>
          </w:r>
          <w:r>
            <w:rPr>
              <w:rStyle w:val="46"/>
              <w:rFonts w:eastAsia="仿宋_GB2312;仿宋" w:cs="Times New Roman"/>
              <w:sz w:val="22"/>
              <w:szCs w:val="22"/>
            </w:rPr>
            <w:tab/>
          </w:r>
          <w:r>
            <w:rPr>
              <w:rStyle w:val="46"/>
              <w:rFonts w:eastAsia="仿宋_GB2312;仿宋" w:cs="Times New Roman"/>
              <w:sz w:val="22"/>
              <w:szCs w:val="22"/>
            </w:rPr>
            <w:t>116</w:t>
          </w:r>
          <w:r>
            <w:rPr>
              <w:rStyle w:val="46"/>
              <w:rFonts w:eastAsia="仿宋_GB2312;仿宋" w:cs="Times New Roman"/>
              <w:sz w:val="22"/>
              <w:szCs w:val="22"/>
            </w:rPr>
            <w:fldChar w:fldCharType="end"/>
          </w:r>
        </w:p>
        <w:p w14:paraId="1B64D86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"__RefHeading___Toc351203629" \h </w:instrText>
          </w:r>
          <w:r>
            <w:fldChar w:fldCharType="separate"/>
          </w:r>
          <w:r>
            <w:rPr>
              <w:rStyle w:val="46"/>
              <w:rFonts w:eastAsia="仿宋_GB2312;仿宋" w:cs="Times New Roman"/>
              <w:sz w:val="22"/>
              <w:szCs w:val="22"/>
            </w:rPr>
            <w:t>20.3</w:t>
          </w:r>
          <w:r>
            <w:rPr>
              <w:rStyle w:val="46"/>
              <w:rFonts w:ascii="Times New Roman" w:hAnsi="Times New Roman" w:eastAsia="仿宋_GB2312;仿宋" w:cs="Times New Roman"/>
              <w:sz w:val="22"/>
              <w:szCs w:val="22"/>
            </w:rPr>
            <w:t>争议评审</w:t>
          </w:r>
          <w:r>
            <w:rPr>
              <w:rStyle w:val="46"/>
              <w:rFonts w:eastAsia="仿宋_GB2312;仿宋" w:cs="Times New Roman"/>
              <w:sz w:val="22"/>
              <w:szCs w:val="22"/>
            </w:rPr>
            <w:tab/>
          </w:r>
          <w:r>
            <w:rPr>
              <w:rStyle w:val="46"/>
              <w:rFonts w:eastAsia="仿宋_GB2312;仿宋" w:cs="Times New Roman"/>
              <w:sz w:val="22"/>
              <w:szCs w:val="22"/>
            </w:rPr>
            <w:t>116</w:t>
          </w:r>
          <w:r>
            <w:rPr>
              <w:rStyle w:val="46"/>
              <w:rFonts w:eastAsia="仿宋_GB2312;仿宋" w:cs="Times New Roman"/>
              <w:sz w:val="22"/>
              <w:szCs w:val="22"/>
            </w:rPr>
            <w:fldChar w:fldCharType="end"/>
          </w:r>
        </w:p>
        <w:p w14:paraId="3AA95B0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"__RefHeading___Toc351203630" \h </w:instrText>
          </w:r>
          <w:r>
            <w:fldChar w:fldCharType="separate"/>
          </w:r>
          <w:r>
            <w:rPr>
              <w:rStyle w:val="46"/>
              <w:rFonts w:eastAsia="仿宋_GB2312;仿宋" w:cs="Times New Roman"/>
              <w:sz w:val="22"/>
              <w:szCs w:val="22"/>
            </w:rPr>
            <w:t>20.4</w:t>
          </w:r>
          <w:r>
            <w:rPr>
              <w:rStyle w:val="46"/>
              <w:rFonts w:ascii="Times New Roman" w:hAnsi="Times New Roman" w:eastAsia="仿宋_GB2312;仿宋" w:cs="Times New Roman"/>
              <w:sz w:val="22"/>
              <w:szCs w:val="22"/>
            </w:rPr>
            <w:t>仲裁或诉讼</w:t>
          </w:r>
          <w:r>
            <w:rPr>
              <w:rStyle w:val="46"/>
              <w:rFonts w:eastAsia="仿宋_GB2312;仿宋" w:cs="Times New Roman"/>
              <w:sz w:val="22"/>
              <w:szCs w:val="22"/>
            </w:rPr>
            <w:tab/>
          </w:r>
          <w:r>
            <w:rPr>
              <w:rStyle w:val="46"/>
              <w:rFonts w:eastAsia="仿宋_GB2312;仿宋" w:cs="Times New Roman"/>
              <w:sz w:val="22"/>
              <w:szCs w:val="22"/>
            </w:rPr>
            <w:t>117</w:t>
          </w:r>
          <w:r>
            <w:rPr>
              <w:rStyle w:val="46"/>
              <w:rFonts w:eastAsia="仿宋_GB2312;仿宋" w:cs="Times New Roman"/>
              <w:sz w:val="22"/>
              <w:szCs w:val="22"/>
            </w:rPr>
            <w:fldChar w:fldCharType="end"/>
          </w:r>
        </w:p>
        <w:p w14:paraId="3D211D9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"__RefHeading___Toc351203631" \h </w:instrText>
          </w:r>
          <w:r>
            <w:fldChar w:fldCharType="separate"/>
          </w:r>
          <w:r>
            <w:rPr>
              <w:rStyle w:val="46"/>
              <w:rFonts w:eastAsia="仿宋_GB2312;仿宋" w:cs="Times New Roman"/>
              <w:sz w:val="22"/>
              <w:szCs w:val="22"/>
            </w:rPr>
            <w:t>20.5</w:t>
          </w:r>
          <w:r>
            <w:rPr>
              <w:rStyle w:val="46"/>
              <w:rFonts w:ascii="Times New Roman" w:hAnsi="Times New Roman" w:eastAsia="仿宋_GB2312;仿宋" w:cs="Times New Roman"/>
              <w:sz w:val="22"/>
              <w:szCs w:val="22"/>
            </w:rPr>
            <w:t>争议解决条款效力</w:t>
          </w:r>
          <w:r>
            <w:rPr>
              <w:rStyle w:val="46"/>
              <w:rFonts w:eastAsia="仿宋_GB2312;仿宋" w:cs="Times New Roman"/>
              <w:sz w:val="22"/>
              <w:szCs w:val="22"/>
            </w:rPr>
            <w:tab/>
          </w:r>
          <w:r>
            <w:rPr>
              <w:rStyle w:val="46"/>
              <w:rFonts w:eastAsia="仿宋_GB2312;仿宋" w:cs="Times New Roman"/>
              <w:sz w:val="22"/>
              <w:szCs w:val="22"/>
            </w:rPr>
            <w:t>117</w:t>
          </w:r>
          <w:r>
            <w:rPr>
              <w:rStyle w:val="46"/>
              <w:rFonts w:eastAsia="仿宋_GB2312;仿宋" w:cs="Times New Roman"/>
              <w:sz w:val="22"/>
              <w:szCs w:val="22"/>
            </w:rPr>
            <w:fldChar w:fldCharType="end"/>
          </w:r>
        </w:p>
        <w:p w14:paraId="3C469D60">
          <w:pPr>
            <w:pStyle w:val="12"/>
            <w:tabs>
              <w:tab w:val="right" w:leader="dot" w:pos="8810"/>
            </w:tabs>
            <w:ind w:left="0" w:firstLine="240"/>
            <w:rPr>
              <w:rFonts w:ascii="Times New Roman" w:hAnsi="Times New Roman" w:eastAsia="仿宋_GB2312;仿宋" w:cs="Times New Roman"/>
              <w:sz w:val="24"/>
              <w:szCs w:val="24"/>
            </w:rPr>
          </w:pPr>
          <w:r>
            <w:fldChar w:fldCharType="begin"/>
          </w:r>
          <w:r>
            <w:instrText xml:space="preserve"> HYPERLINK \l "__RefHeading___Toc351203632" \h </w:instrText>
          </w:r>
          <w:r>
            <w:fldChar w:fldCharType="separate"/>
          </w:r>
          <w:r>
            <w:rPr>
              <w:rStyle w:val="46"/>
              <w:rFonts w:ascii="Times New Roman" w:hAnsi="Times New Roman" w:eastAsia="仿宋_GB2312;仿宋" w:cs="Times New Roman"/>
              <w:b/>
              <w:sz w:val="24"/>
              <w:szCs w:val="24"/>
            </w:rPr>
            <w:t>第三部分</w:t>
          </w:r>
          <w:r>
            <w:rPr>
              <w:rStyle w:val="46"/>
              <w:rFonts w:ascii="Times New Roman" w:hAnsi="Times New Roman" w:eastAsia="Times New Roman" w:cs="Times New Roman"/>
              <w:b/>
              <w:sz w:val="24"/>
              <w:szCs w:val="24"/>
            </w:rPr>
            <w:t xml:space="preserve"> </w:t>
          </w:r>
          <w:r>
            <w:rPr>
              <w:rStyle w:val="46"/>
              <w:rFonts w:ascii="Times New Roman" w:hAnsi="Times New Roman" w:eastAsia="仿宋_GB2312;仿宋" w:cs="Times New Roman"/>
              <w:b/>
              <w:sz w:val="24"/>
              <w:szCs w:val="24"/>
            </w:rPr>
            <w:t>专用合同条款</w:t>
          </w:r>
          <w:r>
            <w:rPr>
              <w:rStyle w:val="46"/>
              <w:rFonts w:ascii="Times New Roman" w:hAnsi="Times New Roman" w:eastAsia="仿宋_GB2312;仿宋" w:cs="Times New Roman"/>
              <w:sz w:val="22"/>
              <w:szCs w:val="22"/>
            </w:rPr>
            <w:t>……………..…………...</w:t>
          </w:r>
          <w:r>
            <w:rPr>
              <w:rStyle w:val="46"/>
              <w:rFonts w:ascii="Times New Roman" w:hAnsi="Times New Roman" w:eastAsia="仿宋_GB2312;仿宋" w:cs="Times New Roman"/>
              <w:sz w:val="22"/>
              <w:szCs w:val="22"/>
              <w:lang w:val="en-US" w:eastAsia="zh-CN"/>
            </w:rPr>
            <w:t>................................</w:t>
          </w:r>
          <w:r>
            <w:rPr>
              <w:rStyle w:val="46"/>
              <w:rFonts w:ascii="Times New Roman" w:hAnsi="Times New Roman" w:eastAsia="仿宋_GB2312;仿宋" w:cs="Times New Roman"/>
              <w:sz w:val="22"/>
              <w:szCs w:val="22"/>
            </w:rPr>
            <w:t>….................</w:t>
          </w:r>
          <w:r>
            <w:rPr>
              <w:rStyle w:val="46"/>
              <w:rFonts w:ascii="Times New Roman" w:hAnsi="Times New Roman" w:eastAsia="仿宋_GB2312;仿宋" w:cs="Times New Roman"/>
              <w:sz w:val="22"/>
              <w:szCs w:val="22"/>
            </w:rPr>
            <w:fldChar w:fldCharType="end"/>
          </w:r>
          <w:r>
            <w:rPr>
              <w:rFonts w:ascii="Times New Roman" w:hAnsi="Times New Roman" w:eastAsia="仿宋_GB2312;仿宋" w:cs="Times New Roman"/>
              <w:sz w:val="24"/>
              <w:szCs w:val="24"/>
            </w:rPr>
            <w:t>104</w:t>
          </w:r>
        </w:p>
        <w:p w14:paraId="7979F020">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"__RefHeading___Toc351203633" \h </w:instrText>
          </w:r>
          <w:r>
            <w:fldChar w:fldCharType="separate"/>
          </w:r>
          <w:r>
            <w:rPr>
              <w:rStyle w:val="46"/>
              <w:rFonts w:eastAsia="仿宋_GB2312;仿宋" w:cs="Times New Roman"/>
              <w:sz w:val="22"/>
              <w:szCs w:val="22"/>
            </w:rPr>
            <w:t xml:space="preserve">1. </w:t>
          </w:r>
          <w:r>
            <w:rPr>
              <w:rStyle w:val="46"/>
              <w:rFonts w:ascii="Times New Roman" w:hAnsi="Times New Roman" w:eastAsia="仿宋_GB2312;仿宋" w:cs="Times New Roman"/>
              <w:sz w:val="22"/>
              <w:szCs w:val="22"/>
            </w:rPr>
            <w:t>一般约定</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04</w:t>
          </w:r>
        </w:p>
        <w:p w14:paraId="0BB4622D">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"__RefHeading___Toc351203634" \h </w:instrText>
          </w:r>
          <w:r>
            <w:fldChar w:fldCharType="separate"/>
          </w:r>
          <w:r>
            <w:rPr>
              <w:rStyle w:val="46"/>
              <w:rFonts w:eastAsia="仿宋_GB2312;仿宋" w:cs="Times New Roman"/>
              <w:sz w:val="22"/>
              <w:szCs w:val="22"/>
            </w:rPr>
            <w:t xml:space="preserve">2. </w:t>
          </w:r>
          <w:r>
            <w:rPr>
              <w:rStyle w:val="46"/>
              <w:rFonts w:ascii="Times New Roman" w:hAnsi="Times New Roman" w:eastAsia="仿宋_GB2312;仿宋" w:cs="Times New Roman"/>
              <w:sz w:val="22"/>
              <w:szCs w:val="22"/>
            </w:rPr>
            <w:t>发包人</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08</w:t>
          </w:r>
        </w:p>
        <w:p w14:paraId="0C60BB47">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"__RefHeading___Toc351203635" \h </w:instrText>
          </w:r>
          <w:r>
            <w:fldChar w:fldCharType="separate"/>
          </w:r>
          <w:r>
            <w:rPr>
              <w:rStyle w:val="46"/>
              <w:rFonts w:eastAsia="仿宋_GB2312;仿宋" w:cs="Times New Roman"/>
              <w:sz w:val="22"/>
              <w:szCs w:val="22"/>
            </w:rPr>
            <w:t xml:space="preserve">3. </w:t>
          </w:r>
          <w:r>
            <w:rPr>
              <w:rStyle w:val="46"/>
              <w:rFonts w:ascii="Times New Roman" w:hAnsi="Times New Roman" w:eastAsia="仿宋_GB2312;仿宋" w:cs="Times New Roman"/>
              <w:sz w:val="22"/>
              <w:szCs w:val="22"/>
            </w:rPr>
            <w:t>承包人</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09</w:t>
          </w:r>
        </w:p>
        <w:p w14:paraId="2DF7DA36">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"__RefHeading___Toc351203636" \h </w:instrText>
          </w:r>
          <w:r>
            <w:fldChar w:fldCharType="separate"/>
          </w:r>
          <w:r>
            <w:rPr>
              <w:rStyle w:val="46"/>
              <w:rFonts w:eastAsia="仿宋_GB2312;仿宋" w:cs="Times New Roman"/>
              <w:sz w:val="22"/>
              <w:szCs w:val="22"/>
            </w:rPr>
            <w:t xml:space="preserve">4. </w:t>
          </w:r>
          <w:r>
            <w:rPr>
              <w:rStyle w:val="46"/>
              <w:rFonts w:ascii="Times New Roman" w:hAnsi="Times New Roman" w:eastAsia="仿宋_GB2312;仿宋" w:cs="Times New Roman"/>
              <w:sz w:val="22"/>
              <w:szCs w:val="22"/>
            </w:rPr>
            <w:t>监理人</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12</w:t>
          </w:r>
        </w:p>
        <w:p w14:paraId="369F8668">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"__RefHeading___Toc351203637" \h </w:instrText>
          </w:r>
          <w:r>
            <w:fldChar w:fldCharType="separate"/>
          </w:r>
          <w:r>
            <w:rPr>
              <w:rStyle w:val="46"/>
              <w:rFonts w:eastAsia="仿宋_GB2312;仿宋" w:cs="Times New Roman"/>
              <w:sz w:val="22"/>
              <w:szCs w:val="22"/>
            </w:rPr>
            <w:t xml:space="preserve">5. </w:t>
          </w:r>
          <w:r>
            <w:rPr>
              <w:rStyle w:val="46"/>
              <w:rFonts w:ascii="Times New Roman" w:hAnsi="Times New Roman" w:eastAsia="仿宋_GB2312;仿宋" w:cs="Times New Roman"/>
              <w:sz w:val="22"/>
              <w:szCs w:val="22"/>
            </w:rPr>
            <w:t>工程质量</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13</w:t>
          </w:r>
        </w:p>
        <w:p w14:paraId="00FF15A8">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"__RefHeading___Toc351203638" \h </w:instrText>
          </w:r>
          <w:r>
            <w:fldChar w:fldCharType="separate"/>
          </w:r>
          <w:r>
            <w:rPr>
              <w:rStyle w:val="46"/>
              <w:rFonts w:eastAsia="仿宋_GB2312;仿宋" w:cs="Times New Roman"/>
              <w:sz w:val="22"/>
              <w:szCs w:val="22"/>
            </w:rPr>
            <w:t xml:space="preserve">6. </w:t>
          </w:r>
          <w:r>
            <w:rPr>
              <w:rStyle w:val="46"/>
              <w:rFonts w:ascii="Times New Roman" w:hAnsi="Times New Roman" w:eastAsia="仿宋_GB2312;仿宋" w:cs="Times New Roman"/>
              <w:sz w:val="22"/>
              <w:szCs w:val="22"/>
            </w:rPr>
            <w:t>安全文明施工与环境保护</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14</w:t>
          </w:r>
        </w:p>
        <w:p w14:paraId="3A4D8C71">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"__RefHeading___Toc351203639" \h </w:instrText>
          </w:r>
          <w:r>
            <w:fldChar w:fldCharType="separate"/>
          </w:r>
          <w:r>
            <w:rPr>
              <w:rStyle w:val="46"/>
              <w:rFonts w:eastAsia="仿宋_GB2312;仿宋" w:cs="Times New Roman"/>
              <w:sz w:val="22"/>
              <w:szCs w:val="22"/>
            </w:rPr>
            <w:t xml:space="preserve">7. </w:t>
          </w:r>
          <w:r>
            <w:rPr>
              <w:rStyle w:val="46"/>
              <w:rFonts w:ascii="Times New Roman" w:hAnsi="Times New Roman" w:eastAsia="仿宋_GB2312;仿宋" w:cs="Times New Roman"/>
              <w:sz w:val="22"/>
              <w:szCs w:val="22"/>
            </w:rPr>
            <w:t>工期和进度</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14</w:t>
          </w:r>
        </w:p>
        <w:p w14:paraId="2BACFA85">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"__RefHeading___Toc351203640" \h </w:instrText>
          </w:r>
          <w:r>
            <w:fldChar w:fldCharType="separate"/>
          </w:r>
          <w:r>
            <w:rPr>
              <w:rStyle w:val="46"/>
              <w:rFonts w:eastAsia="仿宋_GB2312;仿宋" w:cs="Times New Roman"/>
              <w:sz w:val="22"/>
              <w:szCs w:val="22"/>
            </w:rPr>
            <w:t xml:space="preserve">8. </w:t>
          </w:r>
          <w:r>
            <w:rPr>
              <w:rStyle w:val="46"/>
              <w:rFonts w:ascii="Times New Roman" w:hAnsi="Times New Roman" w:eastAsia="仿宋_GB2312;仿宋" w:cs="Times New Roman"/>
              <w:sz w:val="22"/>
              <w:szCs w:val="22"/>
            </w:rPr>
            <w:t>材料与设备</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16</w:t>
          </w:r>
        </w:p>
        <w:p w14:paraId="2A84E7A7">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"__RefHeading___Toc351203641" \h </w:instrText>
          </w:r>
          <w:r>
            <w:fldChar w:fldCharType="separate"/>
          </w:r>
          <w:r>
            <w:rPr>
              <w:rStyle w:val="46"/>
              <w:rFonts w:eastAsia="仿宋_GB2312;仿宋" w:cs="Times New Roman"/>
              <w:sz w:val="22"/>
              <w:szCs w:val="22"/>
            </w:rPr>
            <w:t xml:space="preserve">9. </w:t>
          </w:r>
          <w:r>
            <w:rPr>
              <w:rStyle w:val="46"/>
              <w:rFonts w:ascii="Times New Roman" w:hAnsi="Times New Roman" w:eastAsia="仿宋_GB2312;仿宋" w:cs="Times New Roman"/>
              <w:sz w:val="22"/>
              <w:szCs w:val="22"/>
            </w:rPr>
            <w:t>试验与检验</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17</w:t>
          </w:r>
        </w:p>
        <w:p w14:paraId="303F3FAE">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"__RefHeading___Toc351203642" \h </w:instrText>
          </w:r>
          <w:r>
            <w:fldChar w:fldCharType="separate"/>
          </w:r>
          <w:r>
            <w:rPr>
              <w:rStyle w:val="46"/>
              <w:rFonts w:eastAsia="仿宋_GB2312;仿宋" w:cs="Times New Roman"/>
              <w:sz w:val="22"/>
              <w:szCs w:val="22"/>
            </w:rPr>
            <w:t xml:space="preserve">10. </w:t>
          </w:r>
          <w:r>
            <w:rPr>
              <w:rStyle w:val="46"/>
              <w:rFonts w:ascii="Times New Roman" w:hAnsi="Times New Roman" w:eastAsia="仿宋_GB2312;仿宋" w:cs="Times New Roman"/>
              <w:sz w:val="22"/>
              <w:szCs w:val="22"/>
            </w:rPr>
            <w:t>变更</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18</w:t>
          </w:r>
        </w:p>
        <w:p w14:paraId="742C2A40">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"__RefHeading___Toc351203643" \h </w:instrText>
          </w:r>
          <w:r>
            <w:fldChar w:fldCharType="separate"/>
          </w:r>
          <w:r>
            <w:rPr>
              <w:rStyle w:val="46"/>
              <w:rFonts w:eastAsia="仿宋_GB2312;仿宋" w:cs="Times New Roman"/>
              <w:sz w:val="22"/>
              <w:szCs w:val="22"/>
            </w:rPr>
            <w:t xml:space="preserve">11. </w:t>
          </w:r>
          <w:r>
            <w:rPr>
              <w:rStyle w:val="46"/>
              <w:rFonts w:ascii="Times New Roman" w:hAnsi="Times New Roman" w:eastAsia="仿宋_GB2312;仿宋" w:cs="Times New Roman"/>
              <w:sz w:val="22"/>
              <w:szCs w:val="22"/>
            </w:rPr>
            <w:t>价格调整</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19</w:t>
          </w:r>
        </w:p>
        <w:p w14:paraId="1741CCC2">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"__RefHeading___Toc351203644" \h </w:instrText>
          </w:r>
          <w:r>
            <w:fldChar w:fldCharType="separate"/>
          </w:r>
          <w:r>
            <w:rPr>
              <w:rStyle w:val="46"/>
              <w:rFonts w:eastAsia="仿宋_GB2312;仿宋" w:cs="Times New Roman"/>
              <w:sz w:val="22"/>
              <w:szCs w:val="22"/>
            </w:rPr>
            <w:t xml:space="preserve">12. </w:t>
          </w:r>
          <w:r>
            <w:rPr>
              <w:rStyle w:val="46"/>
              <w:rFonts w:ascii="Times New Roman" w:hAnsi="Times New Roman" w:eastAsia="仿宋_GB2312;仿宋" w:cs="Times New Roman"/>
              <w:sz w:val="22"/>
              <w:szCs w:val="22"/>
            </w:rPr>
            <w:t>合同价格、计量与支付</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20</w:t>
          </w:r>
        </w:p>
        <w:p w14:paraId="44F1296D">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"__RefHeading___Toc351203645" \h </w:instrText>
          </w:r>
          <w:r>
            <w:fldChar w:fldCharType="separate"/>
          </w:r>
          <w:r>
            <w:rPr>
              <w:rStyle w:val="46"/>
              <w:rFonts w:eastAsia="仿宋_GB2312;仿宋" w:cs="Times New Roman"/>
              <w:sz w:val="22"/>
              <w:szCs w:val="22"/>
            </w:rPr>
            <w:t xml:space="preserve">13. </w:t>
          </w:r>
          <w:r>
            <w:rPr>
              <w:rStyle w:val="46"/>
              <w:rFonts w:ascii="Times New Roman" w:hAnsi="Times New Roman" w:eastAsia="仿宋_GB2312;仿宋" w:cs="Times New Roman"/>
              <w:sz w:val="22"/>
              <w:szCs w:val="22"/>
            </w:rPr>
            <w:t>验收和工程试车</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23</w:t>
          </w:r>
        </w:p>
        <w:p w14:paraId="735ED3E6">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"__RefHeading___Toc351203646" \h </w:instrText>
          </w:r>
          <w:r>
            <w:fldChar w:fldCharType="separate"/>
          </w:r>
          <w:r>
            <w:rPr>
              <w:rStyle w:val="46"/>
              <w:rFonts w:eastAsia="仿宋_GB2312;仿宋" w:cs="Times New Roman"/>
              <w:sz w:val="22"/>
              <w:szCs w:val="22"/>
            </w:rPr>
            <w:t xml:space="preserve">14. </w:t>
          </w:r>
          <w:r>
            <w:rPr>
              <w:rStyle w:val="46"/>
              <w:rFonts w:ascii="Times New Roman" w:hAnsi="Times New Roman" w:eastAsia="仿宋_GB2312;仿宋" w:cs="Times New Roman"/>
              <w:sz w:val="22"/>
              <w:szCs w:val="22"/>
            </w:rPr>
            <w:t>竣工结算</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24</w:t>
          </w:r>
        </w:p>
        <w:p w14:paraId="55BBC931">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"__RefHeading___Toc351203647" \h </w:instrText>
          </w:r>
          <w:r>
            <w:fldChar w:fldCharType="separate"/>
          </w:r>
          <w:r>
            <w:rPr>
              <w:rStyle w:val="46"/>
              <w:rFonts w:eastAsia="仿宋_GB2312;仿宋" w:cs="Times New Roman"/>
              <w:sz w:val="22"/>
              <w:szCs w:val="22"/>
            </w:rPr>
            <w:t xml:space="preserve">15. </w:t>
          </w:r>
          <w:r>
            <w:rPr>
              <w:rStyle w:val="46"/>
              <w:rFonts w:ascii="Times New Roman" w:hAnsi="Times New Roman" w:eastAsia="仿宋_GB2312;仿宋" w:cs="Times New Roman"/>
              <w:sz w:val="22"/>
              <w:szCs w:val="22"/>
            </w:rPr>
            <w:t>缺陷责任期与保修</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25</w:t>
          </w:r>
        </w:p>
        <w:p w14:paraId="3393799A">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"__RefHeading___Toc351203648" \h </w:instrText>
          </w:r>
          <w:r>
            <w:fldChar w:fldCharType="separate"/>
          </w:r>
          <w:r>
            <w:rPr>
              <w:rStyle w:val="46"/>
              <w:rFonts w:eastAsia="仿宋_GB2312;仿宋" w:cs="Times New Roman"/>
              <w:sz w:val="22"/>
              <w:szCs w:val="22"/>
            </w:rPr>
            <w:t xml:space="preserve">16. </w:t>
          </w:r>
          <w:r>
            <w:rPr>
              <w:rStyle w:val="46"/>
              <w:rFonts w:ascii="Times New Roman" w:hAnsi="Times New Roman" w:eastAsia="仿宋_GB2312;仿宋" w:cs="Times New Roman"/>
              <w:sz w:val="22"/>
              <w:szCs w:val="22"/>
            </w:rPr>
            <w:t>违约</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26</w:t>
          </w:r>
        </w:p>
        <w:p w14:paraId="70F476B4">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"__RefHeading___Toc351203649" \h </w:instrText>
          </w:r>
          <w:r>
            <w:fldChar w:fldCharType="separate"/>
          </w:r>
          <w:r>
            <w:rPr>
              <w:rStyle w:val="46"/>
              <w:rFonts w:eastAsia="仿宋_GB2312;仿宋" w:cs="Times New Roman"/>
              <w:sz w:val="22"/>
              <w:szCs w:val="22"/>
            </w:rPr>
            <w:t xml:space="preserve">17. </w:t>
          </w:r>
          <w:r>
            <w:rPr>
              <w:rStyle w:val="46"/>
              <w:rFonts w:ascii="Times New Roman" w:hAnsi="Times New Roman" w:eastAsia="仿宋_GB2312;仿宋" w:cs="Times New Roman"/>
              <w:sz w:val="22"/>
              <w:szCs w:val="22"/>
            </w:rPr>
            <w:t>不可抗力</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28</w:t>
          </w:r>
        </w:p>
        <w:p w14:paraId="676B8715">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"__RefHeading___Toc351203650" \h </w:instrText>
          </w:r>
          <w:r>
            <w:fldChar w:fldCharType="separate"/>
          </w:r>
          <w:r>
            <w:rPr>
              <w:rStyle w:val="46"/>
              <w:rFonts w:eastAsia="仿宋_GB2312;仿宋" w:cs="Times New Roman"/>
              <w:sz w:val="22"/>
              <w:szCs w:val="22"/>
            </w:rPr>
            <w:t xml:space="preserve">18. </w:t>
          </w:r>
          <w:r>
            <w:rPr>
              <w:rStyle w:val="46"/>
              <w:rFonts w:ascii="Times New Roman" w:hAnsi="Times New Roman" w:eastAsia="仿宋_GB2312;仿宋" w:cs="Times New Roman"/>
              <w:sz w:val="22"/>
              <w:szCs w:val="22"/>
            </w:rPr>
            <w:t>保险</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29</w:t>
          </w:r>
        </w:p>
        <w:p w14:paraId="6287B9DE">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"__RefHeading___Toc351203651" \h </w:instrText>
          </w:r>
          <w:r>
            <w:fldChar w:fldCharType="separate"/>
          </w:r>
          <w:r>
            <w:rPr>
              <w:rStyle w:val="46"/>
              <w:rFonts w:eastAsia="仿宋_GB2312;仿宋" w:cs="Times New Roman"/>
              <w:sz w:val="22"/>
              <w:szCs w:val="22"/>
            </w:rPr>
            <w:t xml:space="preserve">20. </w:t>
          </w:r>
          <w:r>
            <w:rPr>
              <w:rStyle w:val="46"/>
              <w:rFonts w:ascii="Times New Roman" w:hAnsi="Times New Roman" w:eastAsia="仿宋_GB2312;仿宋" w:cs="Times New Roman"/>
              <w:sz w:val="22"/>
              <w:szCs w:val="22"/>
            </w:rPr>
            <w:t>争议解决</w:t>
          </w:r>
          <w:r>
            <w:rPr>
              <w:rStyle w:val="46"/>
              <w:rFonts w:eastAsia="仿宋_GB2312;仿宋" w:cs="Times New Roman"/>
              <w:sz w:val="22"/>
              <w:szCs w:val="22"/>
            </w:rPr>
            <w:tab/>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29</w:t>
          </w:r>
        </w:p>
        <w:p w14:paraId="691628E8">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"__RefHeading___Toc351203652" \h </w:instrText>
          </w:r>
          <w:r>
            <w:fldChar w:fldCharType="separate"/>
          </w:r>
          <w:r>
            <w:rPr>
              <w:rStyle w:val="46"/>
              <w:rFonts w:ascii="Times New Roman" w:hAnsi="Times New Roman" w:eastAsia="仿宋_GB2312;仿宋" w:cs="Times New Roman"/>
              <w:sz w:val="22"/>
              <w:szCs w:val="22"/>
            </w:rPr>
            <w:t>附件</w:t>
          </w:r>
          <w:r>
            <w:rPr>
              <w:rStyle w:val="46"/>
              <w:rFonts w:eastAsia="仿宋_GB2312;仿宋" w:cs="Times New Roman"/>
              <w:sz w:val="22"/>
              <w:szCs w:val="22"/>
            </w:rPr>
            <w:t>..................................................</w:t>
          </w:r>
          <w:r>
            <w:rPr>
              <w:rStyle w:val="46"/>
              <w:rFonts w:eastAsia="仿宋_GB2312;仿宋" w:cs="Times New Roman"/>
              <w:sz w:val="22"/>
              <w:szCs w:val="22"/>
              <w:lang w:val="en-US" w:eastAsia="zh-CN"/>
            </w:rPr>
            <w:t>...................</w:t>
          </w:r>
          <w:r>
            <w:rPr>
              <w:rStyle w:val="46"/>
              <w:rFonts w:eastAsia="仿宋_GB2312;仿宋" w:cs="Times New Roman"/>
              <w:sz w:val="22"/>
              <w:szCs w:val="22"/>
            </w:rPr>
            <w:t>.........................................1</w:t>
          </w:r>
          <w:r>
            <w:rPr>
              <w:rStyle w:val="46"/>
              <w:rFonts w:eastAsia="仿宋_GB2312;仿宋" w:cs="Times New Roman"/>
              <w:sz w:val="22"/>
              <w:szCs w:val="22"/>
            </w:rPr>
            <w:fldChar w:fldCharType="end"/>
          </w:r>
          <w:r>
            <w:rPr>
              <w:rFonts w:eastAsia="仿宋_GB2312;仿宋" w:cs="Times New Roman"/>
              <w:sz w:val="22"/>
              <w:szCs w:val="22"/>
            </w:rPr>
            <w:t>31</w:t>
          </w:r>
          <w:r>
            <w:rPr>
              <w:rFonts w:ascii="Times New Roman" w:hAnsi="Times New Roman" w:eastAsia="仿宋_GB2312;仿宋" w:cs="Times New Roman"/>
              <w:sz w:val="22"/>
              <w:szCs w:val="22"/>
            </w:rPr>
            <w:fldChar w:fldCharType="end"/>
          </w:r>
        </w:p>
      </w:sdtContent>
    </w:sdt>
    <w:p w14:paraId="3F959371">
      <w:pPr>
        <w:pStyle w:val="4"/>
        <w:numPr>
          <w:ilvl w:val="0"/>
          <w:numId w:val="0"/>
        </w:numPr>
        <w:rPr>
          <w:rFonts w:ascii="Times New Roman" w:hAnsi="Times New Roman" w:eastAsia="仿宋_GB2312;仿宋" w:cs="Times New Roman"/>
          <w:sz w:val="22"/>
          <w:szCs w:val="22"/>
        </w:rPr>
        <w:sectPr>
          <w:headerReference r:id="rId12" w:type="first"/>
          <w:footerReference r:id="rId14" w:type="first"/>
          <w:headerReference r:id="rId11" w:type="default"/>
          <w:footerReference r:id="rId13" w:type="default"/>
          <w:pgSz w:w="11906" w:h="16838"/>
          <w:pgMar w:top="1418" w:right="1555" w:bottom="1418" w:left="1531" w:header="851" w:footer="992" w:gutter="0"/>
          <w:pgNumType w:fmt="decimal"/>
          <w:cols w:space="720" w:num="1"/>
          <w:formProt w:val="0"/>
          <w:titlePg/>
          <w:docGrid w:type="lines" w:linePitch="312" w:charSpace="0"/>
        </w:sectPr>
      </w:pPr>
    </w:p>
    <w:p w14:paraId="398B30B2">
      <w:pPr>
        <w:pStyle w:val="4"/>
        <w:jc w:val="center"/>
        <w:rPr>
          <w:rFonts w:ascii="Times New Roman" w:hAnsi="Times New Roman" w:eastAsia="华文中宋;宋体" w:cs="Times New Roman"/>
          <w:b w:val="0"/>
          <w:color w:val="000000"/>
          <w:sz w:val="36"/>
          <w:szCs w:val="36"/>
        </w:rPr>
      </w:pPr>
      <w:bookmarkStart w:id="12" w:name="__RefHeading___Toc351203480"/>
      <w:r>
        <w:rPr>
          <w:rFonts w:ascii="华文中宋;宋体" w:hAnsi="华文中宋;宋体" w:eastAsia="华文中宋;宋体" w:cs="华文中宋;宋体"/>
          <w:sz w:val="36"/>
          <w:szCs w:val="36"/>
        </w:rPr>
        <w:t>第一部分 合同协议书</w:t>
      </w:r>
      <w:bookmarkEnd w:id="12"/>
    </w:p>
    <w:p w14:paraId="35BA4495">
      <w:pPr>
        <w:spacing w:line="360" w:lineRule="auto"/>
        <w:rPr>
          <w:rFonts w:ascii="Times New Roman" w:hAnsi="Times New Roman" w:eastAsia="仿宋_GB2312;仿宋" w:cs="Times New Roman"/>
          <w:b/>
          <w:color w:val="000000"/>
          <w:sz w:val="24"/>
          <w:szCs w:val="24"/>
          <w:u w:val="single"/>
        </w:rPr>
      </w:pPr>
      <w:r>
        <w:rPr>
          <w:rFonts w:ascii="Times New Roman" w:hAnsi="Times New Roman" w:eastAsia="仿宋_GB2312;仿宋" w:cs="Times New Roman"/>
          <w:b/>
          <w:color w:val="000000"/>
          <w:sz w:val="24"/>
          <w:szCs w:val="24"/>
        </w:rPr>
        <w:t>发包人（全称）：</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p>
    <w:p w14:paraId="3FC73019">
      <w:pPr>
        <w:spacing w:line="360" w:lineRule="auto"/>
        <w:rPr>
          <w:rFonts w:ascii="Times New Roman" w:hAnsi="Times New Roman" w:eastAsia="仿宋_GB2312;仿宋" w:cs="Times New Roman"/>
          <w:b/>
          <w:color w:val="000000"/>
          <w:sz w:val="24"/>
          <w:szCs w:val="24"/>
          <w:u w:val="single"/>
        </w:rPr>
      </w:pPr>
      <w:r>
        <w:rPr>
          <w:rFonts w:ascii="Times New Roman" w:hAnsi="Times New Roman" w:eastAsia="仿宋_GB2312;仿宋" w:cs="Times New Roman"/>
          <w:b/>
          <w:color w:val="000000"/>
          <w:sz w:val="24"/>
          <w:szCs w:val="24"/>
        </w:rPr>
        <w:t>承包人（全称）：</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p>
    <w:p w14:paraId="15BFC2F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根据《</w:t>
      </w:r>
      <w:r>
        <w:rPr>
          <w:rFonts w:ascii="Times New Roman" w:hAnsi="Times New Roman" w:eastAsia="仿宋_GB2312;仿宋" w:cs="Times New Roman"/>
          <w:color w:val="000000"/>
          <w:sz w:val="24"/>
          <w:szCs w:val="24"/>
          <w:lang w:eastAsia="zh-CN"/>
        </w:rPr>
        <w:t>中华人民共和国民法典</w:t>
      </w:r>
      <w:r>
        <w:rPr>
          <w:rFonts w:ascii="Times New Roman" w:hAnsi="Times New Roman" w:eastAsia="仿宋_GB2312;仿宋" w:cs="Times New Roman"/>
          <w:color w:val="000000"/>
          <w:sz w:val="24"/>
          <w:szCs w:val="24"/>
        </w:rPr>
        <w:t>》、《中华人民共和国建筑法》及有关法律规定，遵循平等、自愿、公平和诚实信用的原则，双方就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工程施工及有关事项协商一致，共同达成如下协议：</w:t>
      </w:r>
    </w:p>
    <w:p w14:paraId="1D696758">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3" w:name="__RefHeading___Toc351203481"/>
      <w:r>
        <w:rPr>
          <w:rFonts w:ascii="Times New Roman" w:hAnsi="Times New Roman" w:cs="Times New Roman"/>
          <w:b w:val="0"/>
          <w:color w:val="000000"/>
          <w:sz w:val="24"/>
          <w:szCs w:val="24"/>
        </w:rPr>
        <w:t>一、工程概况</w:t>
      </w:r>
      <w:bookmarkEnd w:id="13"/>
    </w:p>
    <w:p w14:paraId="1B3A89AC">
      <w:pPr>
        <w:spacing w:line="360" w:lineRule="auto"/>
        <w:ind w:firstLine="470"/>
        <w:rPr>
          <w:rFonts w:ascii="Times New Roman" w:hAnsi="Times New Roman" w:eastAsia="仿宋_GB2312;仿宋" w:cs="Times New Roman"/>
          <w:color w:val="000000"/>
          <w:sz w:val="24"/>
          <w:szCs w:val="24"/>
          <w:u w:val="single"/>
        </w:rPr>
      </w:pPr>
      <w:r>
        <w:rPr>
          <w:rFonts w:eastAsia="仿宋_GB2312;仿宋" w:cs="Times New Roman"/>
          <w:bCs/>
          <w:color w:val="000000"/>
          <w:sz w:val="24"/>
          <w:szCs w:val="24"/>
        </w:rPr>
        <w:t>1.</w:t>
      </w:r>
      <w:r>
        <w:rPr>
          <w:rFonts w:ascii="Times New Roman" w:hAnsi="Times New Roman" w:eastAsia="仿宋_GB2312;仿宋" w:cs="Times New Roman"/>
          <w:bCs/>
          <w:color w:val="000000"/>
          <w:sz w:val="24"/>
          <w:szCs w:val="24"/>
        </w:rPr>
        <w:t>工程名称</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1646E2E">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2.</w:t>
      </w:r>
      <w:r>
        <w:rPr>
          <w:rFonts w:ascii="Times New Roman" w:hAnsi="Times New Roman" w:eastAsia="仿宋_GB2312;仿宋" w:cs="Times New Roman"/>
          <w:bCs/>
          <w:color w:val="000000"/>
          <w:sz w:val="24"/>
          <w:szCs w:val="24"/>
        </w:rPr>
        <w:t>工程地点：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49B89E8">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3.</w:t>
      </w:r>
      <w:r>
        <w:rPr>
          <w:rFonts w:ascii="Times New Roman" w:hAnsi="Times New Roman" w:eastAsia="仿宋_GB2312;仿宋" w:cs="Times New Roman"/>
          <w:bCs/>
          <w:color w:val="000000"/>
          <w:sz w:val="24"/>
          <w:szCs w:val="24"/>
        </w:rPr>
        <w:t>工程立项批准文号：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bCs/>
          <w:color w:val="000000"/>
          <w:sz w:val="24"/>
          <w:szCs w:val="24"/>
        </w:rPr>
        <w:t>。</w:t>
      </w:r>
    </w:p>
    <w:p w14:paraId="52627D59">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4.</w:t>
      </w:r>
      <w:r>
        <w:rPr>
          <w:rFonts w:ascii="Times New Roman" w:hAnsi="Times New Roman" w:eastAsia="仿宋_GB2312;仿宋" w:cs="Times New Roman"/>
          <w:bCs/>
          <w:color w:val="000000"/>
          <w:sz w:val="24"/>
          <w:szCs w:val="24"/>
        </w:rPr>
        <w:t>资金来源：</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bCs/>
          <w:color w:val="000000"/>
          <w:sz w:val="24"/>
          <w:szCs w:val="24"/>
        </w:rPr>
        <w:t>。</w:t>
      </w:r>
    </w:p>
    <w:p w14:paraId="71A8EC40">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5.</w:t>
      </w:r>
      <w:r>
        <w:rPr>
          <w:rFonts w:ascii="Times New Roman" w:hAnsi="Times New Roman" w:eastAsia="仿宋_GB2312;仿宋" w:cs="Times New Roman"/>
          <w:bCs/>
          <w:color w:val="000000"/>
          <w:sz w:val="24"/>
          <w:szCs w:val="24"/>
        </w:rPr>
        <w:t>工程内容：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bCs/>
          <w:color w:val="000000"/>
          <w:sz w:val="24"/>
          <w:szCs w:val="24"/>
        </w:rPr>
        <w:t>。</w:t>
      </w:r>
    </w:p>
    <w:p w14:paraId="1D39FBD5">
      <w:pPr>
        <w:spacing w:line="360" w:lineRule="auto"/>
        <w:ind w:firstLine="470"/>
        <w:rPr>
          <w:rFonts w:ascii="Times New Roman" w:hAnsi="Times New Roman" w:eastAsia="仿宋_GB2312;仿宋" w:cs="Times New Roman"/>
          <w:bCs/>
          <w:color w:val="000000"/>
          <w:sz w:val="24"/>
          <w:szCs w:val="24"/>
        </w:rPr>
      </w:pPr>
      <w:r>
        <w:rPr>
          <w:rFonts w:ascii="Times New Roman" w:hAnsi="Times New Roman" w:eastAsia="仿宋_GB2312;仿宋" w:cs="Times New Roman"/>
          <w:color w:val="000000"/>
          <w:sz w:val="24"/>
          <w:szCs w:val="24"/>
        </w:rPr>
        <w:t>群体工程应附《承包人承揽工程项目一览表》（附件</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w:t>
      </w:r>
    </w:p>
    <w:p w14:paraId="75107AD2">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6.</w:t>
      </w:r>
      <w:r>
        <w:rPr>
          <w:rFonts w:ascii="Times New Roman" w:hAnsi="Times New Roman" w:eastAsia="仿宋_GB2312;仿宋" w:cs="Times New Roman"/>
          <w:bCs/>
          <w:color w:val="000000"/>
          <w:sz w:val="24"/>
          <w:szCs w:val="24"/>
        </w:rPr>
        <w:t>工程承包范围：</w:t>
      </w:r>
    </w:p>
    <w:p w14:paraId="5EB04FA8">
      <w:pPr>
        <w:spacing w:line="360" w:lineRule="auto"/>
        <w:ind w:firstLine="463"/>
        <w:rPr>
          <w:rFonts w:ascii="Times New Roman" w:hAnsi="Times New Roman" w:eastAsia="仿宋_GB2312;仿宋" w:cs="Times New Roman"/>
          <w:color w:val="000000"/>
          <w:sz w:val="24"/>
          <w:szCs w:val="24"/>
        </w:rPr>
      </w:pPr>
      <w:r>
        <w:rPr>
          <w:rFonts w:eastAsia="仿宋_GB2312;仿宋" w:cs="Times New Roman"/>
          <w:color w:val="000000"/>
          <w:sz w:val="24"/>
          <w:szCs w:val="24"/>
          <w:u w:val="single"/>
        </w:rPr>
        <w:t></w:t>
      </w:r>
      <w:r>
        <w:rPr>
          <w:rFonts w:eastAsia="Times New Roman" w:cs="Times New Roman"/>
          <w:color w:val="000000"/>
          <w:sz w:val="24"/>
          <w:szCs w:val="24"/>
          <w:u w:val="single"/>
        </w:rPr>
        <w:t xml:space="preserve">   </w:t>
      </w:r>
      <w:r>
        <w:rPr>
          <w:rFonts w:eastAsia="仿宋_GB2312;仿宋" w:cs="Times New Roman"/>
          <w:color w:val="000000"/>
          <w:sz w:val="24"/>
          <w:szCs w:val="24"/>
          <w:u w:val="single"/>
        </w:rPr>
        <w:t></w:t>
      </w:r>
    </w:p>
    <w:p w14:paraId="1C6621C3">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u w:val="single"/>
        </w:rPr>
        <w:t></w:t>
      </w:r>
      <w:r>
        <w:rPr>
          <w:rFonts w:eastAsia="Times New Roman" w:cs="Times New Roman"/>
          <w:color w:val="000000"/>
          <w:sz w:val="24"/>
          <w:szCs w:val="24"/>
          <w:u w:val="single"/>
        </w:rPr>
        <w:t xml:space="preserve"> </w:t>
      </w:r>
      <w:r>
        <w:rPr>
          <w:rFonts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DA6E392">
      <w:pPr>
        <w:pStyle w:val="5"/>
        <w:spacing w:before="120" w:after="120" w:line="360" w:lineRule="auto"/>
        <w:rPr>
          <w:rFonts w:ascii="Times New Roman" w:hAnsi="Times New Roman" w:eastAsia="黑体" w:cs="Times New Roman"/>
          <w:b w:val="0"/>
          <w:color w:val="000000"/>
          <w:sz w:val="24"/>
          <w:szCs w:val="24"/>
        </w:rPr>
      </w:pPr>
      <w:r>
        <w:rPr>
          <w:rFonts w:ascii="Times New Roman" w:hAnsi="Times New Roman" w:eastAsia="Times New Roman" w:cs="Times New Roman"/>
          <w:b w:val="0"/>
          <w:color w:val="000000"/>
          <w:sz w:val="24"/>
          <w:szCs w:val="24"/>
        </w:rPr>
        <w:t xml:space="preserve">   </w:t>
      </w:r>
      <w:bookmarkStart w:id="14" w:name="__RefHeading___Toc351203482"/>
      <w:r>
        <w:rPr>
          <w:rFonts w:ascii="Times New Roman" w:hAnsi="Times New Roman" w:cs="Times New Roman"/>
          <w:b w:val="0"/>
          <w:color w:val="000000"/>
          <w:sz w:val="24"/>
          <w:szCs w:val="24"/>
        </w:rPr>
        <w:t>二、合同工期</w:t>
      </w:r>
      <w:bookmarkEnd w:id="14"/>
    </w:p>
    <w:p w14:paraId="728018F2">
      <w:pPr>
        <w:spacing w:line="360" w:lineRule="auto"/>
        <w:ind w:firstLine="459"/>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计划开工日期：</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年</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月</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日。</w:t>
      </w:r>
    </w:p>
    <w:p w14:paraId="23F2A69B">
      <w:pPr>
        <w:spacing w:line="360" w:lineRule="auto"/>
        <w:ind w:firstLine="459"/>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计划竣工日期：</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年</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月</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日。</w:t>
      </w:r>
    </w:p>
    <w:p w14:paraId="08C98061">
      <w:pPr>
        <w:spacing w:line="360" w:lineRule="auto"/>
        <w:ind w:firstLine="459"/>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工期总日历天数：</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天。工期总日历天数与根据前述计划开竣工日期计算的工期天数不一致的，以工期总日历天数为准。</w:t>
      </w:r>
    </w:p>
    <w:p w14:paraId="08CCFD40">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15" w:name="__RefHeading___Toc351203483"/>
      <w:r>
        <w:rPr>
          <w:rFonts w:ascii="Times New Roman" w:hAnsi="Times New Roman" w:cs="Times New Roman"/>
          <w:b w:val="0"/>
          <w:color w:val="000000"/>
          <w:sz w:val="24"/>
          <w:szCs w:val="24"/>
        </w:rPr>
        <w:t>三、质量标准</w:t>
      </w:r>
      <w:bookmarkEnd w:id="15"/>
    </w:p>
    <w:p w14:paraId="6970C0A8">
      <w:pPr>
        <w:spacing w:line="360" w:lineRule="auto"/>
        <w:ind w:firstLine="459"/>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工程质量符合</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标准。</w:t>
      </w:r>
    </w:p>
    <w:p w14:paraId="15FC4A98">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6" w:name="__RefHeading___Toc351203484"/>
      <w:r>
        <w:rPr>
          <w:rFonts w:ascii="Times New Roman" w:hAnsi="Times New Roman" w:cs="Times New Roman"/>
          <w:b w:val="0"/>
          <w:color w:val="000000"/>
          <w:sz w:val="24"/>
          <w:szCs w:val="24"/>
        </w:rPr>
        <w:t>四、签约合同价与合同价格形式</w:t>
      </w:r>
      <w:bookmarkEnd w:id="16"/>
      <w:r>
        <w:rPr>
          <w:rFonts w:ascii="Times New Roman" w:hAnsi="Times New Roman" w:eastAsia="黑体" w:cs="Times New Roman"/>
          <w:b w:val="0"/>
          <w:color w:val="000000"/>
          <w:sz w:val="24"/>
          <w:szCs w:val="24"/>
        </w:rPr>
        <w:tab/>
      </w:r>
    </w:p>
    <w:p w14:paraId="55487932">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签约合同价为：</w:t>
      </w:r>
    </w:p>
    <w:p w14:paraId="3A5081E4">
      <w:pPr>
        <w:spacing w:line="360" w:lineRule="auto"/>
        <w:ind w:firstLine="60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1CA14B6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其中：</w:t>
      </w:r>
    </w:p>
    <w:p w14:paraId="74BD782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）安全文明施工费：</w:t>
      </w:r>
    </w:p>
    <w:p w14:paraId="524EEB8A">
      <w:pPr>
        <w:spacing w:line="360" w:lineRule="auto"/>
        <w:ind w:firstLine="10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374D5B85">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）材料和工程设备暂估价金额：</w:t>
      </w:r>
    </w:p>
    <w:p w14:paraId="7D05497A">
      <w:pPr>
        <w:spacing w:line="360" w:lineRule="auto"/>
        <w:ind w:firstLine="10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2714BF1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）专业工程暂估价金额：</w:t>
      </w:r>
    </w:p>
    <w:p w14:paraId="0E416183">
      <w:pPr>
        <w:spacing w:line="360" w:lineRule="auto"/>
        <w:ind w:firstLine="10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137D57F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）暂列金额：</w:t>
      </w:r>
    </w:p>
    <w:p w14:paraId="31ED8728">
      <w:pPr>
        <w:spacing w:line="360" w:lineRule="auto"/>
        <w:ind w:firstLine="10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01D3A264">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合同价格形式：</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3F0B5B0F">
      <w:pPr>
        <w:pStyle w:val="5"/>
        <w:spacing w:before="120" w:after="120" w:line="360" w:lineRule="auto"/>
        <w:rPr>
          <w:rFonts w:ascii="Times New Roman" w:hAnsi="Times New Roman" w:eastAsia="黑体" w:cs="Times New Roman"/>
          <w:b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7" w:name="__RefHeading___Toc351203485"/>
      <w:r>
        <w:rPr>
          <w:rFonts w:ascii="Times New Roman" w:hAnsi="Times New Roman" w:cs="Times New Roman"/>
          <w:b w:val="0"/>
          <w:color w:val="000000"/>
          <w:sz w:val="24"/>
          <w:szCs w:val="24"/>
        </w:rPr>
        <w:t>五、</w:t>
      </w:r>
      <w:bookmarkEnd w:id="17"/>
      <w:r>
        <w:rPr>
          <w:rFonts w:ascii="Times New Roman" w:hAnsi="Times New Roman" w:cs="Times New Roman"/>
          <w:b w:val="0"/>
          <w:color w:val="000000"/>
          <w:sz w:val="24"/>
          <w:szCs w:val="24"/>
        </w:rPr>
        <w:t>项目经理</w:t>
      </w:r>
    </w:p>
    <w:p w14:paraId="45BB324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承包人项目经理：</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68CE231">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8" w:name="__RefHeading___Toc351203486"/>
      <w:r>
        <w:rPr>
          <w:rFonts w:ascii="Times New Roman" w:hAnsi="Times New Roman" w:cs="Times New Roman"/>
          <w:b w:val="0"/>
          <w:color w:val="000000"/>
          <w:sz w:val="24"/>
          <w:szCs w:val="24"/>
        </w:rPr>
        <w:t>六、合同文件构成</w:t>
      </w:r>
      <w:bookmarkEnd w:id="18"/>
    </w:p>
    <w:p w14:paraId="0CC50B12">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本协议书与下列文件一起构成合同文件：</w:t>
      </w:r>
    </w:p>
    <w:p w14:paraId="45C92D00">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）成交通知书（如果有）；</w:t>
      </w:r>
    </w:p>
    <w:p w14:paraId="00187CAE">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）响应函及其附录（如果有）；</w:t>
      </w:r>
      <w:r>
        <w:rPr>
          <w:rFonts w:ascii="Times New Roman" w:hAnsi="Times New Roman" w:eastAsia="Times New Roman" w:cs="Times New Roman"/>
          <w:color w:val="000000"/>
          <w:sz w:val="24"/>
          <w:szCs w:val="24"/>
        </w:rPr>
        <w:t xml:space="preserve"> </w:t>
      </w:r>
    </w:p>
    <w:p w14:paraId="3583C0F4">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）专用合同条款及其附件；</w:t>
      </w:r>
    </w:p>
    <w:p w14:paraId="57785FF2">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）通用合同条款；</w:t>
      </w:r>
    </w:p>
    <w:p w14:paraId="62F59D54">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）技术标准和要求；</w:t>
      </w:r>
    </w:p>
    <w:p w14:paraId="6CFA7E18">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6</w:t>
      </w:r>
      <w:r>
        <w:rPr>
          <w:rFonts w:ascii="Times New Roman" w:hAnsi="Times New Roman" w:eastAsia="仿宋_GB2312;仿宋" w:cs="Times New Roman"/>
          <w:color w:val="000000"/>
          <w:sz w:val="24"/>
          <w:szCs w:val="24"/>
        </w:rPr>
        <w:t>）图纸；</w:t>
      </w:r>
    </w:p>
    <w:p w14:paraId="00F97963">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）已标价工程量清单或预算书；</w:t>
      </w:r>
    </w:p>
    <w:p w14:paraId="69438E26">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8</w:t>
      </w:r>
      <w:r>
        <w:rPr>
          <w:rFonts w:ascii="Times New Roman" w:hAnsi="Times New Roman" w:eastAsia="仿宋_GB2312;仿宋" w:cs="Times New Roman"/>
          <w:color w:val="000000"/>
          <w:sz w:val="24"/>
          <w:szCs w:val="24"/>
        </w:rPr>
        <w:t>）其他合同文件。</w:t>
      </w:r>
    </w:p>
    <w:p w14:paraId="6B43F8E1">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在合同订立及履行过程中形成的与合同有关的文件均构成合同文件组成部分。</w:t>
      </w:r>
    </w:p>
    <w:p w14:paraId="12FDCAAA">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上述各项合同文件包括合同当事人就该项合同文件所作出的补充和修改，属于同一类内容的文件，应以最新签署的为准。专用合同条款及其附件须经合同当事人签字或盖章。</w:t>
      </w:r>
    </w:p>
    <w:p w14:paraId="6E8EB8A6">
      <w:pPr>
        <w:pStyle w:val="5"/>
        <w:spacing w:before="120" w:after="120" w:line="360" w:lineRule="auto"/>
        <w:rPr>
          <w:rFonts w:ascii="Times New Roman" w:hAnsi="Times New Roman" w:eastAsia="黑体" w:cs="Times New Roman"/>
          <w:b w:val="0"/>
          <w:bCs w:val="0"/>
          <w:color w:val="000000"/>
          <w:sz w:val="24"/>
          <w:szCs w:val="24"/>
        </w:rPr>
      </w:pPr>
      <w:r>
        <w:rPr>
          <w:rFonts w:ascii="Times New Roman" w:hAnsi="Times New Roman" w:eastAsia="Times New Roman" w:cs="Times New Roman"/>
          <w:b w:val="0"/>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9" w:name="__RefHeading___Toc351203487"/>
      <w:r>
        <w:rPr>
          <w:rFonts w:ascii="Times New Roman" w:hAnsi="Times New Roman" w:cs="Times New Roman"/>
          <w:b w:val="0"/>
          <w:color w:val="000000"/>
          <w:sz w:val="24"/>
          <w:szCs w:val="24"/>
        </w:rPr>
        <w:t>七、承诺</w:t>
      </w:r>
      <w:bookmarkEnd w:id="19"/>
    </w:p>
    <w:p w14:paraId="72CB6F99">
      <w:pPr>
        <w:spacing w:line="360" w:lineRule="auto"/>
        <w:ind w:firstLine="48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1.</w:t>
      </w:r>
      <w:r>
        <w:rPr>
          <w:rFonts w:ascii="Times New Roman" w:hAnsi="Times New Roman" w:eastAsia="仿宋_GB2312;仿宋" w:cs="Times New Roman"/>
          <w:bCs/>
          <w:color w:val="000000"/>
          <w:sz w:val="24"/>
          <w:szCs w:val="24"/>
        </w:rPr>
        <w:t>发包人承诺按照法律规定履行项目审批手续、筹集工程建设资金并按照合同约定的期限和方式支付合同价款。</w:t>
      </w:r>
    </w:p>
    <w:p w14:paraId="50026FC1">
      <w:pPr>
        <w:spacing w:line="360" w:lineRule="auto"/>
        <w:ind w:firstLine="48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2.</w:t>
      </w:r>
      <w:r>
        <w:rPr>
          <w:rFonts w:ascii="Times New Roman" w:hAnsi="Times New Roman" w:eastAsia="仿宋_GB2312;仿宋" w:cs="Times New Roman"/>
          <w:bCs/>
          <w:color w:val="000000"/>
          <w:sz w:val="24"/>
          <w:szCs w:val="24"/>
        </w:rPr>
        <w:t>承包人承诺按照法律规定及合同约定组织完成工程施工，确保工程质量和安全，不进行转包及违法分包，并在缺陷责任期及保修期内承担相应的工程维修责任。</w:t>
      </w:r>
    </w:p>
    <w:p w14:paraId="74CC4EA2">
      <w:pPr>
        <w:spacing w:line="360" w:lineRule="auto"/>
        <w:ind w:firstLine="48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3.</w:t>
      </w:r>
      <w:r>
        <w:rPr>
          <w:rFonts w:ascii="Times New Roman" w:hAnsi="Times New Roman" w:eastAsia="仿宋_GB2312;仿宋" w:cs="Times New Roman"/>
          <w:bCs/>
          <w:color w:val="000000"/>
          <w:sz w:val="24"/>
          <w:szCs w:val="24"/>
        </w:rPr>
        <w:t>发包人和承包人通过采购形式签订合同的，双方理解并承诺不再就同一工程另行签订与合同实质性内容相背离的协议。</w:t>
      </w:r>
    </w:p>
    <w:p w14:paraId="04A22D54">
      <w:pPr>
        <w:spacing w:line="360" w:lineRule="auto"/>
        <w:rPr>
          <w:rFonts w:ascii="Times New Roman" w:hAnsi="Times New Roman" w:eastAsia="黑体" w:cs="Times New Roman"/>
          <w:bCs/>
          <w:color w:val="000000"/>
          <w:sz w:val="24"/>
          <w:szCs w:val="24"/>
        </w:rPr>
      </w:pPr>
      <w:bookmarkStart w:id="20" w:name="__RefHeading___Toc351203488"/>
      <w:bookmarkEnd w:id="20"/>
      <w:r>
        <w:rPr>
          <w:rFonts w:eastAsia="Times New Roman" w:cs="Times New Roman"/>
          <w:b/>
          <w:color w:val="000000"/>
          <w:sz w:val="24"/>
          <w:szCs w:val="24"/>
        </w:rPr>
        <w:t xml:space="preserve">    </w:t>
      </w:r>
      <w:r>
        <w:rPr>
          <w:rFonts w:ascii="Times New Roman" w:hAnsi="Times New Roman" w:eastAsia="黑体" w:cs="Times New Roman"/>
          <w:b/>
          <w:color w:val="000000"/>
          <w:sz w:val="24"/>
          <w:szCs w:val="24"/>
        </w:rPr>
        <w:t>八、词语含义</w:t>
      </w:r>
    </w:p>
    <w:p w14:paraId="116A39D2">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本协议书中词语含义与第二部分通用合同条款中赋予的含义相同。</w:t>
      </w:r>
    </w:p>
    <w:p w14:paraId="73A8E7C0">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21" w:name="__RefHeading___Toc351203489"/>
      <w:r>
        <w:rPr>
          <w:rFonts w:ascii="Times New Roman" w:hAnsi="Times New Roman" w:cs="Times New Roman"/>
          <w:b w:val="0"/>
          <w:color w:val="000000"/>
          <w:sz w:val="24"/>
          <w:szCs w:val="24"/>
        </w:rPr>
        <w:t>九、签订时间</w:t>
      </w:r>
      <w:bookmarkEnd w:id="21"/>
    </w:p>
    <w:p w14:paraId="76DC1057">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本合同于</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年</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月</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日签订。</w:t>
      </w:r>
    </w:p>
    <w:p w14:paraId="065710DD">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22" w:name="__RefHeading___Toc351203490"/>
      <w:r>
        <w:rPr>
          <w:rFonts w:ascii="Times New Roman" w:hAnsi="Times New Roman" w:cs="Times New Roman"/>
          <w:b w:val="0"/>
          <w:color w:val="000000"/>
          <w:sz w:val="24"/>
          <w:szCs w:val="24"/>
        </w:rPr>
        <w:t>十、签订地点</w:t>
      </w:r>
      <w:bookmarkEnd w:id="22"/>
    </w:p>
    <w:p w14:paraId="1F3B0D68">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本合同在</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签订。</w:t>
      </w:r>
    </w:p>
    <w:p w14:paraId="6FD73A2D">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23" w:name="__RefHeading___Toc351203491"/>
      <w:r>
        <w:rPr>
          <w:rFonts w:ascii="Times New Roman" w:hAnsi="Times New Roman" w:cs="Times New Roman"/>
          <w:b w:val="0"/>
          <w:color w:val="000000"/>
          <w:sz w:val="24"/>
          <w:szCs w:val="24"/>
        </w:rPr>
        <w:t>十一、补充协议</w:t>
      </w:r>
      <w:bookmarkEnd w:id="23"/>
    </w:p>
    <w:p w14:paraId="362320E1">
      <w:pPr>
        <w:spacing w:line="360" w:lineRule="auto"/>
        <w:ind w:firstLine="480"/>
        <w:rPr>
          <w:rFonts w:ascii="Times New Roman" w:hAnsi="Times New Roman" w:eastAsia="仿宋_GB2312;仿宋" w:cs="Times New Roman"/>
          <w:b/>
          <w:bCs/>
          <w:color w:val="000000"/>
          <w:sz w:val="24"/>
          <w:szCs w:val="24"/>
        </w:rPr>
      </w:pPr>
      <w:r>
        <w:rPr>
          <w:rFonts w:ascii="Times New Roman" w:hAnsi="Times New Roman" w:eastAsia="仿宋_GB2312;仿宋" w:cs="Times New Roman"/>
          <w:bCs/>
          <w:color w:val="000000"/>
          <w:sz w:val="24"/>
          <w:szCs w:val="24"/>
        </w:rPr>
        <w:t>合同未尽事宜，合同当事人另行签订补充协议，补充协议是合同的组成部分。</w:t>
      </w:r>
    </w:p>
    <w:p w14:paraId="3797F18C">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24" w:name="__RefHeading___Toc351203492"/>
      <w:r>
        <w:rPr>
          <w:rFonts w:ascii="Times New Roman" w:hAnsi="Times New Roman" w:cs="Times New Roman"/>
          <w:b w:val="0"/>
          <w:color w:val="000000"/>
          <w:sz w:val="24"/>
          <w:szCs w:val="24"/>
        </w:rPr>
        <w:t>十二、合同生效</w:t>
      </w:r>
      <w:bookmarkEnd w:id="24"/>
    </w:p>
    <w:p w14:paraId="5932A87F">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本合同自</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生效。</w:t>
      </w:r>
    </w:p>
    <w:p w14:paraId="22EA9B1C">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25" w:name="__RefHeading___Toc351203493"/>
      <w:r>
        <w:rPr>
          <w:rFonts w:ascii="Times New Roman" w:hAnsi="Times New Roman" w:cs="Times New Roman"/>
          <w:b w:val="0"/>
          <w:color w:val="000000"/>
          <w:sz w:val="24"/>
          <w:szCs w:val="24"/>
        </w:rPr>
        <w:t>十三、合同份数</w:t>
      </w:r>
      <w:bookmarkEnd w:id="25"/>
    </w:p>
    <w:p w14:paraId="024681E1">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本合同一式</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份，均具有同等法律效力，发包人执</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份，承包人执</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份。</w:t>
      </w:r>
    </w:p>
    <w:p w14:paraId="02284B29">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公章</w:t>
      </w:r>
      <w:r>
        <w:rPr>
          <w:rFonts w:eastAsia="仿宋_GB2312;仿宋" w:cs="Times New Roman"/>
          <w:color w:val="000000"/>
          <w:sz w:val="24"/>
          <w:szCs w:val="24"/>
        </w:rPr>
        <w:t xml:space="preserve">)             </w:t>
      </w:r>
      <w:r>
        <w:rPr>
          <w:rFonts w:ascii="Times New Roman" w:hAnsi="Times New Roman" w:eastAsia="仿宋_GB2312;仿宋" w:cs="Times New Roman"/>
          <w:color w:val="000000"/>
          <w:sz w:val="24"/>
          <w:szCs w:val="24"/>
        </w:rPr>
        <w:t>承包人：</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公章</w:t>
      </w:r>
      <w:r>
        <w:rPr>
          <w:rFonts w:eastAsia="仿宋_GB2312;仿宋" w:cs="Times New Roman"/>
          <w:color w:val="000000"/>
          <w:sz w:val="24"/>
          <w:szCs w:val="24"/>
        </w:rPr>
        <w:t>)</w:t>
      </w:r>
    </w:p>
    <w:p w14:paraId="17FB722E">
      <w:pPr>
        <w:spacing w:line="360" w:lineRule="auto"/>
        <w:rPr>
          <w:rFonts w:ascii="Times New Roman" w:hAnsi="Times New Roman" w:eastAsia="仿宋_GB2312;仿宋" w:cs="Times New Roman"/>
          <w:color w:val="000000"/>
          <w:sz w:val="24"/>
          <w:szCs w:val="24"/>
          <w:u w:val="single"/>
        </w:rPr>
      </w:pPr>
      <w:r>
        <w:rPr>
          <w:rFonts w:eastAsia="Times New Roman" w:cs="Times New Roman"/>
          <w:color w:val="000000"/>
          <w:sz w:val="24"/>
          <w:szCs w:val="24"/>
        </w:rPr>
        <w:t xml:space="preserve">                              </w:t>
      </w:r>
    </w:p>
    <w:p w14:paraId="544F5F0E">
      <w:pPr>
        <w:spacing w:line="360" w:lineRule="auto"/>
        <w:rPr>
          <w:rFonts w:ascii="Times New Roman" w:hAnsi="Times New Roman" w:eastAsia="仿宋_GB2312;仿宋" w:cs="Times New Roman"/>
          <w:color w:val="000000"/>
          <w:sz w:val="24"/>
          <w:szCs w:val="24"/>
          <w:u w:val="single"/>
        </w:rPr>
      </w:pPr>
    </w:p>
    <w:p w14:paraId="0606A03A">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法定代表人或其委托代理人：</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法定代表人或其委托代理人：</w:t>
      </w:r>
    </w:p>
    <w:p w14:paraId="2FDA76EE">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（签字）</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（签字）</w:t>
      </w:r>
    </w:p>
    <w:p w14:paraId="139D7A39">
      <w:pPr>
        <w:tabs>
          <w:tab w:val="left" w:pos="4410"/>
        </w:tabs>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组织机构代码：</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组织机构代码：</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p>
    <w:p w14:paraId="6DCC84E5">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34AEF847">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邮政编码：</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邮政编码：</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385E5A13">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法定代表人：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41094861">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委托代理人：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委托代理人：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5ACE439C">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0CDDE878">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49615D4E">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1D030776">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开户银行：</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开户银行：</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6F9EC006">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账</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账</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br w:type="page"/>
      </w:r>
    </w:p>
    <w:p w14:paraId="33DE770F">
      <w:pPr>
        <w:pStyle w:val="4"/>
        <w:jc w:val="center"/>
        <w:rPr>
          <w:rFonts w:ascii="华文中宋;宋体" w:hAnsi="华文中宋;宋体" w:eastAsia="华文中宋;宋体" w:cs="华文中宋;宋体"/>
          <w:sz w:val="36"/>
          <w:szCs w:val="36"/>
        </w:rPr>
      </w:pPr>
      <w:bookmarkStart w:id="26" w:name="__RefHeading___Toc351203494"/>
      <w:bookmarkEnd w:id="26"/>
      <w:r>
        <w:rPr>
          <w:rFonts w:ascii="华文中宋;宋体" w:hAnsi="华文中宋;宋体" w:eastAsia="华文中宋;宋体" w:cs="华文中宋;宋体"/>
          <w:sz w:val="36"/>
          <w:szCs w:val="36"/>
        </w:rPr>
        <w:t>第二部分 通用合同条款</w:t>
      </w:r>
    </w:p>
    <w:p w14:paraId="2FB964FA">
      <w:pPr>
        <w:pStyle w:val="5"/>
        <w:spacing w:before="120" w:after="120" w:line="360" w:lineRule="auto"/>
        <w:rPr>
          <w:rFonts w:ascii="Times New Roman" w:hAnsi="Times New Roman" w:eastAsia="黑体" w:cs="Times New Roman"/>
          <w:b w:val="0"/>
          <w:color w:val="000000"/>
          <w:sz w:val="24"/>
          <w:szCs w:val="24"/>
        </w:rPr>
      </w:pPr>
      <w:bookmarkStart w:id="27" w:name="__RefHeading___Toc351203495"/>
      <w:bookmarkEnd w:id="27"/>
      <w:r>
        <w:rPr>
          <w:rFonts w:ascii="Times New Roman" w:hAnsi="Times New Roman" w:eastAsia="黑体" w:cs="Times New Roman"/>
          <w:b w:val="0"/>
          <w:color w:val="000000"/>
          <w:sz w:val="24"/>
          <w:szCs w:val="24"/>
        </w:rPr>
        <w:t xml:space="preserve">1. </w:t>
      </w:r>
      <w:r>
        <w:rPr>
          <w:rFonts w:ascii="Times New Roman" w:hAnsi="Times New Roman" w:cs="Times New Roman"/>
          <w:b w:val="0"/>
          <w:color w:val="000000"/>
          <w:sz w:val="24"/>
          <w:szCs w:val="24"/>
        </w:rPr>
        <w:t>一般约定</w:t>
      </w:r>
    </w:p>
    <w:p w14:paraId="672E24E3">
      <w:pPr>
        <w:pStyle w:val="6"/>
        <w:spacing w:before="120" w:after="120" w:line="360" w:lineRule="auto"/>
        <w:ind w:firstLine="480"/>
        <w:rPr>
          <w:rFonts w:ascii="Times New Roman" w:hAnsi="Times New Roman" w:eastAsia="黑体" w:cs="Times New Roman"/>
          <w:b w:val="0"/>
          <w:color w:val="000000"/>
          <w:sz w:val="24"/>
          <w:szCs w:val="24"/>
        </w:rPr>
      </w:pPr>
      <w:bookmarkStart w:id="28" w:name="__RefHeading___Toc351203496"/>
      <w:bookmarkEnd w:id="28"/>
      <w:r>
        <w:rPr>
          <w:rFonts w:eastAsia="黑体" w:cs="Times New Roman"/>
          <w:b w:val="0"/>
          <w:color w:val="000000"/>
          <w:sz w:val="24"/>
          <w:szCs w:val="24"/>
        </w:rPr>
        <w:t>1.1</w:t>
      </w:r>
      <w:r>
        <w:rPr>
          <w:rFonts w:ascii="Times New Roman" w:hAnsi="Times New Roman" w:eastAsia="黑体" w:cs="Times New Roman"/>
          <w:b w:val="0"/>
          <w:color w:val="000000"/>
          <w:sz w:val="24"/>
          <w:szCs w:val="24"/>
        </w:rPr>
        <w:t>词语定义与解释</w:t>
      </w:r>
    </w:p>
    <w:p w14:paraId="192727A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合同协议书、通用合同条款、专用合同条款中的下列词语具有本款所赋予的含义：</w:t>
      </w:r>
    </w:p>
    <w:p w14:paraId="5F387E5F">
      <w:pPr>
        <w:autoSpaceDE w:val="0"/>
        <w:spacing w:line="360" w:lineRule="auto"/>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eastAsia="仿宋_GB2312;仿宋" w:cs="Times New Roman"/>
          <w:color w:val="000000"/>
          <w:kern w:val="0"/>
          <w:sz w:val="24"/>
          <w:szCs w:val="24"/>
        </w:rPr>
        <w:t xml:space="preserve">1.1.1 </w:t>
      </w:r>
      <w:r>
        <w:rPr>
          <w:rFonts w:ascii="Times New Roman" w:hAnsi="Times New Roman" w:eastAsia="仿宋_GB2312;仿宋" w:cs="Times New Roman"/>
          <w:color w:val="000000"/>
          <w:kern w:val="0"/>
          <w:sz w:val="24"/>
          <w:szCs w:val="24"/>
        </w:rPr>
        <w:t>合同</w:t>
      </w:r>
    </w:p>
    <w:p w14:paraId="735DA0F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1.1.1.1 </w:t>
      </w:r>
      <w:r>
        <w:rPr>
          <w:rFonts w:ascii="Times New Roman" w:hAnsi="Times New Roman" w:eastAsia="仿宋_GB2312;仿宋" w:cs="Times New Roman"/>
          <w:color w:val="000000"/>
          <w:kern w:val="0"/>
          <w:sz w:val="24"/>
          <w:szCs w:val="24"/>
        </w:rPr>
        <w:t>合同：是指根据法律规定和合同当事人约定具有约束力的文件，构成合同的文件包括合同协议书、成交通知书（如果有）、响应函及其附录（如果有）、专用合同条款</w:t>
      </w:r>
      <w:r>
        <w:rPr>
          <w:rFonts w:ascii="Times New Roman" w:hAnsi="Times New Roman" w:eastAsia="仿宋_GB2312;仿宋" w:cs="Times New Roman"/>
          <w:color w:val="000000"/>
          <w:sz w:val="24"/>
          <w:szCs w:val="24"/>
        </w:rPr>
        <w:t>及其附件</w:t>
      </w:r>
      <w:r>
        <w:rPr>
          <w:rFonts w:ascii="Times New Roman" w:hAnsi="Times New Roman" w:eastAsia="仿宋_GB2312;仿宋" w:cs="Times New Roman"/>
          <w:color w:val="000000"/>
          <w:kern w:val="0"/>
          <w:sz w:val="24"/>
          <w:szCs w:val="24"/>
        </w:rPr>
        <w:t>、通用合同条款、技术标准和要求、图纸、已标价工程量清单或预算书以及其他合同文件。</w:t>
      </w:r>
    </w:p>
    <w:p w14:paraId="7084066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1.1.1.2 </w:t>
      </w:r>
      <w:r>
        <w:rPr>
          <w:rFonts w:ascii="Times New Roman" w:hAnsi="Times New Roman" w:eastAsia="仿宋_GB2312;仿宋" w:cs="Times New Roman"/>
          <w:color w:val="000000"/>
          <w:kern w:val="0"/>
          <w:sz w:val="24"/>
          <w:szCs w:val="24"/>
        </w:rPr>
        <w:t>合同协议书：是指构成合同的由发包人和承包人共同签署的称为“合同协议书”的书面文件。</w:t>
      </w:r>
    </w:p>
    <w:p w14:paraId="03C47F4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1.1.1.3 </w:t>
      </w:r>
      <w:r>
        <w:rPr>
          <w:rFonts w:ascii="Times New Roman" w:hAnsi="Times New Roman" w:eastAsia="仿宋_GB2312;仿宋" w:cs="Times New Roman"/>
          <w:color w:val="000000"/>
          <w:kern w:val="0"/>
          <w:sz w:val="24"/>
          <w:szCs w:val="24"/>
        </w:rPr>
        <w:t>成交通知书：是指构成合同的由发包人通知承包人成交的书面文件。</w:t>
      </w:r>
    </w:p>
    <w:p w14:paraId="7991D2D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1.1.1.4 </w:t>
      </w:r>
      <w:r>
        <w:rPr>
          <w:rFonts w:ascii="Times New Roman" w:hAnsi="Times New Roman" w:eastAsia="仿宋_GB2312;仿宋" w:cs="Times New Roman"/>
          <w:color w:val="000000"/>
          <w:kern w:val="0"/>
          <w:sz w:val="24"/>
          <w:szCs w:val="24"/>
        </w:rPr>
        <w:t>响应函：是指构成合同的由承包人填写并签署的用于响应的称为“响应函”的文件。</w:t>
      </w:r>
    </w:p>
    <w:p w14:paraId="53AA16D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1.1.1.5 </w:t>
      </w:r>
      <w:r>
        <w:rPr>
          <w:rFonts w:ascii="Times New Roman" w:hAnsi="Times New Roman" w:eastAsia="仿宋_GB2312;仿宋" w:cs="Times New Roman"/>
          <w:color w:val="000000"/>
          <w:kern w:val="0"/>
          <w:sz w:val="24"/>
          <w:szCs w:val="24"/>
        </w:rPr>
        <w:t>响应函附录：是指构成合同的附在响应函后的称为“响应函附录”的文件。</w:t>
      </w:r>
    </w:p>
    <w:p w14:paraId="179B8EE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1.1.1.6 </w:t>
      </w:r>
      <w:r>
        <w:rPr>
          <w:rFonts w:ascii="Times New Roman" w:hAnsi="Times New Roman" w:eastAsia="仿宋_GB2312;仿宋" w:cs="Times New Roman"/>
          <w:color w:val="000000"/>
          <w:kern w:val="0"/>
          <w:sz w:val="24"/>
          <w:szCs w:val="24"/>
        </w:rPr>
        <w:t>技术标准和要求：是指构成合同的施工应当遵守的或指导施工的国家、行业或地方的技术标准和要求，以及合同约定的技术标准和要求。</w:t>
      </w:r>
    </w:p>
    <w:p w14:paraId="2C5B2B8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1.1.1.7 </w:t>
      </w:r>
      <w:r>
        <w:rPr>
          <w:rFonts w:ascii="Times New Roman" w:hAnsi="Times New Roman" w:eastAsia="仿宋_GB2312;仿宋" w:cs="Times New Roman"/>
          <w:color w:val="000000"/>
          <w:kern w:val="0"/>
          <w:sz w:val="24"/>
          <w:szCs w:val="24"/>
        </w:rPr>
        <w:t>图纸：是指构成合同的图纸，包括由发包人按照合同约定提供或经发包人批准的设计文件、施工图、鸟瞰图及模型等，以及在合同履行过程中形成的图纸文件。图纸应当按照法律规定审查合格。</w:t>
      </w:r>
    </w:p>
    <w:p w14:paraId="624F1E0E">
      <w:pPr>
        <w:autoSpaceDE w:val="0"/>
        <w:spacing w:line="360" w:lineRule="auto"/>
        <w:ind w:firstLine="468"/>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1.1.1.8 </w:t>
      </w:r>
      <w:r>
        <w:rPr>
          <w:rFonts w:ascii="Times New Roman" w:hAnsi="Times New Roman" w:eastAsia="仿宋_GB2312;仿宋" w:cs="Times New Roman"/>
          <w:color w:val="000000"/>
          <w:kern w:val="0"/>
          <w:sz w:val="24"/>
          <w:szCs w:val="24"/>
        </w:rPr>
        <w:t>已标价工程量清单：是指构成合同的由承包人按照规定的格式和要求填写并标明价格的工程量清单，包括说明和表格。</w:t>
      </w:r>
    </w:p>
    <w:p w14:paraId="2D6B0BF4">
      <w:pPr>
        <w:autoSpaceDE w:val="0"/>
        <w:spacing w:line="360" w:lineRule="auto"/>
        <w:ind w:firstLine="468"/>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1.1.1.9 </w:t>
      </w:r>
      <w:r>
        <w:rPr>
          <w:rFonts w:ascii="Times New Roman" w:hAnsi="Times New Roman" w:eastAsia="仿宋_GB2312;仿宋" w:cs="Times New Roman"/>
          <w:color w:val="000000"/>
          <w:kern w:val="0"/>
          <w:sz w:val="24"/>
          <w:szCs w:val="24"/>
        </w:rPr>
        <w:t>预算书：是指构成合同的由承包人按照发包人规定的格式和要求编制的工程预算文件。</w:t>
      </w:r>
    </w:p>
    <w:p w14:paraId="39E1249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1.1.1.10 </w:t>
      </w:r>
      <w:r>
        <w:rPr>
          <w:rFonts w:ascii="Times New Roman" w:hAnsi="Times New Roman" w:eastAsia="仿宋_GB2312;仿宋" w:cs="Times New Roman"/>
          <w:color w:val="000000"/>
          <w:kern w:val="0"/>
          <w:sz w:val="24"/>
          <w:szCs w:val="24"/>
        </w:rPr>
        <w:t>其他合同文件：是指经合同当事人约定的与工程施工有关的具有合同约束力的文件或书面协议。合同当事人可以在专用合同条款中进行约定。</w:t>
      </w:r>
    </w:p>
    <w:p w14:paraId="4D917C85">
      <w:pPr>
        <w:autoSpaceDE w:val="0"/>
        <w:spacing w:line="360" w:lineRule="auto"/>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eastAsia="仿宋_GB2312;仿宋" w:cs="Times New Roman"/>
          <w:color w:val="000000"/>
          <w:kern w:val="0"/>
          <w:sz w:val="24"/>
          <w:szCs w:val="24"/>
        </w:rPr>
        <w:t xml:space="preserve">1.1.2 </w:t>
      </w:r>
      <w:r>
        <w:rPr>
          <w:rFonts w:ascii="Times New Roman" w:hAnsi="Times New Roman" w:eastAsia="仿宋_GB2312;仿宋" w:cs="Times New Roman"/>
          <w:color w:val="000000"/>
          <w:kern w:val="0"/>
          <w:sz w:val="24"/>
          <w:szCs w:val="24"/>
        </w:rPr>
        <w:t>合同当事人及其他相关方</w:t>
      </w:r>
    </w:p>
    <w:p w14:paraId="51CC469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1.1.2.1 </w:t>
      </w:r>
      <w:r>
        <w:rPr>
          <w:rFonts w:ascii="Times New Roman" w:hAnsi="Times New Roman" w:eastAsia="仿宋_GB2312;仿宋" w:cs="Times New Roman"/>
          <w:color w:val="000000"/>
          <w:kern w:val="0"/>
          <w:sz w:val="24"/>
          <w:szCs w:val="24"/>
        </w:rPr>
        <w:t>合同当事人：是指发包人和（或）承包人。</w:t>
      </w:r>
    </w:p>
    <w:p w14:paraId="6CA512F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1.1.2.2 </w:t>
      </w:r>
      <w:r>
        <w:rPr>
          <w:rFonts w:ascii="Times New Roman" w:hAnsi="Times New Roman" w:eastAsia="仿宋_GB2312;仿宋" w:cs="Times New Roman"/>
          <w:color w:val="000000"/>
          <w:kern w:val="0"/>
          <w:sz w:val="24"/>
          <w:szCs w:val="24"/>
        </w:rPr>
        <w:t>发包人：是指与承包人签订合同协议书的当事人及取得该当事人资格的合法继承人。</w:t>
      </w:r>
    </w:p>
    <w:p w14:paraId="4A4CD6F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1.1.2.3 </w:t>
      </w:r>
      <w:r>
        <w:rPr>
          <w:rFonts w:ascii="Times New Roman" w:hAnsi="Times New Roman" w:eastAsia="仿宋_GB2312;仿宋" w:cs="Times New Roman"/>
          <w:color w:val="000000"/>
          <w:kern w:val="0"/>
          <w:sz w:val="24"/>
          <w:szCs w:val="24"/>
        </w:rPr>
        <w:t>承包人：是指与发包人签订合同协议书的，具有相应工程施工承包资质的当事人及取得该当事人资格的合法继承人。</w:t>
      </w:r>
    </w:p>
    <w:p w14:paraId="06BF081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1.1.2.4 </w:t>
      </w:r>
      <w:r>
        <w:rPr>
          <w:rFonts w:ascii="Times New Roman" w:hAnsi="Times New Roman" w:eastAsia="仿宋_GB2312;仿宋" w:cs="Times New Roman"/>
          <w:color w:val="000000"/>
          <w:kern w:val="0"/>
          <w:sz w:val="24"/>
          <w:szCs w:val="24"/>
        </w:rPr>
        <w:t>监理人：是指在专用合同条款中指明的，受发包人委托按照法律规定进行工程监督管理的法人或其他组织。</w:t>
      </w:r>
    </w:p>
    <w:p w14:paraId="2D798127">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1.1.2.5 </w:t>
      </w:r>
      <w:r>
        <w:rPr>
          <w:rFonts w:ascii="Times New Roman" w:hAnsi="Times New Roman" w:eastAsia="仿宋_GB2312;仿宋" w:cs="Times New Roman"/>
          <w:color w:val="000000"/>
          <w:kern w:val="0"/>
          <w:sz w:val="24"/>
          <w:szCs w:val="24"/>
        </w:rPr>
        <w:t>设计人：是指在专用合同条款中指明的，受发包人委托负责工程设计并具备相应工程设计资质的法人或其他组织。</w:t>
      </w:r>
    </w:p>
    <w:p w14:paraId="624249A3">
      <w:pPr>
        <w:spacing w:line="360" w:lineRule="auto"/>
        <w:ind w:firstLine="468"/>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1.1.2.6 </w:t>
      </w:r>
      <w:r>
        <w:rPr>
          <w:rFonts w:ascii="Times New Roman" w:hAnsi="Times New Roman" w:eastAsia="仿宋_GB2312;仿宋" w:cs="Times New Roman"/>
          <w:color w:val="000000"/>
          <w:kern w:val="0"/>
          <w:sz w:val="24"/>
          <w:szCs w:val="24"/>
        </w:rPr>
        <w:t>分包人：</w:t>
      </w:r>
      <w:bookmarkStart w:id="29" w:name="%23go5"/>
      <w:bookmarkEnd w:id="29"/>
      <w:r>
        <w:rPr>
          <w:rFonts w:ascii="Times New Roman" w:hAnsi="Times New Roman" w:eastAsia="仿宋_GB2312;仿宋" w:cs="Times New Roman"/>
          <w:color w:val="000000"/>
          <w:kern w:val="0"/>
          <w:sz w:val="24"/>
          <w:szCs w:val="24"/>
        </w:rPr>
        <w:t>是指按照法律规定和合同约定，分包部分工程或工作，并与承包人签订分包合同的具有相应资质的法人。</w:t>
      </w:r>
    </w:p>
    <w:p w14:paraId="42317CB4">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1.1.2.7 </w:t>
      </w:r>
      <w:r>
        <w:rPr>
          <w:rFonts w:ascii="Times New Roman" w:hAnsi="Times New Roman" w:eastAsia="仿宋_GB2312;仿宋" w:cs="Times New Roman"/>
          <w:color w:val="000000"/>
          <w:kern w:val="0"/>
          <w:sz w:val="24"/>
          <w:szCs w:val="24"/>
        </w:rPr>
        <w:t>发包人代表：是指由发包人任命并派驻施工现场在发包人授权范围内行使发包人权利的人。</w:t>
      </w:r>
    </w:p>
    <w:p w14:paraId="10A24B2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1.1.2.8 </w:t>
      </w:r>
      <w:r>
        <w:rPr>
          <w:rFonts w:ascii="Times New Roman" w:hAnsi="Times New Roman" w:eastAsia="仿宋_GB2312;仿宋" w:cs="Times New Roman"/>
          <w:color w:val="000000"/>
          <w:kern w:val="0"/>
          <w:sz w:val="24"/>
          <w:szCs w:val="24"/>
        </w:rPr>
        <w:t>项目经理：是指由承包人任命并派驻施工现场，在承包人授权范围内负责合同履行，且按照法律规定具有相应资格的项目负责人。</w:t>
      </w:r>
    </w:p>
    <w:p w14:paraId="7A60B5A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1.1.2.9 </w:t>
      </w:r>
      <w:r>
        <w:rPr>
          <w:rFonts w:ascii="Times New Roman" w:hAnsi="Times New Roman" w:eastAsia="仿宋_GB2312;仿宋" w:cs="Times New Roman"/>
          <w:color w:val="000000"/>
          <w:kern w:val="0"/>
          <w:sz w:val="24"/>
          <w:szCs w:val="24"/>
        </w:rPr>
        <w:t>总监理工程师：是指由监理人任命并派驻施工现场进行工程监理的总负责人。</w:t>
      </w:r>
    </w:p>
    <w:p w14:paraId="438867A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 </w:t>
      </w:r>
      <w:r>
        <w:rPr>
          <w:rFonts w:ascii="Times New Roman" w:hAnsi="Times New Roman" w:eastAsia="仿宋_GB2312;仿宋" w:cs="Times New Roman"/>
          <w:color w:val="000000"/>
          <w:kern w:val="0"/>
          <w:sz w:val="24"/>
          <w:szCs w:val="24"/>
        </w:rPr>
        <w:t>工程和设备</w:t>
      </w:r>
    </w:p>
    <w:p w14:paraId="40EE1A2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1.1.3.1 </w:t>
      </w:r>
      <w:r>
        <w:rPr>
          <w:rFonts w:ascii="Times New Roman" w:hAnsi="Times New Roman" w:eastAsia="仿宋_GB2312;仿宋" w:cs="Times New Roman"/>
          <w:color w:val="000000"/>
          <w:kern w:val="0"/>
          <w:sz w:val="24"/>
          <w:szCs w:val="24"/>
        </w:rPr>
        <w:t>工程：是指与合同协议书中工程承包范围对应的永久工程和（或）临时工程。</w:t>
      </w:r>
    </w:p>
    <w:p w14:paraId="5CF1AB8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1.1.3.2 </w:t>
      </w:r>
      <w:r>
        <w:rPr>
          <w:rFonts w:ascii="Times New Roman" w:hAnsi="Times New Roman" w:eastAsia="仿宋_GB2312;仿宋" w:cs="Times New Roman"/>
          <w:color w:val="000000"/>
          <w:kern w:val="0"/>
          <w:sz w:val="24"/>
          <w:szCs w:val="24"/>
        </w:rPr>
        <w:t>永久工程：是指按合同约定建造并移交给发包人的工程，包括工程设备。</w:t>
      </w:r>
    </w:p>
    <w:p w14:paraId="57D9469E">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1.1.3.3 </w:t>
      </w:r>
      <w:r>
        <w:rPr>
          <w:rFonts w:ascii="Times New Roman" w:hAnsi="Times New Roman" w:eastAsia="仿宋_GB2312;仿宋" w:cs="Times New Roman"/>
          <w:color w:val="000000"/>
          <w:kern w:val="0"/>
          <w:sz w:val="24"/>
          <w:szCs w:val="24"/>
        </w:rPr>
        <w:t>临时工程：是指为完成合同约定的永久工程所修建的各类临时性工程，不包括施工设备。</w:t>
      </w:r>
    </w:p>
    <w:p w14:paraId="64DBBC3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1.1.3.4 </w:t>
      </w:r>
      <w:r>
        <w:rPr>
          <w:rFonts w:ascii="Times New Roman" w:hAnsi="Times New Roman" w:eastAsia="仿宋_GB2312;仿宋" w:cs="Times New Roman"/>
          <w:color w:val="000000"/>
          <w:kern w:val="0"/>
          <w:sz w:val="24"/>
          <w:szCs w:val="24"/>
        </w:rPr>
        <w:t>单位工程：是指在合同协议书中指明的，具备独立施工条件并能形成独立使用功能的永久工程。</w:t>
      </w:r>
    </w:p>
    <w:p w14:paraId="259ABDF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1.1.3.5 </w:t>
      </w:r>
      <w:r>
        <w:rPr>
          <w:rFonts w:ascii="Times New Roman" w:hAnsi="Times New Roman" w:eastAsia="仿宋_GB2312;仿宋" w:cs="Times New Roman"/>
          <w:color w:val="000000"/>
          <w:kern w:val="0"/>
          <w:sz w:val="24"/>
          <w:szCs w:val="24"/>
        </w:rPr>
        <w:t>工程设备：是指构成永久工程的机电设备、金属结构设备、仪器及其他类似的设备和装置。</w:t>
      </w:r>
    </w:p>
    <w:p w14:paraId="6AC3916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1.1.3.6 </w:t>
      </w:r>
      <w:r>
        <w:rPr>
          <w:rFonts w:ascii="Times New Roman" w:hAnsi="Times New Roman" w:eastAsia="仿宋_GB2312;仿宋" w:cs="Times New Roman"/>
          <w:color w:val="000000"/>
          <w:kern w:val="0"/>
          <w:sz w:val="24"/>
          <w:szCs w:val="24"/>
        </w:rPr>
        <w:t>施工设备：是指为完成合同约定的各项工作所需的设备、器具和其他物品，但不包括工程设备、临时工程和材料。</w:t>
      </w:r>
    </w:p>
    <w:p w14:paraId="2859A4F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1.1.3.7 </w:t>
      </w:r>
      <w:r>
        <w:rPr>
          <w:rFonts w:ascii="Times New Roman" w:hAnsi="Times New Roman" w:eastAsia="仿宋_GB2312;仿宋" w:cs="Times New Roman"/>
          <w:color w:val="000000"/>
          <w:kern w:val="0"/>
          <w:sz w:val="24"/>
          <w:szCs w:val="24"/>
        </w:rPr>
        <w:t>施工现场：是指用于工程施工的场所，以及在专用合同条款中指明作为施工场所组成部分的其他场所，包括永久占地和临时占地。</w:t>
      </w:r>
    </w:p>
    <w:p w14:paraId="323088F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1.1.3.8</w:t>
      </w:r>
      <w:r>
        <w:rPr>
          <w:rFonts w:ascii="Times New Roman" w:hAnsi="Times New Roman" w:eastAsia="仿宋_GB2312;仿宋" w:cs="Times New Roman"/>
          <w:color w:val="000000"/>
          <w:kern w:val="0"/>
          <w:sz w:val="24"/>
          <w:szCs w:val="24"/>
        </w:rPr>
        <w:t>临时设施：是指为完成合同约定的各项工作所服务的临时性生产和生活设施。</w:t>
      </w:r>
    </w:p>
    <w:p w14:paraId="6884676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1.1.3.9 </w:t>
      </w:r>
      <w:r>
        <w:rPr>
          <w:rFonts w:ascii="Times New Roman" w:hAnsi="Times New Roman" w:eastAsia="仿宋_GB2312;仿宋" w:cs="Times New Roman"/>
          <w:color w:val="000000"/>
          <w:kern w:val="0"/>
          <w:sz w:val="24"/>
          <w:szCs w:val="24"/>
        </w:rPr>
        <w:t>永久占地：是指专用合同条款中指明为实施工程需永久占用的土地。</w:t>
      </w:r>
    </w:p>
    <w:p w14:paraId="1DF5CDC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1.1.3.10 </w:t>
      </w:r>
      <w:r>
        <w:rPr>
          <w:rFonts w:ascii="Times New Roman" w:hAnsi="Times New Roman" w:eastAsia="仿宋_GB2312;仿宋" w:cs="Times New Roman"/>
          <w:color w:val="000000"/>
          <w:kern w:val="0"/>
          <w:sz w:val="24"/>
          <w:szCs w:val="24"/>
        </w:rPr>
        <w:t>临时占地：是指专用合同条款中指明为实施工程需要临时占用的土地。</w:t>
      </w:r>
    </w:p>
    <w:p w14:paraId="505A6BE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 </w:t>
      </w:r>
      <w:r>
        <w:rPr>
          <w:rFonts w:ascii="Times New Roman" w:hAnsi="Times New Roman" w:eastAsia="仿宋_GB2312;仿宋" w:cs="Times New Roman"/>
          <w:color w:val="000000"/>
          <w:kern w:val="0"/>
          <w:sz w:val="24"/>
          <w:szCs w:val="24"/>
        </w:rPr>
        <w:t>日期和期限</w:t>
      </w:r>
    </w:p>
    <w:p w14:paraId="5EC2021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1.1.4.1 </w:t>
      </w:r>
      <w:r>
        <w:rPr>
          <w:rFonts w:ascii="Times New Roman" w:hAnsi="Times New Roman" w:eastAsia="仿宋_GB2312;仿宋" w:cs="Times New Roman"/>
          <w:color w:val="000000"/>
          <w:kern w:val="0"/>
          <w:sz w:val="24"/>
          <w:szCs w:val="24"/>
        </w:rPr>
        <w:t>开工日期：包括计划开工日期和实际开工日期。计划开工日期是指合同协议书约定的开工日期；实际开工日期是指监理人按照第</w:t>
      </w:r>
      <w:r>
        <w:rPr>
          <w:rFonts w:eastAsia="仿宋_GB2312;仿宋" w:cs="Times New Roman"/>
          <w:color w:val="000000"/>
          <w:kern w:val="0"/>
          <w:sz w:val="24"/>
          <w:szCs w:val="24"/>
        </w:rPr>
        <w:t>7.3.2</w:t>
      </w:r>
      <w:r>
        <w:rPr>
          <w:rFonts w:ascii="Times New Roman" w:hAnsi="Times New Roman" w:eastAsia="仿宋_GB2312;仿宋" w:cs="Times New Roman"/>
          <w:color w:val="000000"/>
          <w:kern w:val="0"/>
          <w:sz w:val="24"/>
          <w:szCs w:val="24"/>
        </w:rPr>
        <w:t>项〔开工通知〕约定发出的符合法律规定的开工通知中载明的开工日期。</w:t>
      </w:r>
    </w:p>
    <w:p w14:paraId="10F89AD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1.1.4.2 </w:t>
      </w:r>
      <w:r>
        <w:rPr>
          <w:rFonts w:ascii="Times New Roman" w:hAnsi="Times New Roman" w:eastAsia="仿宋_GB2312;仿宋" w:cs="Times New Roman"/>
          <w:color w:val="000000"/>
          <w:kern w:val="0"/>
          <w:sz w:val="24"/>
          <w:szCs w:val="24"/>
        </w:rPr>
        <w:t>竣工日期：包括计划竣工日期和实际竣工日期。计划竣工日期是指合同协议书约定的竣工日期；实际竣工日期按照第</w:t>
      </w:r>
      <w:r>
        <w:rPr>
          <w:rFonts w:eastAsia="仿宋_GB2312;仿宋" w:cs="Times New Roman"/>
          <w:color w:val="000000"/>
          <w:kern w:val="0"/>
          <w:sz w:val="24"/>
          <w:szCs w:val="24"/>
        </w:rPr>
        <w:t>13.2.3</w:t>
      </w:r>
      <w:r>
        <w:rPr>
          <w:rFonts w:ascii="Times New Roman" w:hAnsi="Times New Roman" w:eastAsia="仿宋_GB2312;仿宋" w:cs="Times New Roman"/>
          <w:color w:val="000000"/>
          <w:kern w:val="0"/>
          <w:sz w:val="24"/>
          <w:szCs w:val="24"/>
        </w:rPr>
        <w:t>项〔竣工日期〕的约定确定。</w:t>
      </w:r>
      <w:r>
        <w:rPr>
          <w:rFonts w:ascii="Times New Roman" w:hAnsi="Times New Roman" w:eastAsia="Times New Roman" w:cs="Times New Roman"/>
          <w:color w:val="000000"/>
          <w:kern w:val="0"/>
          <w:sz w:val="24"/>
          <w:szCs w:val="24"/>
        </w:rPr>
        <w:t xml:space="preserve"> </w:t>
      </w:r>
    </w:p>
    <w:p w14:paraId="4C21E536">
      <w:pPr>
        <w:spacing w:line="360" w:lineRule="auto"/>
        <w:ind w:firstLine="487"/>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1.1.4.3 </w:t>
      </w:r>
      <w:r>
        <w:rPr>
          <w:rFonts w:ascii="Times New Roman" w:hAnsi="Times New Roman" w:eastAsia="仿宋_GB2312;仿宋" w:cs="Times New Roman"/>
          <w:color w:val="000000"/>
          <w:kern w:val="0"/>
          <w:sz w:val="24"/>
          <w:szCs w:val="24"/>
        </w:rPr>
        <w:t>工期：是指在合同协议书约定的承包人完成工程所需的期限，包括按照合同约定所作的期限变更。</w:t>
      </w:r>
    </w:p>
    <w:p w14:paraId="64638B9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1.1.4.4 </w:t>
      </w:r>
      <w:r>
        <w:rPr>
          <w:rFonts w:ascii="Times New Roman" w:hAnsi="Times New Roman" w:eastAsia="仿宋_GB2312;仿宋" w:cs="Times New Roman"/>
          <w:color w:val="000000"/>
          <w:kern w:val="0"/>
          <w:sz w:val="24"/>
          <w:szCs w:val="24"/>
        </w:rPr>
        <w:t>缺陷责任期：是指承包人按照合同约定承担缺陷修复义务，且发包人预留质量保证金</w:t>
      </w:r>
      <w:r>
        <w:rPr>
          <w:rFonts w:ascii="Times New Roman" w:hAnsi="Times New Roman" w:eastAsia="仿宋_GB2312;仿宋" w:cs="Times New Roman"/>
          <w:color w:val="000000"/>
          <w:kern w:val="0"/>
          <w:sz w:val="24"/>
          <w:szCs w:val="24"/>
          <w:lang w:eastAsia="zh-CN"/>
        </w:rPr>
        <w:t>（</w:t>
      </w:r>
      <w:r>
        <w:rPr>
          <w:rFonts w:ascii="Times New Roman" w:hAnsi="Times New Roman" w:eastAsia="仿宋_GB2312;仿宋" w:cs="Times New Roman"/>
          <w:color w:val="000000"/>
          <w:kern w:val="0"/>
          <w:sz w:val="24"/>
          <w:szCs w:val="24"/>
        </w:rPr>
        <w:t>已缴纳履约保证金的除外</w:t>
      </w:r>
      <w:r>
        <w:rPr>
          <w:rFonts w:ascii="Times New Roman" w:hAnsi="Times New Roman" w:eastAsia="仿宋_GB2312;仿宋" w:cs="Times New Roman"/>
          <w:color w:val="000000"/>
          <w:kern w:val="0"/>
          <w:sz w:val="24"/>
          <w:szCs w:val="24"/>
          <w:lang w:eastAsia="zh-CN"/>
        </w:rPr>
        <w:t>）</w:t>
      </w:r>
      <w:r>
        <w:rPr>
          <w:rFonts w:ascii="Times New Roman" w:hAnsi="Times New Roman" w:eastAsia="仿宋_GB2312;仿宋" w:cs="Times New Roman"/>
          <w:color w:val="000000"/>
          <w:kern w:val="0"/>
          <w:sz w:val="24"/>
          <w:szCs w:val="24"/>
        </w:rPr>
        <w:t>的期限，自工程实际竣工日期起计算。</w:t>
      </w:r>
    </w:p>
    <w:p w14:paraId="0C4F81F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1.1.4.5 </w:t>
      </w:r>
      <w:r>
        <w:rPr>
          <w:rFonts w:ascii="Times New Roman" w:hAnsi="Times New Roman" w:eastAsia="仿宋_GB2312;仿宋" w:cs="Times New Roman"/>
          <w:color w:val="000000"/>
          <w:kern w:val="0"/>
          <w:sz w:val="24"/>
          <w:szCs w:val="24"/>
        </w:rPr>
        <w:t>保修期：是指承包人按照合同约定对工程承担保修责任的期限，从工程竣工验收合格之日起计算。</w:t>
      </w:r>
    </w:p>
    <w:p w14:paraId="6815D87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1.1.4.6 </w:t>
      </w:r>
      <w:r>
        <w:rPr>
          <w:rFonts w:ascii="Times New Roman" w:hAnsi="Times New Roman" w:eastAsia="仿宋_GB2312;仿宋" w:cs="Times New Roman"/>
          <w:color w:val="000000"/>
          <w:kern w:val="0"/>
          <w:sz w:val="24"/>
          <w:szCs w:val="24"/>
        </w:rPr>
        <w:t>基准日期：采购发包的工程以响应文件递交截止日前</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天的日期为基准日期，直接发包的工程以合同签订日前</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天的日期为基准日期。</w:t>
      </w:r>
    </w:p>
    <w:p w14:paraId="67F3445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1.1.4.7 </w:t>
      </w:r>
      <w:r>
        <w:rPr>
          <w:rFonts w:ascii="Times New Roman" w:hAnsi="Times New Roman" w:eastAsia="仿宋_GB2312;仿宋" w:cs="Times New Roman"/>
          <w:color w:val="000000"/>
          <w:kern w:val="0"/>
          <w:sz w:val="24"/>
          <w:szCs w:val="24"/>
        </w:rPr>
        <w:t>天：除特别指明外，均指日历天。合同中按天计算时间的，开始当天不计入，从次日开始计算，期限最后一天的截止时间为当天</w:t>
      </w:r>
      <w:r>
        <w:rPr>
          <w:rFonts w:eastAsia="仿宋_GB2312;仿宋" w:cs="Times New Roman"/>
          <w:color w:val="000000"/>
          <w:kern w:val="0"/>
          <w:sz w:val="24"/>
          <w:szCs w:val="24"/>
        </w:rPr>
        <w:t>24:00</w:t>
      </w:r>
      <w:r>
        <w:rPr>
          <w:rFonts w:ascii="Times New Roman" w:hAnsi="Times New Roman" w:eastAsia="仿宋_GB2312;仿宋" w:cs="Times New Roman"/>
          <w:color w:val="000000"/>
          <w:kern w:val="0"/>
          <w:sz w:val="24"/>
          <w:szCs w:val="24"/>
        </w:rPr>
        <w:t>时。</w:t>
      </w:r>
    </w:p>
    <w:p w14:paraId="44CF752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 </w:t>
      </w:r>
      <w:r>
        <w:rPr>
          <w:rFonts w:ascii="Times New Roman" w:hAnsi="Times New Roman" w:eastAsia="仿宋_GB2312;仿宋" w:cs="Times New Roman"/>
          <w:color w:val="000000"/>
          <w:kern w:val="0"/>
          <w:sz w:val="24"/>
          <w:szCs w:val="24"/>
        </w:rPr>
        <w:t>合同价格和费用</w:t>
      </w:r>
    </w:p>
    <w:p w14:paraId="4D4DAB53">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1.1.5.1 </w:t>
      </w:r>
      <w:r>
        <w:rPr>
          <w:rFonts w:ascii="Times New Roman" w:hAnsi="Times New Roman" w:eastAsia="仿宋_GB2312;仿宋" w:cs="Times New Roman"/>
          <w:color w:val="000000"/>
          <w:kern w:val="0"/>
          <w:sz w:val="24"/>
          <w:szCs w:val="24"/>
        </w:rPr>
        <w:t>签约合同价：是指</w:t>
      </w:r>
      <w:r>
        <w:rPr>
          <w:rFonts w:ascii="Times New Roman" w:hAnsi="Times New Roman" w:eastAsia="仿宋_GB2312;仿宋" w:cs="Times New Roman"/>
          <w:color w:val="000000"/>
          <w:sz w:val="24"/>
          <w:szCs w:val="24"/>
        </w:rPr>
        <w:t>发包人和承包人在合同协议书中确定的总金额，包括安全文明施工费、暂估价及暂列金额等。</w:t>
      </w:r>
    </w:p>
    <w:p w14:paraId="560B437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1.1.5.2 </w:t>
      </w:r>
      <w:r>
        <w:rPr>
          <w:rFonts w:ascii="Times New Roman" w:hAnsi="Times New Roman" w:eastAsia="仿宋_GB2312;仿宋" w:cs="Times New Roman"/>
          <w:color w:val="000000"/>
          <w:kern w:val="0"/>
          <w:sz w:val="24"/>
          <w:szCs w:val="24"/>
        </w:rPr>
        <w:t>合同价格：是指发包人用于支付承包人按照合同约定完成承包范围内全部工作的金额，包括合同履行过程中按合同约定发生的价格变化。</w:t>
      </w:r>
    </w:p>
    <w:p w14:paraId="6D230E8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1.1.5.3 </w:t>
      </w:r>
      <w:r>
        <w:rPr>
          <w:rFonts w:ascii="Times New Roman" w:hAnsi="Times New Roman" w:eastAsia="仿宋_GB2312;仿宋" w:cs="Times New Roman"/>
          <w:color w:val="000000"/>
          <w:kern w:val="0"/>
          <w:sz w:val="24"/>
          <w:szCs w:val="24"/>
        </w:rPr>
        <w:t>费用：是指为履行合同所发生的或将要发生的所有必需的开支，包括管理费和应分摊的其他费用，但不包括利润。</w:t>
      </w:r>
    </w:p>
    <w:p w14:paraId="13B328D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1.1.5.4 </w:t>
      </w:r>
      <w:r>
        <w:rPr>
          <w:rFonts w:ascii="Times New Roman" w:hAnsi="Times New Roman" w:eastAsia="仿宋_GB2312;仿宋" w:cs="Times New Roman"/>
          <w:color w:val="000000"/>
          <w:kern w:val="0"/>
          <w:sz w:val="24"/>
          <w:szCs w:val="24"/>
        </w:rPr>
        <w:t>暂估价：是指发包人在工程量清单或预算书中提供的用于支付必然发生但暂时不能确定价格的材料、工程设备的单价、专业工程以及服务工作的金额。</w:t>
      </w:r>
    </w:p>
    <w:p w14:paraId="30F7C854">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1.1.5.5 </w:t>
      </w:r>
      <w:r>
        <w:rPr>
          <w:rFonts w:ascii="Times New Roman" w:hAnsi="Times New Roman" w:eastAsia="仿宋_GB2312;仿宋" w:cs="Times New Roman"/>
          <w:color w:val="000000"/>
          <w:kern w:val="0"/>
          <w:sz w:val="24"/>
          <w:szCs w:val="24"/>
        </w:rPr>
        <w:t>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303C34A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1.1.5.6 </w:t>
      </w:r>
      <w:r>
        <w:rPr>
          <w:rFonts w:ascii="Times New Roman" w:hAnsi="Times New Roman" w:eastAsia="仿宋_GB2312;仿宋" w:cs="Times New Roman"/>
          <w:color w:val="000000"/>
          <w:kern w:val="0"/>
          <w:sz w:val="24"/>
          <w:szCs w:val="24"/>
        </w:rPr>
        <w:t>计日工：是指合同履行过程中，承包人完成发包人提出的零星工作或需要采用计日工计价的变更工作时，按合同中约定的单价计价的一种方式。</w:t>
      </w:r>
    </w:p>
    <w:p w14:paraId="5DD69CF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1.1.5.7 </w:t>
      </w:r>
      <w:r>
        <w:rPr>
          <w:rFonts w:ascii="Times New Roman" w:hAnsi="Times New Roman" w:eastAsia="仿宋_GB2312;仿宋" w:cs="Times New Roman"/>
          <w:color w:val="000000"/>
          <w:kern w:val="0"/>
          <w:sz w:val="24"/>
          <w:szCs w:val="24"/>
        </w:rPr>
        <w:t>质量保证金</w:t>
      </w:r>
      <w:bookmarkStart w:id="30" w:name="%23go2"/>
      <w:bookmarkEnd w:id="30"/>
      <w:r>
        <w:rPr>
          <w:rFonts w:ascii="Times New Roman" w:hAnsi="Times New Roman" w:eastAsia="仿宋_GB2312;仿宋" w:cs="Times New Roman"/>
          <w:color w:val="000000"/>
          <w:kern w:val="0"/>
          <w:sz w:val="24"/>
          <w:szCs w:val="24"/>
        </w:rPr>
        <w:t>：是指按照第</w:t>
      </w:r>
      <w:r>
        <w:rPr>
          <w:rFonts w:eastAsia="仿宋_GB2312;仿宋" w:cs="Times New Roman"/>
          <w:color w:val="000000"/>
          <w:kern w:val="0"/>
          <w:sz w:val="24"/>
          <w:szCs w:val="24"/>
        </w:rPr>
        <w:t>15.3</w:t>
      </w:r>
      <w:r>
        <w:rPr>
          <w:rFonts w:ascii="Times New Roman" w:hAnsi="Times New Roman" w:eastAsia="仿宋_GB2312;仿宋" w:cs="Times New Roman"/>
          <w:color w:val="000000"/>
          <w:kern w:val="0"/>
          <w:sz w:val="24"/>
          <w:szCs w:val="24"/>
        </w:rPr>
        <w:t>款〔质量保证金〕约定承包人用于保证其在缺陷责任期内履行缺陷修补义务的担保</w:t>
      </w:r>
      <w:r>
        <w:rPr>
          <w:rFonts w:ascii="Times New Roman" w:hAnsi="Times New Roman" w:eastAsia="仿宋_GB2312;仿宋" w:cs="Times New Roman"/>
          <w:color w:val="000000"/>
          <w:sz w:val="24"/>
          <w:szCs w:val="24"/>
        </w:rPr>
        <w:t>。</w:t>
      </w:r>
    </w:p>
    <w:p w14:paraId="739517F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1.1.5.8 </w:t>
      </w:r>
      <w:r>
        <w:rPr>
          <w:rFonts w:ascii="Times New Roman" w:hAnsi="Times New Roman" w:eastAsia="仿宋_GB2312;仿宋" w:cs="Times New Roman"/>
          <w:color w:val="000000"/>
          <w:kern w:val="0"/>
          <w:sz w:val="24"/>
          <w:szCs w:val="24"/>
        </w:rPr>
        <w:t>总价项目：是指在现行国家、行业以及地方的计量规则中无工程量计算规则，在已标价工程量清单或预算书中以总价或以费率形式计算的项目。</w:t>
      </w:r>
    </w:p>
    <w:p w14:paraId="2CDC6158">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1.1.6 </w:t>
      </w:r>
      <w:r>
        <w:rPr>
          <w:rFonts w:ascii="Times New Roman" w:hAnsi="Times New Roman" w:eastAsia="仿宋_GB2312;仿宋" w:cs="Times New Roman"/>
          <w:color w:val="000000"/>
          <w:sz w:val="24"/>
          <w:szCs w:val="24"/>
        </w:rPr>
        <w:t>其他</w:t>
      </w:r>
    </w:p>
    <w:p w14:paraId="199338CA">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1.1.6.1 </w:t>
      </w:r>
      <w:r>
        <w:rPr>
          <w:rFonts w:ascii="Times New Roman" w:hAnsi="Times New Roman" w:eastAsia="仿宋_GB2312;仿宋" w:cs="Times New Roman"/>
          <w:color w:val="000000"/>
          <w:sz w:val="24"/>
          <w:szCs w:val="24"/>
        </w:rPr>
        <w:t>书面形式：是指合同文件、信函、电报、传真等可以有形地表现所载内容的形式。</w:t>
      </w:r>
    </w:p>
    <w:p w14:paraId="660F91DE">
      <w:pPr>
        <w:pStyle w:val="6"/>
        <w:spacing w:before="120" w:after="120" w:line="360" w:lineRule="auto"/>
        <w:rPr>
          <w:rFonts w:ascii="Times New Roman" w:hAnsi="Times New Roman" w:eastAsia="黑体" w:cs="Times New Roman"/>
          <w:b w:val="0"/>
          <w:color w:val="000000"/>
          <w:sz w:val="24"/>
          <w:szCs w:val="24"/>
        </w:rPr>
      </w:pPr>
      <w:r>
        <w:rPr>
          <w:rFonts w:eastAsia="Times New Roman" w:cs="Times New Roman"/>
          <w:b w:val="0"/>
          <w:color w:val="000000"/>
          <w:sz w:val="24"/>
          <w:szCs w:val="24"/>
        </w:rPr>
        <w:t xml:space="preserve">    </w:t>
      </w:r>
      <w:bookmarkStart w:id="31" w:name="__RefHeading___Toc351203497"/>
      <w:r>
        <w:rPr>
          <w:rFonts w:eastAsia="黑体" w:cs="Times New Roman"/>
          <w:b w:val="0"/>
          <w:color w:val="000000"/>
          <w:sz w:val="24"/>
          <w:szCs w:val="24"/>
        </w:rPr>
        <w:t>1.2</w:t>
      </w:r>
      <w:r>
        <w:rPr>
          <w:rFonts w:ascii="Times New Roman" w:hAnsi="Times New Roman" w:eastAsia="黑体" w:cs="Times New Roman"/>
          <w:b w:val="0"/>
          <w:color w:val="000000"/>
          <w:sz w:val="24"/>
          <w:szCs w:val="24"/>
        </w:rPr>
        <w:t>语言文字</w:t>
      </w:r>
      <w:bookmarkEnd w:id="31"/>
    </w:p>
    <w:p w14:paraId="365C085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合同以中国的汉语简体文字编写、解释和说明。合同当事人在专用合同条款中约定使用两种以上语言时，汉语为优先解释和说明合同的语言。</w:t>
      </w:r>
    </w:p>
    <w:p w14:paraId="43DEF7CE">
      <w:pPr>
        <w:pStyle w:val="6"/>
        <w:spacing w:before="120" w:after="120" w:line="360" w:lineRule="auto"/>
        <w:ind w:firstLine="480"/>
        <w:rPr>
          <w:rFonts w:ascii="Times New Roman" w:hAnsi="Times New Roman" w:eastAsia="黑体" w:cs="Times New Roman"/>
          <w:b w:val="0"/>
          <w:color w:val="000000"/>
          <w:sz w:val="24"/>
          <w:szCs w:val="24"/>
        </w:rPr>
      </w:pPr>
      <w:bookmarkStart w:id="32" w:name="__RefHeading___Toc351203498"/>
      <w:bookmarkEnd w:id="32"/>
      <w:r>
        <w:rPr>
          <w:rFonts w:eastAsia="黑体" w:cs="Times New Roman"/>
          <w:b w:val="0"/>
          <w:color w:val="000000"/>
          <w:sz w:val="24"/>
          <w:szCs w:val="24"/>
        </w:rPr>
        <w:t>1.3</w:t>
      </w:r>
      <w:r>
        <w:rPr>
          <w:rFonts w:ascii="Times New Roman" w:hAnsi="Times New Roman" w:eastAsia="黑体" w:cs="Times New Roman"/>
          <w:b w:val="0"/>
          <w:color w:val="000000"/>
          <w:sz w:val="24"/>
          <w:szCs w:val="24"/>
        </w:rPr>
        <w:t>法律</w:t>
      </w:r>
    </w:p>
    <w:p w14:paraId="0BE2674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合同所称法律是指中华人民共和国法律、行政法规、部门规章，以及工程所在地的地方性法规、自治条例、单行条例和地方政府规章等。</w:t>
      </w:r>
    </w:p>
    <w:p w14:paraId="7F92E12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合同当事人可以在专用合同条款中约定合同适用的其他规范性文件。</w:t>
      </w:r>
    </w:p>
    <w:p w14:paraId="5E6C44D3">
      <w:pPr>
        <w:pStyle w:val="6"/>
        <w:spacing w:before="120" w:after="120" w:line="360" w:lineRule="auto"/>
        <w:ind w:firstLine="480"/>
        <w:rPr>
          <w:rFonts w:ascii="Times New Roman" w:hAnsi="Times New Roman" w:eastAsia="黑体" w:cs="Times New Roman"/>
          <w:b w:val="0"/>
          <w:color w:val="000000"/>
          <w:sz w:val="24"/>
          <w:szCs w:val="24"/>
        </w:rPr>
      </w:pPr>
      <w:bookmarkStart w:id="33" w:name="__RefHeading___Toc351203499"/>
      <w:bookmarkEnd w:id="33"/>
      <w:r>
        <w:rPr>
          <w:rFonts w:eastAsia="黑体" w:cs="Times New Roman"/>
          <w:b w:val="0"/>
          <w:color w:val="000000"/>
          <w:sz w:val="24"/>
          <w:szCs w:val="24"/>
        </w:rPr>
        <w:t xml:space="preserve">1.4 </w:t>
      </w:r>
      <w:r>
        <w:rPr>
          <w:rFonts w:ascii="Times New Roman" w:hAnsi="Times New Roman" w:eastAsia="黑体" w:cs="Times New Roman"/>
          <w:b w:val="0"/>
          <w:color w:val="000000"/>
          <w:sz w:val="24"/>
          <w:szCs w:val="24"/>
        </w:rPr>
        <w:t>标准和规范</w:t>
      </w:r>
    </w:p>
    <w:p w14:paraId="54B31593">
      <w:pPr>
        <w:autoSpaceDE w:val="0"/>
        <w:spacing w:line="360" w:lineRule="auto"/>
        <w:ind w:firstLine="64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1.4.1 </w:t>
      </w:r>
      <w:r>
        <w:rPr>
          <w:rFonts w:ascii="Times New Roman" w:hAnsi="Times New Roman" w:eastAsia="仿宋_GB2312;仿宋" w:cs="Times New Roman"/>
          <w:color w:val="000000"/>
          <w:kern w:val="0"/>
          <w:sz w:val="24"/>
          <w:szCs w:val="24"/>
        </w:rPr>
        <w:t>适用于工程的国家标准、行业标准、工程所在地的地方性标准，以及相应的规范、规程等，合同当事人有特别要求的，应在专用合同条款中约定。</w:t>
      </w:r>
    </w:p>
    <w:p w14:paraId="1F71F4B6">
      <w:pPr>
        <w:autoSpaceDE w:val="0"/>
        <w:spacing w:line="360" w:lineRule="auto"/>
        <w:ind w:firstLine="64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1.4.2 </w:t>
      </w:r>
      <w:r>
        <w:rPr>
          <w:rFonts w:ascii="Times New Roman" w:hAnsi="Times New Roman" w:eastAsia="仿宋_GB2312;仿宋" w:cs="Times New Roman"/>
          <w:color w:val="000000"/>
          <w:kern w:val="0"/>
          <w:sz w:val="24"/>
          <w:szCs w:val="24"/>
        </w:rPr>
        <w:t>发包人要求使用国外标准、规范的，发包人负责提供原文版本和中文译本，并在专用合同条款中约定提供标准规范的名称、份数和时间。</w:t>
      </w:r>
    </w:p>
    <w:p w14:paraId="6A82A96C">
      <w:pPr>
        <w:autoSpaceDE w:val="0"/>
        <w:spacing w:line="360" w:lineRule="auto"/>
        <w:ind w:firstLine="64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1.4.3 </w:t>
      </w:r>
      <w:r>
        <w:rPr>
          <w:rFonts w:ascii="Times New Roman" w:hAnsi="Times New Roman" w:eastAsia="仿宋_GB2312;仿宋" w:cs="Times New Roman"/>
          <w:color w:val="000000"/>
          <w:kern w:val="0"/>
          <w:sz w:val="24"/>
          <w:szCs w:val="24"/>
        </w:rPr>
        <w:t>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33E40DEB">
      <w:pPr>
        <w:pStyle w:val="6"/>
        <w:spacing w:before="120" w:after="120" w:line="360" w:lineRule="auto"/>
        <w:ind w:firstLine="480"/>
        <w:rPr>
          <w:rFonts w:ascii="Times New Roman" w:hAnsi="Times New Roman" w:eastAsia="黑体" w:cs="Times New Roman"/>
          <w:b w:val="0"/>
          <w:color w:val="000000"/>
          <w:sz w:val="24"/>
          <w:szCs w:val="24"/>
        </w:rPr>
      </w:pPr>
      <w:bookmarkStart w:id="34" w:name="__RefHeading___Toc351203500"/>
      <w:bookmarkEnd w:id="34"/>
      <w:r>
        <w:rPr>
          <w:rFonts w:eastAsia="黑体" w:cs="Times New Roman"/>
          <w:b w:val="0"/>
          <w:color w:val="000000"/>
          <w:sz w:val="24"/>
          <w:szCs w:val="24"/>
        </w:rPr>
        <w:t xml:space="preserve">1.5 </w:t>
      </w:r>
      <w:r>
        <w:rPr>
          <w:rFonts w:ascii="Times New Roman" w:hAnsi="Times New Roman" w:eastAsia="黑体" w:cs="Times New Roman"/>
          <w:b w:val="0"/>
          <w:color w:val="000000"/>
          <w:sz w:val="24"/>
          <w:szCs w:val="24"/>
        </w:rPr>
        <w:t>合同文件的优先顺序</w:t>
      </w:r>
    </w:p>
    <w:p w14:paraId="76E1768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组成合同的各项文件应互相解释，互为说明。除专用合同条款另有约定外，解释合同文件的优先顺序如下：</w:t>
      </w:r>
    </w:p>
    <w:p w14:paraId="0D09058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）合同协议书；</w:t>
      </w:r>
    </w:p>
    <w:p w14:paraId="09690FA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）成交通知书（如果有）；</w:t>
      </w:r>
    </w:p>
    <w:p w14:paraId="793C2B6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）响应函及其附录（如果有）；</w:t>
      </w:r>
    </w:p>
    <w:p w14:paraId="62D22E6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）专用合同条款</w:t>
      </w:r>
      <w:r>
        <w:rPr>
          <w:rFonts w:ascii="Times New Roman" w:hAnsi="Times New Roman" w:eastAsia="仿宋_GB2312;仿宋" w:cs="Times New Roman"/>
          <w:color w:val="000000"/>
          <w:sz w:val="24"/>
          <w:szCs w:val="24"/>
        </w:rPr>
        <w:t>及其附件</w:t>
      </w:r>
      <w:r>
        <w:rPr>
          <w:rFonts w:ascii="Times New Roman" w:hAnsi="Times New Roman" w:eastAsia="仿宋_GB2312;仿宋" w:cs="Times New Roman"/>
          <w:color w:val="000000"/>
          <w:kern w:val="0"/>
          <w:sz w:val="24"/>
          <w:szCs w:val="24"/>
        </w:rPr>
        <w:t>；</w:t>
      </w:r>
    </w:p>
    <w:p w14:paraId="630C4A0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）通用合同条款；</w:t>
      </w:r>
    </w:p>
    <w:p w14:paraId="442848A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）技术标准和要求；</w:t>
      </w:r>
    </w:p>
    <w:p w14:paraId="480A79B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）图纸；</w:t>
      </w:r>
    </w:p>
    <w:p w14:paraId="546F5BC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）已标价工程量清单或预算书；</w:t>
      </w:r>
    </w:p>
    <w:p w14:paraId="1D3DDFEB">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9</w:t>
      </w:r>
      <w:r>
        <w:rPr>
          <w:rFonts w:ascii="Times New Roman" w:hAnsi="Times New Roman" w:eastAsia="仿宋_GB2312;仿宋" w:cs="Times New Roman"/>
          <w:color w:val="000000"/>
          <w:kern w:val="0"/>
          <w:sz w:val="24"/>
          <w:szCs w:val="24"/>
        </w:rPr>
        <w:t>）其他合同文件。</w:t>
      </w:r>
    </w:p>
    <w:p w14:paraId="5C21A2BE">
      <w:pPr>
        <w:spacing w:line="360" w:lineRule="auto"/>
        <w:ind w:firstLine="511"/>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上述各项合同文件包括合同当事人就该项合同文件所作出的补充和修改，属于同一类内容的文件，应以最新签署的为准。</w:t>
      </w:r>
    </w:p>
    <w:p w14:paraId="6C5403C8">
      <w:pPr>
        <w:spacing w:line="360" w:lineRule="auto"/>
        <w:ind w:firstLine="511"/>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在合同订立及履行过程中形成的与合同有关的文件均构成合同文件组成部分，并根据其性质确定优先解释顺序。</w:t>
      </w:r>
    </w:p>
    <w:p w14:paraId="2ABB7B15">
      <w:pPr>
        <w:pStyle w:val="6"/>
        <w:spacing w:before="120" w:after="120" w:line="360" w:lineRule="auto"/>
        <w:ind w:firstLine="480"/>
        <w:rPr>
          <w:rFonts w:ascii="Times New Roman" w:hAnsi="Times New Roman" w:eastAsia="黑体" w:cs="Times New Roman"/>
          <w:b w:val="0"/>
          <w:color w:val="000000"/>
          <w:sz w:val="24"/>
          <w:szCs w:val="24"/>
        </w:rPr>
      </w:pPr>
      <w:bookmarkStart w:id="35" w:name="__RefHeading___Toc351203501"/>
      <w:bookmarkEnd w:id="35"/>
      <w:r>
        <w:rPr>
          <w:rFonts w:eastAsia="黑体" w:cs="Times New Roman"/>
          <w:b w:val="0"/>
          <w:color w:val="000000"/>
          <w:sz w:val="24"/>
          <w:szCs w:val="24"/>
        </w:rPr>
        <w:t>1.6</w:t>
      </w:r>
      <w:r>
        <w:rPr>
          <w:rFonts w:ascii="Times New Roman" w:hAnsi="Times New Roman" w:eastAsia="黑体" w:cs="Times New Roman"/>
          <w:b w:val="0"/>
          <w:color w:val="000000"/>
          <w:sz w:val="24"/>
          <w:szCs w:val="24"/>
        </w:rPr>
        <w:t>图纸和承包人文件</w:t>
      </w:r>
    </w:p>
    <w:p w14:paraId="37FB2C9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1.6.1 </w:t>
      </w:r>
      <w:r>
        <w:rPr>
          <w:rFonts w:ascii="Times New Roman" w:hAnsi="Times New Roman" w:eastAsia="仿宋_GB2312;仿宋" w:cs="Times New Roman"/>
          <w:color w:val="000000"/>
          <w:kern w:val="0"/>
          <w:sz w:val="24"/>
          <w:szCs w:val="24"/>
        </w:rPr>
        <w:t>图纸的提供和交底</w:t>
      </w:r>
    </w:p>
    <w:p w14:paraId="1F103FD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发包人应按照专用合同条款约定的期限、数量和内容向承包人免费提供图纸，并组织承包人、监理人和设计人进行图纸会审和设计交底。发包人至迟不得晚于第</w:t>
      </w:r>
      <w:r>
        <w:rPr>
          <w:rFonts w:eastAsia="仿宋_GB2312;仿宋" w:cs="Times New Roman"/>
          <w:color w:val="000000"/>
          <w:kern w:val="0"/>
          <w:sz w:val="24"/>
          <w:szCs w:val="24"/>
        </w:rPr>
        <w:t>7.3.2</w:t>
      </w:r>
      <w:r>
        <w:rPr>
          <w:rFonts w:ascii="Times New Roman" w:hAnsi="Times New Roman" w:eastAsia="仿宋_GB2312;仿宋" w:cs="Times New Roman"/>
          <w:color w:val="000000"/>
          <w:kern w:val="0"/>
          <w:sz w:val="24"/>
          <w:szCs w:val="24"/>
        </w:rPr>
        <w:t>项〔开工通知〕载明的开工日期前</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天向承包人提供图纸。</w:t>
      </w:r>
    </w:p>
    <w:p w14:paraId="089E024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因发包人未按合同约定提供图纸导致承包人费用增加和（或）工期延误的，按照第</w:t>
      </w:r>
      <w:r>
        <w:rPr>
          <w:rFonts w:eastAsia="仿宋_GB2312;仿宋" w:cs="Times New Roman"/>
          <w:color w:val="000000"/>
          <w:kern w:val="0"/>
          <w:sz w:val="24"/>
          <w:szCs w:val="24"/>
        </w:rPr>
        <w:t>7.5.1</w:t>
      </w:r>
      <w:r>
        <w:rPr>
          <w:rFonts w:ascii="Times New Roman" w:hAnsi="Times New Roman" w:eastAsia="仿宋_GB2312;仿宋" w:cs="Times New Roman"/>
          <w:color w:val="000000"/>
          <w:kern w:val="0"/>
          <w:sz w:val="24"/>
          <w:szCs w:val="24"/>
        </w:rPr>
        <w:t>项〔因发包人原因导致工期延误〕约定办理。</w:t>
      </w:r>
    </w:p>
    <w:p w14:paraId="1F49EAC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 </w:t>
      </w:r>
      <w:r>
        <w:rPr>
          <w:rFonts w:ascii="Times New Roman" w:hAnsi="Times New Roman" w:eastAsia="仿宋_GB2312;仿宋" w:cs="Times New Roman"/>
          <w:color w:val="000000"/>
          <w:kern w:val="0"/>
          <w:sz w:val="24"/>
          <w:szCs w:val="24"/>
        </w:rPr>
        <w:t>图纸的错误</w:t>
      </w:r>
    </w:p>
    <w:p w14:paraId="7427B59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51F79D1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1.6.3 </w:t>
      </w:r>
      <w:r>
        <w:rPr>
          <w:rFonts w:ascii="Times New Roman" w:hAnsi="Times New Roman" w:eastAsia="仿宋_GB2312;仿宋" w:cs="Times New Roman"/>
          <w:color w:val="000000"/>
          <w:kern w:val="0"/>
          <w:sz w:val="24"/>
          <w:szCs w:val="24"/>
        </w:rPr>
        <w:t>图纸的修改和补充</w:t>
      </w:r>
    </w:p>
    <w:p w14:paraId="43F7F72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图纸需要修改和补充的，应经图纸原设计人及审批部门同意，并由监理人在工程或工程相应部位施工前将修改后的图纸或补充图纸提交给承包人，承包人应按修改或补充后的图纸施工。</w:t>
      </w:r>
    </w:p>
    <w:p w14:paraId="4042FDD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1.6.4 </w:t>
      </w:r>
      <w:r>
        <w:rPr>
          <w:rFonts w:ascii="Times New Roman" w:hAnsi="Times New Roman" w:eastAsia="仿宋_GB2312;仿宋" w:cs="Times New Roman"/>
          <w:color w:val="000000"/>
          <w:kern w:val="0"/>
          <w:sz w:val="24"/>
          <w:szCs w:val="24"/>
        </w:rPr>
        <w:t>承包人文件</w:t>
      </w:r>
    </w:p>
    <w:p w14:paraId="4415D50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承包人应按照专用合同条款的约定提供应当由其编制的与工程施工有关的文件，并按照专用合同条款约定的期限、数量和形式提交监理人，并由监理人报送发包人。</w:t>
      </w:r>
    </w:p>
    <w:p w14:paraId="309F425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除专用合同条款另有约定外，监理人应在收到承包人文件后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天内审查完毕，监理人对承包人文件有异议的，承包人应予以修改，并重新报送监理人。监理人的审查并不减轻或免除承包人根据合同约定应当承担的责任。</w:t>
      </w:r>
    </w:p>
    <w:p w14:paraId="3A3BAC5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1.6.5 </w:t>
      </w:r>
      <w:r>
        <w:rPr>
          <w:rFonts w:ascii="Times New Roman" w:hAnsi="Times New Roman" w:eastAsia="仿宋_GB2312;仿宋" w:cs="Times New Roman"/>
          <w:color w:val="000000"/>
          <w:kern w:val="0"/>
          <w:sz w:val="24"/>
          <w:szCs w:val="24"/>
        </w:rPr>
        <w:t>图纸和承包人文件的保管</w:t>
      </w:r>
    </w:p>
    <w:p w14:paraId="088B5AF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除专用合同条款另有约定外，承包人应在施工现场另外保存一套完整的图纸和承包人文件，供发包人、监理人及有关人员进行工程检查时使用。</w:t>
      </w:r>
    </w:p>
    <w:p w14:paraId="4F2011A8">
      <w:pPr>
        <w:pStyle w:val="6"/>
        <w:spacing w:before="120" w:after="120" w:line="360" w:lineRule="auto"/>
        <w:ind w:firstLine="480"/>
        <w:rPr>
          <w:rFonts w:ascii="Times New Roman" w:hAnsi="Times New Roman" w:eastAsia="黑体" w:cs="Times New Roman"/>
          <w:b w:val="0"/>
          <w:color w:val="000000"/>
          <w:sz w:val="24"/>
          <w:szCs w:val="24"/>
        </w:rPr>
      </w:pPr>
      <w:bookmarkStart w:id="36" w:name="__RefHeading___Toc351203502"/>
      <w:bookmarkEnd w:id="36"/>
      <w:r>
        <w:rPr>
          <w:rFonts w:eastAsia="黑体" w:cs="Times New Roman"/>
          <w:b w:val="0"/>
          <w:color w:val="000000"/>
          <w:sz w:val="24"/>
          <w:szCs w:val="24"/>
        </w:rPr>
        <w:t>1.7</w:t>
      </w:r>
      <w:r>
        <w:rPr>
          <w:rFonts w:ascii="Times New Roman" w:hAnsi="Times New Roman" w:eastAsia="黑体" w:cs="Times New Roman"/>
          <w:b w:val="0"/>
          <w:color w:val="000000"/>
          <w:sz w:val="24"/>
          <w:szCs w:val="24"/>
        </w:rPr>
        <w:t>联络</w:t>
      </w:r>
    </w:p>
    <w:p w14:paraId="52B0C7D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1.7.1 </w:t>
      </w:r>
      <w:r>
        <w:rPr>
          <w:rFonts w:ascii="Times New Roman" w:hAnsi="Times New Roman" w:eastAsia="仿宋_GB2312;仿宋" w:cs="Times New Roman"/>
          <w:color w:val="000000"/>
          <w:kern w:val="0"/>
          <w:sz w:val="24"/>
          <w:szCs w:val="24"/>
        </w:rPr>
        <w:t>与合同有关的通知、批准、证明、证书、指示、指令、要求、请求、同意、意见、确定和决定等，均应采用书面形式，并应在合同约定的期限内送达接收人和送达地点。</w:t>
      </w:r>
    </w:p>
    <w:p w14:paraId="75D84C8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1.7.2 </w:t>
      </w:r>
      <w:r>
        <w:rPr>
          <w:rFonts w:ascii="Times New Roman" w:hAnsi="Times New Roman" w:eastAsia="仿宋_GB2312;仿宋" w:cs="Times New Roman"/>
          <w:color w:val="000000"/>
          <w:kern w:val="0"/>
          <w:sz w:val="24"/>
          <w:szCs w:val="24"/>
        </w:rPr>
        <w:t>发包人和承包人应在专用合同条款中约定各自的送达接收人和送达地点。任何一方合同当事人指定的接收人或送达地点发生变动的，应提前</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天以书面形式通知对方。</w:t>
      </w:r>
    </w:p>
    <w:p w14:paraId="4B005603">
      <w:pPr>
        <w:autoSpaceDE w:val="0"/>
        <w:spacing w:line="360" w:lineRule="auto"/>
        <w:ind w:firstLine="480"/>
        <w:jc w:val="left"/>
        <w:rPr>
          <w:rFonts w:ascii="Times New Roman" w:hAnsi="Times New Roman" w:eastAsia="仿宋_GB2312;仿宋" w:cs="Times New Roman"/>
          <w:color w:val="FF0000"/>
          <w:kern w:val="0"/>
          <w:sz w:val="24"/>
          <w:szCs w:val="24"/>
        </w:rPr>
      </w:pPr>
      <w:r>
        <w:rPr>
          <w:rFonts w:eastAsia="仿宋_GB2312;仿宋" w:cs="Times New Roman"/>
          <w:color w:val="000000"/>
          <w:kern w:val="0"/>
          <w:sz w:val="24"/>
          <w:szCs w:val="24"/>
        </w:rPr>
        <w:t xml:space="preserve">1.7.3 </w:t>
      </w:r>
      <w:r>
        <w:rPr>
          <w:rFonts w:ascii="Times New Roman" w:hAnsi="Times New Roman" w:eastAsia="仿宋_GB2312;仿宋" w:cs="Times New Roman"/>
          <w:color w:val="000000"/>
          <w:kern w:val="0"/>
          <w:sz w:val="24"/>
          <w:szCs w:val="24"/>
        </w:rPr>
        <w:t>发包人和承包人应当及时签收另一方送达至送达地点和指定接收人的来往信函。拒不签收的，由此增加的费用和（或）延误的工期由拒绝接收一方承担。</w:t>
      </w:r>
    </w:p>
    <w:p w14:paraId="2101BD41">
      <w:pPr>
        <w:pStyle w:val="6"/>
        <w:spacing w:before="120" w:after="120" w:line="360" w:lineRule="auto"/>
        <w:ind w:firstLine="480"/>
        <w:rPr>
          <w:rFonts w:ascii="Times New Roman" w:hAnsi="Times New Roman" w:eastAsia="黑体" w:cs="Times New Roman"/>
          <w:b w:val="0"/>
          <w:color w:val="000000"/>
          <w:sz w:val="24"/>
          <w:szCs w:val="24"/>
        </w:rPr>
      </w:pPr>
      <w:bookmarkStart w:id="37" w:name="__RefHeading___Toc351203503"/>
      <w:bookmarkEnd w:id="37"/>
      <w:r>
        <w:rPr>
          <w:rFonts w:eastAsia="黑体" w:cs="Times New Roman"/>
          <w:b w:val="0"/>
          <w:color w:val="000000"/>
          <w:sz w:val="24"/>
          <w:szCs w:val="24"/>
        </w:rPr>
        <w:t>1.8</w:t>
      </w:r>
      <w:r>
        <w:rPr>
          <w:rFonts w:ascii="Times New Roman" w:hAnsi="Times New Roman" w:eastAsia="黑体" w:cs="Times New Roman"/>
          <w:b w:val="0"/>
          <w:color w:val="000000"/>
          <w:sz w:val="24"/>
          <w:szCs w:val="24"/>
        </w:rPr>
        <w:t>严禁贿赂</w:t>
      </w:r>
    </w:p>
    <w:p w14:paraId="19AF49C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合同当事人不得以贿赂或变相贿赂的方式，谋取非法利益或损害对方权益。因一方合同当事人的贿赂造成对方损失的，应赔偿损失，并承担相应的法律责任。</w:t>
      </w:r>
    </w:p>
    <w:p w14:paraId="0868EFC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承包人不得与监理人或发包人聘请的第三方串通损害发包人利益。未经发包人书面同意，承包人不得为监理人提供合同约定以外的通讯设备、交通工具及其他任何形式的利益，不得向监理人支付报酬。</w:t>
      </w:r>
    </w:p>
    <w:p w14:paraId="0341EF4E">
      <w:pPr>
        <w:pStyle w:val="6"/>
        <w:spacing w:before="120" w:after="120" w:line="360" w:lineRule="auto"/>
        <w:ind w:firstLine="480"/>
        <w:rPr>
          <w:rFonts w:ascii="Times New Roman" w:hAnsi="Times New Roman" w:eastAsia="黑体" w:cs="Times New Roman"/>
          <w:b w:val="0"/>
          <w:color w:val="000000"/>
          <w:sz w:val="24"/>
          <w:szCs w:val="24"/>
        </w:rPr>
      </w:pPr>
      <w:bookmarkStart w:id="38" w:name="__RefHeading___Toc351203504"/>
      <w:bookmarkEnd w:id="38"/>
      <w:r>
        <w:rPr>
          <w:rFonts w:eastAsia="黑体" w:cs="Times New Roman"/>
          <w:b w:val="0"/>
          <w:color w:val="000000"/>
          <w:sz w:val="24"/>
          <w:szCs w:val="24"/>
        </w:rPr>
        <w:t>1.9</w:t>
      </w:r>
      <w:r>
        <w:rPr>
          <w:rFonts w:ascii="Times New Roman" w:hAnsi="Times New Roman" w:eastAsia="黑体" w:cs="Times New Roman"/>
          <w:b w:val="0"/>
          <w:color w:val="000000"/>
          <w:sz w:val="24"/>
          <w:szCs w:val="24"/>
        </w:rPr>
        <w:t>化石、文物</w:t>
      </w:r>
    </w:p>
    <w:p w14:paraId="51520E2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033D172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发包人、监理人和承包人应按有关政府行政管理部门要求采取妥善的保护措施，由此增加的费用和（或）延误的工期由发包人承担。</w:t>
      </w:r>
    </w:p>
    <w:p w14:paraId="30F6198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承包人发现文物后不及时报告或隐瞒不报，致使文物丢失或损坏的，应赔偿损失，并承担相应的法律责任。</w:t>
      </w:r>
    </w:p>
    <w:p w14:paraId="3F9171F2">
      <w:pPr>
        <w:pStyle w:val="6"/>
        <w:spacing w:before="120" w:after="120" w:line="360" w:lineRule="auto"/>
        <w:ind w:firstLine="480"/>
        <w:rPr>
          <w:rFonts w:ascii="Times New Roman" w:hAnsi="Times New Roman" w:eastAsia="黑体" w:cs="Times New Roman"/>
          <w:b w:val="0"/>
          <w:color w:val="000000"/>
          <w:sz w:val="24"/>
          <w:szCs w:val="24"/>
        </w:rPr>
      </w:pPr>
      <w:bookmarkStart w:id="39" w:name="__RefHeading___Toc351203505"/>
      <w:bookmarkEnd w:id="39"/>
      <w:r>
        <w:rPr>
          <w:rFonts w:eastAsia="黑体" w:cs="Times New Roman"/>
          <w:b w:val="0"/>
          <w:color w:val="000000"/>
          <w:sz w:val="24"/>
          <w:szCs w:val="24"/>
        </w:rPr>
        <w:t>1.10</w:t>
      </w:r>
      <w:r>
        <w:rPr>
          <w:rFonts w:ascii="Times New Roman" w:hAnsi="Times New Roman" w:eastAsia="黑体" w:cs="Times New Roman"/>
          <w:b w:val="0"/>
          <w:color w:val="000000"/>
          <w:sz w:val="24"/>
          <w:szCs w:val="24"/>
        </w:rPr>
        <w:t>交通运输</w:t>
      </w:r>
    </w:p>
    <w:p w14:paraId="03BF4FD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1.10.1 </w:t>
      </w:r>
      <w:r>
        <w:rPr>
          <w:rFonts w:ascii="Times New Roman" w:hAnsi="Times New Roman" w:eastAsia="仿宋_GB2312;仿宋" w:cs="Times New Roman"/>
          <w:color w:val="000000"/>
          <w:kern w:val="0"/>
          <w:sz w:val="24"/>
          <w:szCs w:val="24"/>
        </w:rPr>
        <w:t>出入现场的权利</w:t>
      </w:r>
    </w:p>
    <w:p w14:paraId="7F16815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12BFCB7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承包人应在订立合同前查勘施工现场，并根据工程规模及技术参数合理预见工程施工所需的进出施工现场的方式、手段、路径等。因承包人未合理预见所增加的费用和（或）延误的工期由承包人承担。</w:t>
      </w:r>
    </w:p>
    <w:p w14:paraId="2C0EC20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1.10.2 </w:t>
      </w:r>
      <w:r>
        <w:rPr>
          <w:rFonts w:ascii="Times New Roman" w:hAnsi="Times New Roman" w:eastAsia="仿宋_GB2312;仿宋" w:cs="Times New Roman"/>
          <w:color w:val="000000"/>
          <w:kern w:val="0"/>
          <w:sz w:val="24"/>
          <w:szCs w:val="24"/>
        </w:rPr>
        <w:t>场外交通</w:t>
      </w:r>
    </w:p>
    <w:p w14:paraId="7EE0062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579C4C6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1.10.3</w:t>
      </w:r>
      <w:r>
        <w:rPr>
          <w:rFonts w:ascii="Times New Roman" w:hAnsi="Times New Roman" w:eastAsia="仿宋_GB2312;仿宋" w:cs="Times New Roman"/>
          <w:color w:val="000000"/>
          <w:kern w:val="0"/>
          <w:sz w:val="24"/>
          <w:szCs w:val="24"/>
        </w:rPr>
        <w:t>场内交通</w:t>
      </w:r>
    </w:p>
    <w:p w14:paraId="5D402FA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7049185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2FF76A7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场外交通和场内交通的边界由合同当事人在专用合同条款中约定。</w:t>
      </w:r>
    </w:p>
    <w:p w14:paraId="7ADE124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1.10.4 </w:t>
      </w:r>
      <w:r>
        <w:rPr>
          <w:rFonts w:ascii="Times New Roman" w:hAnsi="Times New Roman" w:eastAsia="仿宋_GB2312;仿宋" w:cs="Times New Roman"/>
          <w:color w:val="000000"/>
          <w:kern w:val="0"/>
          <w:sz w:val="24"/>
          <w:szCs w:val="24"/>
        </w:rPr>
        <w:t>超大件和超重件的运输</w:t>
      </w:r>
    </w:p>
    <w:p w14:paraId="0D31022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1C205D3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1.10.5 </w:t>
      </w:r>
      <w:r>
        <w:rPr>
          <w:rFonts w:ascii="Times New Roman" w:hAnsi="Times New Roman" w:eastAsia="仿宋_GB2312;仿宋" w:cs="Times New Roman"/>
          <w:color w:val="000000"/>
          <w:kern w:val="0"/>
          <w:sz w:val="24"/>
          <w:szCs w:val="24"/>
        </w:rPr>
        <w:t>道路和桥梁的损坏责任</w:t>
      </w:r>
    </w:p>
    <w:p w14:paraId="592E44D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因承包人运输造成施工场地内外公共道路和桥梁损坏的，由承包人承担修复损坏的全部费用和可能引起的赔偿。</w:t>
      </w:r>
    </w:p>
    <w:p w14:paraId="294FD1C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1.10.6 </w:t>
      </w:r>
      <w:r>
        <w:rPr>
          <w:rFonts w:ascii="Times New Roman" w:hAnsi="Times New Roman" w:eastAsia="仿宋_GB2312;仿宋" w:cs="Times New Roman"/>
          <w:color w:val="000000"/>
          <w:kern w:val="0"/>
          <w:sz w:val="24"/>
          <w:szCs w:val="24"/>
        </w:rPr>
        <w:t>水路和航空运输</w:t>
      </w:r>
    </w:p>
    <w:p w14:paraId="4216A2A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本款前述各项的内容适用于水路运输和航空运输，其中“道路”一词的涵义包括河道、航线、船闸、机场、码头、堤防以及水路或航空运输中其他相似结构物；“车辆”一词的涵义包括船舶和飞机等。</w:t>
      </w:r>
    </w:p>
    <w:p w14:paraId="27B31266">
      <w:pPr>
        <w:pStyle w:val="6"/>
        <w:spacing w:before="120" w:after="120" w:line="360" w:lineRule="auto"/>
        <w:ind w:firstLine="480"/>
        <w:rPr>
          <w:rFonts w:ascii="Times New Roman" w:hAnsi="Times New Roman" w:eastAsia="黑体" w:cs="Times New Roman"/>
          <w:b w:val="0"/>
          <w:color w:val="000000"/>
          <w:sz w:val="24"/>
          <w:szCs w:val="24"/>
        </w:rPr>
      </w:pPr>
      <w:bookmarkStart w:id="40" w:name="__RefHeading___Toc351203506"/>
      <w:r>
        <w:rPr>
          <w:rFonts w:eastAsia="黑体" w:cs="Times New Roman"/>
          <w:b w:val="0"/>
          <w:color w:val="000000"/>
          <w:sz w:val="24"/>
          <w:szCs w:val="24"/>
        </w:rPr>
        <w:t>1.11</w:t>
      </w:r>
      <w:r>
        <w:rPr>
          <w:rFonts w:ascii="Times New Roman" w:hAnsi="Times New Roman" w:eastAsia="黑体" w:cs="Times New Roman"/>
          <w:b w:val="0"/>
          <w:color w:val="000000"/>
          <w:sz w:val="24"/>
          <w:szCs w:val="24"/>
        </w:rPr>
        <w:t>知识产权</w:t>
      </w:r>
      <w:bookmarkEnd w:id="40"/>
      <w:r>
        <w:rPr>
          <w:rFonts w:ascii="Times New Roman" w:hAnsi="Times New Roman" w:eastAsia="Times New Roman" w:cs="Times New Roman"/>
          <w:b w:val="0"/>
          <w:color w:val="000000"/>
          <w:sz w:val="24"/>
          <w:szCs w:val="24"/>
        </w:rPr>
        <w:t xml:space="preserve"> </w:t>
      </w:r>
    </w:p>
    <w:p w14:paraId="07E47D7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1.11.1 </w:t>
      </w:r>
      <w:r>
        <w:rPr>
          <w:rFonts w:ascii="Times New Roman" w:hAnsi="Times New Roman" w:eastAsia="仿宋_GB2312;仿宋" w:cs="Times New Roman"/>
          <w:color w:val="000000"/>
          <w:kern w:val="0"/>
          <w:sz w:val="24"/>
          <w:szCs w:val="24"/>
        </w:rPr>
        <w:t>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5F1FF96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1.11.2 </w:t>
      </w:r>
      <w:r>
        <w:rPr>
          <w:rFonts w:ascii="Times New Roman" w:hAnsi="Times New Roman" w:eastAsia="仿宋_GB2312;仿宋" w:cs="Times New Roman"/>
          <w:color w:val="000000"/>
          <w:kern w:val="0"/>
          <w:sz w:val="24"/>
          <w:szCs w:val="24"/>
        </w:rPr>
        <w:t>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054EAF4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1.11.3 </w:t>
      </w:r>
      <w:r>
        <w:rPr>
          <w:rFonts w:ascii="Times New Roman" w:hAnsi="Times New Roman" w:eastAsia="仿宋_GB2312;仿宋" w:cs="Times New Roman"/>
          <w:color w:val="000000"/>
          <w:kern w:val="0"/>
          <w:sz w:val="24"/>
          <w:szCs w:val="24"/>
        </w:rPr>
        <w:t>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2109B5F3">
      <w:pPr>
        <w:rPr>
          <w:rFonts w:ascii="Times New Roman" w:hAnsi="Times New Roman" w:cs="Times New Roman"/>
          <w:sz w:val="24"/>
          <w:szCs w:val="21"/>
        </w:rPr>
      </w:pPr>
      <w:r>
        <w:rPr>
          <w:rFonts w:eastAsia="Times New Roman" w:cs="Times New Roman"/>
          <w:color w:val="000000"/>
          <w:kern w:val="0"/>
          <w:sz w:val="24"/>
          <w:szCs w:val="24"/>
        </w:rPr>
        <w:t xml:space="preserve">    </w:t>
      </w:r>
      <w:r>
        <w:rPr>
          <w:rFonts w:eastAsia="仿宋_GB2312;仿宋" w:cs="Times New Roman"/>
          <w:color w:val="000000"/>
          <w:sz w:val="24"/>
          <w:szCs w:val="24"/>
        </w:rPr>
        <w:t xml:space="preserve">1.11.4 </w:t>
      </w:r>
      <w:r>
        <w:rPr>
          <w:rFonts w:ascii="Times New Roman" w:hAnsi="Times New Roman" w:eastAsia="仿宋_GB2312;仿宋" w:cs="Times New Roman"/>
          <w:color w:val="000000"/>
          <w:sz w:val="24"/>
          <w:szCs w:val="24"/>
        </w:rPr>
        <w:t>除专用合同条款另有约定外，承包人在合同签订前和签订时已确定采用的专利、专有技术、技术秘密的使用费已包含在签约合同价中。</w:t>
      </w:r>
    </w:p>
    <w:p w14:paraId="1B296A94">
      <w:pPr>
        <w:pStyle w:val="6"/>
        <w:spacing w:before="120" w:after="120" w:line="360" w:lineRule="auto"/>
        <w:ind w:firstLine="480"/>
        <w:rPr>
          <w:rFonts w:ascii="Times New Roman" w:hAnsi="Times New Roman" w:eastAsia="黑体" w:cs="Times New Roman"/>
          <w:b w:val="0"/>
          <w:color w:val="000000"/>
          <w:sz w:val="24"/>
          <w:szCs w:val="24"/>
        </w:rPr>
      </w:pPr>
      <w:bookmarkStart w:id="41" w:name="__RefHeading___Toc351203507"/>
      <w:bookmarkEnd w:id="41"/>
      <w:r>
        <w:rPr>
          <w:rFonts w:eastAsia="黑体" w:cs="Times New Roman"/>
          <w:b w:val="0"/>
          <w:color w:val="000000"/>
          <w:sz w:val="24"/>
          <w:szCs w:val="24"/>
        </w:rPr>
        <w:t>1.12</w:t>
      </w:r>
      <w:r>
        <w:rPr>
          <w:rFonts w:ascii="Times New Roman" w:hAnsi="Times New Roman" w:eastAsia="黑体" w:cs="Times New Roman"/>
          <w:b w:val="0"/>
          <w:color w:val="000000"/>
          <w:sz w:val="24"/>
          <w:szCs w:val="24"/>
        </w:rPr>
        <w:t>保密</w:t>
      </w:r>
    </w:p>
    <w:p w14:paraId="1EE872C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除法律规定或合同另有约定外，未经发包人同意，承包人不得将发包人提供的图纸、文件以及声明需要保密的资料信息等商业秘密泄露给第三方。</w:t>
      </w:r>
    </w:p>
    <w:p w14:paraId="06AC422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除法律规定或合同另有约定外，未经承包人同意，发包人不得将承包人提供的技术秘密及声明需要保密的资料信息等商业秘密泄露给第三方。</w:t>
      </w:r>
    </w:p>
    <w:p w14:paraId="1C3400FD">
      <w:pPr>
        <w:pStyle w:val="6"/>
        <w:spacing w:before="120" w:after="120" w:line="360" w:lineRule="auto"/>
        <w:ind w:firstLine="480"/>
        <w:rPr>
          <w:rFonts w:ascii="Times New Roman" w:hAnsi="Times New Roman" w:eastAsia="黑体" w:cs="Times New Roman"/>
          <w:b w:val="0"/>
          <w:color w:val="000000"/>
          <w:sz w:val="24"/>
          <w:szCs w:val="24"/>
        </w:rPr>
      </w:pPr>
      <w:bookmarkStart w:id="42" w:name="__RefHeading___Toc351203508"/>
      <w:bookmarkEnd w:id="42"/>
      <w:r>
        <w:rPr>
          <w:rFonts w:eastAsia="黑体" w:cs="Times New Roman"/>
          <w:b w:val="0"/>
          <w:color w:val="000000"/>
          <w:sz w:val="24"/>
          <w:szCs w:val="24"/>
        </w:rPr>
        <w:t>1.13</w:t>
      </w:r>
      <w:r>
        <w:rPr>
          <w:rFonts w:ascii="Times New Roman" w:hAnsi="Times New Roman" w:eastAsia="黑体" w:cs="Times New Roman"/>
          <w:b w:val="0"/>
          <w:color w:val="000000"/>
          <w:sz w:val="24"/>
          <w:szCs w:val="24"/>
        </w:rPr>
        <w:t>工程量清单错误的修正</w:t>
      </w:r>
    </w:p>
    <w:p w14:paraId="28AC692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除专用合同条款另有约定外，发包人提供的工程量清单，应被认为是准确的和完整的。出现下列情形之一时，发包人应予以修正，并相应调整合同价格：</w:t>
      </w:r>
    </w:p>
    <w:p w14:paraId="67B854E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）工程量清单存在缺项、漏项的；</w:t>
      </w:r>
    </w:p>
    <w:p w14:paraId="1A4A609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）工程量清单偏差超出专用合同条款约定的工程量偏差范围的；</w:t>
      </w:r>
    </w:p>
    <w:p w14:paraId="301FE57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）未按照国家现行计量规范强制性规定计量的。</w:t>
      </w:r>
    </w:p>
    <w:p w14:paraId="0D6FB09A">
      <w:pPr>
        <w:pStyle w:val="5"/>
        <w:spacing w:before="120" w:after="120" w:line="360" w:lineRule="auto"/>
        <w:rPr>
          <w:rFonts w:ascii="Times New Roman" w:hAnsi="Times New Roman" w:eastAsia="黑体" w:cs="Times New Roman"/>
          <w:b w:val="0"/>
          <w:color w:val="000000"/>
          <w:sz w:val="24"/>
          <w:szCs w:val="24"/>
        </w:rPr>
      </w:pPr>
      <w:bookmarkStart w:id="43" w:name="__RefHeading___Toc351203509"/>
      <w:bookmarkEnd w:id="43"/>
      <w:r>
        <w:rPr>
          <w:rFonts w:ascii="Times New Roman" w:hAnsi="Times New Roman" w:eastAsia="黑体" w:cs="Times New Roman"/>
          <w:b w:val="0"/>
          <w:color w:val="000000"/>
          <w:sz w:val="24"/>
          <w:szCs w:val="24"/>
        </w:rPr>
        <w:t>2</w:t>
      </w:r>
      <w:bookmarkStart w:id="44" w:name="OLE_LINK2"/>
      <w:bookmarkEnd w:id="44"/>
      <w:bookmarkStart w:id="45" w:name="OLE_LINK1"/>
      <w:bookmarkEnd w:id="45"/>
      <w:r>
        <w:rPr>
          <w:rFonts w:ascii="Times New Roman" w:hAnsi="Times New Roman" w:eastAsia="黑体" w:cs="Times New Roman"/>
          <w:b w:val="0"/>
          <w:color w:val="000000"/>
          <w:sz w:val="24"/>
          <w:szCs w:val="24"/>
        </w:rPr>
        <w:t xml:space="preserve">. </w:t>
      </w:r>
      <w:r>
        <w:rPr>
          <w:rFonts w:ascii="Times New Roman" w:hAnsi="Times New Roman" w:cs="Times New Roman"/>
          <w:b w:val="0"/>
          <w:color w:val="000000"/>
          <w:sz w:val="24"/>
          <w:szCs w:val="24"/>
        </w:rPr>
        <w:t>发包人</w:t>
      </w:r>
    </w:p>
    <w:p w14:paraId="326B65D5">
      <w:pPr>
        <w:pStyle w:val="6"/>
        <w:spacing w:before="120" w:after="120" w:line="360" w:lineRule="auto"/>
        <w:ind w:firstLine="480"/>
        <w:rPr>
          <w:rFonts w:ascii="Times New Roman" w:hAnsi="Times New Roman" w:eastAsia="黑体" w:cs="Times New Roman"/>
          <w:b w:val="0"/>
          <w:color w:val="000000"/>
          <w:sz w:val="24"/>
          <w:szCs w:val="24"/>
        </w:rPr>
      </w:pPr>
      <w:bookmarkStart w:id="46" w:name="__RefHeading___Toc351203510"/>
      <w:bookmarkEnd w:id="46"/>
      <w:r>
        <w:rPr>
          <w:rFonts w:eastAsia="黑体" w:cs="Times New Roman"/>
          <w:b w:val="0"/>
          <w:color w:val="000000"/>
          <w:sz w:val="24"/>
          <w:szCs w:val="24"/>
        </w:rPr>
        <w:t xml:space="preserve">2.1 </w:t>
      </w:r>
      <w:r>
        <w:rPr>
          <w:rFonts w:ascii="Times New Roman" w:hAnsi="Times New Roman" w:eastAsia="黑体" w:cs="Times New Roman"/>
          <w:b w:val="0"/>
          <w:color w:val="000000"/>
          <w:sz w:val="24"/>
          <w:szCs w:val="24"/>
        </w:rPr>
        <w:t>许可或批准</w:t>
      </w:r>
    </w:p>
    <w:p w14:paraId="03D026B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12FA169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因发包人原因未能及时办理完毕前述许可、批准或备案，由发包人承担由此增加的费用和（或）延误的工期，并支付承包人合理的利润。</w:t>
      </w:r>
    </w:p>
    <w:p w14:paraId="0AC5EA2D">
      <w:pPr>
        <w:pStyle w:val="6"/>
        <w:spacing w:before="120" w:after="120" w:line="360" w:lineRule="auto"/>
        <w:ind w:firstLine="480"/>
        <w:rPr>
          <w:rFonts w:ascii="Times New Roman" w:hAnsi="Times New Roman" w:eastAsia="黑体" w:cs="Times New Roman"/>
          <w:b w:val="0"/>
          <w:color w:val="000000"/>
          <w:sz w:val="24"/>
          <w:szCs w:val="24"/>
        </w:rPr>
      </w:pPr>
      <w:bookmarkStart w:id="47" w:name="__RefHeading___Toc351203511"/>
      <w:bookmarkEnd w:id="47"/>
      <w:r>
        <w:rPr>
          <w:rFonts w:eastAsia="黑体" w:cs="Times New Roman"/>
          <w:b w:val="0"/>
          <w:color w:val="000000"/>
          <w:sz w:val="24"/>
          <w:szCs w:val="24"/>
        </w:rPr>
        <w:t xml:space="preserve">2.2 </w:t>
      </w:r>
      <w:r>
        <w:rPr>
          <w:rFonts w:ascii="Times New Roman" w:hAnsi="Times New Roman" w:eastAsia="黑体" w:cs="Times New Roman"/>
          <w:b w:val="0"/>
          <w:color w:val="000000"/>
          <w:sz w:val="24"/>
          <w:szCs w:val="24"/>
        </w:rPr>
        <w:t>发包人代表</w:t>
      </w:r>
    </w:p>
    <w:p w14:paraId="744410F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天书面通知承包人。</w:t>
      </w:r>
    </w:p>
    <w:p w14:paraId="05C76099">
      <w:pPr>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发包人代表不能按照合同约定履行其职责及义务，并导致合同无法继续正常履行的，承包人可以要求发包人撤换发包人代表。</w:t>
      </w:r>
    </w:p>
    <w:p w14:paraId="62319B44">
      <w:pPr>
        <w:ind w:firstLine="480"/>
        <w:rPr>
          <w:rFonts w:ascii="Times New Roman" w:hAnsi="Times New Roman" w:cs="Times New Roman"/>
          <w:sz w:val="24"/>
          <w:szCs w:val="21"/>
        </w:rPr>
      </w:pPr>
      <w:r>
        <w:rPr>
          <w:rFonts w:ascii="Times New Roman" w:hAnsi="Times New Roman" w:eastAsia="仿宋_GB2312;仿宋" w:cs="Times New Roman"/>
          <w:color w:val="000000"/>
          <w:kern w:val="0"/>
          <w:sz w:val="24"/>
          <w:szCs w:val="24"/>
        </w:rPr>
        <w:t>不属于法定必须监理的工程，监理人的职权可以由发包人代表或发包人指定的其他人员行使。</w:t>
      </w:r>
    </w:p>
    <w:p w14:paraId="4B932E97">
      <w:pPr>
        <w:pStyle w:val="6"/>
        <w:spacing w:before="120" w:after="120" w:line="360" w:lineRule="auto"/>
        <w:ind w:firstLine="480"/>
        <w:rPr>
          <w:rFonts w:ascii="Times New Roman" w:hAnsi="Times New Roman" w:eastAsia="黑体" w:cs="Times New Roman"/>
          <w:b w:val="0"/>
          <w:color w:val="000000"/>
          <w:sz w:val="24"/>
          <w:szCs w:val="24"/>
        </w:rPr>
      </w:pPr>
      <w:bookmarkStart w:id="48" w:name="__RefHeading___Toc351203512"/>
      <w:bookmarkEnd w:id="48"/>
      <w:r>
        <w:rPr>
          <w:rFonts w:eastAsia="黑体" w:cs="Times New Roman"/>
          <w:b w:val="0"/>
          <w:color w:val="000000"/>
          <w:sz w:val="24"/>
          <w:szCs w:val="24"/>
        </w:rPr>
        <w:t xml:space="preserve">2.3 </w:t>
      </w:r>
      <w:r>
        <w:rPr>
          <w:rFonts w:ascii="Times New Roman" w:hAnsi="Times New Roman" w:eastAsia="黑体" w:cs="Times New Roman"/>
          <w:b w:val="0"/>
          <w:color w:val="000000"/>
          <w:sz w:val="24"/>
          <w:szCs w:val="24"/>
        </w:rPr>
        <w:t>发包人人员</w:t>
      </w:r>
    </w:p>
    <w:p w14:paraId="2DA9313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发包人应要求在施工现场的发包人人员遵守法律及有关安全、质量、环境保护、文明施工等规定，并保障承包人免于承受因发包人人员未遵守上述要求给承包人造成的损失和责任。</w:t>
      </w:r>
    </w:p>
    <w:p w14:paraId="617E8B92">
      <w:pPr>
        <w:spacing w:line="360" w:lineRule="auto"/>
        <w:ind w:firstLine="64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发包人人员包括发包人代表及其他由发包人派驻施工现场的人员。</w:t>
      </w:r>
    </w:p>
    <w:p w14:paraId="3F5C9C1A">
      <w:pPr>
        <w:pStyle w:val="6"/>
        <w:spacing w:before="120" w:after="120" w:line="360" w:lineRule="auto"/>
        <w:ind w:firstLine="480"/>
        <w:rPr>
          <w:rFonts w:ascii="Times New Roman" w:hAnsi="Times New Roman" w:eastAsia="黑体" w:cs="Times New Roman"/>
          <w:b w:val="0"/>
          <w:color w:val="000000"/>
          <w:sz w:val="24"/>
          <w:szCs w:val="24"/>
        </w:rPr>
      </w:pPr>
      <w:bookmarkStart w:id="49" w:name="__RefHeading___Toc351203513"/>
      <w:r>
        <w:rPr>
          <w:rFonts w:eastAsia="黑体" w:cs="Times New Roman"/>
          <w:b w:val="0"/>
          <w:color w:val="000000"/>
          <w:sz w:val="24"/>
          <w:szCs w:val="24"/>
        </w:rPr>
        <w:t xml:space="preserve">2.4 </w:t>
      </w:r>
      <w:r>
        <w:rPr>
          <w:rFonts w:ascii="Times New Roman" w:hAnsi="Times New Roman" w:eastAsia="黑体" w:cs="Times New Roman"/>
          <w:b w:val="0"/>
          <w:color w:val="000000"/>
          <w:sz w:val="24"/>
          <w:szCs w:val="24"/>
        </w:rPr>
        <w:t>施工现场、施工条件和基础资料的提供</w:t>
      </w:r>
      <w:bookmarkEnd w:id="49"/>
      <w:r>
        <w:rPr>
          <w:rFonts w:ascii="Times New Roman" w:hAnsi="Times New Roman" w:eastAsia="Times New Roman" w:cs="Times New Roman"/>
          <w:b w:val="0"/>
          <w:color w:val="000000"/>
          <w:sz w:val="24"/>
          <w:szCs w:val="24"/>
        </w:rPr>
        <w:t xml:space="preserve">  </w:t>
      </w:r>
    </w:p>
    <w:p w14:paraId="1C45AE87">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2.4.1 </w:t>
      </w:r>
      <w:r>
        <w:rPr>
          <w:rFonts w:ascii="Times New Roman" w:hAnsi="Times New Roman" w:eastAsia="仿宋_GB2312;仿宋" w:cs="Times New Roman"/>
          <w:color w:val="000000"/>
          <w:kern w:val="0"/>
          <w:sz w:val="24"/>
          <w:szCs w:val="24"/>
        </w:rPr>
        <w:t>提供施工现场</w:t>
      </w:r>
    </w:p>
    <w:p w14:paraId="2D72161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w:t>
      </w:r>
      <w:bookmarkStart w:id="50" w:name="OLE_LINK1"/>
      <w:bookmarkEnd w:id="50"/>
      <w:bookmarkStart w:id="51" w:name="OLE_LINK2"/>
      <w:bookmarkEnd w:id="51"/>
      <w:r>
        <w:rPr>
          <w:rFonts w:ascii="Times New Roman" w:hAnsi="Times New Roman" w:eastAsia="仿宋_GB2312;仿宋" w:cs="Times New Roman"/>
          <w:color w:val="000000"/>
          <w:kern w:val="0"/>
          <w:sz w:val="24"/>
          <w:szCs w:val="24"/>
        </w:rPr>
        <w:t>专用合同条款另有约定外，发包人应最迟于开工日期</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天前向承包人移交施工现场。</w:t>
      </w:r>
    </w:p>
    <w:p w14:paraId="6629BC4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2.4.2 </w:t>
      </w:r>
      <w:r>
        <w:rPr>
          <w:rFonts w:ascii="Times New Roman" w:hAnsi="Times New Roman" w:eastAsia="仿宋_GB2312;仿宋" w:cs="Times New Roman"/>
          <w:color w:val="000000"/>
          <w:kern w:val="0"/>
          <w:sz w:val="24"/>
          <w:szCs w:val="24"/>
        </w:rPr>
        <w:t>提供施工条件</w:t>
      </w:r>
    </w:p>
    <w:p w14:paraId="250DB3D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除专用合同条款另有约定外，发包人应负责提供施工所需要的条件，包括：</w:t>
      </w:r>
    </w:p>
    <w:p w14:paraId="2E9F98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）将施工用水、电力、通讯线路等施工所必需的条件接至施工现场内；</w:t>
      </w:r>
    </w:p>
    <w:p w14:paraId="72779B0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）保证向承包人提供正常施工所需要的进入施工现场的交通条件；</w:t>
      </w:r>
    </w:p>
    <w:p w14:paraId="6E1E3D1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）协调处理施工现场周围地下管线和邻近建筑物、构筑物、古树名木的保护工作，并承担相关费用；</w:t>
      </w:r>
    </w:p>
    <w:p w14:paraId="52C9BF4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）按照专用合同条款约定应提供的其他设施和条件。</w:t>
      </w:r>
    </w:p>
    <w:p w14:paraId="62C76189">
      <w:pPr>
        <w:autoSpaceDE w:val="0"/>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2.4.3 </w:t>
      </w:r>
      <w:r>
        <w:rPr>
          <w:rFonts w:ascii="Times New Roman" w:hAnsi="Times New Roman" w:eastAsia="仿宋_GB2312;仿宋" w:cs="Times New Roman"/>
          <w:color w:val="000000"/>
          <w:kern w:val="0"/>
          <w:sz w:val="24"/>
          <w:szCs w:val="24"/>
        </w:rPr>
        <w:t>提供基础资料</w:t>
      </w:r>
    </w:p>
    <w:p w14:paraId="1A50BF4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20C3678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按照法律规定确需在开工后方能提供的基础资料，发包人应尽其努力及时地在相应工程施工前的合理期限内提供，合理期限应以不影响承包人的正常施工为限。</w:t>
      </w:r>
    </w:p>
    <w:p w14:paraId="4BD3072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2.4.4 </w:t>
      </w:r>
      <w:r>
        <w:rPr>
          <w:rFonts w:ascii="Times New Roman" w:hAnsi="Times New Roman" w:eastAsia="仿宋_GB2312;仿宋" w:cs="Times New Roman"/>
          <w:color w:val="000000"/>
          <w:kern w:val="0"/>
          <w:sz w:val="24"/>
          <w:szCs w:val="24"/>
        </w:rPr>
        <w:t>逾期提供的责任</w:t>
      </w:r>
    </w:p>
    <w:p w14:paraId="729E75F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因发包人原因未能按合同约定及时向承包人提供施工现场、施工条件、基础资料的，由发包人承担由此增加的费用和（或）延误的工期。</w:t>
      </w:r>
    </w:p>
    <w:p w14:paraId="48C55A1B">
      <w:pPr>
        <w:pStyle w:val="6"/>
        <w:spacing w:before="120" w:after="120" w:line="360" w:lineRule="auto"/>
        <w:ind w:firstLine="480"/>
        <w:rPr>
          <w:rFonts w:ascii="Times New Roman" w:hAnsi="Times New Roman" w:eastAsia="黑体" w:cs="Times New Roman"/>
          <w:b w:val="0"/>
          <w:color w:val="000000"/>
          <w:sz w:val="24"/>
          <w:szCs w:val="24"/>
        </w:rPr>
      </w:pPr>
      <w:bookmarkStart w:id="52" w:name="__RefHeading___Toc351203514"/>
      <w:bookmarkEnd w:id="52"/>
      <w:r>
        <w:rPr>
          <w:rFonts w:eastAsia="黑体" w:cs="Times New Roman"/>
          <w:b w:val="0"/>
          <w:color w:val="000000"/>
          <w:sz w:val="24"/>
          <w:szCs w:val="24"/>
        </w:rPr>
        <w:t xml:space="preserve">2.5 </w:t>
      </w:r>
      <w:r>
        <w:rPr>
          <w:rFonts w:ascii="Times New Roman" w:hAnsi="Times New Roman" w:eastAsia="黑体" w:cs="Times New Roman"/>
          <w:b w:val="0"/>
          <w:color w:val="000000"/>
          <w:sz w:val="24"/>
          <w:szCs w:val="24"/>
        </w:rPr>
        <w:t>资金来源证明及支付担保</w:t>
      </w:r>
    </w:p>
    <w:p w14:paraId="6DFE4EA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除专用合同条款另有约定外，发包人应在收到承包人要求提供资金来源证明的书面通知后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天内，向承包人提供能够按照合同约定支付合同价款的相应资金来源证明。</w:t>
      </w:r>
    </w:p>
    <w:p w14:paraId="6A7156B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除专用合同条款另有约定外，发包人要求承包人提供履约担保的，发包人应当向承包人提供支付担保。支付担保可以采用银行保函或担保公司担保等形式，具体由合同当事人在专用合同条款中约定。</w:t>
      </w:r>
    </w:p>
    <w:p w14:paraId="2B0B4771">
      <w:pPr>
        <w:pStyle w:val="6"/>
        <w:spacing w:before="120" w:after="120" w:line="360" w:lineRule="auto"/>
        <w:ind w:firstLine="480"/>
        <w:rPr>
          <w:rFonts w:ascii="Times New Roman" w:hAnsi="Times New Roman" w:eastAsia="黑体" w:cs="Times New Roman"/>
          <w:b w:val="0"/>
          <w:color w:val="000000"/>
          <w:sz w:val="24"/>
          <w:szCs w:val="24"/>
        </w:rPr>
      </w:pPr>
      <w:bookmarkStart w:id="53" w:name="__RefHeading___Toc351203515"/>
      <w:bookmarkEnd w:id="53"/>
      <w:r>
        <w:rPr>
          <w:rFonts w:eastAsia="黑体" w:cs="Times New Roman"/>
          <w:b w:val="0"/>
          <w:color w:val="000000"/>
          <w:sz w:val="24"/>
          <w:szCs w:val="24"/>
        </w:rPr>
        <w:t xml:space="preserve">2.6 </w:t>
      </w:r>
      <w:r>
        <w:rPr>
          <w:rFonts w:ascii="Times New Roman" w:hAnsi="Times New Roman" w:eastAsia="黑体" w:cs="Times New Roman"/>
          <w:b w:val="0"/>
          <w:color w:val="000000"/>
          <w:sz w:val="24"/>
          <w:szCs w:val="24"/>
        </w:rPr>
        <w:t>支付合同价款</w:t>
      </w:r>
    </w:p>
    <w:p w14:paraId="4C76F8D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发包人应按合同约定向承包人及时支付合同价款。</w:t>
      </w:r>
    </w:p>
    <w:p w14:paraId="7DF7DB9F">
      <w:pPr>
        <w:pStyle w:val="6"/>
        <w:spacing w:before="120" w:after="120" w:line="360" w:lineRule="auto"/>
        <w:ind w:firstLine="480"/>
        <w:rPr>
          <w:rFonts w:ascii="Times New Roman" w:hAnsi="Times New Roman" w:eastAsia="黑体" w:cs="Times New Roman"/>
          <w:b w:val="0"/>
          <w:color w:val="000000"/>
          <w:sz w:val="24"/>
          <w:szCs w:val="24"/>
        </w:rPr>
      </w:pPr>
      <w:bookmarkStart w:id="54" w:name="__RefHeading___Toc351203516"/>
      <w:bookmarkEnd w:id="54"/>
      <w:r>
        <w:rPr>
          <w:rFonts w:eastAsia="黑体" w:cs="Times New Roman"/>
          <w:b w:val="0"/>
          <w:color w:val="000000"/>
          <w:sz w:val="24"/>
          <w:szCs w:val="24"/>
        </w:rPr>
        <w:t xml:space="preserve">2.7 </w:t>
      </w:r>
      <w:r>
        <w:rPr>
          <w:rFonts w:ascii="Times New Roman" w:hAnsi="Times New Roman" w:eastAsia="黑体" w:cs="Times New Roman"/>
          <w:b w:val="0"/>
          <w:color w:val="000000"/>
          <w:sz w:val="24"/>
          <w:szCs w:val="24"/>
        </w:rPr>
        <w:t>组织竣工验收</w:t>
      </w:r>
    </w:p>
    <w:p w14:paraId="094E4BA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发包人应按合同约定及时组织竣工验收。</w:t>
      </w:r>
    </w:p>
    <w:p w14:paraId="4E7FA783">
      <w:pPr>
        <w:pStyle w:val="6"/>
        <w:spacing w:before="120" w:after="120" w:line="360" w:lineRule="auto"/>
        <w:ind w:firstLine="480"/>
        <w:rPr>
          <w:rFonts w:ascii="Times New Roman" w:hAnsi="Times New Roman" w:eastAsia="黑体" w:cs="Times New Roman"/>
          <w:b w:val="0"/>
          <w:color w:val="000000"/>
          <w:sz w:val="24"/>
          <w:szCs w:val="24"/>
        </w:rPr>
      </w:pPr>
      <w:bookmarkStart w:id="55" w:name="__RefHeading___Toc351203517"/>
      <w:bookmarkEnd w:id="55"/>
      <w:r>
        <w:rPr>
          <w:rFonts w:eastAsia="黑体" w:cs="Times New Roman"/>
          <w:b w:val="0"/>
          <w:color w:val="000000"/>
          <w:sz w:val="24"/>
          <w:szCs w:val="24"/>
        </w:rPr>
        <w:t xml:space="preserve">2.8 </w:t>
      </w:r>
      <w:r>
        <w:rPr>
          <w:rFonts w:ascii="Times New Roman" w:hAnsi="Times New Roman" w:eastAsia="黑体" w:cs="Times New Roman"/>
          <w:b w:val="0"/>
          <w:color w:val="000000"/>
          <w:sz w:val="24"/>
          <w:szCs w:val="24"/>
        </w:rPr>
        <w:t>现场统一管理协议</w:t>
      </w:r>
    </w:p>
    <w:p w14:paraId="4584518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发包人应与承包人、由发包人直接发包的专业工程的承包人签订施工现场统一管理协议，明确各方的权利义务。施工现场统一管理协议作为专用合同条款的附件。</w:t>
      </w:r>
    </w:p>
    <w:p w14:paraId="3CD78EF4">
      <w:pPr>
        <w:pStyle w:val="5"/>
        <w:spacing w:before="120" w:after="120" w:line="360" w:lineRule="auto"/>
        <w:rPr>
          <w:rFonts w:ascii="Times New Roman" w:hAnsi="Times New Roman" w:eastAsia="黑体" w:cs="Times New Roman"/>
          <w:b w:val="0"/>
          <w:color w:val="000000"/>
          <w:sz w:val="24"/>
          <w:szCs w:val="24"/>
        </w:rPr>
      </w:pPr>
      <w:bookmarkStart w:id="56" w:name="__RefHeading___Toc351203518"/>
      <w:bookmarkEnd w:id="56"/>
      <w:r>
        <w:rPr>
          <w:rFonts w:ascii="Times New Roman" w:hAnsi="Times New Roman" w:eastAsia="黑体" w:cs="Times New Roman"/>
          <w:b w:val="0"/>
          <w:color w:val="000000"/>
          <w:sz w:val="24"/>
          <w:szCs w:val="24"/>
        </w:rPr>
        <w:t xml:space="preserve">3. </w:t>
      </w:r>
      <w:r>
        <w:rPr>
          <w:rFonts w:ascii="Times New Roman" w:hAnsi="Times New Roman" w:cs="Times New Roman"/>
          <w:b w:val="0"/>
          <w:color w:val="000000"/>
          <w:sz w:val="24"/>
          <w:szCs w:val="24"/>
        </w:rPr>
        <w:t>承包人</w:t>
      </w:r>
    </w:p>
    <w:p w14:paraId="01EC63E5">
      <w:pPr>
        <w:pStyle w:val="6"/>
        <w:spacing w:before="120" w:after="120" w:line="360" w:lineRule="auto"/>
        <w:ind w:firstLine="480"/>
        <w:rPr>
          <w:rFonts w:ascii="Times New Roman" w:hAnsi="Times New Roman" w:eastAsia="黑体" w:cs="Times New Roman"/>
          <w:b w:val="0"/>
          <w:color w:val="000000"/>
          <w:sz w:val="24"/>
          <w:szCs w:val="24"/>
        </w:rPr>
      </w:pPr>
      <w:bookmarkStart w:id="57" w:name="__RefHeading___Toc351203519"/>
      <w:bookmarkEnd w:id="57"/>
      <w:r>
        <w:rPr>
          <w:rFonts w:eastAsia="黑体" w:cs="Times New Roman"/>
          <w:b w:val="0"/>
          <w:color w:val="000000"/>
          <w:sz w:val="24"/>
          <w:szCs w:val="24"/>
        </w:rPr>
        <w:t xml:space="preserve">3.1 </w:t>
      </w:r>
      <w:r>
        <w:rPr>
          <w:rFonts w:ascii="Times New Roman" w:hAnsi="Times New Roman" w:eastAsia="黑体" w:cs="Times New Roman"/>
          <w:b w:val="0"/>
          <w:color w:val="000000"/>
          <w:sz w:val="24"/>
          <w:szCs w:val="24"/>
        </w:rPr>
        <w:t>承包人的一般义务</w:t>
      </w:r>
    </w:p>
    <w:p w14:paraId="791F864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承包人在履行合同过程中应遵守法律和工程建设标准规范，并履行以下义务：</w:t>
      </w:r>
    </w:p>
    <w:p w14:paraId="74A153D6">
      <w:pPr>
        <w:numPr>
          <w:ilvl w:val="0"/>
          <w:numId w:val="12"/>
        </w:numPr>
        <w:autoSpaceDE w:val="0"/>
        <w:spacing w:line="360" w:lineRule="auto"/>
        <w:ind w:left="0"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办理法律规定应由承包人办理的许可和批准，并将办理结果书面报送发包人留存；</w:t>
      </w:r>
    </w:p>
    <w:p w14:paraId="2C988CE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）按法律规定和合同约定完成工程，并在保修期内承担保修义务；</w:t>
      </w:r>
    </w:p>
    <w:p w14:paraId="6E56923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）按法律规定和合同约定采取施工安全和环境保护措施，办理工伤保险，确保工程及人员、材料、设备和设施的安全；</w:t>
      </w:r>
    </w:p>
    <w:p w14:paraId="31D7727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）按合同约定的工作内容和施工进度要求，编制施工组织设计和施工措施计划，并对所有施工作业和施工方法的完备性和安全可靠性负责；</w:t>
      </w:r>
    </w:p>
    <w:p w14:paraId="1C872C9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3C4E5ED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）按照第</w:t>
      </w:r>
      <w:r>
        <w:rPr>
          <w:rFonts w:eastAsia="仿宋_GB2312;仿宋" w:cs="Times New Roman"/>
          <w:color w:val="000000"/>
          <w:kern w:val="0"/>
          <w:sz w:val="24"/>
          <w:szCs w:val="24"/>
        </w:rPr>
        <w:t>6.3</w:t>
      </w:r>
      <w:r>
        <w:rPr>
          <w:rFonts w:ascii="Times New Roman" w:hAnsi="Times New Roman" w:eastAsia="仿宋_GB2312;仿宋" w:cs="Times New Roman"/>
          <w:color w:val="000000"/>
          <w:kern w:val="0"/>
          <w:sz w:val="24"/>
          <w:szCs w:val="24"/>
        </w:rPr>
        <w:t>款〔环境保护〕约定负责施工场地及其周边环境与生态的保护工作；</w:t>
      </w:r>
    </w:p>
    <w:p w14:paraId="4CEB5C6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）按第</w:t>
      </w:r>
      <w:r>
        <w:rPr>
          <w:rFonts w:eastAsia="仿宋_GB2312;仿宋" w:cs="Times New Roman"/>
          <w:color w:val="000000"/>
          <w:kern w:val="0"/>
          <w:sz w:val="24"/>
          <w:szCs w:val="24"/>
        </w:rPr>
        <w:t>6.1</w:t>
      </w:r>
      <w:r>
        <w:rPr>
          <w:rFonts w:ascii="Times New Roman" w:hAnsi="Times New Roman" w:eastAsia="仿宋_GB2312;仿宋" w:cs="Times New Roman"/>
          <w:color w:val="000000"/>
          <w:kern w:val="0"/>
          <w:sz w:val="24"/>
          <w:szCs w:val="24"/>
        </w:rPr>
        <w:t>款〔安全文明施工〕约定采取施工安全措施，确保工程及其人员、材料、设备和设施的安全，防止因工程施工造成的人身伤害和财产损失；</w:t>
      </w:r>
    </w:p>
    <w:p w14:paraId="4248D7B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）将发包人按合同约定支付的各项价款专用于合同工程，且应及时支付其雇用人员工资，并及时向分包人支付合同价款；</w:t>
      </w:r>
    </w:p>
    <w:p w14:paraId="32A2479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9</w:t>
      </w:r>
      <w:r>
        <w:rPr>
          <w:rFonts w:ascii="Times New Roman" w:hAnsi="Times New Roman" w:eastAsia="仿宋_GB2312;仿宋" w:cs="Times New Roman"/>
          <w:color w:val="000000"/>
          <w:kern w:val="0"/>
          <w:sz w:val="24"/>
          <w:szCs w:val="24"/>
        </w:rPr>
        <w:t>）按照法律规定和合同约定编制竣工资料，完成竣工资料立卷及归档，并按专用合同条款约定的竣工资料的套数、内容、时间等要求移交发包人；</w:t>
      </w:r>
    </w:p>
    <w:p w14:paraId="47CD2D1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）应履行的其他义务。</w:t>
      </w:r>
    </w:p>
    <w:p w14:paraId="5A780B81">
      <w:pPr>
        <w:pStyle w:val="6"/>
        <w:spacing w:before="120" w:after="120" w:line="360" w:lineRule="auto"/>
        <w:ind w:firstLine="480"/>
        <w:rPr>
          <w:rFonts w:ascii="Times New Roman" w:hAnsi="Times New Roman" w:eastAsia="黑体" w:cs="Times New Roman"/>
          <w:b w:val="0"/>
          <w:color w:val="000000"/>
          <w:sz w:val="24"/>
          <w:szCs w:val="24"/>
        </w:rPr>
      </w:pPr>
      <w:bookmarkStart w:id="58" w:name="__RefHeading___Toc351203520"/>
      <w:r>
        <w:rPr>
          <w:rFonts w:eastAsia="黑体" w:cs="Times New Roman"/>
          <w:b w:val="0"/>
          <w:color w:val="000000"/>
          <w:sz w:val="24"/>
          <w:szCs w:val="24"/>
        </w:rPr>
        <w:t xml:space="preserve">3.2 </w:t>
      </w:r>
      <w:bookmarkEnd w:id="58"/>
      <w:r>
        <w:rPr>
          <w:rFonts w:ascii="Times New Roman" w:hAnsi="Times New Roman" w:eastAsia="黑体" w:cs="Times New Roman"/>
          <w:b w:val="0"/>
          <w:color w:val="000000"/>
          <w:sz w:val="24"/>
          <w:szCs w:val="24"/>
        </w:rPr>
        <w:t>项目经理</w:t>
      </w:r>
    </w:p>
    <w:p w14:paraId="1C8CEBB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3.2.1 </w:t>
      </w:r>
      <w:r>
        <w:rPr>
          <w:rFonts w:ascii="Times New Roman" w:hAnsi="Times New Roman" w:eastAsia="仿宋_GB2312;仿宋" w:cs="Times New Roman"/>
          <w:color w:val="000000"/>
          <w:kern w:val="0"/>
          <w:sz w:val="24"/>
          <w:szCs w:val="24"/>
        </w:rPr>
        <w:t>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7A9D85A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56E1A82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承包人违反上述约定的，应按照专用合同条款的约定，承担违约责任。</w:t>
      </w:r>
    </w:p>
    <w:p w14:paraId="1FC5460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3.2.2 </w:t>
      </w:r>
      <w:r>
        <w:rPr>
          <w:rFonts w:ascii="Times New Roman" w:hAnsi="Times New Roman" w:eastAsia="仿宋_GB2312;仿宋" w:cs="Times New Roman"/>
          <w:color w:val="000000"/>
          <w:kern w:val="0"/>
          <w:sz w:val="24"/>
          <w:szCs w:val="24"/>
        </w:rPr>
        <w:t>项目经理按合同约定组织工程实施。在紧急情况下为确保施工安全和人员安全，在无法与发包人代表和总监理工程师及时取得联系时，项目经理有权采取必要的措施保证与工程有关的人身、财产和工程的安全，但应在</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小时内向发包人代表和总监理工程师提交书面报告。</w:t>
      </w:r>
    </w:p>
    <w:p w14:paraId="43C1222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3.2.3 </w:t>
      </w:r>
      <w:r>
        <w:rPr>
          <w:rFonts w:ascii="Times New Roman" w:hAnsi="Times New Roman" w:eastAsia="仿宋_GB2312;仿宋" w:cs="Times New Roman"/>
          <w:color w:val="000000"/>
          <w:kern w:val="0"/>
          <w:sz w:val="24"/>
          <w:szCs w:val="24"/>
        </w:rPr>
        <w:t>承包人需要更换项目经理的，应提前</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天书面通知发包人和监理人，并征得发包人书面同意。通知中应当载明继任项目经理的注册执业资格、管理经验等资料，继任项目经理继续履行第</w:t>
      </w:r>
      <w:r>
        <w:rPr>
          <w:rFonts w:eastAsia="仿宋_GB2312;仿宋" w:cs="Times New Roman"/>
          <w:color w:val="000000"/>
          <w:kern w:val="0"/>
          <w:sz w:val="24"/>
          <w:szCs w:val="24"/>
        </w:rPr>
        <w:t>3.2.1</w:t>
      </w:r>
      <w:r>
        <w:rPr>
          <w:rFonts w:ascii="Times New Roman" w:hAnsi="Times New Roman" w:eastAsia="仿宋_GB2312;仿宋" w:cs="Times New Roman"/>
          <w:color w:val="000000"/>
          <w:kern w:val="0"/>
          <w:sz w:val="24"/>
          <w:szCs w:val="24"/>
        </w:rPr>
        <w:t>项约定的职责。未经发包人书面同意，承包人不得擅自更换项目经理。承包人擅自更换项目经理的，应按照专用合同条款的约定承担违约责任。</w:t>
      </w:r>
    </w:p>
    <w:p w14:paraId="49F95EB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3.2.4 </w:t>
      </w:r>
      <w:r>
        <w:rPr>
          <w:rFonts w:ascii="Times New Roman" w:hAnsi="Times New Roman" w:eastAsia="仿宋_GB2312;仿宋" w:cs="Times New Roman"/>
          <w:color w:val="000000"/>
          <w:kern w:val="0"/>
          <w:sz w:val="24"/>
          <w:szCs w:val="24"/>
        </w:rPr>
        <w:t>发包人有权书面通知承包人更换其认为不称职的项目经理，通知中应当载明要求更换的理由。承包人应在接到更换通知后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天内向发包人提出书面的改进报告。发包人收到改进报告后仍要求更换的，承包人应在接到第二次更换通知的</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天内进行更换，并将新任命的项目经理的注册执业资格、管理经验等资料书面通知发包人。继任项目经理继续履行第</w:t>
      </w:r>
      <w:r>
        <w:rPr>
          <w:rFonts w:eastAsia="仿宋_GB2312;仿宋" w:cs="Times New Roman"/>
          <w:color w:val="000000"/>
          <w:kern w:val="0"/>
          <w:sz w:val="24"/>
          <w:szCs w:val="24"/>
        </w:rPr>
        <w:t>3.2.1</w:t>
      </w:r>
      <w:r>
        <w:rPr>
          <w:rFonts w:ascii="Times New Roman" w:hAnsi="Times New Roman" w:eastAsia="仿宋_GB2312;仿宋" w:cs="Times New Roman"/>
          <w:color w:val="000000"/>
          <w:kern w:val="0"/>
          <w:sz w:val="24"/>
          <w:szCs w:val="24"/>
        </w:rPr>
        <w:t>项约定的职责。承包人无正当理由拒绝更换项目经理的，应按照专用合同条款的约定承担违约责任。</w:t>
      </w:r>
    </w:p>
    <w:p w14:paraId="5C8B36C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3.2.5 </w:t>
      </w:r>
      <w:r>
        <w:rPr>
          <w:rFonts w:ascii="Times New Roman" w:hAnsi="Times New Roman" w:eastAsia="仿宋_GB2312;仿宋" w:cs="Times New Roman"/>
          <w:color w:val="000000"/>
          <w:kern w:val="0"/>
          <w:sz w:val="24"/>
          <w:szCs w:val="24"/>
        </w:rPr>
        <w:t>项目经理因特殊情况授权其下属人员履行其某项工作职责的，该下属人员应具备履行相应职责的能力，并应提前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天将上述人员的姓名和授权范围书面通知监理人，并征得发包人书面同意。</w:t>
      </w:r>
    </w:p>
    <w:p w14:paraId="22DD0D10">
      <w:pPr>
        <w:pStyle w:val="6"/>
        <w:spacing w:before="120" w:after="120" w:line="360" w:lineRule="auto"/>
        <w:ind w:firstLine="480"/>
        <w:rPr>
          <w:rFonts w:ascii="Times New Roman" w:hAnsi="Times New Roman" w:eastAsia="黑体" w:cs="Times New Roman"/>
          <w:b w:val="0"/>
          <w:color w:val="000000"/>
          <w:sz w:val="24"/>
          <w:szCs w:val="24"/>
        </w:rPr>
      </w:pPr>
      <w:bookmarkStart w:id="59" w:name="__RefHeading___Toc351203521"/>
      <w:bookmarkEnd w:id="59"/>
      <w:r>
        <w:rPr>
          <w:rFonts w:eastAsia="黑体" w:cs="Times New Roman"/>
          <w:b w:val="0"/>
          <w:color w:val="000000"/>
          <w:sz w:val="24"/>
          <w:szCs w:val="24"/>
        </w:rPr>
        <w:t xml:space="preserve">3.3 </w:t>
      </w:r>
      <w:r>
        <w:rPr>
          <w:rFonts w:ascii="Times New Roman" w:hAnsi="Times New Roman" w:eastAsia="黑体" w:cs="Times New Roman"/>
          <w:b w:val="0"/>
          <w:color w:val="000000"/>
          <w:sz w:val="24"/>
          <w:szCs w:val="24"/>
        </w:rPr>
        <w:t>承包人人员</w:t>
      </w:r>
    </w:p>
    <w:p w14:paraId="6F82936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3.3.1 </w:t>
      </w:r>
      <w:r>
        <w:rPr>
          <w:rFonts w:ascii="Times New Roman" w:hAnsi="Times New Roman" w:eastAsia="仿宋_GB2312;仿宋" w:cs="Times New Roman"/>
          <w:color w:val="000000"/>
          <w:kern w:val="0"/>
          <w:sz w:val="24"/>
          <w:szCs w:val="24"/>
        </w:rPr>
        <w:t>除专用合同条款另有约定外，承包人应在接到开工通知后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3083AD1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3.3.2 </w:t>
      </w:r>
      <w:r>
        <w:rPr>
          <w:rFonts w:ascii="Times New Roman" w:hAnsi="Times New Roman" w:eastAsia="仿宋_GB2312;仿宋" w:cs="Times New Roman"/>
          <w:color w:val="000000"/>
          <w:kern w:val="0"/>
          <w:sz w:val="24"/>
          <w:szCs w:val="24"/>
        </w:rPr>
        <w:t>承包人派驻到施工现场的主要施工管理人员应相对稳定。施工过程中如有变动，承包人应及时向监理人提交施工现场人员变动情况的报告。承包人更换主要施工管理人员时，应提前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天书面通知监理人，并征得发包人书面同意。通知中应当载明继任人员的注册执业资格、管理经验等资料。</w:t>
      </w:r>
    </w:p>
    <w:p w14:paraId="1544687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特殊工种作业人员均应持有相应的资格证明，监理人可以随时检查。</w:t>
      </w:r>
    </w:p>
    <w:p w14:paraId="311AB55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3.3.3 </w:t>
      </w:r>
      <w:r>
        <w:rPr>
          <w:rFonts w:ascii="Times New Roman" w:hAnsi="Times New Roman" w:eastAsia="仿宋_GB2312;仿宋" w:cs="Times New Roman"/>
          <w:color w:val="000000"/>
          <w:kern w:val="0"/>
          <w:sz w:val="24"/>
          <w:szCs w:val="24"/>
        </w:rPr>
        <w:t>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28C461E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3.3.4 </w:t>
      </w:r>
      <w:r>
        <w:rPr>
          <w:rFonts w:ascii="Times New Roman" w:hAnsi="Times New Roman" w:eastAsia="仿宋_GB2312;仿宋" w:cs="Times New Roman"/>
          <w:color w:val="000000"/>
          <w:kern w:val="0"/>
          <w:sz w:val="24"/>
          <w:szCs w:val="24"/>
        </w:rPr>
        <w:t>除专用合同条款另有约定外，承包人的主要施工管理人员离开施工现场每月累计不超过</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天的，应报监理人同意；离开施工现场每月累计超过</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天的，应通知监理人，并征得发包人书面同意。主要施工管理人员离开施工现场前应指定一名有经验的人员临时代行其职责，该人员应具备履行相应职责的资格和能力，且应征得监理人或发包人的同意。</w:t>
      </w:r>
    </w:p>
    <w:p w14:paraId="492FDB1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3.3.5 </w:t>
      </w:r>
      <w:r>
        <w:rPr>
          <w:rFonts w:ascii="Times New Roman" w:hAnsi="Times New Roman" w:eastAsia="仿宋_GB2312;仿宋" w:cs="Times New Roman"/>
          <w:color w:val="000000"/>
          <w:kern w:val="0"/>
          <w:sz w:val="24"/>
          <w:szCs w:val="24"/>
        </w:rPr>
        <w:t>承包人擅自更换主要施工管理人员，或前述人员未经监理人或发包人同意擅自离开施工现场的，应按照专用合同条款约定承担违约责任。</w:t>
      </w:r>
    </w:p>
    <w:p w14:paraId="7CBE5BD9">
      <w:pPr>
        <w:pStyle w:val="6"/>
        <w:spacing w:before="120" w:after="120" w:line="360" w:lineRule="auto"/>
        <w:ind w:firstLine="480"/>
        <w:rPr>
          <w:rFonts w:ascii="Times New Roman" w:hAnsi="Times New Roman" w:eastAsia="黑体" w:cs="Times New Roman"/>
          <w:b w:val="0"/>
          <w:color w:val="000000"/>
          <w:sz w:val="24"/>
          <w:szCs w:val="24"/>
        </w:rPr>
      </w:pPr>
      <w:bookmarkStart w:id="60" w:name="__RefHeading___Toc351203522"/>
      <w:bookmarkEnd w:id="60"/>
      <w:r>
        <w:rPr>
          <w:rFonts w:eastAsia="黑体" w:cs="Times New Roman"/>
          <w:b w:val="0"/>
          <w:color w:val="000000"/>
          <w:sz w:val="24"/>
          <w:szCs w:val="24"/>
        </w:rPr>
        <w:t xml:space="preserve">3.4 </w:t>
      </w:r>
      <w:r>
        <w:rPr>
          <w:rFonts w:ascii="Times New Roman" w:hAnsi="Times New Roman" w:eastAsia="黑体" w:cs="Times New Roman"/>
          <w:b w:val="0"/>
          <w:color w:val="000000"/>
          <w:sz w:val="24"/>
          <w:szCs w:val="24"/>
        </w:rPr>
        <w:t>承包人现场查勘</w:t>
      </w:r>
    </w:p>
    <w:p w14:paraId="76E8E2CF">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承包人应对基于发包人按照第</w:t>
      </w:r>
      <w:r>
        <w:rPr>
          <w:rFonts w:eastAsia="仿宋_GB2312;仿宋" w:cs="Times New Roman"/>
          <w:color w:val="000000"/>
          <w:kern w:val="0"/>
          <w:sz w:val="24"/>
          <w:szCs w:val="24"/>
        </w:rPr>
        <w:t>2.4.3</w:t>
      </w:r>
      <w:r>
        <w:rPr>
          <w:rFonts w:ascii="Times New Roman" w:hAnsi="Times New Roman" w:eastAsia="仿宋_GB2312;仿宋" w:cs="Times New Roman"/>
          <w:color w:val="000000"/>
          <w:kern w:val="0"/>
          <w:sz w:val="24"/>
          <w:szCs w:val="24"/>
        </w:rPr>
        <w:t>项〔提供基础资料〕提交的基础资料所做出的解释和推断负责，但因基础资料存在错误、遗漏导致承包人解释或推断失实的，由发包人承担责任。</w:t>
      </w:r>
    </w:p>
    <w:p w14:paraId="709A000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4A8DA74F">
      <w:pPr>
        <w:pStyle w:val="6"/>
        <w:spacing w:before="120" w:after="120" w:line="360" w:lineRule="auto"/>
        <w:ind w:firstLine="480"/>
        <w:rPr>
          <w:rFonts w:ascii="Times New Roman" w:hAnsi="Times New Roman" w:eastAsia="黑体" w:cs="Times New Roman"/>
          <w:b w:val="0"/>
          <w:color w:val="000000"/>
          <w:sz w:val="24"/>
          <w:szCs w:val="24"/>
        </w:rPr>
      </w:pPr>
      <w:bookmarkStart w:id="61" w:name="__RefHeading___Toc351203523"/>
      <w:bookmarkEnd w:id="61"/>
      <w:r>
        <w:rPr>
          <w:rFonts w:eastAsia="黑体" w:cs="Times New Roman"/>
          <w:b w:val="0"/>
          <w:color w:val="000000"/>
          <w:sz w:val="24"/>
          <w:szCs w:val="24"/>
        </w:rPr>
        <w:t xml:space="preserve">3.5 </w:t>
      </w:r>
      <w:r>
        <w:rPr>
          <w:rFonts w:ascii="Times New Roman" w:hAnsi="Times New Roman" w:eastAsia="黑体" w:cs="Times New Roman"/>
          <w:b w:val="0"/>
          <w:color w:val="000000"/>
          <w:sz w:val="24"/>
          <w:szCs w:val="24"/>
        </w:rPr>
        <w:t>分包</w:t>
      </w:r>
    </w:p>
    <w:p w14:paraId="1886513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3.5.1 </w:t>
      </w:r>
      <w:r>
        <w:rPr>
          <w:rFonts w:ascii="Times New Roman" w:hAnsi="Times New Roman" w:eastAsia="仿宋_GB2312;仿宋" w:cs="Times New Roman"/>
          <w:color w:val="000000"/>
          <w:kern w:val="0"/>
          <w:sz w:val="24"/>
          <w:szCs w:val="24"/>
        </w:rPr>
        <w:t>分包的一般约定</w:t>
      </w:r>
    </w:p>
    <w:p w14:paraId="1593624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0E3214B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承包人不得以劳务分包的名义转包或违法分包工程。</w:t>
      </w:r>
    </w:p>
    <w:p w14:paraId="6D97ABEE">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3.5.2 </w:t>
      </w:r>
      <w:r>
        <w:rPr>
          <w:rFonts w:ascii="Times New Roman" w:hAnsi="Times New Roman" w:eastAsia="仿宋_GB2312;仿宋" w:cs="Times New Roman"/>
          <w:color w:val="000000"/>
          <w:kern w:val="0"/>
          <w:sz w:val="24"/>
          <w:szCs w:val="24"/>
        </w:rPr>
        <w:t>分包的确定</w:t>
      </w:r>
    </w:p>
    <w:p w14:paraId="4B0438F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承包人应按专用合同条款的约定进行分包，确定分包人。已标价工程量清单或预算书中给定暂估价的专业工程，按照第</w:t>
      </w:r>
      <w:r>
        <w:rPr>
          <w:rFonts w:eastAsia="仿宋_GB2312;仿宋" w:cs="Times New Roman"/>
          <w:color w:val="000000"/>
          <w:kern w:val="0"/>
          <w:sz w:val="24"/>
          <w:szCs w:val="24"/>
        </w:rPr>
        <w:t>10.7</w:t>
      </w:r>
      <w:r>
        <w:rPr>
          <w:rFonts w:ascii="Times New Roman" w:hAnsi="Times New Roman" w:eastAsia="仿宋_GB2312;仿宋" w:cs="Times New Roman"/>
          <w:color w:val="000000"/>
          <w:kern w:val="0"/>
          <w:sz w:val="24"/>
          <w:szCs w:val="24"/>
        </w:rPr>
        <w:t>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天内向发包人和监理人提交分包合同副本。</w:t>
      </w:r>
    </w:p>
    <w:p w14:paraId="14AB5757">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3.5.3 </w:t>
      </w:r>
      <w:r>
        <w:rPr>
          <w:rFonts w:ascii="Times New Roman" w:hAnsi="Times New Roman" w:eastAsia="仿宋_GB2312;仿宋" w:cs="Times New Roman"/>
          <w:color w:val="000000"/>
          <w:kern w:val="0"/>
          <w:sz w:val="24"/>
          <w:szCs w:val="24"/>
        </w:rPr>
        <w:t>分包管理</w:t>
      </w:r>
    </w:p>
    <w:p w14:paraId="78718C5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承包人应向监理人提交分包人的主要施工管理人员表，并对分包人的施工人员进行实名制管理，包括但不限于进出场管理、登记造册以及各种证照的办理。</w:t>
      </w:r>
    </w:p>
    <w:p w14:paraId="15AA167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3.5.4 </w:t>
      </w:r>
      <w:r>
        <w:rPr>
          <w:rFonts w:ascii="Times New Roman" w:hAnsi="Times New Roman" w:eastAsia="仿宋_GB2312;仿宋" w:cs="Times New Roman"/>
          <w:color w:val="000000"/>
          <w:kern w:val="0"/>
          <w:sz w:val="24"/>
          <w:szCs w:val="24"/>
        </w:rPr>
        <w:t>分包合同价款</w:t>
      </w:r>
    </w:p>
    <w:p w14:paraId="0133C4F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）除本项第（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）目约定的情况或专用合同条款另有约定外，分包合同价款由承包人与分包人结算，未经承包人同意，发包人不得向分包人支付分包工程价款；</w:t>
      </w:r>
    </w:p>
    <w:p w14:paraId="0AF26B5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）生效法律文书要求发包人向分包人支付分包合同价款的，发包人有权从应付承包人工程款中扣除该部分款项。</w:t>
      </w:r>
    </w:p>
    <w:p w14:paraId="79BAC6F5">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3.5.5 </w:t>
      </w:r>
      <w:r>
        <w:rPr>
          <w:rFonts w:ascii="Times New Roman" w:hAnsi="Times New Roman" w:eastAsia="仿宋_GB2312;仿宋" w:cs="Times New Roman"/>
          <w:color w:val="000000"/>
          <w:kern w:val="0"/>
          <w:sz w:val="24"/>
          <w:szCs w:val="24"/>
        </w:rPr>
        <w:t>分包合同权益的转让</w:t>
      </w:r>
    </w:p>
    <w:p w14:paraId="3721FE9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62" w:name="__RefHeading___Toc351203524"/>
    </w:p>
    <w:p w14:paraId="1148F8D0">
      <w:pPr>
        <w:pStyle w:val="6"/>
        <w:spacing w:before="120" w:after="120" w:line="360" w:lineRule="auto"/>
        <w:ind w:firstLine="480"/>
        <w:rPr>
          <w:rFonts w:ascii="Times New Roman" w:hAnsi="Times New Roman" w:eastAsia="黑体" w:cs="Times New Roman"/>
          <w:b w:val="0"/>
          <w:color w:val="000000"/>
          <w:sz w:val="24"/>
          <w:szCs w:val="24"/>
        </w:rPr>
      </w:pPr>
      <w:r>
        <w:rPr>
          <w:rFonts w:eastAsia="黑体" w:cs="Times New Roman"/>
          <w:b w:val="0"/>
          <w:color w:val="000000"/>
          <w:sz w:val="24"/>
          <w:szCs w:val="24"/>
        </w:rPr>
        <w:t xml:space="preserve">3.6 </w:t>
      </w:r>
      <w:r>
        <w:rPr>
          <w:rFonts w:ascii="Times New Roman" w:hAnsi="Times New Roman" w:eastAsia="黑体" w:cs="Times New Roman"/>
          <w:b w:val="0"/>
          <w:color w:val="000000"/>
          <w:sz w:val="24"/>
          <w:szCs w:val="24"/>
        </w:rPr>
        <w:t>工程照管与成品、半成品保护</w:t>
      </w:r>
      <w:bookmarkEnd w:id="62"/>
    </w:p>
    <w:p w14:paraId="2228FAB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）除专用合同条款另有约定外，自发包人向承包人移交施工现场之日起，承包人应负责照管工程及工程相关的材料、工程设备，直到颁发工程接收证书之日止。</w:t>
      </w:r>
    </w:p>
    <w:p w14:paraId="343238C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）在承包人负责照管期间，因承包人原因造成工程、材料、工程设备损坏的，由承包人负责修复或更换，并承担由此增加的费用和（或）延误的工期。</w:t>
      </w:r>
    </w:p>
    <w:p w14:paraId="408776A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）对合同内分期完成的成品和半成品，在工程接收证书颁发前，由承包人承担保护责任。因承包人原因造成成品或半成品损坏的，由承包人负责修复或更换，并承担由此增加的费用和（或）延误的工期。</w:t>
      </w:r>
    </w:p>
    <w:p w14:paraId="2B1C10E2">
      <w:pPr>
        <w:pStyle w:val="6"/>
        <w:spacing w:before="120" w:after="120" w:line="360" w:lineRule="auto"/>
        <w:ind w:firstLine="480"/>
        <w:rPr>
          <w:rFonts w:ascii="Times New Roman" w:hAnsi="Times New Roman" w:eastAsia="黑体" w:cs="Times New Roman"/>
          <w:b w:val="0"/>
          <w:color w:val="000000"/>
          <w:sz w:val="24"/>
          <w:szCs w:val="24"/>
        </w:rPr>
      </w:pPr>
      <w:bookmarkStart w:id="63" w:name="__RefHeading___Toc351203525"/>
      <w:bookmarkEnd w:id="63"/>
      <w:r>
        <w:rPr>
          <w:rFonts w:eastAsia="黑体" w:cs="Times New Roman"/>
          <w:b w:val="0"/>
          <w:color w:val="000000"/>
          <w:sz w:val="24"/>
          <w:szCs w:val="24"/>
        </w:rPr>
        <w:t xml:space="preserve">3.7 </w:t>
      </w:r>
      <w:r>
        <w:rPr>
          <w:rFonts w:ascii="Times New Roman" w:hAnsi="Times New Roman" w:eastAsia="黑体" w:cs="Times New Roman"/>
          <w:b w:val="0"/>
          <w:color w:val="000000"/>
          <w:sz w:val="24"/>
          <w:szCs w:val="24"/>
        </w:rPr>
        <w:t>履约担保</w:t>
      </w:r>
    </w:p>
    <w:p w14:paraId="2D021FD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1674C72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因承包人原因导致工期延长的，继续提供履约担保所增加的费用由承包人承担；非因承包人原因导致工期延长的，继续提供履约担保所增加的费用由发包人承担。</w:t>
      </w:r>
    </w:p>
    <w:p w14:paraId="5904CB48">
      <w:pPr>
        <w:pStyle w:val="6"/>
        <w:spacing w:before="120" w:after="120" w:line="360" w:lineRule="auto"/>
        <w:ind w:firstLine="480"/>
        <w:rPr>
          <w:rFonts w:ascii="Times New Roman" w:hAnsi="Times New Roman" w:eastAsia="黑体" w:cs="Times New Roman"/>
          <w:b w:val="0"/>
          <w:color w:val="000000"/>
          <w:sz w:val="24"/>
          <w:szCs w:val="24"/>
        </w:rPr>
      </w:pPr>
      <w:bookmarkStart w:id="64" w:name="__RefHeading___Toc351203526"/>
      <w:bookmarkEnd w:id="64"/>
      <w:r>
        <w:rPr>
          <w:rFonts w:eastAsia="黑体" w:cs="Times New Roman"/>
          <w:b w:val="0"/>
          <w:color w:val="000000"/>
          <w:sz w:val="24"/>
          <w:szCs w:val="24"/>
        </w:rPr>
        <w:t xml:space="preserve">3.8 </w:t>
      </w:r>
      <w:r>
        <w:rPr>
          <w:rFonts w:ascii="Times New Roman" w:hAnsi="Times New Roman" w:eastAsia="黑体" w:cs="Times New Roman"/>
          <w:b w:val="0"/>
          <w:color w:val="000000"/>
          <w:sz w:val="24"/>
          <w:szCs w:val="24"/>
        </w:rPr>
        <w:t>联合体</w:t>
      </w:r>
    </w:p>
    <w:p w14:paraId="4AE8F23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3.8.1 </w:t>
      </w:r>
      <w:r>
        <w:rPr>
          <w:rFonts w:ascii="Times New Roman" w:hAnsi="Times New Roman" w:eastAsia="仿宋_GB2312;仿宋" w:cs="Times New Roman"/>
          <w:color w:val="000000"/>
          <w:kern w:val="0"/>
          <w:sz w:val="24"/>
          <w:szCs w:val="24"/>
        </w:rPr>
        <w:t>联合体各方应共同与发包人签订合同协议书。联合体各方应为履行合同向发包人承担连带责任。</w:t>
      </w:r>
    </w:p>
    <w:p w14:paraId="2B4FEAD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3.8.2 </w:t>
      </w:r>
      <w:r>
        <w:rPr>
          <w:rFonts w:ascii="Times New Roman" w:hAnsi="Times New Roman" w:eastAsia="仿宋_GB2312;仿宋" w:cs="Times New Roman"/>
          <w:color w:val="000000"/>
          <w:kern w:val="0"/>
          <w:sz w:val="24"/>
          <w:szCs w:val="24"/>
        </w:rPr>
        <w:t>联合体协议经发包人确认后作为合同附件。在履行合同过程中，未经发包人同意，不得修改联合体协议。</w:t>
      </w:r>
    </w:p>
    <w:p w14:paraId="7131FD32">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3.8.3 </w:t>
      </w:r>
      <w:r>
        <w:rPr>
          <w:rFonts w:ascii="Times New Roman" w:hAnsi="Times New Roman" w:eastAsia="仿宋_GB2312;仿宋" w:cs="Times New Roman"/>
          <w:color w:val="000000"/>
          <w:kern w:val="0"/>
          <w:sz w:val="24"/>
          <w:szCs w:val="24"/>
        </w:rPr>
        <w:t>联合体牵头人负责与发包人和监理人联系，并接受指示，负责组织联合体各成员全面履行合同。</w:t>
      </w:r>
    </w:p>
    <w:p w14:paraId="4ED48429">
      <w:pPr>
        <w:pStyle w:val="5"/>
        <w:spacing w:before="120" w:after="120" w:line="360" w:lineRule="auto"/>
        <w:rPr>
          <w:rFonts w:ascii="Times New Roman" w:hAnsi="Times New Roman" w:eastAsia="黑体" w:cs="Times New Roman"/>
          <w:b w:val="0"/>
          <w:color w:val="000000"/>
          <w:sz w:val="24"/>
          <w:szCs w:val="24"/>
        </w:rPr>
      </w:pPr>
      <w:bookmarkStart w:id="65" w:name="__RefHeading___Toc351203527"/>
      <w:bookmarkEnd w:id="65"/>
      <w:r>
        <w:rPr>
          <w:rFonts w:ascii="Times New Roman" w:hAnsi="Times New Roman" w:eastAsia="黑体" w:cs="Times New Roman"/>
          <w:b w:val="0"/>
          <w:color w:val="000000"/>
          <w:sz w:val="24"/>
          <w:szCs w:val="24"/>
        </w:rPr>
        <w:t xml:space="preserve">4. </w:t>
      </w:r>
      <w:r>
        <w:rPr>
          <w:rFonts w:ascii="Times New Roman" w:hAnsi="Times New Roman" w:cs="Times New Roman"/>
          <w:b w:val="0"/>
          <w:color w:val="000000"/>
          <w:sz w:val="24"/>
          <w:szCs w:val="24"/>
        </w:rPr>
        <w:t>监理人</w:t>
      </w:r>
    </w:p>
    <w:p w14:paraId="1575FDDC">
      <w:pPr>
        <w:pStyle w:val="6"/>
        <w:spacing w:before="120" w:after="120" w:line="360" w:lineRule="auto"/>
        <w:ind w:firstLine="480"/>
        <w:rPr>
          <w:rFonts w:ascii="Times New Roman" w:hAnsi="Times New Roman" w:eastAsia="黑体" w:cs="Times New Roman"/>
          <w:b w:val="0"/>
          <w:color w:val="000000"/>
          <w:sz w:val="24"/>
          <w:szCs w:val="24"/>
        </w:rPr>
      </w:pPr>
      <w:bookmarkStart w:id="66" w:name="__RefHeading___Toc351203528"/>
      <w:bookmarkEnd w:id="66"/>
      <w:r>
        <w:rPr>
          <w:rFonts w:eastAsia="黑体" w:cs="Times New Roman"/>
          <w:b w:val="0"/>
          <w:color w:val="000000"/>
          <w:sz w:val="24"/>
          <w:szCs w:val="24"/>
        </w:rPr>
        <w:t>4.1</w:t>
      </w:r>
      <w:r>
        <w:rPr>
          <w:rFonts w:ascii="Times New Roman" w:hAnsi="Times New Roman" w:eastAsia="黑体" w:cs="Times New Roman"/>
          <w:b w:val="0"/>
          <w:color w:val="000000"/>
          <w:sz w:val="24"/>
          <w:szCs w:val="24"/>
        </w:rPr>
        <w:t>监理人的一般规定</w:t>
      </w:r>
    </w:p>
    <w:p w14:paraId="5C0CDD6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019363D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除专用合同条款另有约定外，监理人在施工现场的办公场所、生活场所由承包人提供，所发生的费用由发包人承担。</w:t>
      </w:r>
    </w:p>
    <w:p w14:paraId="6067A597">
      <w:pPr>
        <w:pStyle w:val="6"/>
        <w:spacing w:before="120" w:after="120" w:line="360" w:lineRule="auto"/>
        <w:ind w:firstLine="480"/>
        <w:rPr>
          <w:rFonts w:ascii="Times New Roman" w:hAnsi="Times New Roman" w:eastAsia="黑体" w:cs="Times New Roman"/>
          <w:b w:val="0"/>
          <w:color w:val="000000"/>
          <w:sz w:val="24"/>
          <w:szCs w:val="24"/>
        </w:rPr>
      </w:pPr>
      <w:bookmarkStart w:id="67" w:name="__RefHeading___Toc351203529"/>
      <w:bookmarkEnd w:id="67"/>
      <w:r>
        <w:rPr>
          <w:rFonts w:eastAsia="黑体" w:cs="Times New Roman"/>
          <w:b w:val="0"/>
          <w:color w:val="000000"/>
          <w:sz w:val="24"/>
          <w:szCs w:val="24"/>
        </w:rPr>
        <w:t>4.2</w:t>
      </w:r>
      <w:r>
        <w:rPr>
          <w:rFonts w:ascii="Times New Roman" w:hAnsi="Times New Roman" w:eastAsia="黑体" w:cs="Times New Roman"/>
          <w:b w:val="0"/>
          <w:color w:val="000000"/>
          <w:sz w:val="24"/>
          <w:szCs w:val="24"/>
        </w:rPr>
        <w:t>监理人员</w:t>
      </w:r>
    </w:p>
    <w:p w14:paraId="7A8803C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天书面通知承包人；更换其他监理人员，监理人应提前</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小时书面通知承包人。</w:t>
      </w:r>
    </w:p>
    <w:p w14:paraId="10452C18">
      <w:pPr>
        <w:pStyle w:val="6"/>
        <w:spacing w:before="120" w:after="120" w:line="360" w:lineRule="auto"/>
        <w:ind w:firstLine="480"/>
        <w:rPr>
          <w:rFonts w:ascii="Times New Roman" w:hAnsi="Times New Roman" w:eastAsia="黑体" w:cs="Times New Roman"/>
          <w:b w:val="0"/>
          <w:color w:val="000000"/>
          <w:sz w:val="24"/>
          <w:szCs w:val="24"/>
        </w:rPr>
      </w:pPr>
      <w:bookmarkStart w:id="68" w:name="__RefHeading___Toc351203530"/>
      <w:bookmarkEnd w:id="68"/>
      <w:r>
        <w:rPr>
          <w:rFonts w:eastAsia="黑体" w:cs="Times New Roman"/>
          <w:b w:val="0"/>
          <w:color w:val="000000"/>
          <w:sz w:val="24"/>
          <w:szCs w:val="24"/>
        </w:rPr>
        <w:t>4.3</w:t>
      </w:r>
      <w:r>
        <w:rPr>
          <w:rFonts w:ascii="Times New Roman" w:hAnsi="Times New Roman" w:eastAsia="黑体" w:cs="Times New Roman"/>
          <w:b w:val="0"/>
          <w:color w:val="000000"/>
          <w:sz w:val="24"/>
          <w:szCs w:val="24"/>
        </w:rPr>
        <w:t>监理人的指示</w:t>
      </w:r>
    </w:p>
    <w:p w14:paraId="54529FC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小时内补发书面监理指示，补发的书面监理指示应与口头指示一致。</w:t>
      </w:r>
    </w:p>
    <w:p w14:paraId="6D89E9D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款〔商定或确定〕约定应由总监理工程师作出确定的权力授权或委托给其他监理人员。</w:t>
      </w:r>
    </w:p>
    <w:p w14:paraId="23DECA7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承包人对监理人发出的指示有疑问的，应向监理人提出书面异议，监理人应在</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小时内对该指示予以确认、更改或撤销，监理人逾期未回复的，承包人有权拒绝执行上述指示。</w:t>
      </w:r>
    </w:p>
    <w:p w14:paraId="33E846F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监理人对承包人的任何工作、工程或其采用的材料和工程设备未在约定的或合理期限内提出意见的，视为批准，但不免除或减轻承包人对该工作、工程、材料、工程设备等应承担的责任和义务。</w:t>
      </w:r>
    </w:p>
    <w:p w14:paraId="6621D47D">
      <w:pPr>
        <w:pStyle w:val="5"/>
        <w:spacing w:before="120" w:after="120" w:line="360" w:lineRule="auto"/>
        <w:ind w:firstLine="480"/>
        <w:rPr>
          <w:rFonts w:ascii="Times New Roman" w:hAnsi="Times New Roman" w:eastAsia="黑体" w:cs="Times New Roman"/>
          <w:b w:val="0"/>
          <w:color w:val="000000"/>
          <w:sz w:val="24"/>
          <w:szCs w:val="24"/>
        </w:rPr>
      </w:pPr>
      <w:bookmarkStart w:id="69" w:name="__RefHeading___Toc351203531"/>
      <w:bookmarkEnd w:id="69"/>
      <w:r>
        <w:rPr>
          <w:rFonts w:ascii="Times New Roman" w:hAnsi="Times New Roman" w:eastAsia="黑体" w:cs="Times New Roman"/>
          <w:b w:val="0"/>
          <w:color w:val="000000"/>
          <w:sz w:val="24"/>
          <w:szCs w:val="24"/>
        </w:rPr>
        <w:t xml:space="preserve">4.4 </w:t>
      </w:r>
      <w:r>
        <w:rPr>
          <w:rFonts w:ascii="Times New Roman" w:hAnsi="Times New Roman" w:cs="Times New Roman"/>
          <w:b w:val="0"/>
          <w:color w:val="000000"/>
          <w:sz w:val="24"/>
          <w:szCs w:val="24"/>
        </w:rPr>
        <w:t>商定或确定</w:t>
      </w:r>
    </w:p>
    <w:p w14:paraId="6FFC28C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合同当事人进行商定或确定时，总监理工程师应当会同合同当事人尽量通过协商达成一致，不能达成一致的，由总监理工程师按照合同约定审慎做出公正的确定。</w:t>
      </w:r>
    </w:p>
    <w:p w14:paraId="5CA27F9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总监理工程师应将确定以书面形式通知发包人和承包人，并附详细依据。合同当事人对总监理工程师的确定没有异议的，按照总监理工程师的确定执行。任何一方合同当事人有异议，按照第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条〔争议解决〕约定处理。争议解决前，合同当事人暂按总监理工程师的确定执行；争议解决后，争议解决的结果与总监理工程师的确定不一致的，按照争议解决的结果执行，由此造成的损失由责任人承担。</w:t>
      </w:r>
    </w:p>
    <w:p w14:paraId="14FF8F0C">
      <w:pPr>
        <w:pStyle w:val="5"/>
        <w:spacing w:before="120" w:after="120" w:line="360" w:lineRule="auto"/>
        <w:rPr>
          <w:rFonts w:ascii="Times New Roman" w:hAnsi="Times New Roman" w:eastAsia="黑体" w:cs="Times New Roman"/>
          <w:b w:val="0"/>
          <w:color w:val="000000"/>
          <w:sz w:val="24"/>
          <w:szCs w:val="24"/>
        </w:rPr>
      </w:pPr>
      <w:bookmarkStart w:id="70" w:name="__RefHeading___Toc351203532"/>
      <w:bookmarkEnd w:id="70"/>
      <w:r>
        <w:rPr>
          <w:rFonts w:ascii="Times New Roman" w:hAnsi="Times New Roman" w:eastAsia="黑体" w:cs="Times New Roman"/>
          <w:b w:val="0"/>
          <w:color w:val="000000"/>
          <w:sz w:val="24"/>
          <w:szCs w:val="24"/>
        </w:rPr>
        <w:t xml:space="preserve">5. </w:t>
      </w:r>
      <w:r>
        <w:rPr>
          <w:rFonts w:ascii="Times New Roman" w:hAnsi="Times New Roman" w:cs="Times New Roman"/>
          <w:b w:val="0"/>
          <w:color w:val="000000"/>
          <w:sz w:val="24"/>
          <w:szCs w:val="24"/>
        </w:rPr>
        <w:t>工程质量</w:t>
      </w:r>
    </w:p>
    <w:p w14:paraId="7260892E">
      <w:pPr>
        <w:pStyle w:val="6"/>
        <w:spacing w:before="120" w:after="120" w:line="360" w:lineRule="auto"/>
        <w:ind w:firstLine="480"/>
        <w:rPr>
          <w:rFonts w:ascii="Times New Roman" w:hAnsi="Times New Roman" w:eastAsia="黑体" w:cs="Times New Roman"/>
          <w:b w:val="0"/>
          <w:color w:val="000000"/>
          <w:sz w:val="24"/>
          <w:szCs w:val="24"/>
        </w:rPr>
      </w:pPr>
      <w:bookmarkStart w:id="71" w:name="__RefHeading___Toc351203533"/>
      <w:bookmarkEnd w:id="71"/>
      <w:r>
        <w:rPr>
          <w:rFonts w:eastAsia="黑体" w:cs="Times New Roman"/>
          <w:b w:val="0"/>
          <w:color w:val="000000"/>
          <w:sz w:val="24"/>
          <w:szCs w:val="24"/>
        </w:rPr>
        <w:t>5.1</w:t>
      </w:r>
      <w:r>
        <w:rPr>
          <w:rFonts w:ascii="Times New Roman" w:hAnsi="Times New Roman" w:eastAsia="黑体" w:cs="Times New Roman"/>
          <w:b w:val="0"/>
          <w:color w:val="000000"/>
          <w:sz w:val="24"/>
          <w:szCs w:val="24"/>
        </w:rPr>
        <w:t>质量要求</w:t>
      </w:r>
    </w:p>
    <w:p w14:paraId="0FEEC692">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5.1.1 </w:t>
      </w:r>
      <w:r>
        <w:rPr>
          <w:rFonts w:ascii="Times New Roman" w:hAnsi="Times New Roman" w:eastAsia="仿宋_GB2312;仿宋" w:cs="Times New Roman"/>
          <w:color w:val="000000"/>
          <w:kern w:val="0"/>
          <w:sz w:val="24"/>
          <w:szCs w:val="24"/>
        </w:rPr>
        <w:t>工程质量标准必须符合现行国家有关工程施工质量验收规范和标准的要求。有关工程质量的特殊标准或要求由合同当事人在专用合同条款中约定。</w:t>
      </w:r>
    </w:p>
    <w:p w14:paraId="627B60B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5.1.2 </w:t>
      </w:r>
      <w:r>
        <w:rPr>
          <w:rFonts w:ascii="Times New Roman" w:hAnsi="Times New Roman" w:eastAsia="仿宋_GB2312;仿宋" w:cs="Times New Roman"/>
          <w:color w:val="000000"/>
          <w:kern w:val="0"/>
          <w:sz w:val="24"/>
          <w:szCs w:val="24"/>
        </w:rPr>
        <w:t>因发包人原因造成工程质量未达到合同约定标准的，由发包人承担由此增加的费用和（或）延误的工期，并支付承包人合理的利润。</w:t>
      </w:r>
    </w:p>
    <w:p w14:paraId="40B53E8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5.1.3 </w:t>
      </w:r>
      <w:r>
        <w:rPr>
          <w:rFonts w:ascii="Times New Roman" w:hAnsi="Times New Roman" w:eastAsia="仿宋_GB2312;仿宋" w:cs="Times New Roman"/>
          <w:color w:val="000000"/>
          <w:kern w:val="0"/>
          <w:sz w:val="24"/>
          <w:szCs w:val="24"/>
        </w:rPr>
        <w:t>因承包人原因造成工程质量未达到合同约定标准的，发包人有权要求承包人返工直至工程质量达到合同约定的标准为止，并由承包人承担由此增加的费用和（或）延误的工期。</w:t>
      </w:r>
    </w:p>
    <w:p w14:paraId="00C070D2">
      <w:pPr>
        <w:pStyle w:val="6"/>
        <w:spacing w:before="120" w:after="120" w:line="360" w:lineRule="auto"/>
        <w:ind w:firstLine="480"/>
        <w:rPr>
          <w:rFonts w:ascii="Times New Roman" w:hAnsi="Times New Roman" w:eastAsia="黑体" w:cs="Times New Roman"/>
          <w:b w:val="0"/>
          <w:color w:val="000000"/>
          <w:sz w:val="24"/>
          <w:szCs w:val="24"/>
        </w:rPr>
      </w:pPr>
      <w:bookmarkStart w:id="72" w:name="__RefHeading___Toc351203534"/>
      <w:bookmarkEnd w:id="72"/>
      <w:r>
        <w:rPr>
          <w:rFonts w:eastAsia="黑体" w:cs="Times New Roman"/>
          <w:b w:val="0"/>
          <w:color w:val="000000"/>
          <w:sz w:val="24"/>
          <w:szCs w:val="24"/>
        </w:rPr>
        <w:t>5.2</w:t>
      </w:r>
      <w:r>
        <w:rPr>
          <w:rFonts w:ascii="Times New Roman" w:hAnsi="Times New Roman" w:eastAsia="黑体" w:cs="Times New Roman"/>
          <w:b w:val="0"/>
          <w:color w:val="000000"/>
          <w:sz w:val="24"/>
          <w:szCs w:val="24"/>
        </w:rPr>
        <w:t>质量保证措施</w:t>
      </w:r>
    </w:p>
    <w:p w14:paraId="33B8C078">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5.2.1 </w:t>
      </w:r>
      <w:r>
        <w:rPr>
          <w:rFonts w:ascii="Times New Roman" w:hAnsi="Times New Roman" w:eastAsia="仿宋_GB2312;仿宋" w:cs="Times New Roman"/>
          <w:color w:val="000000"/>
          <w:kern w:val="0"/>
          <w:sz w:val="24"/>
          <w:szCs w:val="24"/>
        </w:rPr>
        <w:t>发包人的质量管理</w:t>
      </w:r>
    </w:p>
    <w:p w14:paraId="06746B0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发包人应按照法律规定及合同约定完成与工程质量有关的各项工作。</w:t>
      </w:r>
    </w:p>
    <w:p w14:paraId="4818166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5.2.2 </w:t>
      </w:r>
      <w:r>
        <w:rPr>
          <w:rFonts w:ascii="Times New Roman" w:hAnsi="Times New Roman" w:eastAsia="仿宋_GB2312;仿宋" w:cs="Times New Roman"/>
          <w:color w:val="000000"/>
          <w:kern w:val="0"/>
          <w:sz w:val="24"/>
          <w:szCs w:val="24"/>
        </w:rPr>
        <w:t>承包人的质量管理</w:t>
      </w:r>
    </w:p>
    <w:p w14:paraId="3974CC9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承包人按照第</w:t>
      </w:r>
      <w:r>
        <w:rPr>
          <w:rFonts w:eastAsia="仿宋_GB2312;仿宋" w:cs="Times New Roman"/>
          <w:color w:val="000000"/>
          <w:kern w:val="0"/>
          <w:sz w:val="24"/>
          <w:szCs w:val="24"/>
        </w:rPr>
        <w:t>7.1</w:t>
      </w:r>
      <w:r>
        <w:rPr>
          <w:rFonts w:ascii="Times New Roman" w:hAnsi="Times New Roman" w:eastAsia="仿宋_GB2312;仿宋" w:cs="Times New Roman"/>
          <w:color w:val="000000"/>
          <w:kern w:val="0"/>
          <w:sz w:val="24"/>
          <w:szCs w:val="24"/>
        </w:rPr>
        <w:t>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08E2081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承包人应对施工人员进行质量教育和技术培训，定期考核施工人员的劳动技能，严格执行施工规范和操作规程。</w:t>
      </w:r>
    </w:p>
    <w:p w14:paraId="38B5972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0D9485DD">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5.2.3 </w:t>
      </w:r>
      <w:r>
        <w:rPr>
          <w:rFonts w:ascii="Times New Roman" w:hAnsi="Times New Roman" w:eastAsia="仿宋_GB2312;仿宋" w:cs="Times New Roman"/>
          <w:color w:val="000000"/>
          <w:kern w:val="0"/>
          <w:sz w:val="24"/>
          <w:szCs w:val="24"/>
        </w:rPr>
        <w:t>监理人的质量检查和检验</w:t>
      </w:r>
    </w:p>
    <w:p w14:paraId="697042D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3F5D73B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5CF752F9">
      <w:pPr>
        <w:pStyle w:val="6"/>
        <w:spacing w:before="120" w:after="120" w:line="360" w:lineRule="auto"/>
        <w:ind w:firstLine="480"/>
        <w:rPr>
          <w:rFonts w:ascii="Times New Roman" w:hAnsi="Times New Roman" w:eastAsia="黑体" w:cs="Times New Roman"/>
          <w:b w:val="0"/>
          <w:color w:val="000000"/>
          <w:sz w:val="24"/>
          <w:szCs w:val="24"/>
        </w:rPr>
      </w:pPr>
      <w:bookmarkStart w:id="73" w:name="__RefHeading___Toc351203535"/>
      <w:bookmarkEnd w:id="73"/>
      <w:r>
        <w:rPr>
          <w:rFonts w:eastAsia="黑体" w:cs="Times New Roman"/>
          <w:b w:val="0"/>
          <w:color w:val="000000"/>
          <w:sz w:val="24"/>
          <w:szCs w:val="24"/>
        </w:rPr>
        <w:t xml:space="preserve">5.3 </w:t>
      </w:r>
      <w:r>
        <w:rPr>
          <w:rFonts w:ascii="Times New Roman" w:hAnsi="Times New Roman" w:eastAsia="黑体" w:cs="Times New Roman"/>
          <w:b w:val="0"/>
          <w:color w:val="000000"/>
          <w:sz w:val="24"/>
          <w:szCs w:val="24"/>
        </w:rPr>
        <w:t>隐蔽工程检查</w:t>
      </w:r>
    </w:p>
    <w:p w14:paraId="06C3B4B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5.3.1</w:t>
      </w:r>
      <w:r>
        <w:rPr>
          <w:rFonts w:ascii="Times New Roman" w:hAnsi="Times New Roman" w:eastAsia="仿宋_GB2312;仿宋" w:cs="Times New Roman"/>
          <w:color w:val="000000"/>
          <w:kern w:val="0"/>
          <w:sz w:val="24"/>
          <w:szCs w:val="24"/>
        </w:rPr>
        <w:t>承包人自检</w:t>
      </w:r>
    </w:p>
    <w:p w14:paraId="3D127FF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承包人应当对工程隐蔽部位进行自检，并经自检确认是否具备覆盖条件。</w:t>
      </w:r>
    </w:p>
    <w:p w14:paraId="0C9B710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5.3.2</w:t>
      </w:r>
      <w:r>
        <w:rPr>
          <w:rFonts w:ascii="Times New Roman" w:hAnsi="Times New Roman" w:eastAsia="仿宋_GB2312;仿宋" w:cs="Times New Roman"/>
          <w:color w:val="000000"/>
          <w:kern w:val="0"/>
          <w:sz w:val="24"/>
          <w:szCs w:val="24"/>
        </w:rPr>
        <w:t>检查程序</w:t>
      </w:r>
    </w:p>
    <w:p w14:paraId="12E7587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除专用合同条款另有约定外，工程隐蔽部位经承包人自检确认具备覆盖条件的，承包人应在共同检查前</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小时书面通知监理人检查，通知中应载明隐蔽检查的内容、时间和地点，并应附有自检记录和必要的检查资料。</w:t>
      </w:r>
    </w:p>
    <w:p w14:paraId="25DF9D1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7DBD1C8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除专用合同条款另有约定外，监理人不能按时进行检查的，应在检查前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小时向承包人提交书面延期要求，但延期不能超过</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w:t>
      </w:r>
      <w:r>
        <w:rPr>
          <w:rFonts w:eastAsia="仿宋_GB2312;仿宋" w:cs="Times New Roman"/>
          <w:color w:val="000000"/>
          <w:kern w:val="0"/>
          <w:sz w:val="24"/>
          <w:szCs w:val="24"/>
        </w:rPr>
        <w:t>5.3.3</w:t>
      </w:r>
      <w:r>
        <w:rPr>
          <w:rFonts w:ascii="Times New Roman" w:hAnsi="Times New Roman" w:eastAsia="仿宋_GB2312;仿宋" w:cs="Times New Roman"/>
          <w:color w:val="000000"/>
          <w:kern w:val="0"/>
          <w:sz w:val="24"/>
          <w:szCs w:val="24"/>
        </w:rPr>
        <w:t>项〔重新检查〕的约定重新检查。</w:t>
      </w:r>
    </w:p>
    <w:p w14:paraId="4FFDBD5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5.3.3 </w:t>
      </w:r>
      <w:r>
        <w:rPr>
          <w:rFonts w:ascii="Times New Roman" w:hAnsi="Times New Roman" w:eastAsia="仿宋_GB2312;仿宋" w:cs="Times New Roman"/>
          <w:color w:val="000000"/>
          <w:kern w:val="0"/>
          <w:sz w:val="24"/>
          <w:szCs w:val="24"/>
        </w:rPr>
        <w:t>重新检查</w:t>
      </w:r>
    </w:p>
    <w:p w14:paraId="11A2F0D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18F1791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5.3.4 </w:t>
      </w:r>
      <w:r>
        <w:rPr>
          <w:rFonts w:ascii="Times New Roman" w:hAnsi="Times New Roman" w:eastAsia="仿宋_GB2312;仿宋" w:cs="Times New Roman"/>
          <w:color w:val="000000"/>
          <w:kern w:val="0"/>
          <w:sz w:val="24"/>
          <w:szCs w:val="24"/>
        </w:rPr>
        <w:t>承包人私自覆盖</w:t>
      </w:r>
    </w:p>
    <w:p w14:paraId="14B5643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承包人未通知监理人到场检查，私自将工程隐蔽部位覆盖的，监理人有权指示承包人钻孔探测或揭开检查，无论工程隐蔽部位质量是否合格，由此增加的费用和（或）延误的工期均由承包人承担。</w:t>
      </w:r>
    </w:p>
    <w:p w14:paraId="1688E03F">
      <w:pPr>
        <w:pStyle w:val="6"/>
        <w:spacing w:before="120" w:after="120" w:line="360" w:lineRule="auto"/>
        <w:ind w:firstLine="480"/>
        <w:rPr>
          <w:rFonts w:ascii="Times New Roman" w:hAnsi="Times New Roman" w:eastAsia="黑体" w:cs="Times New Roman"/>
          <w:b w:val="0"/>
          <w:color w:val="000000"/>
          <w:sz w:val="24"/>
          <w:szCs w:val="24"/>
        </w:rPr>
      </w:pPr>
      <w:bookmarkStart w:id="74" w:name="__RefHeading___Toc351203536"/>
      <w:bookmarkEnd w:id="74"/>
      <w:r>
        <w:rPr>
          <w:rFonts w:eastAsia="黑体" w:cs="Times New Roman"/>
          <w:b w:val="0"/>
          <w:color w:val="000000"/>
          <w:sz w:val="24"/>
          <w:szCs w:val="24"/>
        </w:rPr>
        <w:t>5.4</w:t>
      </w:r>
      <w:r>
        <w:rPr>
          <w:rFonts w:ascii="Times New Roman" w:hAnsi="Times New Roman" w:eastAsia="黑体" w:cs="Times New Roman"/>
          <w:b w:val="0"/>
          <w:color w:val="000000"/>
          <w:sz w:val="24"/>
          <w:szCs w:val="24"/>
        </w:rPr>
        <w:t>不合格工程的处理</w:t>
      </w:r>
    </w:p>
    <w:p w14:paraId="17EC25E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5.4.1 </w:t>
      </w:r>
      <w:r>
        <w:rPr>
          <w:rFonts w:ascii="Times New Roman" w:hAnsi="Times New Roman" w:eastAsia="仿宋_GB2312;仿宋" w:cs="Times New Roman"/>
          <w:color w:val="000000"/>
          <w:kern w:val="0"/>
          <w:sz w:val="24"/>
          <w:szCs w:val="24"/>
        </w:rPr>
        <w:t>因承包人原因造成工程不合格的，发包人有权随时要求承包人采取补救措施，直至达到合同要求的质量标准，由此增加的费用和（或）延误的工期由承包人承担。无法补救的，按照第</w:t>
      </w:r>
      <w:r>
        <w:rPr>
          <w:rFonts w:eastAsia="仿宋_GB2312;仿宋" w:cs="Times New Roman"/>
          <w:color w:val="000000"/>
          <w:kern w:val="0"/>
          <w:sz w:val="24"/>
          <w:szCs w:val="24"/>
        </w:rPr>
        <w:t>13.2.4</w:t>
      </w:r>
      <w:r>
        <w:rPr>
          <w:rFonts w:ascii="Times New Roman" w:hAnsi="Times New Roman" w:eastAsia="仿宋_GB2312;仿宋" w:cs="Times New Roman"/>
          <w:color w:val="000000"/>
          <w:kern w:val="0"/>
          <w:sz w:val="24"/>
          <w:szCs w:val="24"/>
        </w:rPr>
        <w:t>项〔拒绝接收全部或部分工程〕约定执行。</w:t>
      </w:r>
      <w:r>
        <w:rPr>
          <w:rFonts w:ascii="Times New Roman" w:hAnsi="Times New Roman" w:eastAsia="Times New Roman" w:cs="Times New Roman"/>
          <w:color w:val="000000"/>
          <w:kern w:val="0"/>
          <w:sz w:val="24"/>
          <w:szCs w:val="24"/>
        </w:rPr>
        <w:t xml:space="preserve"> </w:t>
      </w:r>
    </w:p>
    <w:p w14:paraId="62E9ED8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5.4.2 </w:t>
      </w:r>
      <w:r>
        <w:rPr>
          <w:rFonts w:ascii="Times New Roman" w:hAnsi="Times New Roman" w:eastAsia="仿宋_GB2312;仿宋" w:cs="Times New Roman"/>
          <w:color w:val="000000"/>
          <w:kern w:val="0"/>
          <w:sz w:val="24"/>
          <w:szCs w:val="24"/>
        </w:rPr>
        <w:t>因发包人原因造成工程不合格的，由此增加的费用和（或）延误的工期由发包人承担，并支付承包人合理的利润。</w:t>
      </w:r>
    </w:p>
    <w:p w14:paraId="43DB9AFA">
      <w:pPr>
        <w:pStyle w:val="6"/>
        <w:spacing w:before="120" w:after="120" w:line="360" w:lineRule="auto"/>
        <w:ind w:firstLine="480"/>
        <w:rPr>
          <w:rFonts w:ascii="Times New Roman" w:hAnsi="Times New Roman" w:eastAsia="黑体" w:cs="Times New Roman"/>
          <w:b w:val="0"/>
          <w:color w:val="000000"/>
          <w:sz w:val="24"/>
          <w:szCs w:val="24"/>
        </w:rPr>
      </w:pPr>
      <w:bookmarkStart w:id="75" w:name="__RefHeading___Toc351203537"/>
      <w:bookmarkEnd w:id="75"/>
      <w:r>
        <w:rPr>
          <w:rFonts w:eastAsia="黑体" w:cs="Times New Roman"/>
          <w:b w:val="0"/>
          <w:color w:val="000000"/>
          <w:sz w:val="24"/>
          <w:szCs w:val="24"/>
        </w:rPr>
        <w:t xml:space="preserve">5.5 </w:t>
      </w:r>
      <w:r>
        <w:rPr>
          <w:rFonts w:ascii="Times New Roman" w:hAnsi="Times New Roman" w:eastAsia="黑体" w:cs="Times New Roman"/>
          <w:b w:val="0"/>
          <w:color w:val="000000"/>
          <w:sz w:val="24"/>
          <w:szCs w:val="24"/>
        </w:rPr>
        <w:t>质量争议检测</w:t>
      </w:r>
    </w:p>
    <w:p w14:paraId="633D0AA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合同当事人对工程质量有争议的，由双方协商确定的工程质量检测机构鉴定，由此产生的费用及因此造成的损失，由责任方承担。</w:t>
      </w:r>
    </w:p>
    <w:p w14:paraId="06A8DF7D">
      <w:pPr>
        <w:autoSpaceDE w:val="0"/>
        <w:spacing w:line="360" w:lineRule="auto"/>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合同当事人均有责任的，由双方根据其责任分别承担。合同当事人无法达成一致的，按照第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款〔商定或确定〕执行。</w:t>
      </w:r>
    </w:p>
    <w:p w14:paraId="4C0F84DB">
      <w:pPr>
        <w:pStyle w:val="5"/>
        <w:spacing w:before="120" w:after="120" w:line="360" w:lineRule="auto"/>
        <w:rPr>
          <w:rFonts w:ascii="Times New Roman" w:hAnsi="Times New Roman" w:eastAsia="黑体" w:cs="Times New Roman"/>
          <w:b w:val="0"/>
          <w:color w:val="000000"/>
          <w:sz w:val="24"/>
          <w:szCs w:val="24"/>
        </w:rPr>
      </w:pPr>
      <w:bookmarkStart w:id="76" w:name="__RefHeading___Toc351203538"/>
      <w:bookmarkEnd w:id="76"/>
      <w:r>
        <w:rPr>
          <w:rFonts w:ascii="Times New Roman" w:hAnsi="Times New Roman" w:eastAsia="黑体" w:cs="Times New Roman"/>
          <w:b w:val="0"/>
          <w:color w:val="000000"/>
          <w:sz w:val="24"/>
          <w:szCs w:val="24"/>
        </w:rPr>
        <w:t xml:space="preserve">6. </w:t>
      </w:r>
      <w:r>
        <w:rPr>
          <w:rFonts w:ascii="Times New Roman" w:hAnsi="Times New Roman" w:cs="Times New Roman"/>
          <w:b w:val="0"/>
          <w:color w:val="000000"/>
          <w:sz w:val="24"/>
          <w:szCs w:val="24"/>
        </w:rPr>
        <w:t>安全文明施工与环境保护</w:t>
      </w:r>
    </w:p>
    <w:p w14:paraId="469DB654">
      <w:pPr>
        <w:pStyle w:val="6"/>
        <w:spacing w:before="120" w:after="120" w:line="360" w:lineRule="auto"/>
        <w:ind w:firstLine="480"/>
        <w:rPr>
          <w:rFonts w:ascii="Times New Roman" w:hAnsi="Times New Roman" w:eastAsia="黑体" w:cs="Times New Roman"/>
          <w:b w:val="0"/>
          <w:color w:val="000000"/>
          <w:sz w:val="24"/>
          <w:szCs w:val="24"/>
        </w:rPr>
      </w:pPr>
      <w:bookmarkStart w:id="77" w:name="__RefHeading___Toc351203539"/>
      <w:bookmarkEnd w:id="77"/>
      <w:r>
        <w:rPr>
          <w:rFonts w:eastAsia="黑体" w:cs="Times New Roman"/>
          <w:b w:val="0"/>
          <w:color w:val="000000"/>
          <w:sz w:val="24"/>
          <w:szCs w:val="24"/>
        </w:rPr>
        <w:t>6.1</w:t>
      </w:r>
      <w:r>
        <w:rPr>
          <w:rFonts w:ascii="Times New Roman" w:hAnsi="Times New Roman" w:eastAsia="黑体" w:cs="Times New Roman"/>
          <w:b w:val="0"/>
          <w:color w:val="000000"/>
          <w:sz w:val="24"/>
          <w:szCs w:val="24"/>
        </w:rPr>
        <w:t>安全文明施工</w:t>
      </w:r>
    </w:p>
    <w:p w14:paraId="284AC7FF">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6.1.1</w:t>
      </w:r>
      <w:r>
        <w:rPr>
          <w:rFonts w:ascii="Times New Roman" w:hAnsi="Times New Roman" w:eastAsia="仿宋_GB2312;仿宋" w:cs="Times New Roman"/>
          <w:color w:val="000000"/>
          <w:sz w:val="24"/>
          <w:szCs w:val="24"/>
        </w:rPr>
        <w:t>安全生产要求</w:t>
      </w:r>
    </w:p>
    <w:p w14:paraId="4F27410D">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10DBED8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在施工过程中，如遇到突发的地质变动、事先未知的地下施工障碍等影响施工安全的紧急情况，承包人应及时报告监理人和发包人，发包人应当及时下令停工并报</w:t>
      </w:r>
      <w:r>
        <w:rPr>
          <w:rFonts w:ascii="Times New Roman" w:hAnsi="Times New Roman" w:eastAsia="仿宋_GB2312;仿宋" w:cs="Times New Roman"/>
          <w:color w:val="000000"/>
          <w:kern w:val="0"/>
          <w:sz w:val="24"/>
          <w:szCs w:val="24"/>
        </w:rPr>
        <w:t>政府有关行政管理部门</w:t>
      </w:r>
      <w:r>
        <w:rPr>
          <w:rFonts w:ascii="Times New Roman" w:hAnsi="Times New Roman" w:eastAsia="仿宋_GB2312;仿宋" w:cs="Times New Roman"/>
          <w:color w:val="000000"/>
          <w:sz w:val="24"/>
          <w:szCs w:val="24"/>
        </w:rPr>
        <w:t>采取应急措施。</w:t>
      </w:r>
    </w:p>
    <w:p w14:paraId="4F802F4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因安全生产需要暂停施工的，按照第</w:t>
      </w:r>
      <w:r>
        <w:rPr>
          <w:rFonts w:eastAsia="仿宋_GB2312;仿宋" w:cs="Times New Roman"/>
          <w:color w:val="000000"/>
          <w:sz w:val="24"/>
          <w:szCs w:val="24"/>
        </w:rPr>
        <w:t>7.8</w:t>
      </w:r>
      <w:r>
        <w:rPr>
          <w:rFonts w:ascii="Times New Roman" w:hAnsi="Times New Roman" w:eastAsia="仿宋_GB2312;仿宋" w:cs="Times New Roman"/>
          <w:color w:val="000000"/>
          <w:sz w:val="24"/>
          <w:szCs w:val="24"/>
        </w:rPr>
        <w:t>款〔暂停施工〕的约定执行。</w:t>
      </w:r>
    </w:p>
    <w:p w14:paraId="4FE76F39">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6.1.2 </w:t>
      </w:r>
      <w:r>
        <w:rPr>
          <w:rFonts w:ascii="Times New Roman" w:hAnsi="Times New Roman" w:eastAsia="仿宋_GB2312;仿宋" w:cs="Times New Roman"/>
          <w:color w:val="000000"/>
          <w:sz w:val="24"/>
          <w:szCs w:val="24"/>
        </w:rPr>
        <w:t>安全生产保证措施</w:t>
      </w:r>
    </w:p>
    <w:p w14:paraId="1943F0C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承包人应当按照有关</w:t>
      </w:r>
      <w:r>
        <w:rPr>
          <w:rFonts w:ascii="Times New Roman" w:hAnsi="Times New Roman" w:eastAsia="仿宋_GB2312;仿宋" w:cs="Times New Roman"/>
          <w:color w:val="000000"/>
          <w:kern w:val="0"/>
          <w:sz w:val="24"/>
          <w:szCs w:val="24"/>
        </w:rPr>
        <w:t>规定编制安全技术措施或者专项施工方案，</w:t>
      </w:r>
      <w:r>
        <w:rPr>
          <w:rFonts w:ascii="Times New Roman" w:hAnsi="Times New Roman" w:eastAsia="仿宋_GB2312;仿宋" w:cs="Times New Roman"/>
          <w:color w:val="000000"/>
          <w:sz w:val="24"/>
          <w:szCs w:val="24"/>
        </w:rPr>
        <w:t>建立安全生产责任制度、治安保卫制度及安全生产教育培训制度，并</w:t>
      </w:r>
      <w:r>
        <w:rPr>
          <w:rFonts w:ascii="Times New Roman" w:hAnsi="Times New Roman" w:eastAsia="仿宋_GB2312;仿宋" w:cs="Times New Roman"/>
          <w:color w:val="000000"/>
          <w:kern w:val="0"/>
          <w:sz w:val="24"/>
          <w:szCs w:val="24"/>
        </w:rPr>
        <w:t>按安全生产法律规定及合同约定履行安全职责，如实</w:t>
      </w:r>
      <w:r>
        <w:rPr>
          <w:rFonts w:ascii="Times New Roman" w:hAnsi="Times New Roman" w:eastAsia="仿宋_GB2312;仿宋" w:cs="Times New Roman"/>
          <w:color w:val="000000"/>
          <w:sz w:val="24"/>
          <w:szCs w:val="24"/>
        </w:rPr>
        <w:t>编制工程安全生产的有关记录，</w:t>
      </w:r>
      <w:r>
        <w:rPr>
          <w:rFonts w:ascii="Times New Roman" w:hAnsi="Times New Roman" w:eastAsia="仿宋_GB2312;仿宋" w:cs="Times New Roman"/>
          <w:color w:val="000000"/>
          <w:kern w:val="0"/>
          <w:sz w:val="24"/>
          <w:szCs w:val="24"/>
        </w:rPr>
        <w:t>接受发包人、监理人及政府安全监督部门的检查与监督。</w:t>
      </w:r>
    </w:p>
    <w:p w14:paraId="14F7F004">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6.1.3</w:t>
      </w:r>
      <w:r>
        <w:rPr>
          <w:rFonts w:ascii="Times New Roman" w:hAnsi="Times New Roman" w:eastAsia="仿宋_GB2312;仿宋" w:cs="Times New Roman"/>
          <w:color w:val="000000"/>
          <w:sz w:val="24"/>
          <w:szCs w:val="24"/>
        </w:rPr>
        <w:t>特别安全生产事项</w:t>
      </w:r>
    </w:p>
    <w:p w14:paraId="394A34E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5FB4492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承包人在动力设备、输电线路、地下管道、密封防震车间、易燃易爆地段以及临街交通要道附近施工时，施工开始前应向发包人和监理人提出安全防护措施，经发包人认可后实施。</w:t>
      </w:r>
      <w:r>
        <w:rPr>
          <w:rFonts w:ascii="Times New Roman" w:hAnsi="Times New Roman" w:eastAsia="Times New Roman" w:cs="Times New Roman"/>
          <w:color w:val="000000"/>
          <w:sz w:val="24"/>
          <w:szCs w:val="24"/>
        </w:rPr>
        <w:t xml:space="preserve"> </w:t>
      </w:r>
    </w:p>
    <w:p w14:paraId="125014B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实施爆破作业，在放射、毒害性环境中施工（含储存、运输、使用）及使用毒害性、腐蚀性物品施工时，承包人应在施工前</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天以书面通知发包人和监理人，并报送相应的安全防护措施，经发包人认可后实施。</w:t>
      </w:r>
    </w:p>
    <w:p w14:paraId="60D4CBF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需单独编制危险性较大分部分项专项工程施工方案的，及要求进行专家论证的超过一定规模的危险性较大的分部分项工程，承包人应及时编制和组织论证。</w:t>
      </w:r>
    </w:p>
    <w:p w14:paraId="71EF92B3">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6.1.4 </w:t>
      </w:r>
      <w:r>
        <w:rPr>
          <w:rFonts w:ascii="Times New Roman" w:hAnsi="Times New Roman" w:eastAsia="仿宋_GB2312;仿宋" w:cs="Times New Roman"/>
          <w:color w:val="000000"/>
          <w:sz w:val="24"/>
          <w:szCs w:val="24"/>
        </w:rPr>
        <w:t>治安保卫</w:t>
      </w:r>
    </w:p>
    <w:p w14:paraId="41B8B3C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除专用合同条款另有约定外，发包人应与当地公安部门协商，在现场建立治安管理机构或联防组织，统一管理施工场地的治安保卫事项，履行合同工程的治安保卫职责。</w:t>
      </w:r>
    </w:p>
    <w:p w14:paraId="0101AEF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发包人和承包人除应协助现场治安管理机构或联防组织维护施工场地的社会治安外，还应做好包括生活区在内的各自管辖区的治安保卫工作。</w:t>
      </w:r>
    </w:p>
    <w:p w14:paraId="39B3B5E2">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除专用合同条款另有约定外，发包人和承包人应在工程开工后</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0C514AC0">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 xml:space="preserve">6.1.5 </w:t>
      </w:r>
      <w:r>
        <w:rPr>
          <w:rFonts w:ascii="Times New Roman" w:hAnsi="Times New Roman" w:eastAsia="仿宋_GB2312;仿宋" w:cs="Times New Roman"/>
          <w:color w:val="000000"/>
          <w:sz w:val="24"/>
          <w:szCs w:val="24"/>
        </w:rPr>
        <w:t>文明施工</w:t>
      </w:r>
    </w:p>
    <w:p w14:paraId="360E1DF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015F56E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093E8931">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6.1.6 </w:t>
      </w:r>
      <w:r>
        <w:rPr>
          <w:rFonts w:ascii="Times New Roman" w:hAnsi="Times New Roman" w:eastAsia="仿宋_GB2312;仿宋" w:cs="Times New Roman"/>
          <w:color w:val="000000"/>
          <w:sz w:val="24"/>
          <w:szCs w:val="24"/>
        </w:rPr>
        <w:t>安全文明施工费</w:t>
      </w:r>
    </w:p>
    <w:p w14:paraId="4F529B0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安全文明施工费由发包人承担，发包人不得以任何形式扣减该部分费用。因基准日期后合同所适用的法律或政府有关规定发生变化，增加的安全文明施工费由发包人承担。</w:t>
      </w:r>
    </w:p>
    <w:p w14:paraId="3BEEE5D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29F340D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除专用合同条款另有约定外，发包人应在开工后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天内预付安全文明施工费总额的</w:t>
      </w:r>
      <w:r>
        <w:rPr>
          <w:rFonts w:eastAsia="仿宋_GB2312;仿宋" w:cs="Times New Roman"/>
          <w:color w:val="000000"/>
          <w:kern w:val="0"/>
          <w:sz w:val="24"/>
          <w:szCs w:val="24"/>
        </w:rPr>
        <w:t>50%</w:t>
      </w:r>
      <w:r>
        <w:rPr>
          <w:rFonts w:ascii="Times New Roman" w:hAnsi="Times New Roman" w:eastAsia="仿宋_GB2312;仿宋" w:cs="Times New Roman"/>
          <w:color w:val="000000"/>
          <w:kern w:val="0"/>
          <w:sz w:val="24"/>
          <w:szCs w:val="24"/>
        </w:rPr>
        <w:t>，其余部分与进度款同期支付。发包人逾期支付安全文明施工费超过</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天的，承包人有权向发包人发出要求预付的催告通知，发包人收到通知后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天内仍未支付的，承包人有权暂停施工，并按第</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项〔发包人违约的情形〕执行。</w:t>
      </w:r>
    </w:p>
    <w:p w14:paraId="735A9BD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15B781E7">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6.1.7 </w:t>
      </w:r>
      <w:r>
        <w:rPr>
          <w:rFonts w:ascii="Times New Roman" w:hAnsi="Times New Roman" w:eastAsia="仿宋_GB2312;仿宋" w:cs="Times New Roman"/>
          <w:color w:val="000000"/>
          <w:kern w:val="0"/>
          <w:sz w:val="24"/>
          <w:szCs w:val="24"/>
        </w:rPr>
        <w:t>紧急情况处理</w:t>
      </w:r>
    </w:p>
    <w:p w14:paraId="22C6F32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55D7BA62">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6.1.8 </w:t>
      </w:r>
      <w:r>
        <w:rPr>
          <w:rFonts w:ascii="Times New Roman" w:hAnsi="Times New Roman" w:eastAsia="仿宋_GB2312;仿宋" w:cs="Times New Roman"/>
          <w:color w:val="000000"/>
          <w:kern w:val="0"/>
          <w:sz w:val="24"/>
          <w:szCs w:val="24"/>
        </w:rPr>
        <w:t>事故处理</w:t>
      </w:r>
    </w:p>
    <w:p w14:paraId="45DEF96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11BCC692">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6.1.9 </w:t>
      </w:r>
      <w:r>
        <w:rPr>
          <w:rFonts w:ascii="Times New Roman" w:hAnsi="Times New Roman" w:eastAsia="仿宋_GB2312;仿宋" w:cs="Times New Roman"/>
          <w:color w:val="000000"/>
          <w:kern w:val="0"/>
          <w:sz w:val="24"/>
          <w:szCs w:val="24"/>
        </w:rPr>
        <w:t>安全生产责任</w:t>
      </w:r>
    </w:p>
    <w:p w14:paraId="2D69AB7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6.1.9.1 </w:t>
      </w:r>
      <w:r>
        <w:rPr>
          <w:rFonts w:ascii="Times New Roman" w:hAnsi="Times New Roman" w:eastAsia="仿宋_GB2312;仿宋" w:cs="Times New Roman"/>
          <w:color w:val="000000"/>
          <w:kern w:val="0"/>
          <w:sz w:val="24"/>
          <w:szCs w:val="24"/>
        </w:rPr>
        <w:t>发包人的安全责任</w:t>
      </w:r>
    </w:p>
    <w:p w14:paraId="1625DA9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发包人应负责赔偿以下各种情况造成的损失：</w:t>
      </w:r>
    </w:p>
    <w:p w14:paraId="34A33985">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）工程或工程的任何部分对土地的占用所造成的第三者财产损失；</w:t>
      </w:r>
    </w:p>
    <w:p w14:paraId="2787183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）由于发包人原因在施工场地及其毗邻地带造成的第三者人身伤亡和财产损失；</w:t>
      </w:r>
    </w:p>
    <w:p w14:paraId="482EB1D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）由于发包人原因对承包人、监理人造成的人员人身伤亡和财产损失；</w:t>
      </w:r>
    </w:p>
    <w:p w14:paraId="10B1610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）由于发包人原因造成的发包人自身人员的人身伤害以及财产损失。</w:t>
      </w:r>
    </w:p>
    <w:p w14:paraId="04D3A1E7">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6.1.9.2 </w:t>
      </w:r>
      <w:r>
        <w:rPr>
          <w:rFonts w:ascii="Times New Roman" w:hAnsi="Times New Roman" w:eastAsia="仿宋_GB2312;仿宋" w:cs="Times New Roman"/>
          <w:color w:val="000000"/>
          <w:kern w:val="0"/>
          <w:sz w:val="24"/>
          <w:szCs w:val="24"/>
        </w:rPr>
        <w:t>承包人的安全责任</w:t>
      </w:r>
    </w:p>
    <w:p w14:paraId="5FBEA414">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由于承包人原因在施工场地内及其毗邻地带造成的发包人、监理人以及第三者人员伤亡和财产损失，由承包人负责赔偿。</w:t>
      </w:r>
    </w:p>
    <w:p w14:paraId="2E904399">
      <w:pPr>
        <w:pStyle w:val="6"/>
        <w:spacing w:before="120" w:after="120" w:line="360" w:lineRule="auto"/>
        <w:ind w:firstLine="480"/>
        <w:rPr>
          <w:rFonts w:ascii="Times New Roman" w:hAnsi="Times New Roman" w:eastAsia="黑体" w:cs="Times New Roman"/>
          <w:b w:val="0"/>
          <w:color w:val="000000"/>
          <w:sz w:val="24"/>
          <w:szCs w:val="24"/>
        </w:rPr>
      </w:pPr>
      <w:bookmarkStart w:id="78" w:name="__RefHeading___Toc351203540"/>
      <w:bookmarkEnd w:id="78"/>
      <w:r>
        <w:rPr>
          <w:rFonts w:eastAsia="黑体" w:cs="Times New Roman"/>
          <w:b w:val="0"/>
          <w:color w:val="000000"/>
          <w:sz w:val="24"/>
          <w:szCs w:val="24"/>
        </w:rPr>
        <w:t xml:space="preserve">6.2 </w:t>
      </w:r>
      <w:r>
        <w:rPr>
          <w:rFonts w:ascii="Times New Roman" w:hAnsi="Times New Roman" w:eastAsia="黑体" w:cs="Times New Roman"/>
          <w:b w:val="0"/>
          <w:color w:val="000000"/>
          <w:sz w:val="24"/>
          <w:szCs w:val="24"/>
        </w:rPr>
        <w:t>职业健康</w:t>
      </w:r>
    </w:p>
    <w:p w14:paraId="45AC78E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6.2.1 </w:t>
      </w:r>
      <w:r>
        <w:rPr>
          <w:rFonts w:ascii="Times New Roman" w:hAnsi="Times New Roman" w:eastAsia="仿宋_GB2312;仿宋" w:cs="Times New Roman"/>
          <w:color w:val="000000"/>
          <w:kern w:val="0"/>
          <w:sz w:val="24"/>
          <w:szCs w:val="24"/>
        </w:rPr>
        <w:t>劳动保护</w:t>
      </w:r>
    </w:p>
    <w:p w14:paraId="15E72C4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228D732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承包人应按照法律规定保障现场施工人员的劳动安全，并提供劳动保护</w:t>
      </w:r>
      <w:r>
        <w:rPr>
          <w:rFonts w:eastAsia="仿宋_GB2312;仿宋" w:cs="Times New Roman"/>
          <w:color w:val="000000"/>
          <w:kern w:val="0"/>
          <w:sz w:val="24"/>
          <w:szCs w:val="24"/>
        </w:rPr>
        <w:t>,</w:t>
      </w:r>
      <w:r>
        <w:rPr>
          <w:rFonts w:ascii="Times New Roman" w:hAnsi="Times New Roman" w:eastAsia="仿宋_GB2312;仿宋" w:cs="Times New Roman"/>
          <w:color w:val="000000"/>
          <w:kern w:val="0"/>
          <w:sz w:val="24"/>
          <w:szCs w:val="24"/>
        </w:rPr>
        <w:t>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6CF23C6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承包人应按法律规定安排工作时间，保证其雇佣人员享有休息和休假的权利。因工程施工的特殊需要占用休假日或延长工作时间的，应不超过法律规定的限度，并按法律规定给予补休或付酬。</w:t>
      </w:r>
    </w:p>
    <w:p w14:paraId="140681C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6.2.2 </w:t>
      </w:r>
      <w:r>
        <w:rPr>
          <w:rFonts w:ascii="Times New Roman" w:hAnsi="Times New Roman" w:eastAsia="仿宋_GB2312;仿宋" w:cs="Times New Roman"/>
          <w:color w:val="000000"/>
          <w:kern w:val="0"/>
          <w:sz w:val="24"/>
          <w:szCs w:val="24"/>
        </w:rPr>
        <w:t>生活条件</w:t>
      </w:r>
    </w:p>
    <w:p w14:paraId="074FDBD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承包人应为其履行合同所雇用的人员提供必要的膳宿条件和生活环境；承包人应采取有效措施预防传染病，保证施工人员的健康，并定期对施工现场、施工人员生活基地和工程进行防疫和卫生的专业检查和处理</w:t>
      </w:r>
      <w:r>
        <w:rPr>
          <w:rFonts w:eastAsia="仿宋_GB2312;仿宋" w:cs="Times New Roman"/>
          <w:color w:val="000000"/>
          <w:kern w:val="0"/>
          <w:sz w:val="24"/>
          <w:szCs w:val="24"/>
        </w:rPr>
        <w:t xml:space="preserve">, </w:t>
      </w:r>
      <w:r>
        <w:rPr>
          <w:rFonts w:ascii="Times New Roman" w:hAnsi="Times New Roman" w:eastAsia="仿宋_GB2312;仿宋" w:cs="Times New Roman"/>
          <w:color w:val="000000"/>
          <w:kern w:val="0"/>
          <w:sz w:val="24"/>
          <w:szCs w:val="24"/>
        </w:rPr>
        <w:t>在远离城镇的施工场地，还应配备必要的伤病防治和急救的医务人员与医疗设施。</w:t>
      </w:r>
    </w:p>
    <w:p w14:paraId="00A27FE8">
      <w:pPr>
        <w:pStyle w:val="6"/>
        <w:spacing w:before="120" w:after="120" w:line="360" w:lineRule="auto"/>
        <w:ind w:firstLine="480"/>
        <w:rPr>
          <w:rFonts w:ascii="Times New Roman" w:hAnsi="Times New Roman" w:eastAsia="黑体" w:cs="Times New Roman"/>
          <w:b w:val="0"/>
          <w:color w:val="000000"/>
          <w:sz w:val="24"/>
          <w:szCs w:val="24"/>
        </w:rPr>
      </w:pPr>
      <w:bookmarkStart w:id="79" w:name="__RefHeading___Toc351203541"/>
      <w:bookmarkEnd w:id="79"/>
      <w:r>
        <w:rPr>
          <w:rFonts w:eastAsia="黑体" w:cs="Times New Roman"/>
          <w:b w:val="0"/>
          <w:color w:val="000000"/>
          <w:sz w:val="24"/>
          <w:szCs w:val="24"/>
        </w:rPr>
        <w:t xml:space="preserve">6.3 </w:t>
      </w:r>
      <w:r>
        <w:rPr>
          <w:rFonts w:ascii="Times New Roman" w:hAnsi="Times New Roman" w:eastAsia="黑体" w:cs="Times New Roman"/>
          <w:b w:val="0"/>
          <w:color w:val="000000"/>
          <w:sz w:val="24"/>
          <w:szCs w:val="24"/>
        </w:rPr>
        <w:t>环境保护</w:t>
      </w:r>
    </w:p>
    <w:p w14:paraId="56BCB75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304E0CA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承包人应当承担因其原因引起的环境污染侵权损害赔偿责任，因上述环境污染引起纠纷而导致暂停施工的，由此增加的费用和（或）延误的工期由承包人承担。</w:t>
      </w:r>
    </w:p>
    <w:p w14:paraId="1614778A">
      <w:pPr>
        <w:pStyle w:val="5"/>
        <w:spacing w:before="120" w:after="120" w:line="360" w:lineRule="auto"/>
        <w:rPr>
          <w:rFonts w:ascii="Times New Roman" w:hAnsi="Times New Roman" w:eastAsia="黑体" w:cs="Times New Roman"/>
          <w:b w:val="0"/>
          <w:color w:val="000000"/>
          <w:sz w:val="24"/>
          <w:szCs w:val="24"/>
        </w:rPr>
      </w:pPr>
      <w:bookmarkStart w:id="80" w:name="__RefHeading___Toc351203542"/>
      <w:bookmarkEnd w:id="80"/>
      <w:r>
        <w:rPr>
          <w:rFonts w:ascii="Times New Roman" w:hAnsi="Times New Roman" w:eastAsia="黑体" w:cs="Times New Roman"/>
          <w:b w:val="0"/>
          <w:color w:val="000000"/>
          <w:sz w:val="24"/>
          <w:szCs w:val="24"/>
        </w:rPr>
        <w:t xml:space="preserve">7. </w:t>
      </w:r>
      <w:r>
        <w:rPr>
          <w:rFonts w:ascii="Times New Roman" w:hAnsi="Times New Roman" w:cs="Times New Roman"/>
          <w:b w:val="0"/>
          <w:color w:val="000000"/>
          <w:sz w:val="24"/>
          <w:szCs w:val="24"/>
        </w:rPr>
        <w:t>工期和进度</w:t>
      </w:r>
    </w:p>
    <w:p w14:paraId="6AE0B72D">
      <w:pPr>
        <w:pStyle w:val="6"/>
        <w:spacing w:before="120" w:after="120" w:line="360" w:lineRule="auto"/>
        <w:ind w:firstLine="480"/>
        <w:rPr>
          <w:rFonts w:ascii="Times New Roman" w:hAnsi="Times New Roman" w:eastAsia="黑体" w:cs="Times New Roman"/>
          <w:b w:val="0"/>
          <w:color w:val="000000"/>
          <w:sz w:val="24"/>
          <w:szCs w:val="24"/>
        </w:rPr>
      </w:pPr>
      <w:bookmarkStart w:id="81" w:name="__RefHeading___Toc351203543"/>
      <w:bookmarkEnd w:id="81"/>
      <w:r>
        <w:rPr>
          <w:rFonts w:eastAsia="黑体" w:cs="Times New Roman"/>
          <w:b w:val="0"/>
          <w:color w:val="000000"/>
          <w:sz w:val="24"/>
          <w:szCs w:val="24"/>
        </w:rPr>
        <w:t>7.1</w:t>
      </w:r>
      <w:r>
        <w:rPr>
          <w:rFonts w:ascii="Times New Roman" w:hAnsi="Times New Roman" w:eastAsia="黑体" w:cs="Times New Roman"/>
          <w:b w:val="0"/>
          <w:color w:val="000000"/>
          <w:sz w:val="24"/>
          <w:szCs w:val="24"/>
        </w:rPr>
        <w:t>施工组织设计</w:t>
      </w:r>
    </w:p>
    <w:p w14:paraId="32C202C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sz w:val="24"/>
          <w:szCs w:val="24"/>
        </w:rPr>
        <w:t>7.1.1</w:t>
      </w:r>
      <w:r>
        <w:rPr>
          <w:rFonts w:eastAsia="仿宋_GB2312;仿宋" w:cs="Times New Roman"/>
          <w:color w:val="000000"/>
          <w:sz w:val="24"/>
          <w:szCs w:val="24"/>
        </w:rPr>
        <w:t xml:space="preserve"> </w:t>
      </w:r>
      <w:r>
        <w:rPr>
          <w:rFonts w:ascii="Times New Roman" w:hAnsi="Times New Roman" w:eastAsia="仿宋_GB2312;仿宋" w:cs="Times New Roman"/>
          <w:color w:val="000000"/>
          <w:kern w:val="0"/>
          <w:sz w:val="24"/>
          <w:szCs w:val="24"/>
        </w:rPr>
        <w:t>施工组织设计的内容</w:t>
      </w:r>
    </w:p>
    <w:p w14:paraId="1BD1A43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施工组织设计应包含以下内容：</w:t>
      </w:r>
    </w:p>
    <w:p w14:paraId="3A44FA9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）施工方案；</w:t>
      </w:r>
      <w:r>
        <w:rPr>
          <w:rFonts w:ascii="Times New Roman" w:hAnsi="Times New Roman" w:eastAsia="Times New Roman" w:cs="Times New Roman"/>
          <w:color w:val="000000"/>
          <w:kern w:val="0"/>
          <w:sz w:val="24"/>
          <w:szCs w:val="24"/>
        </w:rPr>
        <w:t xml:space="preserve"> </w:t>
      </w:r>
    </w:p>
    <w:p w14:paraId="5D32B40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）施工现场平面布置图；</w:t>
      </w:r>
    </w:p>
    <w:p w14:paraId="26DC7F3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）施工进度计划和保证措施；</w:t>
      </w:r>
      <w:r>
        <w:rPr>
          <w:rFonts w:ascii="Times New Roman" w:hAnsi="Times New Roman" w:eastAsia="Times New Roman" w:cs="Times New Roman"/>
          <w:color w:val="000000"/>
          <w:kern w:val="0"/>
          <w:sz w:val="24"/>
          <w:szCs w:val="24"/>
        </w:rPr>
        <w:t xml:space="preserve"> </w:t>
      </w:r>
    </w:p>
    <w:p w14:paraId="683DE96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）劳动力及材料供应计划；</w:t>
      </w:r>
    </w:p>
    <w:p w14:paraId="4927C52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）施工机械设备的选用；</w:t>
      </w:r>
    </w:p>
    <w:p w14:paraId="21D3FCA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）质量保证体系及措施；</w:t>
      </w:r>
    </w:p>
    <w:p w14:paraId="499A51A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）安全生产、文明施工措施；</w:t>
      </w:r>
    </w:p>
    <w:p w14:paraId="37BF256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）环境保护、成本控制措施；</w:t>
      </w:r>
    </w:p>
    <w:p w14:paraId="5BE958F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9</w:t>
      </w:r>
      <w:r>
        <w:rPr>
          <w:rFonts w:ascii="Times New Roman" w:hAnsi="Times New Roman" w:eastAsia="仿宋_GB2312;仿宋" w:cs="Times New Roman"/>
          <w:color w:val="000000"/>
          <w:kern w:val="0"/>
          <w:sz w:val="24"/>
          <w:szCs w:val="24"/>
        </w:rPr>
        <w:t>）合同当事人约定的其他内容。</w:t>
      </w:r>
    </w:p>
    <w:p w14:paraId="75ED70D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sz w:val="24"/>
          <w:szCs w:val="24"/>
        </w:rPr>
        <w:t>7.1.2</w:t>
      </w:r>
      <w:r>
        <w:rPr>
          <w:rFonts w:eastAsia="仿宋_GB2312;仿宋" w:cs="Times New Roman"/>
          <w:color w:val="000000"/>
          <w:sz w:val="24"/>
          <w:szCs w:val="24"/>
        </w:rPr>
        <w:t xml:space="preserve"> </w:t>
      </w:r>
      <w:r>
        <w:rPr>
          <w:rFonts w:ascii="Times New Roman" w:hAnsi="Times New Roman" w:eastAsia="仿宋_GB2312;仿宋" w:cs="Times New Roman"/>
          <w:color w:val="000000"/>
          <w:kern w:val="0"/>
          <w:sz w:val="24"/>
          <w:szCs w:val="24"/>
        </w:rPr>
        <w:t>施工组织设计的提交和修改</w:t>
      </w:r>
    </w:p>
    <w:p w14:paraId="25A832F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除专用合同条款另有约定外，承包人应在合同签订后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天内，但至迟不得晚于第</w:t>
      </w:r>
      <w:r>
        <w:rPr>
          <w:rFonts w:eastAsia="仿宋_GB2312;仿宋" w:cs="Times New Roman"/>
          <w:color w:val="000000"/>
          <w:kern w:val="0"/>
          <w:sz w:val="24"/>
          <w:szCs w:val="24"/>
        </w:rPr>
        <w:t>7.3.2</w:t>
      </w:r>
      <w:r>
        <w:rPr>
          <w:rFonts w:ascii="Times New Roman" w:hAnsi="Times New Roman" w:eastAsia="仿宋_GB2312;仿宋" w:cs="Times New Roman"/>
          <w:color w:val="000000"/>
          <w:kern w:val="0"/>
          <w:sz w:val="24"/>
          <w:szCs w:val="24"/>
        </w:rPr>
        <w:t>项〔开工通知〕载明的开工日期前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天，向监理人提交详细的施工组织设计，并由监理人报送发包人。除专用合同条款另有约定外，发包人和监理人应在监理人收到施工组织设计后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天内确认或提出修改意见。对发包人和监理人提出的合理意见和要求，承包人应自费修改完善。根据工程实际情况需要修改施工组织设计的，承包人应向发包人和监理人提交修改后的施工组织设计。</w:t>
      </w:r>
    </w:p>
    <w:p w14:paraId="66B686B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施工进度计划的编制和修改按照第</w:t>
      </w:r>
      <w:r>
        <w:rPr>
          <w:rFonts w:eastAsia="仿宋_GB2312;仿宋" w:cs="Times New Roman"/>
          <w:color w:val="000000"/>
          <w:kern w:val="0"/>
          <w:sz w:val="24"/>
          <w:szCs w:val="24"/>
        </w:rPr>
        <w:t>7.2</w:t>
      </w:r>
      <w:r>
        <w:rPr>
          <w:rFonts w:ascii="Times New Roman" w:hAnsi="Times New Roman" w:eastAsia="仿宋_GB2312;仿宋" w:cs="Times New Roman"/>
          <w:color w:val="000000"/>
          <w:kern w:val="0"/>
          <w:sz w:val="24"/>
          <w:szCs w:val="24"/>
        </w:rPr>
        <w:t>款〔施工进度计划〕执行。</w:t>
      </w:r>
    </w:p>
    <w:p w14:paraId="232CD136">
      <w:pPr>
        <w:pStyle w:val="6"/>
        <w:spacing w:before="120" w:after="120" w:line="360" w:lineRule="auto"/>
        <w:ind w:firstLine="480"/>
        <w:rPr>
          <w:rFonts w:ascii="Times New Roman" w:hAnsi="Times New Roman" w:eastAsia="黑体" w:cs="Times New Roman"/>
          <w:b w:val="0"/>
          <w:color w:val="000000"/>
          <w:sz w:val="24"/>
          <w:szCs w:val="24"/>
        </w:rPr>
      </w:pPr>
      <w:bookmarkStart w:id="82" w:name="__RefHeading___Toc351203544"/>
      <w:bookmarkEnd w:id="82"/>
      <w:r>
        <w:rPr>
          <w:rFonts w:eastAsia="黑体" w:cs="Times New Roman"/>
          <w:b w:val="0"/>
          <w:color w:val="000000"/>
          <w:sz w:val="24"/>
          <w:szCs w:val="24"/>
        </w:rPr>
        <w:t xml:space="preserve">7.2 </w:t>
      </w:r>
      <w:r>
        <w:rPr>
          <w:rFonts w:ascii="Times New Roman" w:hAnsi="Times New Roman" w:eastAsia="黑体" w:cs="Times New Roman"/>
          <w:b w:val="0"/>
          <w:color w:val="000000"/>
          <w:sz w:val="24"/>
          <w:szCs w:val="24"/>
        </w:rPr>
        <w:t>施工进度计划</w:t>
      </w:r>
    </w:p>
    <w:p w14:paraId="2D31094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7.2.1 </w:t>
      </w:r>
      <w:r>
        <w:rPr>
          <w:rFonts w:ascii="Times New Roman" w:hAnsi="Times New Roman" w:eastAsia="仿宋_GB2312;仿宋" w:cs="Times New Roman"/>
          <w:color w:val="000000"/>
          <w:kern w:val="0"/>
          <w:sz w:val="24"/>
          <w:szCs w:val="24"/>
        </w:rPr>
        <w:t>施工进度计划的编制</w:t>
      </w:r>
    </w:p>
    <w:p w14:paraId="4E1834E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承包人应按照第</w:t>
      </w:r>
      <w:r>
        <w:rPr>
          <w:rFonts w:eastAsia="仿宋_GB2312;仿宋" w:cs="Times New Roman"/>
          <w:color w:val="000000"/>
          <w:kern w:val="0"/>
          <w:sz w:val="24"/>
          <w:szCs w:val="24"/>
        </w:rPr>
        <w:t>7.1</w:t>
      </w:r>
      <w:r>
        <w:rPr>
          <w:rFonts w:ascii="Times New Roman" w:hAnsi="Times New Roman" w:eastAsia="仿宋_GB2312;仿宋" w:cs="Times New Roman"/>
          <w:color w:val="000000"/>
          <w:kern w:val="0"/>
          <w:sz w:val="24"/>
          <w:szCs w:val="24"/>
        </w:rPr>
        <w:t>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32075C67">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 xml:space="preserve">7.2.2 </w:t>
      </w:r>
      <w:r>
        <w:rPr>
          <w:rFonts w:ascii="Times New Roman" w:hAnsi="Times New Roman" w:eastAsia="仿宋_GB2312;仿宋" w:cs="Times New Roman"/>
          <w:color w:val="000000"/>
          <w:sz w:val="24"/>
          <w:szCs w:val="24"/>
        </w:rPr>
        <w:t>施工进度计划的修订</w:t>
      </w:r>
    </w:p>
    <w:p w14:paraId="4649DCC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天内完成审核和批准或提出修改意见。发包人和监理人对承包人提交的施工进度计划的确认，不能减轻或免除承包人根据法律规定和合同约定应承担的任何责任或义务。</w:t>
      </w:r>
    </w:p>
    <w:p w14:paraId="0B6AD92D">
      <w:pPr>
        <w:pStyle w:val="6"/>
        <w:spacing w:before="120" w:after="120" w:line="360" w:lineRule="auto"/>
        <w:ind w:firstLine="480"/>
        <w:rPr>
          <w:rFonts w:ascii="Times New Roman" w:hAnsi="Times New Roman" w:eastAsia="黑体" w:cs="Times New Roman"/>
          <w:b w:val="0"/>
          <w:color w:val="000000"/>
          <w:sz w:val="24"/>
          <w:szCs w:val="24"/>
        </w:rPr>
      </w:pPr>
      <w:bookmarkStart w:id="83" w:name="__RefHeading___Toc351203545"/>
      <w:bookmarkEnd w:id="83"/>
      <w:r>
        <w:rPr>
          <w:rFonts w:eastAsia="黑体" w:cs="Times New Roman"/>
          <w:b w:val="0"/>
          <w:color w:val="000000"/>
          <w:sz w:val="24"/>
          <w:szCs w:val="24"/>
        </w:rPr>
        <w:t xml:space="preserve">7.3 </w:t>
      </w:r>
      <w:r>
        <w:rPr>
          <w:rFonts w:ascii="Times New Roman" w:hAnsi="Times New Roman" w:eastAsia="黑体" w:cs="Times New Roman"/>
          <w:b w:val="0"/>
          <w:color w:val="000000"/>
          <w:sz w:val="24"/>
          <w:szCs w:val="24"/>
        </w:rPr>
        <w:t>开工</w:t>
      </w:r>
    </w:p>
    <w:p w14:paraId="48BBBBD6">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7.3.1 </w:t>
      </w:r>
      <w:r>
        <w:rPr>
          <w:rFonts w:ascii="Times New Roman" w:hAnsi="Times New Roman" w:eastAsia="仿宋_GB2312;仿宋" w:cs="Times New Roman"/>
          <w:color w:val="000000"/>
          <w:kern w:val="0"/>
          <w:sz w:val="24"/>
          <w:szCs w:val="24"/>
        </w:rPr>
        <w:t>开工准备</w:t>
      </w:r>
    </w:p>
    <w:p w14:paraId="6D4CC4A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除专用合同条款另有约定外，承包人应按照第</w:t>
      </w:r>
      <w:r>
        <w:rPr>
          <w:rFonts w:eastAsia="仿宋_GB2312;仿宋" w:cs="Times New Roman"/>
          <w:color w:val="000000"/>
          <w:kern w:val="0"/>
          <w:sz w:val="24"/>
          <w:szCs w:val="24"/>
        </w:rPr>
        <w:t>7.1</w:t>
      </w:r>
      <w:r>
        <w:rPr>
          <w:rFonts w:ascii="Times New Roman" w:hAnsi="Times New Roman" w:eastAsia="仿宋_GB2312;仿宋" w:cs="Times New Roman"/>
          <w:color w:val="000000"/>
          <w:kern w:val="0"/>
          <w:sz w:val="24"/>
          <w:szCs w:val="24"/>
        </w:rPr>
        <w:t>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7D83C91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除专用合同条款另有约定外，合同当事人应按约定完成开工准备工作。</w:t>
      </w:r>
    </w:p>
    <w:p w14:paraId="5D39AF9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7.3.2 </w:t>
      </w:r>
      <w:r>
        <w:rPr>
          <w:rFonts w:ascii="Times New Roman" w:hAnsi="Times New Roman" w:eastAsia="仿宋_GB2312;仿宋" w:cs="Times New Roman"/>
          <w:color w:val="000000"/>
          <w:kern w:val="0"/>
          <w:sz w:val="24"/>
          <w:szCs w:val="24"/>
        </w:rPr>
        <w:t>开工通知</w:t>
      </w:r>
    </w:p>
    <w:p w14:paraId="312DA2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发包人应按照法律规定获得工程施工所需的许可。经发包人同意后，监理人发出的开工通知应符合法律规定。监理人应在计划开工日期</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天前向承包人发出开工通知，工期自开工通知中载明的开工日期起算。</w:t>
      </w:r>
    </w:p>
    <w:p w14:paraId="49F00F9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除专用合同条款另有约定外，因发包人原因造成监理人未能在计划开工日期之日起</w:t>
      </w:r>
      <w:r>
        <w:rPr>
          <w:rFonts w:eastAsia="仿宋_GB2312;仿宋" w:cs="Times New Roman"/>
          <w:color w:val="000000"/>
          <w:kern w:val="0"/>
          <w:sz w:val="24"/>
          <w:szCs w:val="24"/>
        </w:rPr>
        <w:t>90</w:t>
      </w:r>
      <w:r>
        <w:rPr>
          <w:rFonts w:ascii="Times New Roman" w:hAnsi="Times New Roman" w:eastAsia="仿宋_GB2312;仿宋" w:cs="Times New Roman"/>
          <w:color w:val="000000"/>
          <w:kern w:val="0"/>
          <w:sz w:val="24"/>
          <w:szCs w:val="24"/>
        </w:rPr>
        <w:t>天内发出开工通知的，承包人有权提出价格调整要求，或者解除合同。发包人应当承担由此增加的费用和（或）延误的工期，并向承包人支付合理利润。</w:t>
      </w:r>
    </w:p>
    <w:p w14:paraId="5A784BBA">
      <w:pPr>
        <w:pStyle w:val="6"/>
        <w:spacing w:before="120" w:after="120" w:line="360" w:lineRule="auto"/>
        <w:ind w:firstLine="480"/>
        <w:rPr>
          <w:rFonts w:ascii="Times New Roman" w:hAnsi="Times New Roman" w:eastAsia="黑体" w:cs="Times New Roman"/>
          <w:b w:val="0"/>
          <w:color w:val="000000"/>
          <w:sz w:val="24"/>
          <w:szCs w:val="24"/>
        </w:rPr>
      </w:pPr>
      <w:bookmarkStart w:id="84" w:name="__RefHeading___Toc351203546"/>
      <w:bookmarkEnd w:id="84"/>
      <w:r>
        <w:rPr>
          <w:rFonts w:eastAsia="黑体" w:cs="Times New Roman"/>
          <w:b w:val="0"/>
          <w:color w:val="000000"/>
          <w:sz w:val="24"/>
          <w:szCs w:val="24"/>
        </w:rPr>
        <w:t>7.4</w:t>
      </w:r>
      <w:r>
        <w:rPr>
          <w:rFonts w:ascii="Times New Roman" w:hAnsi="Times New Roman" w:eastAsia="黑体" w:cs="Times New Roman"/>
          <w:b w:val="0"/>
          <w:color w:val="000000"/>
          <w:sz w:val="24"/>
          <w:szCs w:val="24"/>
        </w:rPr>
        <w:t>测量放线</w:t>
      </w:r>
    </w:p>
    <w:p w14:paraId="2373B97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7.4.1 </w:t>
      </w:r>
      <w:r>
        <w:rPr>
          <w:rFonts w:ascii="Times New Roman" w:hAnsi="Times New Roman" w:eastAsia="仿宋_GB2312;仿宋" w:cs="Times New Roman"/>
          <w:color w:val="000000"/>
          <w:kern w:val="0"/>
          <w:sz w:val="24"/>
          <w:szCs w:val="24"/>
        </w:rPr>
        <w:t>除专用合同条款另有约定外，发包人应在至迟不得晚于第</w:t>
      </w:r>
      <w:r>
        <w:rPr>
          <w:rFonts w:eastAsia="仿宋_GB2312;仿宋" w:cs="Times New Roman"/>
          <w:color w:val="000000"/>
          <w:kern w:val="0"/>
          <w:sz w:val="24"/>
          <w:szCs w:val="24"/>
        </w:rPr>
        <w:t>7.3.2</w:t>
      </w:r>
      <w:r>
        <w:rPr>
          <w:rFonts w:ascii="Times New Roman" w:hAnsi="Times New Roman" w:eastAsia="仿宋_GB2312;仿宋" w:cs="Times New Roman"/>
          <w:color w:val="000000"/>
          <w:kern w:val="0"/>
          <w:sz w:val="24"/>
          <w:szCs w:val="24"/>
        </w:rPr>
        <w:t>项〔开工通知〕载明的开工日期前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天通过监理人向承包人提供测量基准点、基准线和水准点及其书面资料。发包人应对其提供的测量基准点、基准线和水准点及其书面资料的真实性、准确性和完整性负责。</w:t>
      </w:r>
    </w:p>
    <w:p w14:paraId="10E58E1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45C904CD">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7.4.2 </w:t>
      </w:r>
      <w:r>
        <w:rPr>
          <w:rFonts w:ascii="Times New Roman" w:hAnsi="Times New Roman" w:eastAsia="仿宋_GB2312;仿宋" w:cs="Times New Roman"/>
          <w:color w:val="000000"/>
          <w:kern w:val="0"/>
          <w:sz w:val="24"/>
          <w:szCs w:val="24"/>
        </w:rPr>
        <w:t>承包人负责施工过程中的全部施工测量放线工作，并配置具有相应资质的人员、合格的仪器、设备和其他物品。承包人应矫正工程的位置、标高、尺寸或准线中出现的任何差错，并对工程各部分的定位负责。</w:t>
      </w:r>
    </w:p>
    <w:p w14:paraId="13896CE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施工过程中对施工现场内水准点等测量标志物的保护工作由承包人负责。</w:t>
      </w:r>
      <w:bookmarkStart w:id="85" w:name="__RefHeading___Toc351203547"/>
    </w:p>
    <w:p w14:paraId="3347373C">
      <w:pPr>
        <w:pStyle w:val="6"/>
        <w:spacing w:before="120" w:after="120" w:line="360" w:lineRule="auto"/>
        <w:ind w:firstLine="480"/>
        <w:rPr>
          <w:rFonts w:ascii="Times New Roman" w:hAnsi="Times New Roman" w:eastAsia="黑体" w:cs="Times New Roman"/>
          <w:b w:val="0"/>
          <w:color w:val="000000"/>
          <w:sz w:val="24"/>
          <w:szCs w:val="24"/>
        </w:rPr>
      </w:pPr>
      <w:r>
        <w:rPr>
          <w:rFonts w:eastAsia="黑体" w:cs="Times New Roman"/>
          <w:b w:val="0"/>
          <w:color w:val="000000"/>
          <w:sz w:val="24"/>
          <w:szCs w:val="24"/>
        </w:rPr>
        <w:t xml:space="preserve">7.5 </w:t>
      </w:r>
      <w:r>
        <w:rPr>
          <w:rFonts w:ascii="Times New Roman" w:hAnsi="Times New Roman" w:eastAsia="黑体" w:cs="Times New Roman"/>
          <w:b w:val="0"/>
          <w:color w:val="000000"/>
          <w:sz w:val="24"/>
          <w:szCs w:val="24"/>
        </w:rPr>
        <w:t>工期延误</w:t>
      </w:r>
      <w:bookmarkEnd w:id="85"/>
    </w:p>
    <w:p w14:paraId="1677214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7.5.1 </w:t>
      </w:r>
      <w:r>
        <w:rPr>
          <w:rFonts w:ascii="Times New Roman" w:hAnsi="Times New Roman" w:eastAsia="仿宋_GB2312;仿宋" w:cs="Times New Roman"/>
          <w:color w:val="000000"/>
          <w:kern w:val="0"/>
          <w:sz w:val="24"/>
          <w:szCs w:val="24"/>
        </w:rPr>
        <w:t>因发包人原因导致工期延误</w:t>
      </w:r>
    </w:p>
    <w:p w14:paraId="3F3C13D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在合同履行过程中，因下列情况导致工期延误和（或）费用增加的，由发包人承担由此延误的工期和（或）增加的费用，且发包人应支付承包人合理的利润：</w:t>
      </w:r>
      <w:r>
        <w:rPr>
          <w:rFonts w:ascii="Times New Roman" w:hAnsi="Times New Roman" w:eastAsia="Times New Roman" w:cs="Times New Roman"/>
          <w:color w:val="000000"/>
          <w:kern w:val="0"/>
          <w:sz w:val="24"/>
          <w:szCs w:val="24"/>
        </w:rPr>
        <w:t xml:space="preserve"> </w:t>
      </w:r>
    </w:p>
    <w:p w14:paraId="75DE96D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）发包人未能按合同约定提供图纸或所提供图纸不符合合同约定的；</w:t>
      </w:r>
    </w:p>
    <w:p w14:paraId="71136F3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）发包人未能按合同约定提供施工现场、施工条件、基础资料、许可、批准等开工条件的；</w:t>
      </w:r>
    </w:p>
    <w:p w14:paraId="206B043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）发包人提供的测量基准点、基准线和水准点及其书面资料存在错误或疏漏的；</w:t>
      </w:r>
    </w:p>
    <w:p w14:paraId="737BBA8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）发包人未能在计划开工日期之日起</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天内同意下达开工通知的；</w:t>
      </w:r>
    </w:p>
    <w:p w14:paraId="00FD5FD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）发包人未能按合同约定日期支付工程预付款、进度款或竣工结算款的；</w:t>
      </w:r>
    </w:p>
    <w:p w14:paraId="3A5853B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）监理人未按合同约定发出指示、批准等文件的；</w:t>
      </w:r>
    </w:p>
    <w:p w14:paraId="6BEBFC2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）专用合同条款中约定的其他情形。</w:t>
      </w:r>
    </w:p>
    <w:p w14:paraId="4C9CB3B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因发包人原因未按计划开工日期开工的，发包人应按实际开工日期顺延竣工日期，确保实际工期不低于合同约定的工期总日历天数。因发包人原因导致工期延误需要修订施工进度计划的，按照第</w:t>
      </w:r>
      <w:r>
        <w:rPr>
          <w:rFonts w:eastAsia="仿宋_GB2312;仿宋" w:cs="Times New Roman"/>
          <w:color w:val="000000"/>
          <w:kern w:val="0"/>
          <w:sz w:val="24"/>
          <w:szCs w:val="24"/>
        </w:rPr>
        <w:t>7.2.2</w:t>
      </w:r>
      <w:r>
        <w:rPr>
          <w:rFonts w:ascii="Times New Roman" w:hAnsi="Times New Roman" w:eastAsia="仿宋_GB2312;仿宋" w:cs="Times New Roman"/>
          <w:color w:val="000000"/>
          <w:kern w:val="0"/>
          <w:sz w:val="24"/>
          <w:szCs w:val="24"/>
        </w:rPr>
        <w:t>项〔施工进度计划的修订〕执行。</w:t>
      </w:r>
    </w:p>
    <w:p w14:paraId="621D96CC">
      <w:pPr>
        <w:autoSpaceDE w:val="0"/>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7.5.2 </w:t>
      </w:r>
      <w:r>
        <w:rPr>
          <w:rFonts w:ascii="Times New Roman" w:hAnsi="Times New Roman" w:eastAsia="仿宋_GB2312;仿宋" w:cs="Times New Roman"/>
          <w:color w:val="000000"/>
          <w:kern w:val="0"/>
          <w:sz w:val="24"/>
          <w:szCs w:val="24"/>
        </w:rPr>
        <w:t>因承包人原因导致工期延误</w:t>
      </w:r>
    </w:p>
    <w:p w14:paraId="56BC87F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因承包人原因造成工期延误的，可以在专用合同条款中约定逾期竣工违约金的计算方法和逾期竣工违约金的上限。承包人支付逾期竣工违约金后，不免除承包人继续完成工程及修补缺陷的义务。</w:t>
      </w:r>
    </w:p>
    <w:p w14:paraId="4137EAB2">
      <w:pPr>
        <w:pStyle w:val="6"/>
        <w:spacing w:before="120" w:after="120" w:line="360" w:lineRule="auto"/>
        <w:ind w:firstLine="480"/>
        <w:rPr>
          <w:rFonts w:ascii="Times New Roman" w:hAnsi="Times New Roman" w:eastAsia="黑体" w:cs="Times New Roman"/>
          <w:b w:val="0"/>
          <w:color w:val="000000"/>
          <w:sz w:val="24"/>
          <w:szCs w:val="24"/>
        </w:rPr>
      </w:pPr>
      <w:bookmarkStart w:id="86" w:name="__RefHeading___Toc351203548"/>
      <w:bookmarkEnd w:id="86"/>
      <w:r>
        <w:rPr>
          <w:rFonts w:eastAsia="黑体" w:cs="Times New Roman"/>
          <w:b w:val="0"/>
          <w:color w:val="000000"/>
          <w:sz w:val="24"/>
          <w:szCs w:val="24"/>
        </w:rPr>
        <w:t xml:space="preserve">7.6 </w:t>
      </w:r>
      <w:r>
        <w:rPr>
          <w:rFonts w:ascii="Times New Roman" w:hAnsi="Times New Roman" w:eastAsia="黑体" w:cs="Times New Roman"/>
          <w:b w:val="0"/>
          <w:color w:val="000000"/>
          <w:sz w:val="24"/>
          <w:szCs w:val="24"/>
        </w:rPr>
        <w:t>不利物质条件</w:t>
      </w:r>
    </w:p>
    <w:p w14:paraId="5A2E733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3CB90C4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条〔变更〕约定执行。承包人因采取合理措施而增加的费用和（或）延误的工期由发包人承担。</w:t>
      </w:r>
    </w:p>
    <w:p w14:paraId="75AFB4F6">
      <w:pPr>
        <w:pStyle w:val="6"/>
        <w:spacing w:before="120" w:after="120" w:line="360" w:lineRule="auto"/>
        <w:ind w:firstLine="480"/>
        <w:rPr>
          <w:rFonts w:ascii="Times New Roman" w:hAnsi="Times New Roman" w:eastAsia="黑体" w:cs="Times New Roman"/>
          <w:b w:val="0"/>
          <w:color w:val="000000"/>
          <w:sz w:val="24"/>
          <w:szCs w:val="24"/>
        </w:rPr>
      </w:pPr>
      <w:bookmarkStart w:id="87" w:name="__RefHeading___Toc351203549"/>
      <w:bookmarkEnd w:id="87"/>
      <w:r>
        <w:rPr>
          <w:rFonts w:eastAsia="黑体" w:cs="Times New Roman"/>
          <w:b w:val="0"/>
          <w:color w:val="000000"/>
          <w:sz w:val="24"/>
          <w:szCs w:val="24"/>
        </w:rPr>
        <w:t xml:space="preserve">7.7 </w:t>
      </w:r>
      <w:r>
        <w:rPr>
          <w:rFonts w:ascii="Times New Roman" w:hAnsi="Times New Roman" w:eastAsia="黑体" w:cs="Times New Roman"/>
          <w:b w:val="0"/>
          <w:color w:val="000000"/>
          <w:sz w:val="24"/>
          <w:szCs w:val="24"/>
        </w:rPr>
        <w:t>异常恶劣的气候条件</w:t>
      </w:r>
    </w:p>
    <w:p w14:paraId="40947CE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2214E2F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承包人应采取克服异常恶劣的气候条件的合理措施继续施工，并及时通知发包人和监理人。监理人经发包人同意后应当及时发出指示，指示构成变更的，按第</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条〔变更〕约定办理。承包人因采取合理措施而增加的费用和（或）延误的工期由发包人承担。</w:t>
      </w:r>
      <w:bookmarkStart w:id="88" w:name="__RefHeading___Toc351203550"/>
    </w:p>
    <w:p w14:paraId="66794047">
      <w:pPr>
        <w:numPr>
          <w:ilvl w:val="0"/>
          <w:numId w:val="0"/>
        </w:numPr>
        <w:autoSpaceDE w:val="0"/>
        <w:spacing w:line="360" w:lineRule="auto"/>
        <w:ind w:firstLine="480"/>
        <w:jc w:val="left"/>
        <w:outlineLvl w:val="0"/>
        <w:rPr>
          <w:rFonts w:ascii="Times New Roman" w:hAnsi="Times New Roman" w:eastAsia="黑体" w:cs="Times New Roman"/>
          <w:bCs/>
          <w:color w:val="000000"/>
          <w:sz w:val="24"/>
          <w:szCs w:val="24"/>
        </w:rPr>
      </w:pPr>
      <w:r>
        <w:rPr>
          <w:rFonts w:eastAsia="黑体" w:cs="Times New Roman"/>
          <w:bCs/>
          <w:color w:val="000000"/>
          <w:sz w:val="24"/>
          <w:szCs w:val="24"/>
        </w:rPr>
        <w:t xml:space="preserve">7.8 </w:t>
      </w:r>
      <w:r>
        <w:rPr>
          <w:rFonts w:ascii="Times New Roman" w:hAnsi="Times New Roman" w:eastAsia="黑体" w:cs="Times New Roman"/>
          <w:bCs/>
          <w:color w:val="000000"/>
          <w:sz w:val="24"/>
          <w:szCs w:val="24"/>
        </w:rPr>
        <w:t>暂停施工</w:t>
      </w:r>
      <w:bookmarkEnd w:id="88"/>
    </w:p>
    <w:p w14:paraId="20C70CC5">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7.8.1</w:t>
      </w:r>
      <w:r>
        <w:rPr>
          <w:rFonts w:ascii="Times New Roman" w:hAnsi="Times New Roman" w:eastAsia="仿宋_GB2312;仿宋" w:cs="Times New Roman"/>
          <w:color w:val="000000"/>
          <w:kern w:val="0"/>
          <w:sz w:val="24"/>
          <w:szCs w:val="24"/>
        </w:rPr>
        <w:t>发包人原因引起的暂停施工</w:t>
      </w:r>
    </w:p>
    <w:p w14:paraId="4DACD5C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因发包人原因引起暂停施工的，监理人经发包人同意后，应及时下达暂停施工指示。情况紧急且监理人未及时下达暂停施工指示的，按照第</w:t>
      </w:r>
      <w:r>
        <w:rPr>
          <w:rFonts w:eastAsia="仿宋_GB2312;仿宋" w:cs="Times New Roman"/>
          <w:color w:val="000000"/>
          <w:kern w:val="0"/>
          <w:sz w:val="24"/>
          <w:szCs w:val="24"/>
        </w:rPr>
        <w:t>7.8.4</w:t>
      </w:r>
      <w:r>
        <w:rPr>
          <w:rFonts w:ascii="Times New Roman" w:hAnsi="Times New Roman" w:eastAsia="仿宋_GB2312;仿宋" w:cs="Times New Roman"/>
          <w:color w:val="000000"/>
          <w:kern w:val="0"/>
          <w:sz w:val="24"/>
          <w:szCs w:val="24"/>
        </w:rPr>
        <w:t>项〔紧急情况下的暂停施工〕执行。</w:t>
      </w:r>
    </w:p>
    <w:p w14:paraId="5F8B8C4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因发包人原因引起的暂停施工，发包人应承担由此增加的费用和（或）延误的工期，</w:t>
      </w:r>
      <w:r>
        <w:rPr>
          <w:rFonts w:ascii="Times New Roman" w:hAnsi="Times New Roman" w:eastAsia="仿宋_GB2312;仿宋" w:cs="Times New Roman"/>
          <w:kern w:val="0"/>
          <w:sz w:val="24"/>
          <w:szCs w:val="24"/>
        </w:rPr>
        <w:t>并支付承包人</w:t>
      </w:r>
      <w:r>
        <w:rPr>
          <w:rFonts w:ascii="Times New Roman" w:hAnsi="Times New Roman" w:eastAsia="仿宋_GB2312;仿宋" w:cs="Times New Roman"/>
          <w:color w:val="000000"/>
          <w:kern w:val="0"/>
          <w:sz w:val="24"/>
          <w:szCs w:val="24"/>
        </w:rPr>
        <w:t>合理的利润。</w:t>
      </w:r>
    </w:p>
    <w:p w14:paraId="6C3114D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7.8.2 </w:t>
      </w:r>
      <w:r>
        <w:rPr>
          <w:rFonts w:ascii="Times New Roman" w:hAnsi="Times New Roman" w:eastAsia="仿宋_GB2312;仿宋" w:cs="Times New Roman"/>
          <w:color w:val="000000"/>
          <w:kern w:val="0"/>
          <w:sz w:val="24"/>
          <w:szCs w:val="24"/>
        </w:rPr>
        <w:t>承包人原因引起的暂停施工</w:t>
      </w:r>
    </w:p>
    <w:p w14:paraId="5E9346E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因承包人原因引起的暂停施工，承包人应承担由此增加的费用和（或）延误的工期，且承包人在收到监理人复工指示后</w:t>
      </w:r>
      <w:r>
        <w:rPr>
          <w:rFonts w:eastAsia="仿宋_GB2312;仿宋" w:cs="Times New Roman"/>
          <w:color w:val="000000"/>
          <w:kern w:val="0"/>
          <w:sz w:val="24"/>
          <w:szCs w:val="24"/>
        </w:rPr>
        <w:t>84</w:t>
      </w:r>
      <w:r>
        <w:rPr>
          <w:rFonts w:ascii="Times New Roman" w:hAnsi="Times New Roman" w:eastAsia="仿宋_GB2312;仿宋" w:cs="Times New Roman"/>
          <w:color w:val="000000"/>
          <w:kern w:val="0"/>
          <w:sz w:val="24"/>
          <w:szCs w:val="24"/>
        </w:rPr>
        <w:t>天内仍未复工的，视为第</w:t>
      </w:r>
      <w:r>
        <w:rPr>
          <w:rFonts w:eastAsia="仿宋_GB2312;仿宋" w:cs="Times New Roman"/>
          <w:color w:val="000000"/>
          <w:kern w:val="0"/>
          <w:sz w:val="24"/>
          <w:szCs w:val="24"/>
        </w:rPr>
        <w:t>16.2.1</w:t>
      </w:r>
      <w:r>
        <w:rPr>
          <w:rFonts w:ascii="Times New Roman" w:hAnsi="Times New Roman" w:eastAsia="仿宋_GB2312;仿宋" w:cs="Times New Roman"/>
          <w:color w:val="000000"/>
          <w:kern w:val="0"/>
          <w:sz w:val="24"/>
          <w:szCs w:val="24"/>
        </w:rPr>
        <w:t>项〔承包人违约的情形〕第（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）目约定的承包人无法继续履行合同的情形。</w:t>
      </w:r>
    </w:p>
    <w:p w14:paraId="20232087">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7.8.3 </w:t>
      </w:r>
      <w:r>
        <w:rPr>
          <w:rFonts w:ascii="Times New Roman" w:hAnsi="Times New Roman" w:eastAsia="仿宋_GB2312;仿宋" w:cs="Times New Roman"/>
          <w:color w:val="000000"/>
          <w:kern w:val="0"/>
          <w:sz w:val="24"/>
          <w:szCs w:val="24"/>
        </w:rPr>
        <w:t>指示暂停施工</w:t>
      </w:r>
    </w:p>
    <w:p w14:paraId="6496562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监理人认为有必要时，并经发包人批准后，可向承包人作出暂停施工的指示，承包人应按监理人指示暂停施工。</w:t>
      </w:r>
    </w:p>
    <w:p w14:paraId="2904D7F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7.8.4 </w:t>
      </w:r>
      <w:r>
        <w:rPr>
          <w:rFonts w:ascii="Times New Roman" w:hAnsi="Times New Roman" w:eastAsia="仿宋_GB2312;仿宋" w:cs="Times New Roman"/>
          <w:color w:val="000000"/>
          <w:kern w:val="0"/>
          <w:sz w:val="24"/>
          <w:szCs w:val="24"/>
        </w:rPr>
        <w:t>紧急情况下的暂停施工</w:t>
      </w:r>
    </w:p>
    <w:p w14:paraId="14F6B8B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因紧急情况需暂停施工，且监理人未及时下达暂停施工指示的，承包人可先暂停施工，并及时通知监理人。监理人应在接到通知后</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小时内发出指示，逾期未发出指示，视为同意承包人暂停施工。监理人不同意承包人暂停施工的，应说明理由，承包人对监理人的答复有异议，按照第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w:t>
      </w:r>
    </w:p>
    <w:p w14:paraId="078FF63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7.8.5 </w:t>
      </w:r>
      <w:r>
        <w:rPr>
          <w:rFonts w:ascii="Times New Roman" w:hAnsi="Times New Roman" w:eastAsia="仿宋_GB2312;仿宋" w:cs="Times New Roman"/>
          <w:color w:val="000000"/>
          <w:kern w:val="0"/>
          <w:sz w:val="24"/>
          <w:szCs w:val="24"/>
        </w:rPr>
        <w:t>暂停施工后的复工</w:t>
      </w:r>
    </w:p>
    <w:p w14:paraId="71996A6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0CE303D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承包人无故拖延和拒绝复工的，承包人承担由此增加的费用和（或）延误的工期；因发包人原因无法按时复工的，按照第</w:t>
      </w:r>
      <w:r>
        <w:rPr>
          <w:rFonts w:eastAsia="仿宋_GB2312;仿宋" w:cs="Times New Roman"/>
          <w:color w:val="000000"/>
          <w:kern w:val="0"/>
          <w:sz w:val="24"/>
          <w:szCs w:val="24"/>
        </w:rPr>
        <w:t>7.5.1</w:t>
      </w:r>
      <w:r>
        <w:rPr>
          <w:rFonts w:ascii="Times New Roman" w:hAnsi="Times New Roman" w:eastAsia="仿宋_GB2312;仿宋" w:cs="Times New Roman"/>
          <w:color w:val="000000"/>
          <w:kern w:val="0"/>
          <w:sz w:val="24"/>
          <w:szCs w:val="24"/>
        </w:rPr>
        <w:t>项〔因发包人原因导致工期延误〕约定办理。</w:t>
      </w:r>
    </w:p>
    <w:p w14:paraId="492A0E2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7.8.6 </w:t>
      </w:r>
      <w:r>
        <w:rPr>
          <w:rFonts w:ascii="Times New Roman" w:hAnsi="Times New Roman" w:eastAsia="仿宋_GB2312;仿宋" w:cs="Times New Roman"/>
          <w:color w:val="000000"/>
          <w:kern w:val="0"/>
          <w:sz w:val="24"/>
          <w:szCs w:val="24"/>
        </w:rPr>
        <w:t>暂停施工持续</w:t>
      </w:r>
      <w:r>
        <w:rPr>
          <w:rFonts w:eastAsia="仿宋_GB2312;仿宋" w:cs="Times New Roman"/>
          <w:color w:val="000000"/>
          <w:kern w:val="0"/>
          <w:sz w:val="24"/>
          <w:szCs w:val="24"/>
        </w:rPr>
        <w:t>56</w:t>
      </w:r>
      <w:r>
        <w:rPr>
          <w:rFonts w:ascii="Times New Roman" w:hAnsi="Times New Roman" w:eastAsia="仿宋_GB2312;仿宋" w:cs="Times New Roman"/>
          <w:color w:val="000000"/>
          <w:kern w:val="0"/>
          <w:sz w:val="24"/>
          <w:szCs w:val="24"/>
        </w:rPr>
        <w:t>天以上</w:t>
      </w:r>
    </w:p>
    <w:p w14:paraId="788CD81B">
      <w:pPr>
        <w:spacing w:line="360" w:lineRule="auto"/>
        <w:ind w:firstLine="468"/>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监理人发出暂停施工指示后</w:t>
      </w:r>
      <w:r>
        <w:rPr>
          <w:rFonts w:eastAsia="仿宋_GB2312;仿宋" w:cs="Times New Roman"/>
          <w:color w:val="000000"/>
          <w:kern w:val="0"/>
          <w:sz w:val="24"/>
          <w:szCs w:val="24"/>
        </w:rPr>
        <w:t>56</w:t>
      </w:r>
      <w:r>
        <w:rPr>
          <w:rFonts w:ascii="Times New Roman" w:hAnsi="Times New Roman" w:eastAsia="仿宋_GB2312;仿宋" w:cs="Times New Roman"/>
          <w:color w:val="000000"/>
          <w:kern w:val="0"/>
          <w:sz w:val="24"/>
          <w:szCs w:val="24"/>
        </w:rPr>
        <w:t>天内未向承包人发出复工通知，除该项停工属于第</w:t>
      </w:r>
      <w:r>
        <w:rPr>
          <w:rFonts w:eastAsia="仿宋_GB2312;仿宋" w:cs="Times New Roman"/>
          <w:color w:val="000000"/>
          <w:kern w:val="0"/>
          <w:sz w:val="24"/>
          <w:szCs w:val="24"/>
        </w:rPr>
        <w:t>7.8.2</w:t>
      </w:r>
      <w:r>
        <w:rPr>
          <w:rFonts w:ascii="Times New Roman" w:hAnsi="Times New Roman" w:eastAsia="仿宋_GB2312;仿宋" w:cs="Times New Roman"/>
          <w:color w:val="000000"/>
          <w:kern w:val="0"/>
          <w:sz w:val="24"/>
          <w:szCs w:val="24"/>
        </w:rPr>
        <w:t>项〔承包人原因引起的暂停施工〕及第</w:t>
      </w:r>
      <w:r>
        <w:rPr>
          <w:rFonts w:eastAsia="仿宋_GB2312;仿宋" w:cs="Times New Roman"/>
          <w:color w:val="000000"/>
          <w:kern w:val="0"/>
          <w:sz w:val="24"/>
          <w:szCs w:val="24"/>
        </w:rPr>
        <w:t>17</w:t>
      </w:r>
      <w:r>
        <w:rPr>
          <w:rFonts w:ascii="Times New Roman" w:hAnsi="Times New Roman" w:eastAsia="仿宋_GB2312;仿宋" w:cs="Times New Roman"/>
          <w:color w:val="000000"/>
          <w:kern w:val="0"/>
          <w:sz w:val="24"/>
          <w:szCs w:val="24"/>
        </w:rPr>
        <w:t>条〔不可抗力〕约定的情形外，承包人可向发包人提交书面通知，要求发包人在收到书面通知后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天内准许已暂停施工的部分或全部工程继续施工。发包人逾期不予批准的，则承包人可以通知发包人，将工程受影响的部分视为按第</w:t>
      </w:r>
      <w:r>
        <w:rPr>
          <w:rFonts w:eastAsia="仿宋_GB2312;仿宋" w:cs="Times New Roman"/>
          <w:color w:val="000000"/>
          <w:kern w:val="0"/>
          <w:sz w:val="24"/>
          <w:szCs w:val="24"/>
        </w:rPr>
        <w:t>10.1</w:t>
      </w:r>
      <w:r>
        <w:rPr>
          <w:rFonts w:ascii="Times New Roman" w:hAnsi="Times New Roman" w:eastAsia="仿宋_GB2312;仿宋" w:cs="Times New Roman"/>
          <w:color w:val="000000"/>
          <w:kern w:val="0"/>
          <w:sz w:val="24"/>
          <w:szCs w:val="24"/>
        </w:rPr>
        <w:t>款〔变更的范围〕第（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）项的可取消工作。</w:t>
      </w:r>
    </w:p>
    <w:p w14:paraId="31EF9219">
      <w:pPr>
        <w:spacing w:line="360" w:lineRule="auto"/>
        <w:ind w:firstLine="468"/>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暂停施工持续</w:t>
      </w:r>
      <w:r>
        <w:rPr>
          <w:rFonts w:eastAsia="仿宋_GB2312;仿宋" w:cs="Times New Roman"/>
          <w:color w:val="000000"/>
          <w:kern w:val="0"/>
          <w:sz w:val="24"/>
          <w:szCs w:val="24"/>
        </w:rPr>
        <w:t>84</w:t>
      </w:r>
      <w:r>
        <w:rPr>
          <w:rFonts w:ascii="Times New Roman" w:hAnsi="Times New Roman" w:eastAsia="仿宋_GB2312;仿宋" w:cs="Times New Roman"/>
          <w:color w:val="000000"/>
          <w:kern w:val="0"/>
          <w:sz w:val="24"/>
          <w:szCs w:val="24"/>
        </w:rPr>
        <w:t>天以上不复工的，且不属于第</w:t>
      </w:r>
      <w:r>
        <w:rPr>
          <w:rFonts w:eastAsia="仿宋_GB2312;仿宋" w:cs="Times New Roman"/>
          <w:color w:val="000000"/>
          <w:kern w:val="0"/>
          <w:sz w:val="24"/>
          <w:szCs w:val="24"/>
        </w:rPr>
        <w:t>7.8.2</w:t>
      </w:r>
      <w:r>
        <w:rPr>
          <w:rFonts w:ascii="Times New Roman" w:hAnsi="Times New Roman" w:eastAsia="仿宋_GB2312;仿宋" w:cs="Times New Roman"/>
          <w:color w:val="000000"/>
          <w:kern w:val="0"/>
          <w:sz w:val="24"/>
          <w:szCs w:val="24"/>
        </w:rPr>
        <w:t>项〔承包人原因引起的暂停施工〕及第</w:t>
      </w:r>
      <w:r>
        <w:rPr>
          <w:rFonts w:eastAsia="仿宋_GB2312;仿宋" w:cs="Times New Roman"/>
          <w:color w:val="000000"/>
          <w:kern w:val="0"/>
          <w:sz w:val="24"/>
          <w:szCs w:val="24"/>
        </w:rPr>
        <w:t>17</w:t>
      </w:r>
      <w:r>
        <w:rPr>
          <w:rFonts w:ascii="Times New Roman" w:hAnsi="Times New Roman" w:eastAsia="仿宋_GB2312;仿宋" w:cs="Times New Roman"/>
          <w:color w:val="000000"/>
          <w:kern w:val="0"/>
          <w:sz w:val="24"/>
          <w:szCs w:val="24"/>
        </w:rPr>
        <w:t>条〔不可抗力〕约定的情形，并影响到整个工程以及合同目的实现的，承包人有权提出价格调整要求，或者解除合同。解除合同的，按照第</w:t>
      </w:r>
      <w:r>
        <w:rPr>
          <w:rFonts w:eastAsia="仿宋_GB2312;仿宋" w:cs="Times New Roman"/>
          <w:color w:val="000000"/>
          <w:kern w:val="0"/>
          <w:sz w:val="24"/>
          <w:szCs w:val="24"/>
        </w:rPr>
        <w:t>16.1.3</w:t>
      </w:r>
      <w:r>
        <w:rPr>
          <w:rFonts w:ascii="Times New Roman" w:hAnsi="Times New Roman" w:eastAsia="仿宋_GB2312;仿宋" w:cs="Times New Roman"/>
          <w:color w:val="000000"/>
          <w:kern w:val="0"/>
          <w:sz w:val="24"/>
          <w:szCs w:val="24"/>
        </w:rPr>
        <w:t>项〔因发包人违约解除合同〕执行。</w:t>
      </w:r>
    </w:p>
    <w:p w14:paraId="1329D3DC">
      <w:pPr>
        <w:spacing w:line="360" w:lineRule="auto"/>
        <w:ind w:left="16" w:firstLine="468"/>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7.8.7 </w:t>
      </w:r>
      <w:r>
        <w:rPr>
          <w:rFonts w:ascii="Times New Roman" w:hAnsi="Times New Roman" w:eastAsia="仿宋_GB2312;仿宋" w:cs="Times New Roman"/>
          <w:color w:val="000000"/>
          <w:kern w:val="0"/>
          <w:sz w:val="24"/>
          <w:szCs w:val="24"/>
        </w:rPr>
        <w:t>暂停施工期间的工程照管</w:t>
      </w:r>
    </w:p>
    <w:p w14:paraId="5EF386A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暂停施工期间，承包人应负责妥善照管工程并提供安全保障，由此增加的费用由责任方承担。</w:t>
      </w:r>
    </w:p>
    <w:p w14:paraId="639CB15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7.8.8 </w:t>
      </w:r>
      <w:r>
        <w:rPr>
          <w:rFonts w:ascii="Times New Roman" w:hAnsi="Times New Roman" w:eastAsia="仿宋_GB2312;仿宋" w:cs="Times New Roman"/>
          <w:color w:val="000000"/>
          <w:kern w:val="0"/>
          <w:sz w:val="24"/>
          <w:szCs w:val="24"/>
        </w:rPr>
        <w:t>暂停施工的措施</w:t>
      </w:r>
    </w:p>
    <w:p w14:paraId="6070B27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暂停施工期间，发包人和承包人均应采取必要的措施确保工程质量及安全，防止因暂停施工扩大损失。</w:t>
      </w:r>
    </w:p>
    <w:p w14:paraId="49F830E4">
      <w:pPr>
        <w:pStyle w:val="6"/>
        <w:spacing w:before="120" w:after="120" w:line="360" w:lineRule="auto"/>
        <w:ind w:firstLine="480"/>
        <w:rPr>
          <w:rFonts w:ascii="Times New Roman" w:hAnsi="Times New Roman" w:eastAsia="黑体" w:cs="Times New Roman"/>
          <w:b w:val="0"/>
          <w:color w:val="000000"/>
          <w:sz w:val="24"/>
          <w:szCs w:val="24"/>
        </w:rPr>
      </w:pPr>
      <w:bookmarkStart w:id="89" w:name="__RefHeading___Toc351203551"/>
      <w:bookmarkEnd w:id="89"/>
      <w:r>
        <w:rPr>
          <w:rFonts w:eastAsia="黑体" w:cs="Times New Roman"/>
          <w:b w:val="0"/>
          <w:color w:val="000000"/>
          <w:sz w:val="24"/>
          <w:szCs w:val="24"/>
        </w:rPr>
        <w:t>7.9</w:t>
      </w:r>
      <w:r>
        <w:rPr>
          <w:rFonts w:ascii="Times New Roman" w:hAnsi="Times New Roman" w:eastAsia="黑体" w:cs="Times New Roman"/>
          <w:b w:val="0"/>
          <w:color w:val="000000"/>
          <w:sz w:val="24"/>
          <w:szCs w:val="24"/>
        </w:rPr>
        <w:t>提前竣工</w:t>
      </w:r>
    </w:p>
    <w:p w14:paraId="67B7561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7.9.1 </w:t>
      </w:r>
      <w:r>
        <w:rPr>
          <w:rFonts w:ascii="Times New Roman" w:hAnsi="Times New Roman" w:eastAsia="仿宋_GB2312;仿宋" w:cs="Times New Roman"/>
          <w:color w:val="000000"/>
          <w:kern w:val="0"/>
          <w:sz w:val="24"/>
          <w:szCs w:val="24"/>
        </w:rPr>
        <w:t>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天内予以答复。任何情况下，发包人不得压缩合理工期。</w:t>
      </w:r>
    </w:p>
    <w:p w14:paraId="1929307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7.9.2 </w:t>
      </w:r>
      <w:r>
        <w:rPr>
          <w:rFonts w:ascii="Times New Roman" w:hAnsi="Times New Roman" w:eastAsia="仿宋_GB2312;仿宋" w:cs="Times New Roman"/>
          <w:color w:val="000000"/>
          <w:kern w:val="0"/>
          <w:sz w:val="24"/>
          <w:szCs w:val="24"/>
        </w:rPr>
        <w:t>发包人要求承包人提前竣工，或承包人提出提前竣工的建议能够给发包人带来效益的，合同当事人可以在专用合同条款中约定提前竣工的奖励。</w:t>
      </w:r>
    </w:p>
    <w:p w14:paraId="6284DAE2">
      <w:pPr>
        <w:pStyle w:val="5"/>
        <w:spacing w:before="120" w:after="120" w:line="360" w:lineRule="auto"/>
        <w:rPr>
          <w:rFonts w:ascii="Times New Roman" w:hAnsi="Times New Roman" w:eastAsia="黑体" w:cs="Times New Roman"/>
          <w:b w:val="0"/>
          <w:color w:val="000000"/>
          <w:sz w:val="24"/>
          <w:szCs w:val="24"/>
        </w:rPr>
      </w:pPr>
      <w:bookmarkStart w:id="90" w:name="__RefHeading___Toc351203552"/>
      <w:bookmarkEnd w:id="90"/>
      <w:r>
        <w:rPr>
          <w:rFonts w:ascii="Times New Roman" w:hAnsi="Times New Roman" w:eastAsia="黑体" w:cs="Times New Roman"/>
          <w:b w:val="0"/>
          <w:color w:val="000000"/>
          <w:sz w:val="24"/>
          <w:szCs w:val="24"/>
        </w:rPr>
        <w:t xml:space="preserve">8. </w:t>
      </w:r>
      <w:r>
        <w:rPr>
          <w:rFonts w:ascii="Times New Roman" w:hAnsi="Times New Roman" w:cs="Times New Roman"/>
          <w:b w:val="0"/>
          <w:color w:val="000000"/>
          <w:sz w:val="24"/>
          <w:szCs w:val="24"/>
        </w:rPr>
        <w:t>材料与设备</w:t>
      </w:r>
    </w:p>
    <w:p w14:paraId="3420D095">
      <w:pPr>
        <w:pStyle w:val="6"/>
        <w:spacing w:before="120" w:after="120" w:line="360" w:lineRule="auto"/>
        <w:ind w:firstLine="480"/>
        <w:rPr>
          <w:rFonts w:ascii="Times New Roman" w:hAnsi="Times New Roman" w:eastAsia="黑体" w:cs="Times New Roman"/>
          <w:b w:val="0"/>
          <w:color w:val="000000"/>
          <w:sz w:val="24"/>
          <w:szCs w:val="24"/>
        </w:rPr>
      </w:pPr>
      <w:bookmarkStart w:id="91" w:name="__RefHeading___Toc351203553"/>
      <w:bookmarkEnd w:id="91"/>
      <w:r>
        <w:rPr>
          <w:rFonts w:eastAsia="黑体" w:cs="Times New Roman"/>
          <w:b w:val="0"/>
          <w:color w:val="000000"/>
          <w:sz w:val="24"/>
          <w:szCs w:val="24"/>
        </w:rPr>
        <w:t>8.1</w:t>
      </w:r>
      <w:r>
        <w:rPr>
          <w:rFonts w:ascii="Times New Roman" w:hAnsi="Times New Roman" w:eastAsia="黑体" w:cs="Times New Roman"/>
          <w:b w:val="0"/>
          <w:color w:val="000000"/>
          <w:sz w:val="24"/>
          <w:szCs w:val="24"/>
        </w:rPr>
        <w:t>发包人供应材料与工程设备</w:t>
      </w:r>
    </w:p>
    <w:p w14:paraId="7FCCEBD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发包人自行供应材料、工程设备的，应在签订合同时在专用合同条款的附件《发包人供应材料设备一览表》中明确材料、工程设备的品种、规格、型号、数量、单价、质量等级和送达地点。</w:t>
      </w:r>
    </w:p>
    <w:p w14:paraId="4E42CAA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承包人应提前</w:t>
      </w:r>
      <w:r>
        <w:rPr>
          <w:rFonts w:eastAsia="仿宋_GB2312;仿宋" w:cs="Times New Roman"/>
          <w:color w:val="000000"/>
          <w:kern w:val="0"/>
          <w:sz w:val="24"/>
          <w:szCs w:val="24"/>
        </w:rPr>
        <w:t>30</w:t>
      </w:r>
      <w:r>
        <w:rPr>
          <w:rFonts w:ascii="Times New Roman" w:hAnsi="Times New Roman" w:eastAsia="仿宋_GB2312;仿宋" w:cs="Times New Roman"/>
          <w:color w:val="000000"/>
          <w:kern w:val="0"/>
          <w:sz w:val="24"/>
          <w:szCs w:val="24"/>
        </w:rPr>
        <w:t>天通过监理人以书面形式通知发包人供应材料与工程设备进场。承包人按照第</w:t>
      </w:r>
      <w:r>
        <w:rPr>
          <w:rFonts w:eastAsia="仿宋_GB2312;仿宋" w:cs="Times New Roman"/>
          <w:color w:val="000000"/>
          <w:kern w:val="0"/>
          <w:sz w:val="24"/>
          <w:szCs w:val="24"/>
        </w:rPr>
        <w:t>7.2.2</w:t>
      </w:r>
      <w:r>
        <w:rPr>
          <w:rFonts w:ascii="Times New Roman" w:hAnsi="Times New Roman" w:eastAsia="仿宋_GB2312;仿宋" w:cs="Times New Roman"/>
          <w:color w:val="000000"/>
          <w:kern w:val="0"/>
          <w:sz w:val="24"/>
          <w:szCs w:val="24"/>
        </w:rPr>
        <w:t>项〔施工进度计划的修订〕约定修订施工进度计划时，需同时提交经修订后的发包人供应材料与工程设备的进场计划。</w:t>
      </w:r>
    </w:p>
    <w:p w14:paraId="63AF7DD0">
      <w:pPr>
        <w:pStyle w:val="6"/>
        <w:spacing w:before="120" w:after="120" w:line="360" w:lineRule="auto"/>
        <w:ind w:firstLine="480"/>
        <w:rPr>
          <w:rFonts w:ascii="Times New Roman" w:hAnsi="Times New Roman" w:eastAsia="仿宋_GB2312;仿宋" w:cs="Times New Roman"/>
          <w:color w:val="000000"/>
          <w:sz w:val="24"/>
          <w:szCs w:val="24"/>
        </w:rPr>
      </w:pPr>
      <w:bookmarkStart w:id="92" w:name="__RefHeading___Toc351203554"/>
      <w:bookmarkEnd w:id="92"/>
      <w:r>
        <w:rPr>
          <w:rFonts w:eastAsia="黑体" w:cs="Times New Roman"/>
          <w:b w:val="0"/>
          <w:color w:val="000000"/>
          <w:sz w:val="24"/>
          <w:szCs w:val="24"/>
        </w:rPr>
        <w:t>8.2</w:t>
      </w:r>
      <w:r>
        <w:rPr>
          <w:rFonts w:ascii="Times New Roman" w:hAnsi="Times New Roman" w:eastAsia="黑体" w:cs="Times New Roman"/>
          <w:b w:val="0"/>
          <w:color w:val="000000"/>
          <w:sz w:val="24"/>
          <w:szCs w:val="24"/>
        </w:rPr>
        <w:t>承包人采购材料与工程设备</w:t>
      </w:r>
    </w:p>
    <w:p w14:paraId="2E707D7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24C7FE43">
      <w:pPr>
        <w:pStyle w:val="6"/>
        <w:spacing w:before="120" w:after="120" w:line="360" w:lineRule="auto"/>
        <w:ind w:firstLine="480"/>
        <w:rPr>
          <w:rFonts w:ascii="Times New Roman" w:hAnsi="Times New Roman" w:eastAsia="黑体" w:cs="Times New Roman"/>
          <w:b w:val="0"/>
          <w:color w:val="000000"/>
          <w:sz w:val="24"/>
          <w:szCs w:val="24"/>
        </w:rPr>
      </w:pPr>
      <w:bookmarkStart w:id="93" w:name="__RefHeading___Toc351203555"/>
      <w:bookmarkEnd w:id="93"/>
      <w:r>
        <w:rPr>
          <w:rFonts w:eastAsia="黑体" w:cs="Times New Roman"/>
          <w:b w:val="0"/>
          <w:color w:val="000000"/>
          <w:sz w:val="24"/>
          <w:szCs w:val="24"/>
        </w:rPr>
        <w:t>8.3</w:t>
      </w:r>
      <w:r>
        <w:rPr>
          <w:rFonts w:ascii="Times New Roman" w:hAnsi="Times New Roman" w:eastAsia="黑体" w:cs="Times New Roman"/>
          <w:b w:val="0"/>
          <w:color w:val="000000"/>
          <w:sz w:val="24"/>
          <w:szCs w:val="24"/>
        </w:rPr>
        <w:t>材料与工程设备的接收与拒收</w:t>
      </w:r>
    </w:p>
    <w:p w14:paraId="21976444">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8.3.1 </w:t>
      </w:r>
      <w:r>
        <w:rPr>
          <w:rFonts w:ascii="Times New Roman" w:hAnsi="Times New Roman" w:eastAsia="仿宋_GB2312;仿宋" w:cs="Times New Roman"/>
          <w:color w:val="000000"/>
          <w:kern w:val="0"/>
          <w:sz w:val="24"/>
          <w:szCs w:val="24"/>
        </w:rPr>
        <w:t>发包人应按《发包人供应材料设备一览表》约定的内容提供材料和工程设备，并向承包人提供产品合格证明及出厂证明，对其质量负责。发包人应提前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小时以书面形式通知承包人、监理人材料和工程设备到货时间，承包人负责材料和工程设备的清点、检验和接收。</w:t>
      </w:r>
    </w:p>
    <w:p w14:paraId="0604A6F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发包人提供的材料和工程设备的规格、数量或质量不符合合同约定的，或因发包人原因导致交货日期延误或交货地点变更等情况的，按照第</w:t>
      </w:r>
      <w:r>
        <w:rPr>
          <w:rFonts w:eastAsia="仿宋_GB2312;仿宋" w:cs="Times New Roman"/>
          <w:color w:val="000000"/>
          <w:kern w:val="0"/>
          <w:sz w:val="24"/>
          <w:szCs w:val="24"/>
        </w:rPr>
        <w:t>16.1</w:t>
      </w:r>
      <w:r>
        <w:rPr>
          <w:rFonts w:ascii="Times New Roman" w:hAnsi="Times New Roman" w:eastAsia="仿宋_GB2312;仿宋" w:cs="Times New Roman"/>
          <w:color w:val="000000"/>
          <w:kern w:val="0"/>
          <w:sz w:val="24"/>
          <w:szCs w:val="24"/>
        </w:rPr>
        <w:t>款〔发包人违约〕约定办理。</w:t>
      </w:r>
    </w:p>
    <w:p w14:paraId="75527AC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8.3.2 </w:t>
      </w:r>
      <w:r>
        <w:rPr>
          <w:rFonts w:ascii="Times New Roman" w:hAnsi="Times New Roman" w:eastAsia="仿宋_GB2312;仿宋" w:cs="Times New Roman"/>
          <w:color w:val="000000"/>
          <w:kern w:val="0"/>
          <w:sz w:val="24"/>
          <w:szCs w:val="24"/>
        </w:rPr>
        <w:t>承包人采购的材料和工程设备，应保证产品质量合格，承包人应在材料和工程设备到货前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小时通知监理人检验。承包人进行永久设备、材料的制造和生产的，应符合相关质量标准，并向监理人提交材料的样本以及有关资料，并应在使用该材料或工程设备之前获得监理人同意。</w:t>
      </w:r>
    </w:p>
    <w:p w14:paraId="7EBE65C0">
      <w:pPr>
        <w:autoSpaceDE w:val="0"/>
        <w:spacing w:line="360" w:lineRule="auto"/>
        <w:ind w:firstLine="360"/>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ascii="Times New Roman" w:hAnsi="Times New Roman" w:eastAsia="仿宋_GB2312;仿宋" w:cs="Times New Roman"/>
          <w:color w:val="000000"/>
          <w:kern w:val="0"/>
          <w:sz w:val="24"/>
          <w:szCs w:val="24"/>
        </w:rPr>
        <w:t>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1D51276F">
      <w:pPr>
        <w:pStyle w:val="6"/>
        <w:spacing w:before="120" w:after="120" w:line="360" w:lineRule="auto"/>
        <w:ind w:firstLine="480"/>
        <w:rPr>
          <w:rFonts w:ascii="Times New Roman" w:hAnsi="Times New Roman" w:eastAsia="黑体" w:cs="Times New Roman"/>
          <w:b w:val="0"/>
          <w:color w:val="000000"/>
          <w:sz w:val="24"/>
          <w:szCs w:val="24"/>
        </w:rPr>
      </w:pPr>
      <w:bookmarkStart w:id="94" w:name="__RefHeading___Toc351203556"/>
      <w:bookmarkEnd w:id="94"/>
      <w:r>
        <w:rPr>
          <w:rFonts w:eastAsia="黑体" w:cs="Times New Roman"/>
          <w:b w:val="0"/>
          <w:color w:val="000000"/>
          <w:sz w:val="24"/>
          <w:szCs w:val="24"/>
        </w:rPr>
        <w:t>8.4</w:t>
      </w:r>
      <w:r>
        <w:rPr>
          <w:rFonts w:ascii="Times New Roman" w:hAnsi="Times New Roman" w:eastAsia="黑体" w:cs="Times New Roman"/>
          <w:b w:val="0"/>
          <w:color w:val="000000"/>
          <w:sz w:val="24"/>
          <w:szCs w:val="24"/>
        </w:rPr>
        <w:t>材料与工程设备的保管与使用</w:t>
      </w:r>
    </w:p>
    <w:p w14:paraId="46E3192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8.4.1 </w:t>
      </w:r>
      <w:r>
        <w:rPr>
          <w:rFonts w:ascii="Times New Roman" w:hAnsi="Times New Roman" w:eastAsia="仿宋_GB2312;仿宋" w:cs="Times New Roman"/>
          <w:color w:val="000000"/>
          <w:kern w:val="0"/>
          <w:sz w:val="24"/>
          <w:szCs w:val="24"/>
        </w:rPr>
        <w:t>发包人供应</w:t>
      </w:r>
      <w:r>
        <w:rPr>
          <w:rFonts w:ascii="Times New Roman" w:hAnsi="Times New Roman" w:eastAsia="仿宋_GB2312;仿宋" w:cs="Times New Roman"/>
          <w:color w:val="000000"/>
          <w:sz w:val="24"/>
          <w:szCs w:val="24"/>
        </w:rPr>
        <w:t>材料与</w:t>
      </w:r>
      <w:r>
        <w:rPr>
          <w:rFonts w:ascii="Times New Roman" w:hAnsi="Times New Roman" w:eastAsia="仿宋_GB2312;仿宋" w:cs="Times New Roman"/>
          <w:color w:val="000000"/>
          <w:kern w:val="0"/>
          <w:sz w:val="24"/>
          <w:szCs w:val="24"/>
        </w:rPr>
        <w:t>工程</w:t>
      </w:r>
      <w:r>
        <w:rPr>
          <w:rFonts w:ascii="Times New Roman" w:hAnsi="Times New Roman" w:eastAsia="仿宋_GB2312;仿宋" w:cs="Times New Roman"/>
          <w:color w:val="000000"/>
          <w:sz w:val="24"/>
          <w:szCs w:val="24"/>
        </w:rPr>
        <w:t>设备的保管与使用</w:t>
      </w:r>
    </w:p>
    <w:p w14:paraId="645F58F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275EFBD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发包人供应的材料和工程设备使用前，由承包人负责检验，检验费用由发包人承担，不合格的不得使用。</w:t>
      </w:r>
    </w:p>
    <w:p w14:paraId="5369E17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8.4.2 </w:t>
      </w:r>
      <w:r>
        <w:rPr>
          <w:rFonts w:ascii="Times New Roman" w:hAnsi="Times New Roman" w:eastAsia="仿宋_GB2312;仿宋" w:cs="Times New Roman"/>
          <w:color w:val="000000"/>
          <w:kern w:val="0"/>
          <w:sz w:val="24"/>
          <w:szCs w:val="24"/>
        </w:rPr>
        <w:t>承包人采购</w:t>
      </w:r>
      <w:r>
        <w:rPr>
          <w:rFonts w:ascii="Times New Roman" w:hAnsi="Times New Roman" w:eastAsia="仿宋_GB2312;仿宋" w:cs="Times New Roman"/>
          <w:color w:val="000000"/>
          <w:sz w:val="24"/>
          <w:szCs w:val="24"/>
        </w:rPr>
        <w:t>材料与</w:t>
      </w:r>
      <w:r>
        <w:rPr>
          <w:rFonts w:ascii="Times New Roman" w:hAnsi="Times New Roman" w:eastAsia="仿宋_GB2312;仿宋" w:cs="Times New Roman"/>
          <w:color w:val="000000"/>
          <w:kern w:val="0"/>
          <w:sz w:val="24"/>
          <w:szCs w:val="24"/>
        </w:rPr>
        <w:t>工程</w:t>
      </w:r>
      <w:r>
        <w:rPr>
          <w:rFonts w:ascii="Times New Roman" w:hAnsi="Times New Roman" w:eastAsia="仿宋_GB2312;仿宋" w:cs="Times New Roman"/>
          <w:color w:val="000000"/>
          <w:sz w:val="24"/>
          <w:szCs w:val="24"/>
        </w:rPr>
        <w:t>设备的保管与使用</w:t>
      </w:r>
    </w:p>
    <w:p w14:paraId="2FB9FE8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0981C66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发包人或监理人发现承包人使用不符合设计或有关标准要求的材料和工程设备时，有权要求承包人进行修复、拆除或重新采购，由此增加的费用和（或）延误的工期，由承包人承担。</w:t>
      </w:r>
    </w:p>
    <w:p w14:paraId="5C87B406">
      <w:pPr>
        <w:pStyle w:val="6"/>
        <w:spacing w:before="120" w:after="120" w:line="360" w:lineRule="auto"/>
        <w:ind w:firstLine="480"/>
        <w:rPr>
          <w:rFonts w:ascii="Times New Roman" w:hAnsi="Times New Roman" w:eastAsia="黑体" w:cs="Times New Roman"/>
          <w:b w:val="0"/>
          <w:color w:val="000000"/>
          <w:sz w:val="24"/>
          <w:szCs w:val="24"/>
        </w:rPr>
      </w:pPr>
      <w:bookmarkStart w:id="95" w:name="__RefHeading___Toc351203557"/>
      <w:bookmarkEnd w:id="95"/>
      <w:r>
        <w:rPr>
          <w:rFonts w:eastAsia="黑体" w:cs="Times New Roman"/>
          <w:b w:val="0"/>
          <w:color w:val="000000"/>
          <w:sz w:val="24"/>
          <w:szCs w:val="24"/>
        </w:rPr>
        <w:t>8.5</w:t>
      </w:r>
      <w:r>
        <w:rPr>
          <w:rFonts w:ascii="Times New Roman" w:hAnsi="Times New Roman" w:eastAsia="黑体" w:cs="Times New Roman"/>
          <w:b w:val="0"/>
          <w:color w:val="000000"/>
          <w:sz w:val="24"/>
          <w:szCs w:val="24"/>
        </w:rPr>
        <w:t>禁止使用不合格的材料和工程设备</w:t>
      </w:r>
    </w:p>
    <w:p w14:paraId="785992E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8.5.1 </w:t>
      </w:r>
      <w:r>
        <w:rPr>
          <w:rFonts w:ascii="Times New Roman" w:hAnsi="Times New Roman" w:eastAsia="仿宋_GB2312;仿宋" w:cs="Times New Roman"/>
          <w:color w:val="000000"/>
          <w:kern w:val="0"/>
          <w:sz w:val="24"/>
          <w:szCs w:val="24"/>
        </w:rPr>
        <w:t>监理人有权拒绝承包人提供的不合格材料或工程设备，并要求承包人立即进行更换。监理人应在更换后再次进行检查和检验，由此增加的费用和（或）延误的工期由承包人承担。</w:t>
      </w:r>
    </w:p>
    <w:p w14:paraId="23F49E4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8.5.2 </w:t>
      </w:r>
      <w:r>
        <w:rPr>
          <w:rFonts w:ascii="Times New Roman" w:hAnsi="Times New Roman" w:eastAsia="仿宋_GB2312;仿宋" w:cs="Times New Roman"/>
          <w:color w:val="000000"/>
          <w:kern w:val="0"/>
          <w:sz w:val="24"/>
          <w:szCs w:val="24"/>
        </w:rPr>
        <w:t>监理人发现承包人使用了不合格的材料和工程设备，承包人应按照监理人的指示立即改正，并禁止在工程中继续使用不合格的材料和工程设备。</w:t>
      </w:r>
    </w:p>
    <w:p w14:paraId="1A56EB2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8.5.3 </w:t>
      </w:r>
      <w:r>
        <w:rPr>
          <w:rFonts w:ascii="Times New Roman" w:hAnsi="Times New Roman" w:eastAsia="仿宋_GB2312;仿宋" w:cs="Times New Roman"/>
          <w:color w:val="000000"/>
          <w:kern w:val="0"/>
          <w:sz w:val="24"/>
          <w:szCs w:val="24"/>
        </w:rPr>
        <w:t>发包人提供的材料或工程设备不符合合同要求的，承包人有权拒绝，并可要求发包人更换，由此增加的费用和（或）延误的工期由发包人承担，并支付承包人合理的利润。</w:t>
      </w:r>
    </w:p>
    <w:p w14:paraId="2631AD0A">
      <w:pPr>
        <w:pStyle w:val="6"/>
        <w:spacing w:before="120" w:after="120" w:line="360" w:lineRule="auto"/>
        <w:ind w:firstLine="480"/>
        <w:rPr>
          <w:rFonts w:ascii="Times New Roman" w:hAnsi="Times New Roman" w:eastAsia="黑体" w:cs="Times New Roman"/>
          <w:b w:val="0"/>
          <w:color w:val="000000"/>
          <w:sz w:val="24"/>
          <w:szCs w:val="24"/>
        </w:rPr>
      </w:pPr>
      <w:bookmarkStart w:id="96" w:name="__RefHeading___Toc351203558"/>
      <w:bookmarkEnd w:id="96"/>
      <w:r>
        <w:rPr>
          <w:rFonts w:eastAsia="黑体" w:cs="Times New Roman"/>
          <w:b w:val="0"/>
          <w:color w:val="000000"/>
          <w:sz w:val="24"/>
          <w:szCs w:val="24"/>
        </w:rPr>
        <w:t xml:space="preserve">8.6 </w:t>
      </w:r>
      <w:r>
        <w:rPr>
          <w:rFonts w:ascii="Times New Roman" w:hAnsi="Times New Roman" w:eastAsia="黑体" w:cs="Times New Roman"/>
          <w:b w:val="0"/>
          <w:color w:val="000000"/>
          <w:sz w:val="24"/>
          <w:szCs w:val="24"/>
        </w:rPr>
        <w:t>样品</w:t>
      </w:r>
    </w:p>
    <w:p w14:paraId="233CE4F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8.6.1</w:t>
      </w:r>
      <w:r>
        <w:rPr>
          <w:rFonts w:eastAsia="仿宋_GB2312;仿宋" w:cs="Times New Roman"/>
          <w:color w:val="000000"/>
          <w:kern w:val="0"/>
          <w:sz w:val="24"/>
          <w:szCs w:val="24"/>
        </w:rPr>
        <w:tab/>
      </w:r>
      <w:r>
        <w:rPr>
          <w:rFonts w:ascii="Times New Roman" w:hAnsi="Times New Roman" w:eastAsia="仿宋_GB2312;仿宋" w:cs="Times New Roman"/>
          <w:color w:val="000000"/>
          <w:kern w:val="0"/>
          <w:sz w:val="24"/>
          <w:szCs w:val="24"/>
        </w:rPr>
        <w:t>样品的报送与封存</w:t>
      </w:r>
    </w:p>
    <w:p w14:paraId="58E242E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需要承包人报送样品的材料或工程设备，样品的种类、名称、规格、数量等要求均应在专用合同条款中约定。样品的报送程序如下：</w:t>
      </w:r>
    </w:p>
    <w:p w14:paraId="0E9DA83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）承包人应在计划采购前</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天向监理人报送样品。承包人报送的样品均应来自供应材料的实际生产地，且提供的样品的规格、数量足以表明材料或工程设备的质量、型号、颜色、表面处理、质地、误差和其他要求的特征。</w:t>
      </w:r>
    </w:p>
    <w:p w14:paraId="2AFC51F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）承包人每次报送样品时应随附申报单，申报单应载明报送样品的相关数据和资料，并标明每件样品对应的图纸号，预留监理人批复意见栏。监理人应在收到承包人报送的样品后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天向承包人回复经发包人签认的样品审批意见。</w:t>
      </w:r>
    </w:p>
    <w:p w14:paraId="498C526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）经发包人和监理人审批确认的样品应按约定的方法封样，封存的样品作为检验工程相关部分的标准之一。承包人在施工过程中不得使用与样品不符的材料或工程设备。</w:t>
      </w:r>
    </w:p>
    <w:p w14:paraId="5286C3D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3330CFB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8.6.2 </w:t>
      </w:r>
      <w:r>
        <w:rPr>
          <w:rFonts w:ascii="Times New Roman" w:hAnsi="Times New Roman" w:eastAsia="仿宋_GB2312;仿宋" w:cs="Times New Roman"/>
          <w:color w:val="000000"/>
          <w:kern w:val="0"/>
          <w:sz w:val="24"/>
          <w:szCs w:val="24"/>
        </w:rPr>
        <w:t>样品的保管</w:t>
      </w:r>
    </w:p>
    <w:p w14:paraId="23FB090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经批准的样品应由监理人负责封存于现场，承包人应在现场为保存样品提供适当和固定的场所并保持适当和良好的存储环境条件。</w:t>
      </w:r>
    </w:p>
    <w:p w14:paraId="49D89174">
      <w:pPr>
        <w:pStyle w:val="6"/>
        <w:spacing w:before="120" w:after="120" w:line="360" w:lineRule="auto"/>
        <w:ind w:firstLine="480"/>
        <w:rPr>
          <w:rFonts w:ascii="Times New Roman" w:hAnsi="Times New Roman" w:eastAsia="黑体" w:cs="Times New Roman"/>
          <w:b w:val="0"/>
          <w:color w:val="000000"/>
          <w:sz w:val="24"/>
          <w:szCs w:val="24"/>
        </w:rPr>
      </w:pPr>
      <w:bookmarkStart w:id="97" w:name="__RefHeading___Toc351203559"/>
      <w:bookmarkEnd w:id="97"/>
      <w:r>
        <w:rPr>
          <w:rFonts w:eastAsia="黑体" w:cs="Times New Roman"/>
          <w:b w:val="0"/>
          <w:color w:val="000000"/>
          <w:sz w:val="24"/>
          <w:szCs w:val="24"/>
        </w:rPr>
        <w:t>8.7</w:t>
      </w:r>
      <w:r>
        <w:rPr>
          <w:rFonts w:ascii="Times New Roman" w:hAnsi="Times New Roman" w:eastAsia="黑体" w:cs="Times New Roman"/>
          <w:b w:val="0"/>
          <w:color w:val="000000"/>
          <w:sz w:val="24"/>
          <w:szCs w:val="24"/>
        </w:rPr>
        <w:t>材料与工程设备的替代</w:t>
      </w:r>
    </w:p>
    <w:p w14:paraId="3F06B5F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8.7.1 </w:t>
      </w:r>
      <w:r>
        <w:rPr>
          <w:rFonts w:ascii="Times New Roman" w:hAnsi="Times New Roman" w:eastAsia="仿宋_GB2312;仿宋" w:cs="Times New Roman"/>
          <w:color w:val="000000"/>
          <w:kern w:val="0"/>
          <w:sz w:val="24"/>
          <w:szCs w:val="24"/>
        </w:rPr>
        <w:t>出现下列情况需要使用替代材料和工程设备的，承包人应按照第</w:t>
      </w:r>
      <w:r>
        <w:rPr>
          <w:rFonts w:eastAsia="仿宋_GB2312;仿宋" w:cs="Times New Roman"/>
          <w:color w:val="000000"/>
          <w:kern w:val="0"/>
          <w:sz w:val="24"/>
          <w:szCs w:val="24"/>
        </w:rPr>
        <w:t>8.7.2</w:t>
      </w:r>
      <w:r>
        <w:rPr>
          <w:rFonts w:ascii="Times New Roman" w:hAnsi="Times New Roman" w:eastAsia="仿宋_GB2312;仿宋" w:cs="Times New Roman"/>
          <w:color w:val="000000"/>
          <w:kern w:val="0"/>
          <w:sz w:val="24"/>
          <w:szCs w:val="24"/>
        </w:rPr>
        <w:t>项约定的程序执行：</w:t>
      </w:r>
    </w:p>
    <w:p w14:paraId="118826C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）基准日期后生效的法律规定禁止使用的；</w:t>
      </w:r>
    </w:p>
    <w:p w14:paraId="0E7FD80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）发包人要求使用替代品的；</w:t>
      </w:r>
    </w:p>
    <w:p w14:paraId="4030AD0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）因其他原因必须使用替代品的。</w:t>
      </w:r>
    </w:p>
    <w:p w14:paraId="434BD6E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8.7.2 </w:t>
      </w:r>
      <w:r>
        <w:rPr>
          <w:rFonts w:ascii="Times New Roman" w:hAnsi="Times New Roman" w:eastAsia="仿宋_GB2312;仿宋" w:cs="Times New Roman"/>
          <w:color w:val="000000"/>
          <w:kern w:val="0"/>
          <w:sz w:val="24"/>
          <w:szCs w:val="24"/>
        </w:rPr>
        <w:t>承包人应在使用替代材料和工程设备</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天前书面通知监理人，并附下列文件：</w:t>
      </w:r>
    </w:p>
    <w:p w14:paraId="7925EF0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）被替代的材料和工程设备的名称、数量、规格、型号、品牌、性能、价格及其他相关资料；</w:t>
      </w:r>
    </w:p>
    <w:p w14:paraId="35AA8F2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）替代品的名称、数量、规格、型号、品牌、性能、价格及其他相关资料；</w:t>
      </w:r>
    </w:p>
    <w:p w14:paraId="2F4F3D4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）替代品与被替代产品之间的差异以及使用替代品可能对工程产生的影响；</w:t>
      </w:r>
    </w:p>
    <w:p w14:paraId="6CDAF84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）替代品与被替代产品的价格差异；</w:t>
      </w:r>
    </w:p>
    <w:p w14:paraId="6616B05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）使用替代品的理由和原因说明；</w:t>
      </w:r>
    </w:p>
    <w:p w14:paraId="70DB783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）监理人要求的其他文件。</w:t>
      </w:r>
    </w:p>
    <w:p w14:paraId="198EB3E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监理人应在收到通知后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天内向承包人发出经发包人签认的书面指示；监理人逾期发出书面指示的，视为发包人和监理人同意使用替代品。</w:t>
      </w:r>
    </w:p>
    <w:p w14:paraId="609673F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8.7.3 </w:t>
      </w:r>
      <w:r>
        <w:rPr>
          <w:rFonts w:ascii="Times New Roman" w:hAnsi="Times New Roman" w:eastAsia="仿宋_GB2312;仿宋" w:cs="Times New Roman"/>
          <w:color w:val="000000"/>
          <w:kern w:val="0"/>
          <w:sz w:val="24"/>
          <w:szCs w:val="24"/>
        </w:rPr>
        <w:t>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款〔商定或确定〕确定价格。</w:t>
      </w:r>
    </w:p>
    <w:p w14:paraId="5748CBF4">
      <w:pPr>
        <w:pStyle w:val="6"/>
        <w:spacing w:before="120" w:after="120" w:line="360" w:lineRule="auto"/>
        <w:ind w:firstLine="480"/>
        <w:rPr>
          <w:rFonts w:ascii="Times New Roman" w:hAnsi="Times New Roman" w:eastAsia="黑体" w:cs="Times New Roman"/>
          <w:b w:val="0"/>
          <w:color w:val="000000"/>
          <w:sz w:val="24"/>
          <w:szCs w:val="24"/>
        </w:rPr>
      </w:pPr>
      <w:bookmarkStart w:id="98" w:name="__RefHeading___Toc351203560"/>
      <w:bookmarkEnd w:id="98"/>
      <w:r>
        <w:rPr>
          <w:rFonts w:eastAsia="黑体" w:cs="Times New Roman"/>
          <w:b w:val="0"/>
          <w:color w:val="000000"/>
          <w:sz w:val="24"/>
          <w:szCs w:val="24"/>
        </w:rPr>
        <w:t>8.8</w:t>
      </w:r>
      <w:r>
        <w:rPr>
          <w:rFonts w:ascii="Times New Roman" w:hAnsi="Times New Roman" w:eastAsia="黑体" w:cs="Times New Roman"/>
          <w:b w:val="0"/>
          <w:color w:val="000000"/>
          <w:sz w:val="24"/>
          <w:szCs w:val="24"/>
        </w:rPr>
        <w:t>施工设备和临时设施</w:t>
      </w:r>
    </w:p>
    <w:p w14:paraId="71B0B8C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8.8.1 </w:t>
      </w:r>
      <w:r>
        <w:rPr>
          <w:rFonts w:ascii="Times New Roman" w:hAnsi="Times New Roman" w:eastAsia="仿宋_GB2312;仿宋" w:cs="Times New Roman"/>
          <w:color w:val="000000"/>
          <w:kern w:val="0"/>
          <w:sz w:val="24"/>
          <w:szCs w:val="24"/>
        </w:rPr>
        <w:t>承包人提供的施工设备和临时设施</w:t>
      </w:r>
    </w:p>
    <w:p w14:paraId="34D73EC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承包人应按合同进度计划的要求，及时配置施工设备和修建临时设施。进入施工场地的承包人设备需经监理人核查后才能投入使用。承包人更换合同约定的承包人设备的，应报监理人批准。</w:t>
      </w:r>
    </w:p>
    <w:p w14:paraId="4462B61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除专用合同条款另有约定外，承包人应自行承担修建临时设施的费用，需要临时占地的，应由发包人办理申请手续并承担相应费用。</w:t>
      </w:r>
    </w:p>
    <w:p w14:paraId="5A9487F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8.8.2</w:t>
      </w:r>
      <w:r>
        <w:rPr>
          <w:rFonts w:ascii="Times New Roman" w:hAnsi="Times New Roman" w:eastAsia="仿宋_GB2312;仿宋" w:cs="Times New Roman"/>
          <w:color w:val="000000"/>
          <w:kern w:val="0"/>
          <w:sz w:val="24"/>
          <w:szCs w:val="24"/>
        </w:rPr>
        <w:t>发包人提供的施工设备和临时设施</w:t>
      </w:r>
    </w:p>
    <w:p w14:paraId="7FE9A47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发包人提供的施工设备或临时设施在专用合同条款中约定。</w:t>
      </w:r>
    </w:p>
    <w:p w14:paraId="1406F7F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8.8.3</w:t>
      </w:r>
      <w:r>
        <w:rPr>
          <w:rFonts w:ascii="Times New Roman" w:hAnsi="Times New Roman" w:eastAsia="仿宋_GB2312;仿宋" w:cs="Times New Roman"/>
          <w:color w:val="000000"/>
          <w:kern w:val="0"/>
          <w:sz w:val="24"/>
          <w:szCs w:val="24"/>
        </w:rPr>
        <w:t>要求承包人增加或更换施工设备</w:t>
      </w:r>
    </w:p>
    <w:p w14:paraId="4C5B551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承包人使用的施工设备不能满足合同进度计划和（或）质量要求时，监理人有权要求承包人增加或更换施工设备，承包人应及时增加或更换，由此增加的费用和（或）延误的工期由承包人承担。</w:t>
      </w:r>
    </w:p>
    <w:p w14:paraId="0A5E7BA7">
      <w:pPr>
        <w:pStyle w:val="6"/>
        <w:spacing w:before="120" w:after="120" w:line="360" w:lineRule="auto"/>
        <w:ind w:firstLine="480"/>
        <w:rPr>
          <w:rFonts w:ascii="Times New Roman" w:hAnsi="Times New Roman" w:eastAsia="黑体" w:cs="Times New Roman"/>
          <w:b w:val="0"/>
          <w:color w:val="000000"/>
          <w:sz w:val="24"/>
          <w:szCs w:val="24"/>
        </w:rPr>
      </w:pPr>
      <w:bookmarkStart w:id="99" w:name="__RefHeading___Toc351203561"/>
      <w:r>
        <w:rPr>
          <w:rFonts w:eastAsia="黑体" w:cs="Times New Roman"/>
          <w:b w:val="0"/>
          <w:color w:val="000000"/>
          <w:sz w:val="24"/>
          <w:szCs w:val="24"/>
        </w:rPr>
        <w:t>8.9</w:t>
      </w:r>
      <w:r>
        <w:rPr>
          <w:rFonts w:ascii="Times New Roman" w:hAnsi="Times New Roman" w:eastAsia="黑体" w:cs="Times New Roman"/>
          <w:b w:val="0"/>
          <w:color w:val="000000"/>
          <w:sz w:val="24"/>
          <w:szCs w:val="24"/>
        </w:rPr>
        <w:t>材料与设备专用</w:t>
      </w:r>
      <w:bookmarkEnd w:id="99"/>
      <w:r>
        <w:rPr>
          <w:rFonts w:ascii="Times New Roman" w:hAnsi="Times New Roman" w:eastAsia="黑体" w:cs="Times New Roman"/>
          <w:b w:val="0"/>
          <w:color w:val="000000"/>
          <w:sz w:val="24"/>
          <w:szCs w:val="24"/>
        </w:rPr>
        <w:t>要求</w:t>
      </w:r>
    </w:p>
    <w:p w14:paraId="1B6C561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运入施工现场的材料、工程设备、施工设备以及在施工场地建设的临时设施，包括备品备件、安装工具与资料，必须专用于工程。未经发包人批准，承包人不得运出施工现场或挪作他用；经发包人批准，承包人可以根据施工进度计划撤走闲置的施工设备和其他物品。</w:t>
      </w:r>
    </w:p>
    <w:p w14:paraId="0303D6CF">
      <w:pPr>
        <w:pStyle w:val="5"/>
        <w:spacing w:before="120" w:after="120" w:line="360" w:lineRule="auto"/>
        <w:rPr>
          <w:rFonts w:ascii="Times New Roman" w:hAnsi="Times New Roman" w:eastAsia="黑体" w:cs="Times New Roman"/>
          <w:b w:val="0"/>
          <w:color w:val="000000"/>
          <w:sz w:val="24"/>
          <w:szCs w:val="24"/>
        </w:rPr>
      </w:pPr>
      <w:bookmarkStart w:id="100" w:name="__RefHeading___Toc351203562"/>
      <w:bookmarkEnd w:id="100"/>
      <w:r>
        <w:rPr>
          <w:rFonts w:ascii="Times New Roman" w:hAnsi="Times New Roman" w:eastAsia="黑体" w:cs="Times New Roman"/>
          <w:b w:val="0"/>
          <w:color w:val="000000"/>
          <w:sz w:val="24"/>
          <w:szCs w:val="24"/>
        </w:rPr>
        <w:t xml:space="preserve">9. </w:t>
      </w:r>
      <w:r>
        <w:rPr>
          <w:rFonts w:ascii="Times New Roman" w:hAnsi="Times New Roman" w:cs="Times New Roman"/>
          <w:b w:val="0"/>
          <w:color w:val="000000"/>
          <w:sz w:val="24"/>
          <w:szCs w:val="24"/>
        </w:rPr>
        <w:t>试验与检验</w:t>
      </w:r>
    </w:p>
    <w:p w14:paraId="3A679044">
      <w:pPr>
        <w:pStyle w:val="6"/>
        <w:spacing w:before="120" w:after="120" w:line="360" w:lineRule="auto"/>
        <w:ind w:firstLine="480"/>
        <w:rPr>
          <w:rFonts w:ascii="Times New Roman" w:hAnsi="Times New Roman" w:eastAsia="黑体" w:cs="Times New Roman"/>
          <w:b w:val="0"/>
          <w:color w:val="000000"/>
          <w:sz w:val="24"/>
          <w:szCs w:val="24"/>
        </w:rPr>
      </w:pPr>
      <w:bookmarkStart w:id="101" w:name="__RefHeading___Toc351203563"/>
      <w:bookmarkEnd w:id="101"/>
      <w:r>
        <w:rPr>
          <w:rFonts w:eastAsia="黑体" w:cs="Times New Roman"/>
          <w:b w:val="0"/>
          <w:color w:val="000000"/>
          <w:sz w:val="24"/>
          <w:szCs w:val="24"/>
        </w:rPr>
        <w:t>9.1</w:t>
      </w:r>
      <w:r>
        <w:rPr>
          <w:rFonts w:ascii="Times New Roman" w:hAnsi="Times New Roman" w:eastAsia="黑体" w:cs="Times New Roman"/>
          <w:b w:val="0"/>
          <w:color w:val="000000"/>
          <w:sz w:val="24"/>
          <w:szCs w:val="24"/>
        </w:rPr>
        <w:t>试验设备与试验人员</w:t>
      </w:r>
    </w:p>
    <w:p w14:paraId="37135F8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9.1.1 </w:t>
      </w:r>
      <w:r>
        <w:rPr>
          <w:rFonts w:ascii="Times New Roman" w:hAnsi="Times New Roman" w:eastAsia="仿宋_GB2312;仿宋" w:cs="Times New Roman"/>
          <w:color w:val="000000"/>
          <w:kern w:val="0"/>
          <w:sz w:val="24"/>
          <w:szCs w:val="24"/>
        </w:rPr>
        <w:t>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7C7671FE">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9.1.2 </w:t>
      </w:r>
      <w:r>
        <w:rPr>
          <w:rFonts w:ascii="Times New Roman" w:hAnsi="Times New Roman" w:eastAsia="仿宋_GB2312;仿宋" w:cs="Times New Roman"/>
          <w:color w:val="000000"/>
          <w:kern w:val="0"/>
          <w:sz w:val="24"/>
          <w:szCs w:val="24"/>
        </w:rPr>
        <w:t>承包人应按专用合同条款的约定提供试验设备、取样装置、试验场所和试验条件，并向监理人提交相应进场计划表。</w:t>
      </w:r>
    </w:p>
    <w:p w14:paraId="7F68B93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承包人配置的试验设备要符合相应试验规程的要求并经过具有资质的检测单位检测，且在正式使用该试验设备前，需要经过监理人与承包人共同校定。</w:t>
      </w:r>
    </w:p>
    <w:p w14:paraId="05CB418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9.1.3 </w:t>
      </w:r>
      <w:r>
        <w:rPr>
          <w:rFonts w:ascii="Times New Roman" w:hAnsi="Times New Roman" w:eastAsia="仿宋_GB2312;仿宋" w:cs="Times New Roman"/>
          <w:color w:val="000000"/>
          <w:kern w:val="0"/>
          <w:sz w:val="24"/>
          <w:szCs w:val="24"/>
        </w:rPr>
        <w:t>承包人应向监理人提交试验人员的名单及其岗位、资格等证明资料，试验人员必须能够熟练进行相应的检测试验，承包人对试验人员的试验程序和试验结果的正确性负责。</w:t>
      </w:r>
    </w:p>
    <w:p w14:paraId="32A6CA3E">
      <w:pPr>
        <w:pStyle w:val="6"/>
        <w:spacing w:before="120" w:after="120" w:line="360" w:lineRule="auto"/>
        <w:ind w:firstLine="480"/>
        <w:rPr>
          <w:rFonts w:ascii="Times New Roman" w:hAnsi="Times New Roman" w:eastAsia="黑体" w:cs="Times New Roman"/>
          <w:b w:val="0"/>
          <w:color w:val="000000"/>
          <w:sz w:val="24"/>
          <w:szCs w:val="24"/>
        </w:rPr>
      </w:pPr>
      <w:bookmarkStart w:id="102" w:name="__RefHeading___Toc351203564"/>
      <w:bookmarkEnd w:id="102"/>
      <w:r>
        <w:rPr>
          <w:rFonts w:eastAsia="黑体" w:cs="Times New Roman"/>
          <w:b w:val="0"/>
          <w:color w:val="000000"/>
          <w:sz w:val="24"/>
          <w:szCs w:val="24"/>
        </w:rPr>
        <w:t>9.2</w:t>
      </w:r>
      <w:r>
        <w:rPr>
          <w:rFonts w:ascii="Times New Roman" w:hAnsi="Times New Roman" w:eastAsia="黑体" w:cs="Times New Roman"/>
          <w:b w:val="0"/>
          <w:color w:val="000000"/>
          <w:sz w:val="24"/>
          <w:szCs w:val="24"/>
        </w:rPr>
        <w:t>取样</w:t>
      </w:r>
    </w:p>
    <w:p w14:paraId="688DE4A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试验属于自检性质的，承包人可以单独取样。试验属于监理人抽检性质的，可由监理人取样，也可由承包人的试验人员在监理人的监督下取样。</w:t>
      </w:r>
    </w:p>
    <w:p w14:paraId="2A0057A5">
      <w:pPr>
        <w:pStyle w:val="6"/>
        <w:spacing w:before="120" w:after="120" w:line="360" w:lineRule="auto"/>
        <w:ind w:firstLine="480"/>
        <w:rPr>
          <w:rFonts w:ascii="Times New Roman" w:hAnsi="Times New Roman" w:eastAsia="黑体" w:cs="Times New Roman"/>
          <w:b w:val="0"/>
          <w:color w:val="000000"/>
          <w:sz w:val="24"/>
          <w:szCs w:val="24"/>
        </w:rPr>
      </w:pPr>
      <w:bookmarkStart w:id="103" w:name="__RefHeading___Toc351203565"/>
      <w:bookmarkEnd w:id="103"/>
      <w:r>
        <w:rPr>
          <w:rFonts w:eastAsia="黑体" w:cs="Times New Roman"/>
          <w:b w:val="0"/>
          <w:color w:val="000000"/>
          <w:sz w:val="24"/>
          <w:szCs w:val="24"/>
        </w:rPr>
        <w:t>9.3</w:t>
      </w:r>
      <w:r>
        <w:rPr>
          <w:rFonts w:ascii="Times New Roman" w:hAnsi="Times New Roman" w:eastAsia="黑体" w:cs="Times New Roman"/>
          <w:b w:val="0"/>
          <w:color w:val="000000"/>
          <w:sz w:val="24"/>
          <w:szCs w:val="24"/>
        </w:rPr>
        <w:t>材料、工程设备和工程的试验和检验</w:t>
      </w:r>
    </w:p>
    <w:p w14:paraId="357B24D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9.3.1</w:t>
      </w:r>
      <w:r>
        <w:rPr>
          <w:rFonts w:ascii="Times New Roman" w:hAnsi="Times New Roman" w:eastAsia="仿宋_GB2312;仿宋" w:cs="Times New Roman"/>
          <w:color w:val="000000"/>
          <w:kern w:val="0"/>
          <w:sz w:val="24"/>
          <w:szCs w:val="24"/>
        </w:rPr>
        <w:t>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098BA8A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9.3.2</w:t>
      </w:r>
      <w:r>
        <w:rPr>
          <w:rFonts w:ascii="Times New Roman" w:hAnsi="Times New Roman" w:eastAsia="仿宋_GB2312;仿宋" w:cs="Times New Roman"/>
          <w:color w:val="000000"/>
          <w:kern w:val="0"/>
          <w:sz w:val="24"/>
          <w:szCs w:val="24"/>
        </w:rPr>
        <w:t>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4C91AB84">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9.3.3</w:t>
      </w:r>
      <w:r>
        <w:rPr>
          <w:rFonts w:ascii="Times New Roman" w:hAnsi="Times New Roman" w:eastAsia="仿宋_GB2312;仿宋" w:cs="Times New Roman"/>
          <w:color w:val="000000"/>
          <w:kern w:val="0"/>
          <w:sz w:val="24"/>
          <w:szCs w:val="24"/>
        </w:rPr>
        <w:t>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33A44EC6">
      <w:pPr>
        <w:pStyle w:val="6"/>
        <w:spacing w:before="120" w:after="120" w:line="360" w:lineRule="auto"/>
        <w:ind w:firstLine="480"/>
        <w:rPr>
          <w:rFonts w:ascii="Times New Roman" w:hAnsi="Times New Roman" w:eastAsia="黑体" w:cs="Times New Roman"/>
          <w:b w:val="0"/>
          <w:color w:val="000000"/>
          <w:sz w:val="24"/>
          <w:szCs w:val="24"/>
        </w:rPr>
      </w:pPr>
      <w:bookmarkStart w:id="104" w:name="__RefHeading___Toc351203566"/>
      <w:bookmarkEnd w:id="104"/>
      <w:r>
        <w:rPr>
          <w:rFonts w:eastAsia="黑体" w:cs="Times New Roman"/>
          <w:b w:val="0"/>
          <w:color w:val="000000"/>
          <w:sz w:val="24"/>
          <w:szCs w:val="24"/>
        </w:rPr>
        <w:t>9.4</w:t>
      </w:r>
      <w:r>
        <w:rPr>
          <w:rFonts w:ascii="Times New Roman" w:hAnsi="Times New Roman" w:eastAsia="黑体" w:cs="Times New Roman"/>
          <w:b w:val="0"/>
          <w:color w:val="000000"/>
          <w:sz w:val="24"/>
          <w:szCs w:val="24"/>
        </w:rPr>
        <w:t>现场工艺试验</w:t>
      </w:r>
    </w:p>
    <w:p w14:paraId="1518A47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承包人应按合同约定或监理人指示进行现场工艺试验。对大型的现场工艺试验，监理人认为必要时，承包人应根据监理人提出的工艺试验要求，编制工艺试验措施计划，报送监理人审查。</w:t>
      </w:r>
    </w:p>
    <w:p w14:paraId="7BD8DFB8">
      <w:pPr>
        <w:pStyle w:val="5"/>
        <w:spacing w:before="120" w:after="120" w:line="360" w:lineRule="auto"/>
        <w:rPr>
          <w:rFonts w:ascii="Times New Roman" w:hAnsi="Times New Roman" w:eastAsia="黑体" w:cs="Times New Roman"/>
          <w:b w:val="0"/>
          <w:color w:val="000000"/>
          <w:sz w:val="24"/>
          <w:szCs w:val="24"/>
        </w:rPr>
      </w:pPr>
      <w:bookmarkStart w:id="105" w:name="__RefHeading___Toc351203567"/>
      <w:bookmarkEnd w:id="105"/>
      <w:r>
        <w:rPr>
          <w:rFonts w:ascii="Times New Roman" w:hAnsi="Times New Roman" w:eastAsia="黑体" w:cs="Times New Roman"/>
          <w:b w:val="0"/>
          <w:color w:val="000000"/>
          <w:sz w:val="24"/>
          <w:szCs w:val="24"/>
        </w:rPr>
        <w:t xml:space="preserve">10. </w:t>
      </w:r>
      <w:r>
        <w:rPr>
          <w:rFonts w:ascii="Times New Roman" w:hAnsi="Times New Roman" w:cs="Times New Roman"/>
          <w:b w:val="0"/>
          <w:color w:val="000000"/>
          <w:sz w:val="24"/>
          <w:szCs w:val="24"/>
        </w:rPr>
        <w:t>变更</w:t>
      </w:r>
    </w:p>
    <w:p w14:paraId="46B284B5">
      <w:pPr>
        <w:pStyle w:val="6"/>
        <w:spacing w:before="120" w:after="120" w:line="360" w:lineRule="auto"/>
        <w:ind w:firstLine="480"/>
        <w:rPr>
          <w:rFonts w:ascii="Times New Roman" w:hAnsi="Times New Roman" w:eastAsia="黑体" w:cs="Times New Roman"/>
          <w:b w:val="0"/>
          <w:color w:val="000000"/>
          <w:sz w:val="24"/>
          <w:szCs w:val="24"/>
        </w:rPr>
      </w:pPr>
      <w:bookmarkStart w:id="106" w:name="__RefHeading___Toc351203568"/>
      <w:bookmarkEnd w:id="106"/>
      <w:r>
        <w:rPr>
          <w:rFonts w:eastAsia="黑体" w:cs="Times New Roman"/>
          <w:b w:val="0"/>
          <w:color w:val="000000"/>
          <w:sz w:val="24"/>
          <w:szCs w:val="24"/>
        </w:rPr>
        <w:t>10.1</w:t>
      </w:r>
      <w:r>
        <w:rPr>
          <w:rFonts w:ascii="Times New Roman" w:hAnsi="Times New Roman" w:eastAsia="黑体" w:cs="Times New Roman"/>
          <w:b w:val="0"/>
          <w:color w:val="000000"/>
          <w:sz w:val="24"/>
          <w:szCs w:val="24"/>
        </w:rPr>
        <w:t>变更的范围</w:t>
      </w:r>
    </w:p>
    <w:p w14:paraId="43E3D0A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除专用合同条款另有约定外，合同履行过程中发生以下情形的，应按照本条约定进行变更：</w:t>
      </w:r>
    </w:p>
    <w:p w14:paraId="0C88850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）增加或减少合同中任何工作，或追加额外的工作；</w:t>
      </w:r>
    </w:p>
    <w:p w14:paraId="0DB37C9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）取消合同中任何工作，但转由他人实施的工作除外；</w:t>
      </w:r>
    </w:p>
    <w:p w14:paraId="3B7DFA1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）改变合同中任何工作的质量标准或其他特性；</w:t>
      </w:r>
    </w:p>
    <w:p w14:paraId="25BDDA7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）改变工程的基线、标高、位置和尺寸；</w:t>
      </w:r>
    </w:p>
    <w:p w14:paraId="11ACDD5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）改变工程的时间安排或实施顺序。</w:t>
      </w:r>
    </w:p>
    <w:p w14:paraId="572D9E36">
      <w:pPr>
        <w:pStyle w:val="6"/>
        <w:spacing w:before="120" w:after="120" w:line="360" w:lineRule="auto"/>
        <w:ind w:firstLine="480"/>
        <w:rPr>
          <w:rFonts w:ascii="Times New Roman" w:hAnsi="Times New Roman" w:eastAsia="黑体" w:cs="Times New Roman"/>
          <w:b w:val="0"/>
          <w:color w:val="000000"/>
          <w:sz w:val="24"/>
          <w:szCs w:val="24"/>
        </w:rPr>
      </w:pPr>
      <w:bookmarkStart w:id="107" w:name="__RefHeading___Toc351203569"/>
      <w:bookmarkEnd w:id="107"/>
      <w:r>
        <w:rPr>
          <w:rFonts w:eastAsia="黑体" w:cs="Times New Roman"/>
          <w:b w:val="0"/>
          <w:color w:val="000000"/>
          <w:sz w:val="24"/>
          <w:szCs w:val="24"/>
        </w:rPr>
        <w:t>10.2</w:t>
      </w:r>
      <w:r>
        <w:rPr>
          <w:rFonts w:ascii="Times New Roman" w:hAnsi="Times New Roman" w:eastAsia="黑体" w:cs="Times New Roman"/>
          <w:b w:val="0"/>
          <w:color w:val="000000"/>
          <w:sz w:val="24"/>
          <w:szCs w:val="24"/>
        </w:rPr>
        <w:t>变更权</w:t>
      </w:r>
    </w:p>
    <w:p w14:paraId="160DC29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5953E9D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涉及设计变更的，应由设计人提供变更后的图纸和说明。如变更超过原设计标准或批准的建设规模时，发包人应及时办理规划、设计变更等审批手续。</w:t>
      </w:r>
    </w:p>
    <w:p w14:paraId="6D6A6578">
      <w:pPr>
        <w:pStyle w:val="6"/>
        <w:spacing w:before="120" w:after="120" w:line="360" w:lineRule="auto"/>
        <w:ind w:firstLine="480"/>
        <w:rPr>
          <w:rFonts w:ascii="Times New Roman" w:hAnsi="Times New Roman" w:eastAsia="黑体" w:cs="Times New Roman"/>
          <w:b w:val="0"/>
          <w:color w:val="000000"/>
          <w:sz w:val="24"/>
          <w:szCs w:val="24"/>
        </w:rPr>
      </w:pPr>
      <w:bookmarkStart w:id="108" w:name="__RefHeading___Toc351203570"/>
      <w:bookmarkEnd w:id="108"/>
      <w:r>
        <w:rPr>
          <w:rFonts w:eastAsia="黑体" w:cs="Times New Roman"/>
          <w:b w:val="0"/>
          <w:color w:val="000000"/>
          <w:sz w:val="24"/>
          <w:szCs w:val="24"/>
        </w:rPr>
        <w:t>10.3</w:t>
      </w:r>
      <w:r>
        <w:rPr>
          <w:rFonts w:ascii="Times New Roman" w:hAnsi="Times New Roman" w:eastAsia="黑体" w:cs="Times New Roman"/>
          <w:b w:val="0"/>
          <w:color w:val="000000"/>
          <w:sz w:val="24"/>
          <w:szCs w:val="24"/>
        </w:rPr>
        <w:t>变更程序</w:t>
      </w:r>
    </w:p>
    <w:p w14:paraId="1E8CBD7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10</w:t>
      </w:r>
      <w:r>
        <w:rPr>
          <w:rFonts w:eastAsia="仿宋_GB2312;仿宋" w:cs="Times New Roman"/>
          <w:color w:val="000000"/>
          <w:kern w:val="0"/>
          <w:sz w:val="24"/>
          <w:szCs w:val="24"/>
        </w:rPr>
        <w:t xml:space="preserve">.3.1 </w:t>
      </w:r>
      <w:r>
        <w:rPr>
          <w:rFonts w:ascii="Times New Roman" w:hAnsi="Times New Roman" w:eastAsia="仿宋_GB2312;仿宋" w:cs="Times New Roman"/>
          <w:color w:val="000000"/>
          <w:kern w:val="0"/>
          <w:sz w:val="24"/>
          <w:szCs w:val="24"/>
        </w:rPr>
        <w:t>发包人提出变更</w:t>
      </w:r>
    </w:p>
    <w:p w14:paraId="1933EE1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发包人提出变更的，应通过监理人向承包人发出变更指示，变更指示应说明计划变更的工程范围和变更的内容。</w:t>
      </w:r>
    </w:p>
    <w:p w14:paraId="428FD48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10</w:t>
      </w:r>
      <w:r>
        <w:rPr>
          <w:rFonts w:eastAsia="仿宋_GB2312;仿宋" w:cs="Times New Roman"/>
          <w:color w:val="000000"/>
          <w:kern w:val="0"/>
          <w:sz w:val="24"/>
          <w:szCs w:val="24"/>
        </w:rPr>
        <w:t xml:space="preserve">.3.2 </w:t>
      </w:r>
      <w:r>
        <w:rPr>
          <w:rFonts w:ascii="Times New Roman" w:hAnsi="Times New Roman" w:eastAsia="仿宋_GB2312;仿宋" w:cs="Times New Roman"/>
          <w:color w:val="000000"/>
          <w:kern w:val="0"/>
          <w:sz w:val="24"/>
          <w:szCs w:val="24"/>
        </w:rPr>
        <w:t>监理人提出变更建议</w:t>
      </w:r>
    </w:p>
    <w:p w14:paraId="7C2381C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0DE49869">
      <w:pPr>
        <w:autoSpaceDE w:val="0"/>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10.3.3 </w:t>
      </w:r>
      <w:r>
        <w:rPr>
          <w:rFonts w:ascii="Times New Roman" w:hAnsi="Times New Roman" w:eastAsia="仿宋_GB2312;仿宋" w:cs="Times New Roman"/>
          <w:color w:val="000000"/>
          <w:sz w:val="24"/>
          <w:szCs w:val="24"/>
        </w:rPr>
        <w:t>变更执行</w:t>
      </w:r>
    </w:p>
    <w:p w14:paraId="063A6C8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承包人收到监理人下达的变更指示后，认为不能执行，应立即提出不能执行该变更指示的理由。承包人认为可以执行变更的，应当书面说明实施该变更指示对合同价格和工期的影响，且合同当事人应当按照第</w:t>
      </w:r>
      <w:r>
        <w:rPr>
          <w:rFonts w:eastAsia="仿宋_GB2312;仿宋" w:cs="Times New Roman"/>
          <w:color w:val="000000"/>
          <w:kern w:val="0"/>
          <w:sz w:val="24"/>
          <w:szCs w:val="24"/>
        </w:rPr>
        <w:t>10.4</w:t>
      </w:r>
      <w:r>
        <w:rPr>
          <w:rFonts w:ascii="Times New Roman" w:hAnsi="Times New Roman" w:eastAsia="仿宋_GB2312;仿宋" w:cs="Times New Roman"/>
          <w:color w:val="000000"/>
          <w:kern w:val="0"/>
          <w:sz w:val="24"/>
          <w:szCs w:val="24"/>
        </w:rPr>
        <w:t>款〔变更估价〕约定确定变更估价。</w:t>
      </w:r>
    </w:p>
    <w:p w14:paraId="129103D9">
      <w:pPr>
        <w:pStyle w:val="6"/>
        <w:spacing w:before="120" w:after="120" w:line="360" w:lineRule="auto"/>
        <w:ind w:firstLine="480"/>
        <w:rPr>
          <w:rFonts w:ascii="Times New Roman" w:hAnsi="Times New Roman" w:eastAsia="黑体" w:cs="Times New Roman"/>
          <w:b w:val="0"/>
          <w:color w:val="000000"/>
          <w:sz w:val="24"/>
          <w:szCs w:val="24"/>
        </w:rPr>
      </w:pPr>
      <w:bookmarkStart w:id="109" w:name="__RefHeading___Toc351203571"/>
      <w:bookmarkEnd w:id="109"/>
      <w:r>
        <w:rPr>
          <w:rFonts w:eastAsia="黑体" w:cs="Times New Roman"/>
          <w:b w:val="0"/>
          <w:color w:val="000000"/>
          <w:sz w:val="24"/>
          <w:szCs w:val="24"/>
        </w:rPr>
        <w:t>10.4</w:t>
      </w:r>
      <w:r>
        <w:rPr>
          <w:rFonts w:ascii="Times New Roman" w:hAnsi="Times New Roman" w:eastAsia="黑体" w:cs="Times New Roman"/>
          <w:b w:val="0"/>
          <w:color w:val="000000"/>
          <w:sz w:val="24"/>
          <w:szCs w:val="24"/>
        </w:rPr>
        <w:t>变更估价</w:t>
      </w:r>
    </w:p>
    <w:p w14:paraId="4C8A2F1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10.4.1 </w:t>
      </w:r>
      <w:r>
        <w:rPr>
          <w:rFonts w:ascii="Times New Roman" w:hAnsi="Times New Roman" w:eastAsia="仿宋_GB2312;仿宋" w:cs="Times New Roman"/>
          <w:color w:val="000000"/>
          <w:kern w:val="0"/>
          <w:sz w:val="24"/>
          <w:szCs w:val="24"/>
        </w:rPr>
        <w:t>变更估价原则</w:t>
      </w:r>
    </w:p>
    <w:p w14:paraId="550E253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除专用合同条款另有约定外，变更估价按照本款约定处理：</w:t>
      </w:r>
    </w:p>
    <w:p w14:paraId="7122845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）已标价工程量清单或预算书有相同项目的，按照相同项目单价认定；</w:t>
      </w:r>
    </w:p>
    <w:p w14:paraId="08DFD84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）已标价工程量清单或预算书中无相同项目，但有类似项目的，参照类似项目的单价认定；</w:t>
      </w:r>
    </w:p>
    <w:p w14:paraId="269202F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）变更导致实际完成的变更工程量与已标价工程量清单或预算书中列明的该项目工程量的变化幅度超过</w:t>
      </w:r>
      <w:r>
        <w:rPr>
          <w:rFonts w:eastAsia="仿宋_GB2312;仿宋" w:cs="Times New Roman"/>
          <w:color w:val="000000"/>
          <w:kern w:val="0"/>
          <w:sz w:val="24"/>
          <w:szCs w:val="24"/>
        </w:rPr>
        <w:t>15%</w:t>
      </w:r>
      <w:r>
        <w:rPr>
          <w:rFonts w:ascii="Times New Roman" w:hAnsi="Times New Roman" w:eastAsia="仿宋_GB2312;仿宋" w:cs="Times New Roman"/>
          <w:color w:val="000000"/>
          <w:kern w:val="0"/>
          <w:sz w:val="24"/>
          <w:szCs w:val="24"/>
        </w:rPr>
        <w:t>的，或已标价工程量清单或预算书中无相同项目及类似项目单价的，按照合理的成本与利润构成的原则，由合同当事人按照第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款〔商定或确定〕确定变更工作的单价。</w:t>
      </w:r>
    </w:p>
    <w:p w14:paraId="01360A6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10.4.2 </w:t>
      </w:r>
      <w:r>
        <w:rPr>
          <w:rFonts w:ascii="Times New Roman" w:hAnsi="Times New Roman" w:eastAsia="仿宋_GB2312;仿宋" w:cs="Times New Roman"/>
          <w:color w:val="000000"/>
          <w:kern w:val="0"/>
          <w:sz w:val="24"/>
          <w:szCs w:val="24"/>
        </w:rPr>
        <w:t>变更估价程序</w:t>
      </w:r>
    </w:p>
    <w:p w14:paraId="31EE843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承包人应在收到变更指示后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天内，向监理人提交变更估价申请。监理人应在收到承包人提交的变更估价申请后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天内审查完毕并报送发包人，监理人对变更估价申请有异议，通知承包人修改后重新提交。发包人应在承包人提交变更估价申请后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天内审批完毕。发包人逾期未完成审批或未提出异议的，视为认可承包人提交的变更估价申请。</w:t>
      </w:r>
    </w:p>
    <w:p w14:paraId="6BF988E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因变更引起的价格调整应计入最近一期的进度款中支付。</w:t>
      </w:r>
    </w:p>
    <w:p w14:paraId="6073071F">
      <w:pPr>
        <w:pStyle w:val="6"/>
        <w:spacing w:before="120" w:after="120" w:line="360" w:lineRule="auto"/>
        <w:ind w:firstLine="480"/>
        <w:rPr>
          <w:rFonts w:ascii="Times New Roman" w:hAnsi="Times New Roman" w:eastAsia="黑体" w:cs="Times New Roman"/>
          <w:b w:val="0"/>
          <w:color w:val="000000"/>
          <w:sz w:val="24"/>
          <w:szCs w:val="24"/>
        </w:rPr>
      </w:pPr>
      <w:bookmarkStart w:id="110" w:name="__RefHeading___Toc351203572"/>
      <w:bookmarkEnd w:id="110"/>
      <w:r>
        <w:rPr>
          <w:rFonts w:eastAsia="黑体" w:cs="Times New Roman"/>
          <w:b w:val="0"/>
          <w:color w:val="000000"/>
          <w:sz w:val="24"/>
          <w:szCs w:val="24"/>
        </w:rPr>
        <w:t>10.5</w:t>
      </w:r>
      <w:r>
        <w:rPr>
          <w:rFonts w:ascii="Times New Roman" w:hAnsi="Times New Roman" w:eastAsia="黑体" w:cs="Times New Roman"/>
          <w:b w:val="0"/>
          <w:color w:val="000000"/>
          <w:sz w:val="24"/>
          <w:szCs w:val="24"/>
        </w:rPr>
        <w:t>承包人的合理化建议</w:t>
      </w:r>
    </w:p>
    <w:p w14:paraId="4C39ECE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承包人提出合理化建议的，应向监理人提交合理化建议说明，说明建议的内容和理由，以及实施该建议对合同价格和工期的影响。</w:t>
      </w:r>
    </w:p>
    <w:p w14:paraId="69102C7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除专用合同条款另有约定外，监理人应在收到承包人提交的合理化建议后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天内审查完毕并报送发包人，发现其中存在技术上的缺陷，应通知承包人修改。发包人应在收到监理人报送的合理化建议后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天内审批完毕。合理化建议经发包人批准的，监理人应及时发出变更指示，由此引起的合同价格调整按照第</w:t>
      </w:r>
      <w:r>
        <w:rPr>
          <w:rFonts w:eastAsia="仿宋_GB2312;仿宋" w:cs="Times New Roman"/>
          <w:color w:val="000000"/>
          <w:kern w:val="0"/>
          <w:sz w:val="24"/>
          <w:szCs w:val="24"/>
        </w:rPr>
        <w:t>10.4</w:t>
      </w:r>
      <w:r>
        <w:rPr>
          <w:rFonts w:ascii="Times New Roman" w:hAnsi="Times New Roman" w:eastAsia="仿宋_GB2312;仿宋" w:cs="Times New Roman"/>
          <w:color w:val="000000"/>
          <w:kern w:val="0"/>
          <w:sz w:val="24"/>
          <w:szCs w:val="24"/>
        </w:rPr>
        <w:t>款〔变更估价〕约定执行。发包人不同意变更的，监理人应书面通知承包人。</w:t>
      </w:r>
    </w:p>
    <w:p w14:paraId="23DFB5F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合理化建议降低了合同价格或者提高了工程经济效益的，发包人可对承包人给予奖励，奖励的方法和金额在专用合同条款中约定。</w:t>
      </w:r>
    </w:p>
    <w:p w14:paraId="17332AA9">
      <w:pPr>
        <w:pStyle w:val="6"/>
        <w:spacing w:before="120" w:after="120" w:line="360" w:lineRule="auto"/>
        <w:ind w:firstLine="480"/>
        <w:rPr>
          <w:rFonts w:ascii="Times New Roman" w:hAnsi="Times New Roman" w:eastAsia="仿宋_GB2312;仿宋" w:cs="Times New Roman"/>
          <w:color w:val="000000"/>
          <w:sz w:val="24"/>
          <w:szCs w:val="24"/>
        </w:rPr>
      </w:pPr>
      <w:bookmarkStart w:id="111" w:name="__RefHeading___Toc351203573"/>
      <w:r>
        <w:rPr>
          <w:rFonts w:eastAsia="黑体" w:cs="Times New Roman"/>
          <w:b w:val="0"/>
          <w:color w:val="000000"/>
          <w:sz w:val="24"/>
          <w:szCs w:val="24"/>
        </w:rPr>
        <w:t>10.6</w:t>
      </w:r>
      <w:r>
        <w:rPr>
          <w:rFonts w:ascii="Times New Roman" w:hAnsi="Times New Roman" w:eastAsia="黑体" w:cs="Times New Roman"/>
          <w:b w:val="0"/>
          <w:color w:val="000000"/>
          <w:sz w:val="24"/>
          <w:szCs w:val="24"/>
        </w:rPr>
        <w:t>变更引起的工期调整</w:t>
      </w:r>
      <w:bookmarkEnd w:id="111"/>
      <w:r>
        <w:rPr>
          <w:rFonts w:ascii="Times New Roman" w:hAnsi="Times New Roman" w:eastAsia="Times New Roman" w:cs="Times New Roman"/>
          <w:b w:val="0"/>
          <w:color w:val="000000"/>
          <w:sz w:val="24"/>
          <w:szCs w:val="24"/>
        </w:rPr>
        <w:t xml:space="preserve">  </w:t>
      </w:r>
      <w:r>
        <w:rPr>
          <w:rFonts w:ascii="Times New Roman" w:hAnsi="Times New Roman" w:eastAsia="Times New Roman" w:cs="Times New Roman"/>
          <w:color w:val="000000"/>
          <w:sz w:val="24"/>
          <w:szCs w:val="24"/>
        </w:rPr>
        <w:t xml:space="preserve"> </w:t>
      </w:r>
    </w:p>
    <w:p w14:paraId="35B1162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因变更引起工期变化的，合同当事人均可要求调整合同工期，由合同当事人按照第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款〔商定或确定〕并参考工程所在地的工期定额标准确定增减工期天数。</w:t>
      </w:r>
    </w:p>
    <w:p w14:paraId="754EDE76">
      <w:pPr>
        <w:pStyle w:val="6"/>
        <w:spacing w:before="120" w:after="120" w:line="360" w:lineRule="auto"/>
        <w:ind w:firstLine="480"/>
        <w:rPr>
          <w:rFonts w:ascii="Times New Roman" w:hAnsi="Times New Roman" w:eastAsia="黑体" w:cs="Times New Roman"/>
          <w:b w:val="0"/>
          <w:color w:val="000000"/>
          <w:sz w:val="24"/>
          <w:szCs w:val="24"/>
        </w:rPr>
      </w:pPr>
      <w:bookmarkStart w:id="112" w:name="__RefHeading___Toc351203574"/>
      <w:bookmarkEnd w:id="112"/>
      <w:r>
        <w:rPr>
          <w:rFonts w:eastAsia="黑体" w:cs="Times New Roman"/>
          <w:b w:val="0"/>
          <w:color w:val="000000"/>
          <w:sz w:val="24"/>
          <w:szCs w:val="24"/>
        </w:rPr>
        <w:t>10.7</w:t>
      </w:r>
      <w:r>
        <w:rPr>
          <w:rFonts w:ascii="Times New Roman" w:hAnsi="Times New Roman" w:eastAsia="黑体" w:cs="Times New Roman"/>
          <w:b w:val="0"/>
          <w:color w:val="000000"/>
          <w:sz w:val="24"/>
          <w:szCs w:val="24"/>
        </w:rPr>
        <w:t>暂估价</w:t>
      </w:r>
    </w:p>
    <w:p w14:paraId="0A866BF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暂估价专业分包工程、服务、材料和工程设备的明细由合同当事人在专用合同条款中约定。</w:t>
      </w:r>
    </w:p>
    <w:p w14:paraId="3F61BC8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10.7.1</w:t>
      </w:r>
      <w:r>
        <w:rPr>
          <w:rFonts w:eastAsia="仿宋_GB2312;仿宋" w:cs="Times New Roman"/>
          <w:color w:val="000000"/>
          <w:kern w:val="0"/>
          <w:sz w:val="24"/>
          <w:szCs w:val="24"/>
        </w:rPr>
        <w:t xml:space="preserve"> </w:t>
      </w:r>
      <w:r>
        <w:rPr>
          <w:rFonts w:ascii="Times New Roman" w:hAnsi="Times New Roman" w:eastAsia="仿宋_GB2312;仿宋" w:cs="Times New Roman"/>
          <w:color w:val="000000"/>
          <w:kern w:val="0"/>
          <w:sz w:val="24"/>
          <w:szCs w:val="24"/>
        </w:rPr>
        <w:t>依法必须招标的暂估价项目</w:t>
      </w:r>
    </w:p>
    <w:p w14:paraId="443FEB1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对于依法必须招标的暂估价项目，采取以下第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种方式确定。合同当事人也可以在专用合同条款中选择其他招标方式。</w:t>
      </w:r>
    </w:p>
    <w:p w14:paraId="78328AF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种方式：对于依法必须招标的暂估价项目，由承包人招标，对该暂估价项目的确认和批准按照以下约定执行：</w:t>
      </w:r>
    </w:p>
    <w:p w14:paraId="196092C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）承包人应当根据施工进度计划，在采购工作启动前</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天将采购方案通过监理人报送发包人审查，发包人应当在收到承包人报送的采购方案后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天内批准或提出修改意见。承包人应当按照经过发包人批准的采购方案开展采购工作；</w:t>
      </w:r>
    </w:p>
    <w:p w14:paraId="2349EA1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(2) 承包人应当根据施工进度计划，提前 14 天将招标文件通过监理人报送发包人审批，发包人应当在收到承包人报送的相关文件后 7 天内完成审批或提出修改意见；发包人有权确定招标控制价并按照法律规定参加评标；</w:t>
      </w:r>
    </w:p>
    <w:p w14:paraId="0294C0F7">
      <w:pPr>
        <w:spacing w:line="360" w:lineRule="auto"/>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ascii="Times New Roman" w:hAnsi="Times New Roman" w:eastAsia="仿宋_GB2312;仿宋" w:cs="Times New Roman"/>
          <w:color w:val="000000"/>
          <w:kern w:val="0"/>
          <w:sz w:val="24"/>
          <w:szCs w:val="24"/>
        </w:rPr>
        <w:t xml:space="preserve">  (3) 承包人与供应商、分包人在签订暂估价合同前，应当提前 7 天将确定的中标候选供应商或中标候选分包人的资料报送发包人，发包人应在收到资料后 3 天内与承包人共同确定中标供应商。</w:t>
      </w:r>
    </w:p>
    <w:p w14:paraId="7D740F8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种方式：对于依法必须招标的暂估价项目，由发包人和承包人共同招标确定暂估价供应商或分包人的，承包人应按照施工进度计划，在招标工作启动前</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天通知发包人，并提交暂估价招标方案和工作分工。发包人应在收到后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天内确认。确定中标人后，由发包人、承包人与中标人共同签订暂估价合同。</w:t>
      </w:r>
    </w:p>
    <w:p w14:paraId="1BFF8AE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10.7.2</w:t>
      </w:r>
      <w:r>
        <w:rPr>
          <w:rFonts w:ascii="Times New Roman" w:hAnsi="Times New Roman" w:eastAsia="仿宋_GB2312;仿宋" w:cs="Times New Roman"/>
          <w:color w:val="000000"/>
          <w:kern w:val="0"/>
          <w:sz w:val="24"/>
          <w:szCs w:val="24"/>
        </w:rPr>
        <w:t>不属于依法必须招标的暂估价项目</w:t>
      </w:r>
    </w:p>
    <w:p w14:paraId="3AAB984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除专用合同条款另有约定外，对于不属于依法必须招标的暂估价项目，采取以下第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种方式确定：</w:t>
      </w:r>
      <w:r>
        <w:rPr>
          <w:rFonts w:ascii="Times New Roman" w:hAnsi="Times New Roman" w:eastAsia="Times New Roman" w:cs="Times New Roman"/>
          <w:color w:val="000000"/>
          <w:kern w:val="0"/>
          <w:sz w:val="24"/>
          <w:szCs w:val="24"/>
        </w:rPr>
        <w:t xml:space="preserve"> </w:t>
      </w:r>
    </w:p>
    <w:p w14:paraId="549B6D6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种方式：对于不属于依法必须招标的暂估价项目，按本项约定确认和批准：</w:t>
      </w:r>
    </w:p>
    <w:p w14:paraId="2FB358F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）承包人应根据施工进度计划，在签订暂估价项目的采购合同、分包合同前</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天向监理人提出书面申请。监理人应当在收到申请后</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天内报送发包人，发包人应当在收到申请后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天内给予批准或提出修改意见，发包人逾期未予批准或提出修改意见的，视为该书面申请已获得同意；</w:t>
      </w:r>
    </w:p>
    <w:p w14:paraId="1888E8C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）发包人认为承包人确定的供应商、分包人无法满足工程质量或合同要求的，发包人可以要求承包人重新确定暂估价项目的供应商、分包人</w:t>
      </w:r>
      <w:r>
        <w:rPr>
          <w:rFonts w:eastAsia="仿宋_GB2312;仿宋" w:cs="Times New Roman"/>
          <w:color w:val="000000"/>
          <w:kern w:val="0"/>
          <w:sz w:val="24"/>
          <w:szCs w:val="24"/>
        </w:rPr>
        <w:t>;</w:t>
      </w:r>
    </w:p>
    <w:p w14:paraId="7C5FBFF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）承包人应当在签订暂估价合同后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天内，将暂估价合同副本报送发包人留存。</w:t>
      </w:r>
    </w:p>
    <w:p w14:paraId="65F450E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种方式：承包人按照第</w:t>
      </w:r>
      <w:r>
        <w:rPr>
          <w:rFonts w:eastAsia="仿宋_GB2312;仿宋" w:cs="Times New Roman"/>
          <w:color w:val="000000"/>
          <w:kern w:val="0"/>
          <w:sz w:val="24"/>
          <w:szCs w:val="24"/>
        </w:rPr>
        <w:t>10.7.1</w:t>
      </w:r>
      <w:r>
        <w:rPr>
          <w:rFonts w:ascii="Times New Roman" w:hAnsi="Times New Roman" w:eastAsia="仿宋_GB2312;仿宋" w:cs="Times New Roman"/>
          <w:color w:val="000000"/>
          <w:kern w:val="0"/>
          <w:sz w:val="24"/>
          <w:szCs w:val="24"/>
        </w:rPr>
        <w:t>项〔依法必须招标的暂估价项目〕约定的第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种方式确定暂估价项目。</w:t>
      </w:r>
    </w:p>
    <w:p w14:paraId="0A8D91C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种方式：</w:t>
      </w:r>
      <w:r>
        <w:rPr>
          <w:rFonts w:ascii="Times New Roman" w:hAnsi="Times New Roman" w:eastAsia="仿宋_GB2312;仿宋" w:cs="Times New Roman"/>
          <w:color w:val="000000"/>
          <w:kern w:val="0"/>
          <w:sz w:val="24"/>
          <w:szCs w:val="24"/>
        </w:rPr>
        <w:t>承包人直接实施的暂估价项目</w:t>
      </w:r>
    </w:p>
    <w:p w14:paraId="3DDA30A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承包人具备实施暂估价项目的资格和条件的，经发包人和承包人协商一致后，可由承包人自行实施暂估价项目，合同当事人可以在专用合同条款约定具体事项。</w:t>
      </w:r>
    </w:p>
    <w:p w14:paraId="773DAA2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10.7.3 </w:t>
      </w:r>
      <w:r>
        <w:rPr>
          <w:rFonts w:ascii="Times New Roman" w:hAnsi="Times New Roman" w:eastAsia="仿宋_GB2312;仿宋" w:cs="Times New Roman"/>
          <w:color w:val="000000"/>
          <w:kern w:val="0"/>
          <w:sz w:val="24"/>
          <w:szCs w:val="24"/>
        </w:rPr>
        <w:t>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38B95630">
      <w:pPr>
        <w:pStyle w:val="6"/>
        <w:spacing w:before="120" w:after="120" w:line="360" w:lineRule="auto"/>
        <w:ind w:firstLine="480"/>
        <w:rPr>
          <w:rFonts w:ascii="Times New Roman" w:hAnsi="Times New Roman" w:eastAsia="黑体" w:cs="Times New Roman"/>
          <w:b w:val="0"/>
          <w:color w:val="000000"/>
          <w:sz w:val="24"/>
          <w:szCs w:val="24"/>
        </w:rPr>
      </w:pPr>
      <w:bookmarkStart w:id="113" w:name="__RefHeading___Toc351203575"/>
      <w:bookmarkEnd w:id="113"/>
      <w:r>
        <w:rPr>
          <w:rFonts w:eastAsia="黑体" w:cs="Times New Roman"/>
          <w:b w:val="0"/>
          <w:color w:val="000000"/>
          <w:sz w:val="24"/>
          <w:szCs w:val="24"/>
        </w:rPr>
        <w:t>10.8</w:t>
      </w:r>
      <w:r>
        <w:rPr>
          <w:rFonts w:ascii="Times New Roman" w:hAnsi="Times New Roman" w:eastAsia="黑体" w:cs="Times New Roman"/>
          <w:b w:val="0"/>
          <w:color w:val="000000"/>
          <w:sz w:val="24"/>
          <w:szCs w:val="24"/>
        </w:rPr>
        <w:t>暂列金额</w:t>
      </w:r>
    </w:p>
    <w:p w14:paraId="129B388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暂列金额应按照发包人的要求使用，发包人的要求应通过监理人发出。合同当事人可以在专用合同条款中协商确定有关事项。</w:t>
      </w:r>
    </w:p>
    <w:p w14:paraId="13C55232">
      <w:pPr>
        <w:pStyle w:val="6"/>
        <w:spacing w:before="120" w:after="120" w:line="360" w:lineRule="auto"/>
        <w:ind w:firstLine="480"/>
        <w:rPr>
          <w:rFonts w:ascii="Times New Roman" w:hAnsi="Times New Roman" w:eastAsia="黑体" w:cs="Times New Roman"/>
          <w:b w:val="0"/>
          <w:color w:val="000000"/>
          <w:sz w:val="24"/>
          <w:szCs w:val="24"/>
        </w:rPr>
      </w:pPr>
      <w:bookmarkStart w:id="114" w:name="__RefHeading___Toc351203576"/>
      <w:r>
        <w:rPr>
          <w:rFonts w:eastAsia="黑体" w:cs="Times New Roman"/>
          <w:b w:val="0"/>
          <w:color w:val="000000"/>
          <w:sz w:val="24"/>
          <w:szCs w:val="24"/>
        </w:rPr>
        <w:t>10.9</w:t>
      </w:r>
      <w:r>
        <w:rPr>
          <w:rFonts w:ascii="Times New Roman" w:hAnsi="Times New Roman" w:eastAsia="黑体" w:cs="Times New Roman"/>
          <w:b w:val="0"/>
          <w:color w:val="000000"/>
          <w:sz w:val="24"/>
          <w:szCs w:val="24"/>
        </w:rPr>
        <w:t>计日工</w:t>
      </w:r>
      <w:bookmarkEnd w:id="114"/>
      <w:r>
        <w:rPr>
          <w:rFonts w:ascii="Times New Roman" w:hAnsi="Times New Roman" w:eastAsia="Times New Roman" w:cs="Times New Roman"/>
          <w:b w:val="0"/>
          <w:color w:val="000000"/>
          <w:sz w:val="24"/>
          <w:szCs w:val="24"/>
        </w:rPr>
        <w:t xml:space="preserve"> </w:t>
      </w:r>
    </w:p>
    <w:p w14:paraId="4D0E349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款〔商定或确定〕确定计日工的单价。</w:t>
      </w:r>
    </w:p>
    <w:p w14:paraId="3A3BF39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采用计日工计价的任何一项工作，承包人应在该项工作实施过程中，每天提交以下报表和有关凭证报送监理人审查：</w:t>
      </w:r>
    </w:p>
    <w:p w14:paraId="739B4ADB">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）工作名称、内容和数量；</w:t>
      </w:r>
    </w:p>
    <w:p w14:paraId="3C0CE897">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）投入该工作的所有人员的姓名、专业、工种、级别和耗用工时；</w:t>
      </w:r>
    </w:p>
    <w:p w14:paraId="6662B907">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）投入该工作的材料类别和数量；</w:t>
      </w:r>
    </w:p>
    <w:p w14:paraId="2BF1FFE9">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）投入该工作的施工设备型号、台数和耗用台时；</w:t>
      </w:r>
    </w:p>
    <w:p w14:paraId="54D3F263">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）其他有关资料和凭证。</w:t>
      </w:r>
    </w:p>
    <w:p w14:paraId="4F78B7E0">
      <w:pPr>
        <w:spacing w:line="360" w:lineRule="auto"/>
        <w:ind w:firstLine="360"/>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ascii="Times New Roman" w:hAnsi="Times New Roman" w:eastAsia="仿宋_GB2312;仿宋" w:cs="Times New Roman"/>
          <w:color w:val="000000"/>
          <w:kern w:val="0"/>
          <w:sz w:val="24"/>
          <w:szCs w:val="24"/>
        </w:rPr>
        <w:t>计日工由承包人汇总后，列入最近一期进度付款申请单，由监理人审查并经发包人批准后列入进度付款。</w:t>
      </w:r>
    </w:p>
    <w:p w14:paraId="22305268">
      <w:pPr>
        <w:pStyle w:val="5"/>
        <w:spacing w:before="120" w:after="120" w:line="360" w:lineRule="auto"/>
        <w:rPr>
          <w:rFonts w:ascii="Times New Roman" w:hAnsi="Times New Roman" w:eastAsia="黑体" w:cs="Times New Roman"/>
          <w:b w:val="0"/>
          <w:color w:val="000000"/>
          <w:sz w:val="24"/>
          <w:szCs w:val="24"/>
        </w:rPr>
      </w:pPr>
      <w:bookmarkStart w:id="115" w:name="__RefHeading___Toc351203577"/>
      <w:bookmarkEnd w:id="115"/>
      <w:r>
        <w:rPr>
          <w:rFonts w:ascii="Times New Roman" w:hAnsi="Times New Roman" w:eastAsia="黑体" w:cs="Times New Roman"/>
          <w:b w:val="0"/>
          <w:color w:val="000000"/>
          <w:sz w:val="24"/>
          <w:szCs w:val="24"/>
        </w:rPr>
        <w:t xml:space="preserve">11. </w:t>
      </w:r>
      <w:r>
        <w:rPr>
          <w:rFonts w:ascii="Times New Roman" w:hAnsi="Times New Roman" w:cs="Times New Roman"/>
          <w:b w:val="0"/>
          <w:color w:val="000000"/>
          <w:sz w:val="24"/>
          <w:szCs w:val="24"/>
        </w:rPr>
        <w:t>价格调整</w:t>
      </w:r>
    </w:p>
    <w:p w14:paraId="39D4DEDC">
      <w:pPr>
        <w:pStyle w:val="6"/>
        <w:spacing w:before="120" w:after="120" w:line="360" w:lineRule="auto"/>
        <w:ind w:firstLine="480"/>
        <w:rPr>
          <w:rFonts w:ascii="Times New Roman" w:hAnsi="Times New Roman" w:eastAsia="黑体" w:cs="Times New Roman"/>
          <w:b w:val="0"/>
          <w:color w:val="000000"/>
          <w:sz w:val="24"/>
          <w:szCs w:val="24"/>
        </w:rPr>
      </w:pPr>
      <w:bookmarkStart w:id="116" w:name="__RefHeading___Toc351203578"/>
      <w:bookmarkEnd w:id="116"/>
      <w:r>
        <w:rPr>
          <w:rFonts w:eastAsia="黑体" w:cs="Times New Roman"/>
          <w:b w:val="0"/>
          <w:color w:val="000000"/>
          <w:sz w:val="24"/>
          <w:szCs w:val="24"/>
        </w:rPr>
        <w:t>11.1</w:t>
      </w:r>
      <w:r>
        <w:rPr>
          <w:rFonts w:ascii="Times New Roman" w:hAnsi="Times New Roman" w:eastAsia="黑体" w:cs="Times New Roman"/>
          <w:b w:val="0"/>
          <w:color w:val="000000"/>
          <w:sz w:val="24"/>
          <w:szCs w:val="24"/>
        </w:rPr>
        <w:t>市场价格波动引起的调整</w:t>
      </w:r>
    </w:p>
    <w:p w14:paraId="2C644C7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除专用合同条款另有约定外，市场价格波动超过合同当事人约定的范围，合同价格应当调整。合同当事人可以在专用合同条款中约定选择以下一种方式对合同价格进行调整：</w:t>
      </w:r>
    </w:p>
    <w:p w14:paraId="32BC0A6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种方式：采用价格指数进行价格调整。</w:t>
      </w:r>
    </w:p>
    <w:p w14:paraId="76104895">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）价格调整公式</w:t>
      </w:r>
    </w:p>
    <w:p w14:paraId="363EDC73">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因人工、材料和设备等价格波动影响合同价格时，根据专用合同条款中约定的数据，按以下公式计算差额并调整合同价格：</w:t>
      </w:r>
    </w:p>
    <w:p w14:paraId="5D7F1499">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m:oMathPara>
        <m:oMathParaPr>
          <m:jc m:val="left"/>
        </m:oMathParaPr>
        <m:oMath>
          <m:r>
            <m:rPr/>
            <w:rPr>
              <w:rFonts w:ascii="Cambria Math" w:hAnsi="Cambria Math"/>
            </w:rPr>
            <m:t>ΔP=P0</m:t>
          </m:r>
          <m:d>
            <m:dPr>
              <m:begChr m:val="["/>
              <m:endChr m:val="]"/>
            </m:dPr>
            <m:e>
              <m:r>
                <m:rPr/>
                <w:rPr>
                  <w:rFonts w:ascii="Cambria Math" w:hAnsi="Cambria Math"/>
                </w:rPr>
                <m:t>A+</m:t>
              </m:r>
              <m:d>
                <m:dPr/>
                <m:e>
                  <m:r>
                    <m:rPr/>
                    <w:rPr>
                      <w:rFonts w:ascii="Cambria Math" w:hAnsi="Cambria Math"/>
                    </w:rPr>
                    <m:t>B1×</m:t>
                  </m:r>
                  <m:f>
                    <m:fPr/>
                    <m:num>
                      <m:r>
                        <m:rPr/>
                        <w:rPr>
                          <w:rFonts w:ascii="Cambria Math" w:hAnsi="Cambria Math"/>
                        </w:rPr>
                        <m:t>F</m:t>
                      </m:r>
                      <m:r>
                        <m:rPr>
                          <m:nor/>
                          <m:sty m:val="p"/>
                        </m:rPr>
                        <w:rPr>
                          <w:rFonts w:ascii="Cambria Math" w:hAnsi="Cambria Math"/>
                          <w:b w:val="0"/>
                          <w:i w:val="0"/>
                        </w:rPr>
                        <m:t>t1</m:t>
                      </m:r>
                    </m:num>
                    <m:den>
                      <m:r>
                        <m:rPr/>
                        <w:rPr>
                          <w:rFonts w:ascii="Cambria Math" w:hAnsi="Cambria Math"/>
                        </w:rPr>
                        <m:t>F</m:t>
                      </m:r>
                      <m:r>
                        <m:rPr>
                          <m:nor/>
                          <m:sty m:val="p"/>
                        </m:rPr>
                        <w:rPr>
                          <w:rFonts w:ascii="Cambria Math" w:hAnsi="Cambria Math"/>
                          <w:b w:val="0"/>
                          <w:i w:val="0"/>
                        </w:rPr>
                        <m:t>01</m:t>
                      </m:r>
                    </m:den>
                  </m:f>
                  <m:r>
                    <m:rPr/>
                    <w:rPr>
                      <w:rFonts w:ascii="Cambria Math" w:hAnsi="Cambria Math"/>
                    </w:rPr>
                    <m:t>+B2×</m:t>
                  </m:r>
                  <m:f>
                    <m:fPr/>
                    <m:num>
                      <m:r>
                        <m:rPr/>
                        <w:rPr>
                          <w:rFonts w:ascii="Cambria Math" w:hAnsi="Cambria Math"/>
                        </w:rPr>
                        <m:t>F</m:t>
                      </m:r>
                      <m:r>
                        <m:rPr>
                          <m:nor/>
                          <m:sty m:val="p"/>
                        </m:rPr>
                        <w:rPr>
                          <w:rFonts w:ascii="Cambria Math" w:hAnsi="Cambria Math"/>
                          <w:b w:val="0"/>
                          <w:i w:val="0"/>
                        </w:rPr>
                        <m:t>t2</m:t>
                      </m:r>
                    </m:num>
                    <m:den>
                      <m:r>
                        <m:rPr/>
                        <w:rPr>
                          <w:rFonts w:ascii="Cambria Math" w:hAnsi="Cambria Math"/>
                        </w:rPr>
                        <m:t>F</m:t>
                      </m:r>
                      <m:r>
                        <m:rPr>
                          <m:nor/>
                          <m:sty m:val="p"/>
                        </m:rPr>
                        <w:rPr>
                          <w:rFonts w:ascii="Cambria Math" w:hAnsi="Cambria Math"/>
                          <w:b w:val="0"/>
                          <w:i w:val="0"/>
                        </w:rPr>
                        <m:t>02</m:t>
                      </m:r>
                    </m:den>
                  </m:f>
                  <m:r>
                    <m:rPr/>
                    <w:rPr>
                      <w:rFonts w:ascii="Cambria Math" w:hAnsi="Cambria Math"/>
                    </w:rPr>
                    <m:t>+B3×</m:t>
                  </m:r>
                  <m:f>
                    <m:fPr/>
                    <m:num>
                      <m:r>
                        <m:rPr/>
                        <w:rPr>
                          <w:rFonts w:ascii="Cambria Math" w:hAnsi="Cambria Math"/>
                        </w:rPr>
                        <m:t>F</m:t>
                      </m:r>
                      <m:r>
                        <m:rPr>
                          <m:nor/>
                          <m:sty m:val="p"/>
                        </m:rPr>
                        <w:rPr>
                          <w:rFonts w:ascii="Cambria Math" w:hAnsi="Cambria Math"/>
                          <w:b w:val="0"/>
                          <w:i w:val="0"/>
                        </w:rPr>
                        <m:t>t3</m:t>
                      </m:r>
                    </m:num>
                    <m:den>
                      <m:r>
                        <m:rPr/>
                        <w:rPr>
                          <w:rFonts w:ascii="Cambria Math" w:hAnsi="Cambria Math"/>
                        </w:rPr>
                        <m:t>F</m:t>
                      </m:r>
                      <m:r>
                        <m:rPr>
                          <m:nor/>
                          <m:sty m:val="p"/>
                        </m:rPr>
                        <w:rPr>
                          <w:rFonts w:ascii="Cambria Math" w:hAnsi="Cambria Math"/>
                          <w:b w:val="0"/>
                          <w:i w:val="0"/>
                        </w:rPr>
                        <m:t>03</m:t>
                      </m:r>
                    </m:den>
                  </m:f>
                  <m:r>
                    <m:rPr/>
                    <w:rPr>
                      <w:rFonts w:ascii="Cambria Math" w:hAnsi="Cambria Math"/>
                    </w:rPr>
                    <m:t>+⋯+Bn×</m:t>
                  </m:r>
                  <m:f>
                    <m:fPr/>
                    <m:num>
                      <m:r>
                        <m:rPr/>
                        <w:rPr>
                          <w:rFonts w:ascii="Cambria Math" w:hAnsi="Cambria Math"/>
                        </w:rPr>
                        <m:t>F</m:t>
                      </m:r>
                      <m:r>
                        <m:rPr>
                          <m:nor/>
                          <m:sty m:val="p"/>
                        </m:rPr>
                        <w:rPr>
                          <w:rFonts w:ascii="Cambria Math" w:hAnsi="Cambria Math"/>
                          <w:b w:val="0"/>
                          <w:i w:val="0"/>
                        </w:rPr>
                        <m:t>tn</m:t>
                      </m:r>
                    </m:num>
                    <m:den>
                      <m:r>
                        <m:rPr/>
                        <w:rPr>
                          <w:rFonts w:ascii="Cambria Math" w:hAnsi="Cambria Math"/>
                        </w:rPr>
                        <m:t>F</m:t>
                      </m:r>
                      <m:r>
                        <m:rPr>
                          <m:nor/>
                          <m:sty m:val="p"/>
                        </m:rPr>
                        <w:rPr>
                          <w:rFonts w:ascii="Cambria Math" w:hAnsi="Cambria Math"/>
                          <w:b w:val="0"/>
                          <w:i w:val="0"/>
                        </w:rPr>
                        <m:t>0n</m:t>
                      </m:r>
                    </m:den>
                  </m:f>
                </m:e>
              </m:d>
              <m:r>
                <m:rPr/>
                <w:rPr>
                  <w:rFonts w:ascii="Cambria Math" w:hAnsi="Cambria Math"/>
                </w:rPr>
                <m:t>−1</m:t>
              </m:r>
            </m:e>
          </m:d>
        </m:oMath>
      </m:oMathPara>
    </w:p>
    <w:p w14:paraId="423BC560">
      <w:pPr>
        <w:tabs>
          <w:tab w:val="left" w:pos="0"/>
          <w:tab w:val="left" w:pos="360"/>
          <w:tab w:val="left" w:pos="540"/>
        </w:tabs>
        <w:spacing w:line="360" w:lineRule="auto"/>
        <w:ind w:firstLine="64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公式中：</w:t>
      </w:r>
      <w:r>
        <w:rPr>
          <w:rFonts w:eastAsia="仿宋_GB2312;仿宋" w:cs="Times New Roman"/>
          <w:color w:val="000000"/>
          <w:sz w:val="24"/>
          <w:szCs w:val="24"/>
        </w:rPr>
        <w:t>ΔP——</w:t>
      </w:r>
      <w:r>
        <w:rPr>
          <w:rFonts w:ascii="Times New Roman" w:hAnsi="Times New Roman" w:eastAsia="仿宋_GB2312;仿宋" w:cs="Times New Roman"/>
          <w:color w:val="000000"/>
          <w:sz w:val="24"/>
          <w:szCs w:val="24"/>
        </w:rPr>
        <w:t>需调整的价格差额；</w:t>
      </w:r>
    </w:p>
    <w:p w14:paraId="769D4960">
      <w:pPr>
        <w:tabs>
          <w:tab w:val="left" w:pos="0"/>
          <w:tab w:val="left" w:pos="360"/>
          <w:tab w:val="left" w:pos="540"/>
        </w:tabs>
        <w:spacing w:line="360" w:lineRule="auto"/>
        <w:ind w:firstLine="1440"/>
        <w:rPr>
          <w:rFonts w:ascii="Times New Roman" w:hAnsi="Times New Roman" w:eastAsia="仿宋_GB2312;仿宋" w:cs="Times New Roman"/>
          <w:color w:val="000000"/>
          <w:sz w:val="24"/>
          <w:szCs w:val="24"/>
        </w:rPr>
      </w:pPr>
      <m:oMath>
        <m:r>
          <m:rPr/>
          <w:rPr>
            <w:rFonts w:ascii="Cambria Math" w:hAnsi="Cambria Math"/>
          </w:rPr>
          <m:t>P0</m:t>
        </m:r>
      </m:oMath>
      <w:r>
        <w:rPr>
          <w:rFonts w:eastAsia="仿宋_GB2312;仿宋" w:cs="Times New Roman"/>
          <w:color w:val="000000"/>
          <w:sz w:val="24"/>
          <w:szCs w:val="24"/>
        </w:rPr>
        <w:t>——</w:t>
      </w:r>
      <w:r>
        <w:rPr>
          <w:rFonts w:ascii="Times New Roman" w:hAnsi="Times New Roman" w:eastAsia="仿宋_GB2312;仿宋" w:cs="Times New Roman"/>
          <w:color w:val="000000"/>
          <w:sz w:val="24"/>
          <w:szCs w:val="24"/>
        </w:rPr>
        <w:t>约定的付款证书中承包人应得到的已完成工程量的金额。此项金额应不包括价格调整、不计质量保证金的扣留和支付、预付款的支付和扣回。约定的变更及其他金额已按现行价格计价的，也不计在内；</w:t>
      </w:r>
    </w:p>
    <w:p w14:paraId="1995C1D4">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A——</w:t>
      </w:r>
      <w:r>
        <w:rPr>
          <w:rFonts w:ascii="Times New Roman" w:hAnsi="Times New Roman" w:eastAsia="仿宋_GB2312;仿宋" w:cs="Times New Roman"/>
          <w:color w:val="000000"/>
          <w:sz w:val="24"/>
          <w:szCs w:val="24"/>
        </w:rPr>
        <w:t>定值权重（即不调部分的权重）；</w:t>
      </w:r>
    </w:p>
    <w:p w14:paraId="42980E14">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m:oMath>
        <m:r>
          <m:rPr/>
          <w:rPr>
            <w:rFonts w:ascii="Cambria Math" w:hAnsi="Cambria Math"/>
          </w:rPr>
          <m:t>B1</m:t>
        </m:r>
        <m:r>
          <m:rPr>
            <m:nor/>
            <m:sty m:val="p"/>
          </m:rPr>
          <w:rPr>
            <w:rFonts w:ascii="Cambria Math" w:hAnsi="Cambria Math"/>
            <w:b w:val="0"/>
            <w:i w:val="0"/>
          </w:rPr>
          <m:t>;B</m:t>
        </m:r>
        <m:r>
          <m:rPr/>
          <w:rPr>
            <w:rFonts w:ascii="Cambria Math" w:hAnsi="Cambria Math"/>
          </w:rPr>
          <m:t>2</m:t>
        </m:r>
        <m:r>
          <m:rPr>
            <m:nor/>
            <m:sty m:val="p"/>
          </m:rPr>
          <w:rPr>
            <w:rFonts w:ascii="Cambria Math" w:hAnsi="Cambria Math"/>
            <w:b w:val="0"/>
            <w:i w:val="0"/>
          </w:rPr>
          <m:t>;B</m:t>
        </m:r>
        <m:r>
          <m:rPr/>
          <w:rPr>
            <w:rFonts w:ascii="Cambria Math" w:hAnsi="Cambria Math"/>
          </w:rPr>
          <m:t>3</m:t>
        </m:r>
        <m:r>
          <m:rPr>
            <m:nor/>
            <m:sty m:val="p"/>
          </m:rPr>
          <w:rPr>
            <w:rFonts w:ascii="Cambria Math" w:hAnsi="Cambria Math"/>
            <w:b w:val="0"/>
            <w:i w:val="0"/>
          </w:rPr>
          <m:t>......</m:t>
        </m:r>
        <m:r>
          <m:rPr/>
          <w:rPr>
            <w:rFonts w:ascii="Cambria Math" w:hAnsi="Cambria Math"/>
          </w:rPr>
          <m:t>Bn</m:t>
        </m:r>
      </m:oMath>
      <w:r>
        <w:rPr>
          <w:rFonts w:eastAsia="仿宋_GB2312;仿宋" w:cs="Times New Roman"/>
          <w:color w:val="000000"/>
          <w:sz w:val="24"/>
          <w:szCs w:val="24"/>
        </w:rPr>
        <w:t>——</w:t>
      </w:r>
      <w:r>
        <w:rPr>
          <w:rFonts w:ascii="Times New Roman" w:hAnsi="Times New Roman" w:eastAsia="仿宋_GB2312;仿宋" w:cs="Times New Roman"/>
          <w:color w:val="000000"/>
          <w:sz w:val="24"/>
          <w:szCs w:val="24"/>
        </w:rPr>
        <w:t>各可调因子的变值权重（即可调部分的权重），为各可调因子在签约合同价中所占的比例；</w:t>
      </w:r>
    </w:p>
    <w:p w14:paraId="6D29367E">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m:oMath>
        <m:r>
          <m:rPr/>
          <w:rPr>
            <w:rFonts w:ascii="Cambria Math" w:hAnsi="Cambria Math"/>
          </w:rPr>
          <m:t>F</m:t>
        </m:r>
        <m:r>
          <m:rPr>
            <m:nor/>
            <m:sty m:val="p"/>
          </m:rPr>
          <w:rPr>
            <w:rFonts w:ascii="Cambria Math" w:hAnsi="Cambria Math"/>
            <w:b w:val="0"/>
            <w:i w:val="0"/>
          </w:rPr>
          <m:t>t1;Ft2;Ft3......</m:t>
        </m:r>
        <m:r>
          <m:rPr/>
          <w:rPr>
            <w:rFonts w:ascii="Cambria Math" w:hAnsi="Cambria Math"/>
          </w:rPr>
          <m:t>F</m:t>
        </m:r>
        <m:r>
          <m:rPr>
            <m:nor/>
            <m:sty m:val="p"/>
          </m:rPr>
          <w:rPr>
            <w:rFonts w:ascii="Cambria Math" w:hAnsi="Cambria Math"/>
            <w:b w:val="0"/>
            <w:i w:val="0"/>
          </w:rPr>
          <m:t>tn</m:t>
        </m:r>
      </m:oMath>
      <w:r>
        <w:rPr>
          <w:rFonts w:eastAsia="仿宋_GB2312;仿宋" w:cs="Times New Roman"/>
          <w:color w:val="000000"/>
          <w:sz w:val="24"/>
          <w:szCs w:val="24"/>
        </w:rPr>
        <w:t>——</w:t>
      </w:r>
      <w:r>
        <w:rPr>
          <w:rFonts w:ascii="Times New Roman" w:hAnsi="Times New Roman" w:eastAsia="仿宋_GB2312;仿宋" w:cs="Times New Roman"/>
          <w:color w:val="000000"/>
          <w:sz w:val="24"/>
          <w:szCs w:val="24"/>
        </w:rPr>
        <w:t>各可调因子的现行价格指数，指约定的付款证书相关周期最后一天的前</w:t>
      </w:r>
      <w:r>
        <w:rPr>
          <w:rFonts w:eastAsia="仿宋_GB2312;仿宋" w:cs="Times New Roman"/>
          <w:color w:val="000000"/>
          <w:sz w:val="24"/>
          <w:szCs w:val="24"/>
        </w:rPr>
        <w:t>42</w:t>
      </w:r>
      <w:r>
        <w:rPr>
          <w:rFonts w:ascii="Times New Roman" w:hAnsi="Times New Roman" w:eastAsia="仿宋_GB2312;仿宋" w:cs="Times New Roman"/>
          <w:color w:val="000000"/>
          <w:sz w:val="24"/>
          <w:szCs w:val="24"/>
        </w:rPr>
        <w:t>天的各可调因子的价格指数；</w:t>
      </w:r>
    </w:p>
    <w:p w14:paraId="42C01C5F">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m:oMath>
        <m:r>
          <m:rPr/>
          <w:rPr>
            <w:rFonts w:ascii="Cambria Math" w:hAnsi="Cambria Math"/>
          </w:rPr>
          <m:t>F</m:t>
        </m:r>
        <m:r>
          <m:rPr>
            <m:nor/>
            <m:sty m:val="p"/>
          </m:rPr>
          <w:rPr>
            <w:rFonts w:ascii="Cambria Math" w:hAnsi="Cambria Math"/>
            <w:b w:val="0"/>
            <w:i w:val="0"/>
          </w:rPr>
          <m:t>01;F02;F</m:t>
        </m:r>
        <m:r>
          <m:rPr/>
          <w:rPr>
            <w:rFonts w:ascii="Cambria Math" w:hAnsi="Cambria Math"/>
          </w:rPr>
          <m:t>03</m:t>
        </m:r>
        <m:r>
          <m:rPr>
            <m:nor/>
            <m:sty m:val="p"/>
          </m:rPr>
          <w:rPr>
            <w:rFonts w:ascii="Cambria Math" w:hAnsi="Cambria Math"/>
            <w:b w:val="0"/>
            <w:i w:val="0"/>
          </w:rPr>
          <m:t>......</m:t>
        </m:r>
        <m:r>
          <m:rPr/>
          <w:rPr>
            <w:rFonts w:ascii="Cambria Math" w:hAnsi="Cambria Math"/>
          </w:rPr>
          <m:t>F</m:t>
        </m:r>
        <m:r>
          <m:rPr>
            <m:nor/>
            <m:sty m:val="p"/>
          </m:rPr>
          <w:rPr>
            <w:rFonts w:ascii="Cambria Math" w:hAnsi="Cambria Math"/>
            <w:b w:val="0"/>
            <w:i w:val="0"/>
          </w:rPr>
          <m:t>0n</m:t>
        </m:r>
      </m:oMath>
      <w:r>
        <w:rPr>
          <w:rFonts w:eastAsia="仿宋_GB2312;仿宋" w:cs="Times New Roman"/>
          <w:color w:val="000000"/>
          <w:sz w:val="24"/>
          <w:szCs w:val="24"/>
        </w:rPr>
        <w:t>——</w:t>
      </w:r>
      <w:r>
        <w:rPr>
          <w:rFonts w:ascii="Times New Roman" w:hAnsi="Times New Roman" w:eastAsia="仿宋_GB2312;仿宋" w:cs="Times New Roman"/>
          <w:color w:val="000000"/>
          <w:sz w:val="24"/>
          <w:szCs w:val="24"/>
        </w:rPr>
        <w:t>各可调因子的基本价格指数，指基准日期的各可调因子的价格指数。</w:t>
      </w:r>
    </w:p>
    <w:p w14:paraId="412225CF">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以上价格调整公式中的各可调因子、定值和变值权重，以及基本价格指数及其来源在响应</w:t>
      </w:r>
      <w:r>
        <w:rPr>
          <w:rFonts w:hint="eastAsia" w:eastAsia="仿宋_GB2312;仿宋" w:cs="Times New Roman"/>
          <w:color w:val="000000"/>
          <w:sz w:val="24"/>
          <w:szCs w:val="24"/>
          <w:lang w:val="en-US" w:eastAsia="zh-CN"/>
        </w:rPr>
        <w:t>文件</w:t>
      </w:r>
      <w:r>
        <w:rPr>
          <w:rFonts w:ascii="Times New Roman" w:hAnsi="Times New Roman" w:eastAsia="仿宋_GB2312;仿宋" w:cs="Times New Roman"/>
          <w:color w:val="000000"/>
          <w:sz w:val="24"/>
          <w:szCs w:val="24"/>
        </w:rPr>
        <w:t>附录价格指数和权重表中约定，非采购订立的合同，由合同当事人在专用合同条款中约定。价格指数应首先采用工程造价管理机构发布的价格指数，无前述价格指数时，可采用工程造价管理机构发布的价格代替。</w:t>
      </w:r>
    </w:p>
    <w:p w14:paraId="08270D75">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）暂时确定调整差额</w:t>
      </w:r>
    </w:p>
    <w:p w14:paraId="2B332F59">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在计算调整差额时无现行价格指数的，合同当事人同意暂用前次价格指数计算。实际价格指数有调整的，合同当事人进行相应调整。</w:t>
      </w:r>
    </w:p>
    <w:p w14:paraId="50472157">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）权重的调整</w:t>
      </w:r>
    </w:p>
    <w:p w14:paraId="5332FF38">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因变更导致合同约定的权重不合理时，按照第</w:t>
      </w:r>
      <w:r>
        <w:rPr>
          <w:rFonts w:eastAsia="仿宋_GB2312;仿宋" w:cs="Times New Roman"/>
          <w:color w:val="000000"/>
          <w:sz w:val="24"/>
          <w:szCs w:val="24"/>
        </w:rPr>
        <w:t>4.4</w:t>
      </w:r>
      <w:r>
        <w:rPr>
          <w:rFonts w:ascii="Times New Roman" w:hAnsi="Times New Roman" w:eastAsia="仿宋_GB2312;仿宋" w:cs="Times New Roman"/>
          <w:color w:val="000000"/>
          <w:sz w:val="24"/>
          <w:szCs w:val="24"/>
        </w:rPr>
        <w:t>款〔商定或确定〕执行。</w:t>
      </w:r>
    </w:p>
    <w:p w14:paraId="4646AEA2">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）因承包人原因工期延误后的价格调整</w:t>
      </w:r>
    </w:p>
    <w:p w14:paraId="7B87D124">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因承包人原因未按期竣工的，对合同约定的竣工日期后继续施工的工程，在使用价格调整公式时，应采用计划竣工日期与实际竣工日期的两个价格指数中较低的一个作为现行价格指数。</w:t>
      </w:r>
    </w:p>
    <w:p w14:paraId="1151B80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种方式：采用造价信息进行价格调整。</w:t>
      </w:r>
    </w:p>
    <w:p w14:paraId="62CC4C9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5B50C67D">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4E18BBC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）材料、工程设备价格变化的价款调整按照发包人提供的基准价格，按以下风险范围规定执行</w:t>
      </w:r>
      <w:r>
        <w:rPr>
          <w:rFonts w:eastAsia="仿宋_GB2312;仿宋" w:cs="Times New Roman"/>
          <w:color w:val="000000"/>
          <w:sz w:val="24"/>
          <w:szCs w:val="24"/>
        </w:rPr>
        <w:t>:</w:t>
      </w:r>
    </w:p>
    <w:p w14:paraId="251E191D">
      <w:pPr>
        <w:spacing w:line="360" w:lineRule="auto"/>
        <w:ind w:firstLine="480"/>
        <w:rPr>
          <w:rFonts w:ascii="Times New Roman" w:hAnsi="Times New Roman" w:eastAsia="仿宋_GB2312;仿宋" w:cs="Times New Roman"/>
          <w:color w:val="000000"/>
          <w:sz w:val="24"/>
          <w:szCs w:val="24"/>
        </w:rPr>
      </w:pPr>
      <w:r>
        <w:rPr>
          <w:rFonts w:ascii="宋体" w:hAnsi="宋体" w:cs="宋体"/>
          <w:color w:val="000000"/>
          <w:sz w:val="24"/>
          <w:szCs w:val="24"/>
        </w:rPr>
        <w:t>①</w:t>
      </w:r>
      <w:r>
        <w:rPr>
          <w:rFonts w:ascii="Times New Roman" w:hAnsi="Times New Roman" w:eastAsia="仿宋_GB2312;仿宋" w:cs="Times New Roman"/>
          <w:color w:val="000000"/>
          <w:sz w:val="24"/>
          <w:szCs w:val="24"/>
        </w:rPr>
        <w:t>承包人在已标价工程量清单或预算书中载明材料单价低于基准价格的：除专用合同条款另有约定外，合同履行期间材料单价涨幅以基准价格为基础超过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时，或材料单价跌幅以在已标价工程量清单或预算书中载明材料单价为基础超过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时，其超过部分据实调整。</w:t>
      </w:r>
    </w:p>
    <w:p w14:paraId="766793E0">
      <w:pPr>
        <w:spacing w:line="360" w:lineRule="auto"/>
        <w:ind w:firstLine="480"/>
        <w:rPr>
          <w:rFonts w:ascii="Times New Roman" w:hAnsi="Times New Roman" w:eastAsia="仿宋_GB2312;仿宋" w:cs="Times New Roman"/>
          <w:color w:val="000000"/>
          <w:sz w:val="24"/>
          <w:szCs w:val="24"/>
        </w:rPr>
      </w:pPr>
      <w:r>
        <w:rPr>
          <w:rFonts w:ascii="宋体" w:hAnsi="宋体" w:cs="宋体"/>
          <w:color w:val="000000"/>
          <w:sz w:val="24"/>
          <w:szCs w:val="24"/>
        </w:rPr>
        <w:t>②</w:t>
      </w:r>
      <w:r>
        <w:rPr>
          <w:rFonts w:ascii="Times New Roman" w:hAnsi="Times New Roman" w:eastAsia="仿宋_GB2312;仿宋" w:cs="Times New Roman"/>
          <w:color w:val="000000"/>
          <w:sz w:val="24"/>
          <w:szCs w:val="24"/>
        </w:rPr>
        <w:t>承包人在已标价工程量清单或预算书中载明材料单价高于基准价格的：除专用合同条款另有约定外，合同履行期间材料单价跌幅以基准价格为基础超过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时，材料单价涨幅以在已标价工程量清单或预算书中载明材料单价为基础超过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时，其超过部分据实调整。</w:t>
      </w:r>
    </w:p>
    <w:p w14:paraId="20850570">
      <w:pPr>
        <w:spacing w:line="360" w:lineRule="auto"/>
        <w:ind w:firstLine="480"/>
        <w:rPr>
          <w:rFonts w:ascii="Times New Roman" w:hAnsi="Times New Roman" w:eastAsia="仿宋_GB2312;仿宋" w:cs="Times New Roman"/>
          <w:color w:val="000000"/>
          <w:sz w:val="24"/>
          <w:szCs w:val="24"/>
        </w:rPr>
      </w:pPr>
      <w:r>
        <w:rPr>
          <w:rFonts w:ascii="宋体" w:hAnsi="宋体" w:cs="宋体"/>
          <w:color w:val="000000"/>
          <w:sz w:val="24"/>
          <w:szCs w:val="24"/>
        </w:rPr>
        <w:t>③</w:t>
      </w:r>
      <w:r>
        <w:rPr>
          <w:rFonts w:ascii="Times New Roman" w:hAnsi="Times New Roman" w:eastAsia="仿宋_GB2312;仿宋" w:cs="Times New Roman"/>
          <w:color w:val="000000"/>
          <w:sz w:val="24"/>
          <w:szCs w:val="24"/>
        </w:rPr>
        <w:t>承包人在已标价工程量清单或预算书中载明材料单价等于基准价格的：除专用合同条款另有约定外，合同履行期间材料单价涨跌幅以基准价格为基础超过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时，其超过部分据实调整。</w:t>
      </w:r>
    </w:p>
    <w:p w14:paraId="0EB95194">
      <w:pPr>
        <w:spacing w:line="360" w:lineRule="auto"/>
        <w:ind w:firstLine="480"/>
        <w:rPr>
          <w:rFonts w:ascii="Times New Roman" w:hAnsi="Times New Roman" w:eastAsia="仿宋_GB2312;仿宋" w:cs="Times New Roman"/>
          <w:color w:val="000000"/>
          <w:sz w:val="24"/>
          <w:szCs w:val="24"/>
        </w:rPr>
      </w:pPr>
      <w:r>
        <w:rPr>
          <w:rFonts w:ascii="宋体" w:hAnsi="宋体" w:cs="宋体"/>
          <w:color w:val="000000"/>
          <w:sz w:val="24"/>
          <w:szCs w:val="24"/>
        </w:rPr>
        <w:t>④</w:t>
      </w:r>
      <w:r>
        <w:rPr>
          <w:rFonts w:ascii="Times New Roman" w:hAnsi="Times New Roman" w:eastAsia="仿宋_GB2312;仿宋" w:cs="Times New Roman"/>
          <w:color w:val="000000"/>
          <w:sz w:val="24"/>
          <w:szCs w:val="24"/>
        </w:rPr>
        <w:t>承包人应在采购材料前将采购数量和新的材料单价报发包人核对，发包人确认用于工程时，发包人应确认采购材料的数量和单价。发包人在收到承包人报送的确认资料后</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天内不予答复的视为认可，作为调整合同价格的依据。未经发包人事先核对，承包人自行采购材料的，发包人有权不予调整合同价格。发包人同意的，可以调整合同价格。</w:t>
      </w:r>
    </w:p>
    <w:p w14:paraId="26EE3DE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前述基准价格是指由发包人在磋商文件或专用合同条款中给定的材料、工程设备的价格，该价格原则上应当按照省级或行业建设主管部门或其授权的工程造价管理机构发布的信息价编制。</w:t>
      </w:r>
    </w:p>
    <w:p w14:paraId="51482148">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）施工机械台班单价或施工机械使用费发生变化超过省级或行业建设主管部门或其授权的工程造价管理机构规定的范围时，按规定调整合同价格。</w:t>
      </w:r>
    </w:p>
    <w:p w14:paraId="23EB4A08">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种方式：专用合同条款约定的其他方式。</w:t>
      </w:r>
    </w:p>
    <w:p w14:paraId="2956F203">
      <w:pPr>
        <w:pStyle w:val="6"/>
        <w:spacing w:before="120" w:after="120" w:line="360" w:lineRule="auto"/>
        <w:ind w:firstLine="480"/>
        <w:rPr>
          <w:rFonts w:ascii="Times New Roman" w:hAnsi="Times New Roman" w:eastAsia="黑体" w:cs="Times New Roman"/>
          <w:b w:val="0"/>
          <w:color w:val="000000"/>
          <w:sz w:val="24"/>
          <w:szCs w:val="24"/>
        </w:rPr>
      </w:pPr>
      <w:bookmarkStart w:id="117" w:name="__RefHeading___Toc351203579"/>
      <w:bookmarkEnd w:id="117"/>
      <w:r>
        <w:rPr>
          <w:rFonts w:eastAsia="黑体" w:cs="Times New Roman"/>
          <w:b w:val="0"/>
          <w:color w:val="000000"/>
          <w:sz w:val="24"/>
          <w:szCs w:val="24"/>
        </w:rPr>
        <w:t>11.2</w:t>
      </w:r>
      <w:r>
        <w:rPr>
          <w:rFonts w:ascii="Times New Roman" w:hAnsi="Times New Roman" w:eastAsia="黑体" w:cs="Times New Roman"/>
          <w:b w:val="0"/>
          <w:color w:val="000000"/>
          <w:sz w:val="24"/>
          <w:szCs w:val="24"/>
        </w:rPr>
        <w:t>法律变化引起的调整</w:t>
      </w:r>
    </w:p>
    <w:p w14:paraId="6A721C8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基准日期后，法律变化导致承包人在合同履行过程中所需要的费用发生除第</w:t>
      </w:r>
      <w:r>
        <w:rPr>
          <w:rFonts w:eastAsia="仿宋_GB2312;仿宋" w:cs="Times New Roman"/>
          <w:color w:val="000000"/>
          <w:sz w:val="24"/>
          <w:szCs w:val="24"/>
        </w:rPr>
        <w:t>11.1</w:t>
      </w:r>
      <w:r>
        <w:rPr>
          <w:rFonts w:ascii="Times New Roman" w:hAnsi="Times New Roman" w:eastAsia="仿宋_GB2312;仿宋" w:cs="Times New Roman"/>
          <w:color w:val="000000"/>
          <w:sz w:val="24"/>
          <w:szCs w:val="24"/>
        </w:rPr>
        <w:t>款〔市场价格波动引起的调整〕约定以外的增加时，由发包人承担由此增加的费用；减少时，应从合同价格中予以扣减。基准日期后，因法律变化造成工期延误时，工期应予以顺延。</w:t>
      </w:r>
    </w:p>
    <w:p w14:paraId="5481FDD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因法律变化引起的合同价格和工期调整，合同当事人无法达成一致的，由总监理工程师按第</w:t>
      </w:r>
      <w:r>
        <w:rPr>
          <w:rFonts w:eastAsia="仿宋_GB2312;仿宋" w:cs="Times New Roman"/>
          <w:color w:val="000000"/>
          <w:sz w:val="24"/>
          <w:szCs w:val="24"/>
        </w:rPr>
        <w:t>4.4</w:t>
      </w:r>
      <w:r>
        <w:rPr>
          <w:rFonts w:ascii="Times New Roman" w:hAnsi="Times New Roman" w:eastAsia="仿宋_GB2312;仿宋" w:cs="Times New Roman"/>
          <w:color w:val="000000"/>
          <w:sz w:val="24"/>
          <w:szCs w:val="24"/>
        </w:rPr>
        <w:t>款〔商定或确定〕的约定处理。</w:t>
      </w:r>
    </w:p>
    <w:p w14:paraId="70F398C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因承包人原因造成工期延误，在工期延误期间出现法律变化的，由此增加的费用和（或）延误的工期由承包人承担。</w:t>
      </w:r>
    </w:p>
    <w:p w14:paraId="46D70349">
      <w:pPr>
        <w:pStyle w:val="5"/>
        <w:spacing w:before="120" w:after="120" w:line="360" w:lineRule="auto"/>
        <w:rPr>
          <w:rFonts w:ascii="Times New Roman" w:hAnsi="Times New Roman" w:eastAsia="黑体" w:cs="Times New Roman"/>
          <w:b w:val="0"/>
          <w:color w:val="000000"/>
          <w:sz w:val="24"/>
          <w:szCs w:val="24"/>
        </w:rPr>
      </w:pPr>
      <w:bookmarkStart w:id="118" w:name="__RefHeading___Toc351203580"/>
      <w:bookmarkEnd w:id="118"/>
      <w:r>
        <w:rPr>
          <w:rFonts w:ascii="Times New Roman" w:hAnsi="Times New Roman" w:eastAsia="黑体" w:cs="Times New Roman"/>
          <w:b w:val="0"/>
          <w:color w:val="000000"/>
          <w:sz w:val="24"/>
          <w:szCs w:val="24"/>
        </w:rPr>
        <w:t xml:space="preserve">12. </w:t>
      </w:r>
      <w:r>
        <w:rPr>
          <w:rFonts w:ascii="Times New Roman" w:hAnsi="Times New Roman" w:cs="Times New Roman"/>
          <w:b w:val="0"/>
          <w:color w:val="000000"/>
          <w:sz w:val="24"/>
          <w:szCs w:val="24"/>
        </w:rPr>
        <w:t>合同价格、计量与支付</w:t>
      </w:r>
    </w:p>
    <w:p w14:paraId="0CE91FA5">
      <w:pPr>
        <w:pStyle w:val="6"/>
        <w:spacing w:before="120" w:after="120" w:line="360" w:lineRule="auto"/>
        <w:ind w:firstLine="480"/>
        <w:rPr>
          <w:rFonts w:ascii="Times New Roman" w:hAnsi="Times New Roman" w:eastAsia="黑体" w:cs="Times New Roman"/>
          <w:b w:val="0"/>
          <w:color w:val="000000"/>
          <w:sz w:val="24"/>
          <w:szCs w:val="24"/>
        </w:rPr>
      </w:pPr>
      <w:bookmarkStart w:id="119" w:name="__RefHeading___Toc351203581"/>
      <w:bookmarkEnd w:id="119"/>
      <w:r>
        <w:rPr>
          <w:rFonts w:eastAsia="黑体" w:cs="Times New Roman"/>
          <w:b w:val="0"/>
          <w:color w:val="000000"/>
          <w:sz w:val="24"/>
          <w:szCs w:val="24"/>
        </w:rPr>
        <w:t xml:space="preserve">12.1 </w:t>
      </w:r>
      <w:r>
        <w:rPr>
          <w:rFonts w:ascii="Times New Roman" w:hAnsi="Times New Roman" w:eastAsia="黑体" w:cs="Times New Roman"/>
          <w:b w:val="0"/>
          <w:color w:val="000000"/>
          <w:sz w:val="24"/>
          <w:szCs w:val="24"/>
        </w:rPr>
        <w:t>合同价格形式</w:t>
      </w:r>
    </w:p>
    <w:p w14:paraId="0D4E39E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发包人和承包人应在合同协议书中选择下列一种合同价格形式：</w:t>
      </w:r>
      <w:r>
        <w:rPr>
          <w:rFonts w:ascii="Times New Roman" w:hAnsi="Times New Roman" w:eastAsia="Times New Roman" w:cs="Times New Roman"/>
          <w:color w:val="000000"/>
          <w:kern w:val="0"/>
          <w:sz w:val="24"/>
          <w:szCs w:val="24"/>
        </w:rPr>
        <w:t xml:space="preserve"> </w:t>
      </w:r>
    </w:p>
    <w:p w14:paraId="2EE679D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单价合同</w:t>
      </w:r>
    </w:p>
    <w:p w14:paraId="49092BC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单价合同是指合同当事人约定以工程量清单及其综合单价进行合同价格计算、调整和确认的建设工程施工合同，</w:t>
      </w:r>
      <w:r>
        <w:rPr>
          <w:rFonts w:ascii="Times New Roman" w:hAnsi="Times New Roman" w:eastAsia="仿宋_GB2312;仿宋" w:cs="Times New Roman"/>
          <w:sz w:val="24"/>
          <w:szCs w:val="24"/>
        </w:rPr>
        <w:t>在约定的范围内合同单价不作调整</w:t>
      </w:r>
      <w:r>
        <w:rPr>
          <w:rFonts w:ascii="Times New Roman" w:hAnsi="Times New Roman" w:eastAsia="仿宋_GB2312;仿宋" w:cs="Times New Roman"/>
          <w:color w:val="000000"/>
          <w:kern w:val="0"/>
          <w:sz w:val="24"/>
          <w:szCs w:val="24"/>
        </w:rPr>
        <w:t>。合同当事人应在专用合同条款中约定综合单价包含的风险范围和风险费用的计算方法</w:t>
      </w:r>
      <w:r>
        <w:rPr>
          <w:rFonts w:ascii="Times New Roman" w:hAnsi="Times New Roman" w:eastAsia="仿宋_GB2312;仿宋" w:cs="Times New Roman"/>
          <w:sz w:val="24"/>
          <w:szCs w:val="24"/>
        </w:rPr>
        <w:t>，</w:t>
      </w:r>
      <w:r>
        <w:rPr>
          <w:rFonts w:ascii="Times New Roman" w:hAnsi="Times New Roman" w:eastAsia="仿宋_GB2312;仿宋" w:cs="Times New Roman"/>
          <w:color w:val="000000"/>
          <w:kern w:val="0"/>
          <w:sz w:val="24"/>
          <w:szCs w:val="24"/>
        </w:rPr>
        <w:t>并约定风险范围以外的合同价格的调整方法，其中因市场价格波动引起的调整按第</w:t>
      </w:r>
      <w:r>
        <w:rPr>
          <w:rFonts w:eastAsia="仿宋_GB2312;仿宋" w:cs="Times New Roman"/>
          <w:color w:val="000000"/>
          <w:kern w:val="0"/>
          <w:sz w:val="24"/>
          <w:szCs w:val="24"/>
        </w:rPr>
        <w:t>11.1</w:t>
      </w:r>
      <w:r>
        <w:rPr>
          <w:rFonts w:ascii="Times New Roman" w:hAnsi="Times New Roman" w:eastAsia="仿宋_GB2312;仿宋" w:cs="Times New Roman"/>
          <w:color w:val="000000"/>
          <w:kern w:val="0"/>
          <w:sz w:val="24"/>
          <w:szCs w:val="24"/>
        </w:rPr>
        <w:t>款〔市场价格波动引起的调整〕约定执行。</w:t>
      </w:r>
    </w:p>
    <w:p w14:paraId="1CED9364">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2</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总价合同</w:t>
      </w:r>
    </w:p>
    <w:p w14:paraId="7355F51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总价合同是指合同当事人约定以施工图、已标价工程量清单或预算书及有关条件进行合同价格计算、调整和确认的建设工程施工合同，</w:t>
      </w:r>
      <w:r>
        <w:rPr>
          <w:rFonts w:ascii="Times New Roman" w:hAnsi="Times New Roman" w:eastAsia="仿宋_GB2312;仿宋" w:cs="Times New Roman"/>
          <w:sz w:val="24"/>
          <w:szCs w:val="24"/>
        </w:rPr>
        <w:t>在约定的范围内合同总价不作调整</w:t>
      </w:r>
      <w:r>
        <w:rPr>
          <w:rFonts w:ascii="Times New Roman" w:hAnsi="Times New Roman" w:eastAsia="仿宋_GB2312;仿宋" w:cs="Times New Roman"/>
          <w:color w:val="000000"/>
          <w:kern w:val="0"/>
          <w:sz w:val="24"/>
          <w:szCs w:val="24"/>
        </w:rPr>
        <w:t>。合同当事人应在专用合同条款中约定总价包含的风险范围和风险费用的计算方法，并约定风险范围以外的合同价格的调整方法，其中因市场价格波动引起的调整按第</w:t>
      </w:r>
      <w:r>
        <w:rPr>
          <w:rFonts w:eastAsia="仿宋_GB2312;仿宋" w:cs="Times New Roman"/>
          <w:color w:val="000000"/>
          <w:kern w:val="0"/>
          <w:sz w:val="24"/>
          <w:szCs w:val="24"/>
        </w:rPr>
        <w:t>11.1</w:t>
      </w:r>
      <w:r>
        <w:rPr>
          <w:rFonts w:ascii="Times New Roman" w:hAnsi="Times New Roman" w:eastAsia="仿宋_GB2312;仿宋" w:cs="Times New Roman"/>
          <w:color w:val="000000"/>
          <w:kern w:val="0"/>
          <w:sz w:val="24"/>
          <w:szCs w:val="24"/>
        </w:rPr>
        <w:t>款〔市场价格波动引起的调整〕、因法律变化引起的调整按第</w:t>
      </w:r>
      <w:r>
        <w:rPr>
          <w:rFonts w:eastAsia="仿宋_GB2312;仿宋" w:cs="Times New Roman"/>
          <w:color w:val="000000"/>
          <w:kern w:val="0"/>
          <w:sz w:val="24"/>
          <w:szCs w:val="24"/>
        </w:rPr>
        <w:t>11.2</w:t>
      </w:r>
      <w:r>
        <w:rPr>
          <w:rFonts w:ascii="Times New Roman" w:hAnsi="Times New Roman" w:eastAsia="仿宋_GB2312;仿宋" w:cs="Times New Roman"/>
          <w:color w:val="000000"/>
          <w:kern w:val="0"/>
          <w:sz w:val="24"/>
          <w:szCs w:val="24"/>
        </w:rPr>
        <w:t>款〔法律变化引起的调整〕约定执行。</w:t>
      </w:r>
    </w:p>
    <w:p w14:paraId="43583B6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3</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其它价格形式</w:t>
      </w:r>
    </w:p>
    <w:p w14:paraId="4B67E1C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合同当事人可在专用合同条款中约定其他合同价格形式。</w:t>
      </w:r>
    </w:p>
    <w:p w14:paraId="2472B289">
      <w:pPr>
        <w:pStyle w:val="6"/>
        <w:spacing w:before="120" w:after="120" w:line="360" w:lineRule="auto"/>
        <w:ind w:firstLine="480"/>
        <w:rPr>
          <w:rFonts w:ascii="Times New Roman" w:hAnsi="Times New Roman" w:eastAsia="黑体" w:cs="Times New Roman"/>
          <w:b w:val="0"/>
          <w:color w:val="000000"/>
          <w:sz w:val="24"/>
          <w:szCs w:val="24"/>
        </w:rPr>
      </w:pPr>
      <w:bookmarkStart w:id="120" w:name="__RefHeading___Toc351203582"/>
      <w:bookmarkEnd w:id="120"/>
      <w:r>
        <w:rPr>
          <w:rFonts w:eastAsia="黑体" w:cs="Times New Roman"/>
          <w:b w:val="0"/>
          <w:color w:val="000000"/>
          <w:sz w:val="24"/>
          <w:szCs w:val="24"/>
        </w:rPr>
        <w:t>12.2</w:t>
      </w:r>
      <w:r>
        <w:rPr>
          <w:rFonts w:ascii="Times New Roman" w:hAnsi="Times New Roman" w:eastAsia="黑体" w:cs="Times New Roman"/>
          <w:b w:val="0"/>
          <w:color w:val="000000"/>
          <w:sz w:val="24"/>
          <w:szCs w:val="24"/>
        </w:rPr>
        <w:t>预付款</w:t>
      </w:r>
    </w:p>
    <w:p w14:paraId="5BDD85A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12.2.</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预付款的支付</w:t>
      </w:r>
    </w:p>
    <w:p w14:paraId="62C45ED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预付款的支付按照专用合同条款约定执行，但至迟应在开工通知载明的开工日期</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天前支付。预付款应当用于材料、工程设备、施工设备的采购及修建临时工程、组织施工队伍进场等。</w:t>
      </w:r>
    </w:p>
    <w:p w14:paraId="35C93DD8">
      <w:pPr>
        <w:spacing w:line="360" w:lineRule="auto"/>
        <w:ind w:firstLine="480"/>
        <w:jc w:val="left"/>
        <w:rPr>
          <w:rFonts w:ascii="Times New Roman" w:hAnsi="Times New Roman" w:eastAsia="仿宋_GB2312;仿宋" w:cs="Times New Roman"/>
          <w:color w:val="000000"/>
          <w:kern w:val="0"/>
          <w:sz w:val="24"/>
          <w:szCs w:val="24"/>
        </w:rPr>
      </w:pPr>
      <w:bookmarkStart w:id="121" w:name="OLE_LINK3"/>
      <w:r>
        <w:rPr>
          <w:rFonts w:ascii="Times New Roman" w:hAnsi="Times New Roman" w:eastAsia="仿宋_GB2312;仿宋" w:cs="Times New Roman"/>
          <w:color w:val="000000"/>
          <w:kern w:val="0"/>
          <w:sz w:val="24"/>
          <w:szCs w:val="24"/>
        </w:rPr>
        <w:t>除专用合同条款另有约定外，预付款在进度付款中同比例扣回。</w:t>
      </w:r>
      <w:bookmarkEnd w:id="121"/>
      <w:r>
        <w:rPr>
          <w:rFonts w:ascii="Times New Roman" w:hAnsi="Times New Roman" w:eastAsia="仿宋_GB2312;仿宋" w:cs="Times New Roman"/>
          <w:color w:val="000000"/>
          <w:kern w:val="0"/>
          <w:sz w:val="24"/>
          <w:szCs w:val="24"/>
        </w:rPr>
        <w:t>在颁发工程接收证书前，提前解除合同的，尚未扣完的预付款应与合同价款一并结算。</w:t>
      </w:r>
    </w:p>
    <w:p w14:paraId="35B6B86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发包人逾期支付预付款超过</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天的，承包人有权向发包人发出要求预付的催告通知，发包人收到通知后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天内仍未支付的，承包人有权暂停施工，并按第</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项〔发包人违约的情形〕执行。</w:t>
      </w:r>
    </w:p>
    <w:p w14:paraId="2051BE56">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12.2.2 </w:t>
      </w:r>
      <w:r>
        <w:rPr>
          <w:rFonts w:ascii="Times New Roman" w:hAnsi="Times New Roman" w:eastAsia="仿宋_GB2312;仿宋" w:cs="Times New Roman"/>
          <w:color w:val="000000"/>
          <w:sz w:val="24"/>
          <w:szCs w:val="24"/>
        </w:rPr>
        <w:t>预付款担保</w:t>
      </w:r>
    </w:p>
    <w:p w14:paraId="7D7DC20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发包人要求承包人提供预付款担保的，承包人应在发包人支付预付款</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天前提供预付款担保，专用合同条款另有约定除外。预付款担保可采用银行保函、担保公司担保等形式，具体由合同当事人在专用合同条款中约定。在预付款完全扣回之前，承包人应保证预付款担保持续有效。</w:t>
      </w:r>
    </w:p>
    <w:p w14:paraId="54D41A2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发包人在工程款中逐期扣回预付款后，预付款担保额度应相应减少，但剩余的预付款担保金额不得低于未被扣回的预付款金额。</w:t>
      </w:r>
    </w:p>
    <w:p w14:paraId="57071B66">
      <w:pPr>
        <w:pStyle w:val="6"/>
        <w:spacing w:before="120" w:after="120" w:line="360" w:lineRule="auto"/>
        <w:ind w:firstLine="480"/>
        <w:rPr>
          <w:rFonts w:ascii="Times New Roman" w:hAnsi="Times New Roman" w:eastAsia="黑体" w:cs="Times New Roman"/>
          <w:b w:val="0"/>
          <w:color w:val="000000"/>
          <w:sz w:val="24"/>
          <w:szCs w:val="24"/>
        </w:rPr>
      </w:pPr>
      <w:bookmarkStart w:id="122" w:name="__RefHeading___Toc351203583"/>
      <w:bookmarkEnd w:id="122"/>
      <w:r>
        <w:rPr>
          <w:rFonts w:eastAsia="黑体" w:cs="Times New Roman"/>
          <w:b w:val="0"/>
          <w:color w:val="000000"/>
          <w:sz w:val="24"/>
          <w:szCs w:val="24"/>
        </w:rPr>
        <w:t>12.3</w:t>
      </w:r>
      <w:r>
        <w:rPr>
          <w:rFonts w:ascii="Times New Roman" w:hAnsi="Times New Roman" w:eastAsia="黑体" w:cs="Times New Roman"/>
          <w:b w:val="0"/>
          <w:color w:val="000000"/>
          <w:sz w:val="24"/>
          <w:szCs w:val="24"/>
        </w:rPr>
        <w:t>计量</w:t>
      </w:r>
    </w:p>
    <w:p w14:paraId="6E54E361">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12.3.1 </w:t>
      </w:r>
      <w:r>
        <w:rPr>
          <w:rFonts w:ascii="Times New Roman" w:hAnsi="Times New Roman" w:eastAsia="仿宋_GB2312;仿宋" w:cs="Times New Roman"/>
          <w:color w:val="000000"/>
          <w:kern w:val="0"/>
          <w:sz w:val="24"/>
          <w:szCs w:val="24"/>
        </w:rPr>
        <w:t>计量原则</w:t>
      </w:r>
    </w:p>
    <w:p w14:paraId="05B81AE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工程量计量按照合同约定的工程量计算规则、图纸及变更指示等进行计量。工程量计算规则应以相关的国家标准、行业标准等为依据，由合同当事人在专用合同条款中约定。</w:t>
      </w:r>
    </w:p>
    <w:p w14:paraId="760453A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12.3.2 </w:t>
      </w:r>
      <w:r>
        <w:rPr>
          <w:rFonts w:ascii="Times New Roman" w:hAnsi="Times New Roman" w:eastAsia="仿宋_GB2312;仿宋" w:cs="Times New Roman"/>
          <w:color w:val="000000"/>
          <w:kern w:val="0"/>
          <w:sz w:val="24"/>
          <w:szCs w:val="24"/>
        </w:rPr>
        <w:t>计量周期</w:t>
      </w:r>
    </w:p>
    <w:p w14:paraId="20D842D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除专用合同条款另有约定外，工程量的计量按月进行。</w:t>
      </w:r>
    </w:p>
    <w:p w14:paraId="7DC27FD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12.3.3 </w:t>
      </w:r>
      <w:r>
        <w:rPr>
          <w:rFonts w:ascii="Times New Roman" w:hAnsi="Times New Roman" w:eastAsia="仿宋_GB2312;仿宋" w:cs="Times New Roman"/>
          <w:color w:val="000000"/>
          <w:kern w:val="0"/>
          <w:sz w:val="24"/>
          <w:szCs w:val="24"/>
        </w:rPr>
        <w:t>单价合同的计量</w:t>
      </w:r>
    </w:p>
    <w:p w14:paraId="0244895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除专用合同条款另有约定外，单价合同的计量按照本项约定执行：</w:t>
      </w:r>
    </w:p>
    <w:p w14:paraId="37B95B6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）承包人应于每月</w:t>
      </w:r>
      <w:r>
        <w:rPr>
          <w:rFonts w:eastAsia="仿宋_GB2312;仿宋" w:cs="Times New Roman"/>
          <w:color w:val="000000"/>
          <w:kern w:val="0"/>
          <w:sz w:val="24"/>
          <w:szCs w:val="24"/>
        </w:rPr>
        <w:t>25</w:t>
      </w:r>
      <w:r>
        <w:rPr>
          <w:rFonts w:ascii="Times New Roman" w:hAnsi="Times New Roman" w:eastAsia="仿宋_GB2312;仿宋" w:cs="Times New Roman"/>
          <w:color w:val="000000"/>
          <w:kern w:val="0"/>
          <w:sz w:val="24"/>
          <w:szCs w:val="24"/>
        </w:rPr>
        <w:t>日向监理人报送上月</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日至当月</w:t>
      </w:r>
      <w:r>
        <w:rPr>
          <w:rFonts w:eastAsia="仿宋_GB2312;仿宋" w:cs="Times New Roman"/>
          <w:color w:val="000000"/>
          <w:kern w:val="0"/>
          <w:sz w:val="24"/>
          <w:szCs w:val="24"/>
        </w:rPr>
        <w:t>19</w:t>
      </w:r>
      <w:r>
        <w:rPr>
          <w:rFonts w:ascii="Times New Roman" w:hAnsi="Times New Roman" w:eastAsia="仿宋_GB2312;仿宋" w:cs="Times New Roman"/>
          <w:color w:val="000000"/>
          <w:kern w:val="0"/>
          <w:sz w:val="24"/>
          <w:szCs w:val="24"/>
        </w:rPr>
        <w:t>日已完成的工程量报告，并附具进度付款申请单、已完成工程量报表和有关资料。</w:t>
      </w:r>
    </w:p>
    <w:p w14:paraId="77D3A1D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）监理人应在收到承包人提交的工程量报告后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07F67A7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）监理人未在收到承包人提交的工程量报表后的</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天内完成审核的，承包人报送的工程量报告中的工程量视为承包人实际完成的工程量，据此计算工程价款。</w:t>
      </w:r>
    </w:p>
    <w:p w14:paraId="3A19A53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12.3.4 </w:t>
      </w:r>
      <w:r>
        <w:rPr>
          <w:rFonts w:ascii="Times New Roman" w:hAnsi="Times New Roman" w:eastAsia="仿宋_GB2312;仿宋" w:cs="Times New Roman"/>
          <w:color w:val="000000"/>
          <w:kern w:val="0"/>
          <w:sz w:val="24"/>
          <w:szCs w:val="24"/>
        </w:rPr>
        <w:t>总价合同的计量</w:t>
      </w:r>
    </w:p>
    <w:p w14:paraId="4095F8D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除专用合同条款另有约定外，按月计量支付的总价合同，按照本项约定执行：</w:t>
      </w:r>
    </w:p>
    <w:p w14:paraId="79BE16B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）承包人应于每月</w:t>
      </w:r>
      <w:r>
        <w:rPr>
          <w:rFonts w:eastAsia="仿宋_GB2312;仿宋" w:cs="Times New Roman"/>
          <w:color w:val="000000"/>
          <w:kern w:val="0"/>
          <w:sz w:val="24"/>
          <w:szCs w:val="24"/>
        </w:rPr>
        <w:t>25</w:t>
      </w:r>
      <w:r>
        <w:rPr>
          <w:rFonts w:ascii="Times New Roman" w:hAnsi="Times New Roman" w:eastAsia="仿宋_GB2312;仿宋" w:cs="Times New Roman"/>
          <w:color w:val="000000"/>
          <w:kern w:val="0"/>
          <w:sz w:val="24"/>
          <w:szCs w:val="24"/>
        </w:rPr>
        <w:t>日向监理人报送上月</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日至当月</w:t>
      </w:r>
      <w:r>
        <w:rPr>
          <w:rFonts w:eastAsia="仿宋_GB2312;仿宋" w:cs="Times New Roman"/>
          <w:color w:val="000000"/>
          <w:kern w:val="0"/>
          <w:sz w:val="24"/>
          <w:szCs w:val="24"/>
        </w:rPr>
        <w:t>19</w:t>
      </w:r>
      <w:r>
        <w:rPr>
          <w:rFonts w:ascii="Times New Roman" w:hAnsi="Times New Roman" w:eastAsia="仿宋_GB2312;仿宋" w:cs="Times New Roman"/>
          <w:color w:val="000000"/>
          <w:kern w:val="0"/>
          <w:sz w:val="24"/>
          <w:szCs w:val="24"/>
        </w:rPr>
        <w:t>日已完成的工程量报告，并附具进度付款申请单、已完成工程量报表和有关资料。</w:t>
      </w:r>
    </w:p>
    <w:p w14:paraId="50A570E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）监理人应在收到承包人提交的工程量报告后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3757C7D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）监理人未在收到承包人提交的工程量报表后的</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天内完成复核的，承包人提交的工程量报告中的工程量视为承包人实际完成的工程量。</w:t>
      </w:r>
    </w:p>
    <w:p w14:paraId="3831689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12.3.5 </w:t>
      </w:r>
      <w:r>
        <w:rPr>
          <w:rFonts w:ascii="Times New Roman" w:hAnsi="Times New Roman" w:eastAsia="仿宋_GB2312;仿宋" w:cs="Times New Roman"/>
          <w:color w:val="000000"/>
          <w:kern w:val="0"/>
          <w:sz w:val="24"/>
          <w:szCs w:val="24"/>
        </w:rPr>
        <w:t>总价合同采用支付分解表计量支付的，可以按照第</w:t>
      </w:r>
      <w:r>
        <w:rPr>
          <w:rFonts w:eastAsia="仿宋_GB2312;仿宋" w:cs="Times New Roman"/>
          <w:color w:val="000000"/>
          <w:kern w:val="0"/>
          <w:sz w:val="24"/>
          <w:szCs w:val="24"/>
        </w:rPr>
        <w:t>12.3.4</w:t>
      </w:r>
      <w:r>
        <w:rPr>
          <w:rFonts w:ascii="Times New Roman" w:hAnsi="Times New Roman" w:eastAsia="仿宋_GB2312;仿宋" w:cs="Times New Roman"/>
          <w:color w:val="000000"/>
          <w:kern w:val="0"/>
          <w:sz w:val="24"/>
          <w:szCs w:val="24"/>
        </w:rPr>
        <w:t>项〔总价合同的计量〕约定进行计量，但合同价款按照支付分解表进行支付。</w:t>
      </w:r>
    </w:p>
    <w:p w14:paraId="5E813C7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12.3.6 </w:t>
      </w:r>
      <w:r>
        <w:rPr>
          <w:rFonts w:ascii="Times New Roman" w:hAnsi="Times New Roman" w:eastAsia="仿宋_GB2312;仿宋" w:cs="Times New Roman"/>
          <w:color w:val="000000"/>
          <w:kern w:val="0"/>
          <w:sz w:val="24"/>
          <w:szCs w:val="24"/>
        </w:rPr>
        <w:t>其他价格形式合同的计量</w:t>
      </w:r>
    </w:p>
    <w:p w14:paraId="10A33FB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合同当事人可在专用合同条款中约定其他价格形式合同的计量方式和程序。</w:t>
      </w:r>
    </w:p>
    <w:p w14:paraId="6C1F5A77">
      <w:pPr>
        <w:pStyle w:val="6"/>
        <w:spacing w:before="120" w:after="120" w:line="360" w:lineRule="auto"/>
        <w:ind w:firstLine="480"/>
        <w:rPr>
          <w:rFonts w:ascii="Times New Roman" w:hAnsi="Times New Roman" w:eastAsia="黑体" w:cs="Times New Roman"/>
          <w:b w:val="0"/>
          <w:color w:val="000000"/>
          <w:sz w:val="24"/>
          <w:szCs w:val="24"/>
        </w:rPr>
      </w:pPr>
      <w:bookmarkStart w:id="123" w:name="__RefHeading___Toc351203584"/>
      <w:bookmarkEnd w:id="123"/>
      <w:r>
        <w:rPr>
          <w:rFonts w:eastAsia="黑体" w:cs="Times New Roman"/>
          <w:b w:val="0"/>
          <w:color w:val="000000"/>
          <w:sz w:val="24"/>
          <w:szCs w:val="24"/>
        </w:rPr>
        <w:t>12.4</w:t>
      </w:r>
      <w:r>
        <w:rPr>
          <w:rFonts w:ascii="Times New Roman" w:hAnsi="Times New Roman" w:eastAsia="黑体" w:cs="Times New Roman"/>
          <w:b w:val="0"/>
          <w:color w:val="000000"/>
          <w:sz w:val="24"/>
          <w:szCs w:val="24"/>
        </w:rPr>
        <w:t>工程进度款支付</w:t>
      </w:r>
    </w:p>
    <w:p w14:paraId="025AB83F">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12.4</w:t>
      </w:r>
      <w:r>
        <w:rPr>
          <w:rFonts w:eastAsia="仿宋_GB2312;仿宋" w:cs="Times New Roman"/>
          <w:color w:val="000000"/>
          <w:kern w:val="0"/>
          <w:sz w:val="24"/>
          <w:szCs w:val="24"/>
        </w:rPr>
        <w:t xml:space="preserve">.1 </w:t>
      </w:r>
      <w:r>
        <w:rPr>
          <w:rFonts w:ascii="Times New Roman" w:hAnsi="Times New Roman" w:eastAsia="仿宋_GB2312;仿宋" w:cs="Times New Roman"/>
          <w:color w:val="000000"/>
          <w:kern w:val="0"/>
          <w:sz w:val="24"/>
          <w:szCs w:val="24"/>
        </w:rPr>
        <w:t>付款周期</w:t>
      </w:r>
    </w:p>
    <w:p w14:paraId="20F242E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除专用合同条款另有约定外，付款周期应按照第</w:t>
      </w:r>
      <w:r>
        <w:rPr>
          <w:rFonts w:eastAsia="仿宋_GB2312;仿宋" w:cs="Times New Roman"/>
          <w:color w:val="000000"/>
          <w:kern w:val="0"/>
          <w:sz w:val="24"/>
          <w:szCs w:val="24"/>
        </w:rPr>
        <w:t>12.3.2</w:t>
      </w:r>
      <w:r>
        <w:rPr>
          <w:rFonts w:ascii="Times New Roman" w:hAnsi="Times New Roman" w:eastAsia="仿宋_GB2312;仿宋" w:cs="Times New Roman"/>
          <w:color w:val="000000"/>
          <w:kern w:val="0"/>
          <w:sz w:val="24"/>
          <w:szCs w:val="24"/>
        </w:rPr>
        <w:t>项〔计量周期〕的约定与计量周期保持一致。</w:t>
      </w:r>
    </w:p>
    <w:p w14:paraId="134FE7C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12.4</w:t>
      </w:r>
      <w:r>
        <w:rPr>
          <w:rFonts w:eastAsia="仿宋_GB2312;仿宋" w:cs="Times New Roman"/>
          <w:color w:val="000000"/>
          <w:kern w:val="0"/>
          <w:sz w:val="24"/>
          <w:szCs w:val="24"/>
        </w:rPr>
        <w:t xml:space="preserve">.2 </w:t>
      </w:r>
      <w:r>
        <w:rPr>
          <w:rFonts w:ascii="Times New Roman" w:hAnsi="Times New Roman" w:eastAsia="仿宋_GB2312;仿宋" w:cs="Times New Roman"/>
          <w:color w:val="000000"/>
          <w:kern w:val="0"/>
          <w:sz w:val="24"/>
          <w:szCs w:val="24"/>
        </w:rPr>
        <w:t>进度付款申请单的编制</w:t>
      </w:r>
    </w:p>
    <w:p w14:paraId="7D3CC4F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除专用合同条款另有约定外，进度付款申请单应包括下列内容：</w:t>
      </w:r>
    </w:p>
    <w:p w14:paraId="559A64A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）截至本次付款周期已完成工作对应的金额；</w:t>
      </w:r>
    </w:p>
    <w:p w14:paraId="6C2B900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）根据第</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条〔变更〕应增加和扣减的变更金额；</w:t>
      </w:r>
    </w:p>
    <w:p w14:paraId="3EFBB8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）根据第</w:t>
      </w:r>
      <w:r>
        <w:rPr>
          <w:rFonts w:eastAsia="仿宋_GB2312;仿宋" w:cs="Times New Roman"/>
          <w:color w:val="000000"/>
          <w:kern w:val="0"/>
          <w:sz w:val="24"/>
          <w:szCs w:val="24"/>
        </w:rPr>
        <w:t>12.2</w:t>
      </w:r>
      <w:r>
        <w:rPr>
          <w:rFonts w:ascii="Times New Roman" w:hAnsi="Times New Roman" w:eastAsia="仿宋_GB2312;仿宋" w:cs="Times New Roman"/>
          <w:color w:val="000000"/>
          <w:kern w:val="0"/>
          <w:sz w:val="24"/>
          <w:szCs w:val="24"/>
        </w:rPr>
        <w:t>款〔预付款〕约定应支付的预付款和扣减的返还预付款；</w:t>
      </w:r>
    </w:p>
    <w:p w14:paraId="28B1791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）根据第</w:t>
      </w:r>
      <w:r>
        <w:rPr>
          <w:rFonts w:eastAsia="仿宋_GB2312;仿宋" w:cs="Times New Roman"/>
          <w:color w:val="000000"/>
          <w:kern w:val="0"/>
          <w:sz w:val="24"/>
          <w:szCs w:val="24"/>
        </w:rPr>
        <w:t>15.3</w:t>
      </w:r>
      <w:r>
        <w:rPr>
          <w:rFonts w:ascii="Times New Roman" w:hAnsi="Times New Roman" w:eastAsia="仿宋_GB2312;仿宋" w:cs="Times New Roman"/>
          <w:color w:val="000000"/>
          <w:kern w:val="0"/>
          <w:sz w:val="24"/>
          <w:szCs w:val="24"/>
        </w:rPr>
        <w:t>款〔质量保证金〕约定应扣减的质量保证金；</w:t>
      </w:r>
    </w:p>
    <w:p w14:paraId="5558351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）根据第</w:t>
      </w:r>
      <w:r>
        <w:rPr>
          <w:rFonts w:eastAsia="仿宋_GB2312;仿宋" w:cs="Times New Roman"/>
          <w:color w:val="000000"/>
          <w:kern w:val="0"/>
          <w:sz w:val="24"/>
          <w:szCs w:val="24"/>
        </w:rPr>
        <w:t>19</w:t>
      </w:r>
      <w:r>
        <w:rPr>
          <w:rFonts w:ascii="Times New Roman" w:hAnsi="Times New Roman" w:eastAsia="仿宋_GB2312;仿宋" w:cs="Times New Roman"/>
          <w:color w:val="000000"/>
          <w:kern w:val="0"/>
          <w:sz w:val="24"/>
          <w:szCs w:val="24"/>
        </w:rPr>
        <w:t>条〔索赔〕应增加和扣减的索赔金额；</w:t>
      </w:r>
    </w:p>
    <w:p w14:paraId="16323BB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）对已签发的进度款支付证书中出现错误的修正，应在本次进度付款中支付或扣除的金额；</w:t>
      </w:r>
    </w:p>
    <w:p w14:paraId="5CFC115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）根据合同约定应增加和扣减的其他金额。</w:t>
      </w:r>
    </w:p>
    <w:p w14:paraId="64F1697D">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12.4.3 </w:t>
      </w:r>
      <w:r>
        <w:rPr>
          <w:rFonts w:ascii="Times New Roman" w:hAnsi="Times New Roman" w:eastAsia="仿宋_GB2312;仿宋" w:cs="Times New Roman"/>
          <w:color w:val="000000"/>
          <w:kern w:val="0"/>
          <w:sz w:val="24"/>
          <w:szCs w:val="24"/>
        </w:rPr>
        <w:t>进度付款申请单的提交</w:t>
      </w:r>
    </w:p>
    <w:p w14:paraId="7F420D3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）单价合同进度付款申请单的提交</w:t>
      </w:r>
    </w:p>
    <w:p w14:paraId="0669D8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单价合同的进度付款申请单，按照第</w:t>
      </w:r>
      <w:r>
        <w:rPr>
          <w:rFonts w:eastAsia="仿宋_GB2312;仿宋" w:cs="Times New Roman"/>
          <w:color w:val="000000"/>
          <w:kern w:val="0"/>
          <w:sz w:val="24"/>
          <w:szCs w:val="24"/>
        </w:rPr>
        <w:t>12.3.3</w:t>
      </w:r>
      <w:r>
        <w:rPr>
          <w:rFonts w:ascii="Times New Roman" w:hAnsi="Times New Roman" w:eastAsia="仿宋_GB2312;仿宋" w:cs="Times New Roman"/>
          <w:color w:val="000000"/>
          <w:kern w:val="0"/>
          <w:sz w:val="24"/>
          <w:szCs w:val="24"/>
        </w:rPr>
        <w:t>项〔单价合同的计量〕约定的时间按月向监理人提交，并附上已完成工程量报表和有关资料。单价合同中的总价项目按月进行支付分解，并汇总列入当期进度付款申请单。</w:t>
      </w:r>
    </w:p>
    <w:p w14:paraId="7D58FC1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）总价合同进度付款申请单的提交</w:t>
      </w:r>
    </w:p>
    <w:p w14:paraId="25542A1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总价合同按月计量支付的，承包人按照第</w:t>
      </w:r>
      <w:r>
        <w:rPr>
          <w:rFonts w:eastAsia="仿宋_GB2312;仿宋" w:cs="Times New Roman"/>
          <w:color w:val="000000"/>
          <w:kern w:val="0"/>
          <w:sz w:val="24"/>
          <w:szCs w:val="24"/>
        </w:rPr>
        <w:t>12.3.4</w:t>
      </w:r>
      <w:r>
        <w:rPr>
          <w:rFonts w:ascii="Times New Roman" w:hAnsi="Times New Roman" w:eastAsia="仿宋_GB2312;仿宋" w:cs="Times New Roman"/>
          <w:color w:val="000000"/>
          <w:kern w:val="0"/>
          <w:sz w:val="24"/>
          <w:szCs w:val="24"/>
        </w:rPr>
        <w:t>项〔总价合同的计量〕约定的时间按月向监理人提交进度付款申请单，并附上已完成工程量报表和有关资料。</w:t>
      </w:r>
    </w:p>
    <w:p w14:paraId="60DB89A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总价合同按支付分解表支付的，承包人应按照第</w:t>
      </w:r>
      <w:r>
        <w:rPr>
          <w:rFonts w:eastAsia="仿宋_GB2312;仿宋" w:cs="Times New Roman"/>
          <w:color w:val="000000"/>
          <w:kern w:val="0"/>
          <w:sz w:val="24"/>
          <w:szCs w:val="24"/>
        </w:rPr>
        <w:t>12.4.6</w:t>
      </w:r>
      <w:r>
        <w:rPr>
          <w:rFonts w:ascii="Times New Roman" w:hAnsi="Times New Roman" w:eastAsia="仿宋_GB2312;仿宋" w:cs="Times New Roman"/>
          <w:color w:val="000000"/>
          <w:kern w:val="0"/>
          <w:sz w:val="24"/>
          <w:szCs w:val="24"/>
        </w:rPr>
        <w:t>项〔支付分解表〕及第</w:t>
      </w:r>
      <w:r>
        <w:rPr>
          <w:rFonts w:eastAsia="仿宋_GB2312;仿宋" w:cs="Times New Roman"/>
          <w:color w:val="000000"/>
          <w:kern w:val="0"/>
          <w:sz w:val="24"/>
          <w:szCs w:val="24"/>
        </w:rPr>
        <w:t>12.4.2</w:t>
      </w:r>
      <w:r>
        <w:rPr>
          <w:rFonts w:ascii="Times New Roman" w:hAnsi="Times New Roman" w:eastAsia="仿宋_GB2312;仿宋" w:cs="Times New Roman"/>
          <w:color w:val="000000"/>
          <w:kern w:val="0"/>
          <w:sz w:val="24"/>
          <w:szCs w:val="24"/>
        </w:rPr>
        <w:t>项〔进度付款申请单的编制〕的约定向监理人提交进度付款申请单。</w:t>
      </w:r>
    </w:p>
    <w:p w14:paraId="25A4185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）其他价格形式合同的进度付款申请单的提交</w:t>
      </w:r>
    </w:p>
    <w:p w14:paraId="1A377B0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合同当事人可在专用合同条款中约定其他价格形式合同的进度付款申请单的编制和提交程序。</w:t>
      </w:r>
    </w:p>
    <w:p w14:paraId="30E1BA2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12.4</w:t>
      </w:r>
      <w:r>
        <w:rPr>
          <w:rFonts w:eastAsia="仿宋_GB2312;仿宋" w:cs="Times New Roman"/>
          <w:color w:val="000000"/>
          <w:kern w:val="0"/>
          <w:sz w:val="24"/>
          <w:szCs w:val="24"/>
        </w:rPr>
        <w:t xml:space="preserve">.4 </w:t>
      </w:r>
      <w:r>
        <w:rPr>
          <w:rFonts w:ascii="Times New Roman" w:hAnsi="Times New Roman" w:eastAsia="仿宋_GB2312;仿宋" w:cs="Times New Roman"/>
          <w:color w:val="000000"/>
          <w:kern w:val="0"/>
          <w:sz w:val="24"/>
          <w:szCs w:val="24"/>
        </w:rPr>
        <w:t>进度款审核和支付</w:t>
      </w:r>
    </w:p>
    <w:p w14:paraId="66734BE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）除专用合同条款另有约定外，监理人应在收到承包人进度付款申请单以及相关资料后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天内完成审查并报送发包人，发包人应在收到后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天内完成审批并签发进度款支付证书。发包人逾期未完成审批且未提出异议的，视为已签发进度款支付证书。</w:t>
      </w:r>
    </w:p>
    <w:p w14:paraId="47BE74B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发包人和监理人对承包人的进度付款申请单有异议的，有权要求承包人修正和提供补充资料，承包人应提交修正后的进度付款申请单。监理人应在收到承包人修正后的进度付款申请单及相关资料后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天内完成审查并报送发包人，发包人应在收到监理人报送的进度付款申请单及相关资料后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天内，向承包人签发无异议部分的临时进度款支付证书。存在争议的部分，按照第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条〔争议解决〕的约定处理。</w:t>
      </w:r>
    </w:p>
    <w:p w14:paraId="4AD8E4D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）除专用合同条款另有约定外，发包人应在进度款支付证书或临时进度款支付证书签发后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天内完成支付，发包人逾期支付进度款的，应按照中国人民银行发布的同期同类贷款基准利率支付违约金。</w:t>
      </w:r>
    </w:p>
    <w:p w14:paraId="087B38D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）发包人签发进度款支付证书或临时进度款支付证书，不表明发包人已同意、批准或接受了承包人完成的相应部分的工作。</w:t>
      </w:r>
    </w:p>
    <w:p w14:paraId="4288F28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12.4.5 </w:t>
      </w:r>
      <w:r>
        <w:rPr>
          <w:rFonts w:ascii="Times New Roman" w:hAnsi="Times New Roman" w:eastAsia="仿宋_GB2312;仿宋" w:cs="Times New Roman"/>
          <w:color w:val="000000"/>
          <w:kern w:val="0"/>
          <w:sz w:val="24"/>
          <w:szCs w:val="24"/>
        </w:rPr>
        <w:t>进度付款的修正</w:t>
      </w:r>
    </w:p>
    <w:p w14:paraId="3D941AA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在对已签发的进度款支付证书进行阶段汇总和复核中发现错误、遗漏或重复的，发包人和承包人均有权提出修正申请。经发包人和承包人同意的修正，应在下期进度付款中支付或扣除。</w:t>
      </w:r>
    </w:p>
    <w:p w14:paraId="7C244E9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12.4.6 </w:t>
      </w:r>
      <w:r>
        <w:rPr>
          <w:rFonts w:ascii="Times New Roman" w:hAnsi="Times New Roman" w:eastAsia="仿宋_GB2312;仿宋" w:cs="Times New Roman"/>
          <w:color w:val="000000"/>
          <w:kern w:val="0"/>
          <w:sz w:val="24"/>
          <w:szCs w:val="24"/>
        </w:rPr>
        <w:t>支付分解表</w:t>
      </w:r>
    </w:p>
    <w:p w14:paraId="02F9C58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支付分解表的编制要求</w:t>
      </w:r>
    </w:p>
    <w:p w14:paraId="654D2AB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）支付分解表中所列的每期付款金额，应为第</w:t>
      </w:r>
      <w:r>
        <w:rPr>
          <w:rFonts w:eastAsia="仿宋_GB2312;仿宋" w:cs="Times New Roman"/>
          <w:color w:val="000000"/>
          <w:kern w:val="0"/>
          <w:sz w:val="24"/>
          <w:szCs w:val="24"/>
        </w:rPr>
        <w:t>12.4.2</w:t>
      </w:r>
      <w:r>
        <w:rPr>
          <w:rFonts w:ascii="Times New Roman" w:hAnsi="Times New Roman" w:eastAsia="仿宋_GB2312;仿宋" w:cs="Times New Roman"/>
          <w:color w:val="000000"/>
          <w:kern w:val="0"/>
          <w:sz w:val="24"/>
          <w:szCs w:val="24"/>
        </w:rPr>
        <w:t>项〔进度付款申请单的编制〕第（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）目的估算金额；</w:t>
      </w:r>
    </w:p>
    <w:p w14:paraId="1753E77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）实际进度与施工进度计划不一致的，合同当事人可按照第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款〔商定或确定〕修改支付分解表；</w:t>
      </w:r>
    </w:p>
    <w:p w14:paraId="4EDD541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）不采用支付分解表的，承包人应向发包人和监理人提交按季度编制的支付估算分解表，用于支付参考。</w:t>
      </w:r>
    </w:p>
    <w:p w14:paraId="31E3E08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2</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总价合同支付分解表的编制与审批</w:t>
      </w:r>
    </w:p>
    <w:p w14:paraId="5AFCBC8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）除专用合同条款另有约定外，承包人应根据第</w:t>
      </w:r>
      <w:r>
        <w:rPr>
          <w:rFonts w:eastAsia="仿宋_GB2312;仿宋" w:cs="Times New Roman"/>
          <w:color w:val="000000"/>
          <w:kern w:val="0"/>
          <w:sz w:val="24"/>
          <w:szCs w:val="24"/>
        </w:rPr>
        <w:t>7.2</w:t>
      </w:r>
      <w:r>
        <w:rPr>
          <w:rFonts w:ascii="Times New Roman" w:hAnsi="Times New Roman" w:eastAsia="仿宋_GB2312;仿宋" w:cs="Times New Roman"/>
          <w:color w:val="000000"/>
          <w:kern w:val="0"/>
          <w:sz w:val="24"/>
          <w:szCs w:val="24"/>
        </w:rPr>
        <w:t>款〔施工进度计划〕约定的施工进度计划、签约合同价和工程量等因素对总价合同按月进行分解，编制支付分解表。承包人应当在收到监理人和发包人批准的施工进度计划后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天内，将支付分解表及编制支付分解表的支持性资料报送监理人。</w:t>
      </w:r>
    </w:p>
    <w:p w14:paraId="37D84C0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）监理人应在收到支付分解表后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天内完成审核并报送发包人。发包人应在收到经监理人审核的支付分解表后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天内完成审批，经发包人批准的支付分解表为有约束力的支付分解表。</w:t>
      </w:r>
    </w:p>
    <w:p w14:paraId="055613C3">
      <w:pPr>
        <w:spacing w:line="360" w:lineRule="auto"/>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）发包人逾期未完成支付分解表审批的，也未及时要求承包人进行修正和提供补充资料的，则承包人提交的支付分解表视为已经获得发包人批准。</w:t>
      </w:r>
    </w:p>
    <w:p w14:paraId="0EAAB38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3</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单价合同的总价项目支付分解表的编制与审批</w:t>
      </w:r>
    </w:p>
    <w:p w14:paraId="5F2B104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3D474AC3">
      <w:pPr>
        <w:pStyle w:val="6"/>
        <w:spacing w:before="120" w:after="120" w:line="360" w:lineRule="auto"/>
        <w:ind w:firstLine="480"/>
        <w:rPr>
          <w:rFonts w:ascii="Times New Roman" w:hAnsi="Times New Roman" w:eastAsia="黑体" w:cs="Times New Roman"/>
          <w:b w:val="0"/>
          <w:color w:val="000000"/>
          <w:sz w:val="24"/>
          <w:szCs w:val="24"/>
        </w:rPr>
      </w:pPr>
      <w:bookmarkStart w:id="124" w:name="__RefHeading___Toc351203585"/>
      <w:bookmarkEnd w:id="124"/>
      <w:r>
        <w:rPr>
          <w:rFonts w:eastAsia="黑体" w:cs="Times New Roman"/>
          <w:b w:val="0"/>
          <w:color w:val="000000"/>
          <w:sz w:val="24"/>
          <w:szCs w:val="24"/>
        </w:rPr>
        <w:t>12.5</w:t>
      </w:r>
      <w:r>
        <w:rPr>
          <w:rFonts w:ascii="Times New Roman" w:hAnsi="Times New Roman" w:eastAsia="黑体" w:cs="Times New Roman"/>
          <w:b w:val="0"/>
          <w:color w:val="000000"/>
          <w:sz w:val="24"/>
          <w:szCs w:val="24"/>
        </w:rPr>
        <w:t>支付账户</w:t>
      </w:r>
    </w:p>
    <w:p w14:paraId="40E489F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发包人应将合同价款支付至合同协议书中约定的承包人账户。</w:t>
      </w:r>
    </w:p>
    <w:p w14:paraId="6DA32474">
      <w:pPr>
        <w:pStyle w:val="5"/>
        <w:spacing w:before="120" w:after="120" w:line="360" w:lineRule="auto"/>
        <w:rPr>
          <w:rFonts w:ascii="Times New Roman" w:hAnsi="Times New Roman" w:eastAsia="黑体" w:cs="Times New Roman"/>
          <w:b w:val="0"/>
          <w:color w:val="000000"/>
          <w:sz w:val="24"/>
          <w:szCs w:val="24"/>
        </w:rPr>
      </w:pPr>
      <w:bookmarkStart w:id="125" w:name="__RefHeading___Toc351203586"/>
      <w:bookmarkEnd w:id="125"/>
      <w:r>
        <w:rPr>
          <w:rFonts w:ascii="Times New Roman" w:hAnsi="Times New Roman" w:eastAsia="黑体" w:cs="Times New Roman"/>
          <w:b w:val="0"/>
          <w:color w:val="000000"/>
          <w:sz w:val="24"/>
          <w:szCs w:val="24"/>
        </w:rPr>
        <w:t xml:space="preserve">13. </w:t>
      </w:r>
      <w:r>
        <w:rPr>
          <w:rFonts w:ascii="Times New Roman" w:hAnsi="Times New Roman" w:cs="Times New Roman"/>
          <w:b w:val="0"/>
          <w:color w:val="000000"/>
          <w:sz w:val="24"/>
          <w:szCs w:val="24"/>
        </w:rPr>
        <w:t>验收和工程试车</w:t>
      </w:r>
    </w:p>
    <w:p w14:paraId="5CD312E4">
      <w:pPr>
        <w:pStyle w:val="6"/>
        <w:spacing w:before="120" w:after="120" w:line="360" w:lineRule="auto"/>
        <w:ind w:firstLine="480"/>
        <w:rPr>
          <w:rFonts w:ascii="Times New Roman" w:hAnsi="Times New Roman" w:eastAsia="黑体" w:cs="Times New Roman"/>
          <w:b w:val="0"/>
          <w:color w:val="000000"/>
          <w:sz w:val="24"/>
          <w:szCs w:val="24"/>
        </w:rPr>
      </w:pPr>
      <w:bookmarkStart w:id="126" w:name="__RefHeading___Toc351203587"/>
      <w:bookmarkEnd w:id="126"/>
      <w:r>
        <w:rPr>
          <w:rFonts w:eastAsia="黑体" w:cs="Times New Roman"/>
          <w:b w:val="0"/>
          <w:color w:val="000000"/>
          <w:sz w:val="24"/>
          <w:szCs w:val="24"/>
        </w:rPr>
        <w:t>13.1</w:t>
      </w:r>
      <w:r>
        <w:rPr>
          <w:rFonts w:ascii="Times New Roman" w:hAnsi="Times New Roman" w:eastAsia="黑体" w:cs="Times New Roman"/>
          <w:b w:val="0"/>
          <w:color w:val="000000"/>
          <w:sz w:val="24"/>
          <w:szCs w:val="24"/>
        </w:rPr>
        <w:t>分部分项工程验收</w:t>
      </w:r>
    </w:p>
    <w:p w14:paraId="74CD3549">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13.1.1 </w:t>
      </w:r>
      <w:r>
        <w:rPr>
          <w:rFonts w:ascii="Times New Roman" w:hAnsi="Times New Roman" w:eastAsia="仿宋_GB2312;仿宋" w:cs="Times New Roman"/>
          <w:color w:val="000000"/>
          <w:sz w:val="24"/>
          <w:szCs w:val="24"/>
        </w:rPr>
        <w:t>分部分项工程质量应符合国家有关工程施工验收规范、标准及合同约定，承包人应按照施工组织设计的要求完成分部分项工程施工。</w:t>
      </w:r>
    </w:p>
    <w:p w14:paraId="668FEF2A">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13.1.2 </w:t>
      </w:r>
      <w:r>
        <w:rPr>
          <w:rFonts w:ascii="Times New Roman" w:hAnsi="Times New Roman" w:eastAsia="仿宋_GB2312;仿宋" w:cs="Times New Roman"/>
          <w:color w:val="000000"/>
          <w:sz w:val="24"/>
          <w:szCs w:val="24"/>
        </w:rPr>
        <w:t>除专用合同条款另有约定外，分部分项工程经承包人自检合格并具备验收条件的，承包人应提前</w:t>
      </w:r>
      <w:r>
        <w:rPr>
          <w:rFonts w:eastAsia="仿宋_GB2312;仿宋" w:cs="Times New Roman"/>
          <w:color w:val="000000"/>
          <w:sz w:val="24"/>
          <w:szCs w:val="24"/>
        </w:rPr>
        <w:t>48</w:t>
      </w:r>
      <w:r>
        <w:rPr>
          <w:rFonts w:ascii="Times New Roman" w:hAnsi="Times New Roman" w:eastAsia="仿宋_GB2312;仿宋" w:cs="Times New Roman"/>
          <w:color w:val="000000"/>
          <w:sz w:val="24"/>
          <w:szCs w:val="24"/>
        </w:rPr>
        <w:t>小时通知监理人进行验收。</w:t>
      </w:r>
      <w:r>
        <w:rPr>
          <w:rFonts w:ascii="Times New Roman" w:hAnsi="Times New Roman" w:eastAsia="仿宋_GB2312;仿宋" w:cs="Times New Roman"/>
          <w:color w:val="000000"/>
          <w:kern w:val="0"/>
          <w:sz w:val="24"/>
          <w:szCs w:val="24"/>
        </w:rPr>
        <w:t>监理人不能按时进行验收的，应在验收前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小时向承包人提交书面延期要求，但延期不能超过</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小时。监理人未按时进行验收，也未提出延期要求的，承包人有权自行验收，监理人应认可验收结果。</w:t>
      </w:r>
      <w:r>
        <w:rPr>
          <w:rFonts w:ascii="Times New Roman" w:hAnsi="Times New Roman" w:eastAsia="仿宋_GB2312;仿宋" w:cs="Times New Roman"/>
          <w:color w:val="000000"/>
          <w:sz w:val="24"/>
          <w:szCs w:val="24"/>
        </w:rPr>
        <w:t>分部分项工程未经验收的，不得进入下一道工序施工。</w:t>
      </w:r>
    </w:p>
    <w:p w14:paraId="453075E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分部分项工程的验收资料应当作为竣工资料的组成部分。</w:t>
      </w:r>
    </w:p>
    <w:p w14:paraId="13F70A17">
      <w:pPr>
        <w:pStyle w:val="6"/>
        <w:spacing w:before="120" w:after="120" w:line="360" w:lineRule="auto"/>
        <w:ind w:firstLine="480"/>
        <w:rPr>
          <w:rFonts w:ascii="Times New Roman" w:hAnsi="Times New Roman" w:eastAsia="黑体" w:cs="Times New Roman"/>
          <w:b w:val="0"/>
          <w:color w:val="000000"/>
          <w:sz w:val="24"/>
          <w:szCs w:val="24"/>
        </w:rPr>
      </w:pPr>
      <w:bookmarkStart w:id="127" w:name="__RefHeading___Toc351203588"/>
      <w:bookmarkEnd w:id="127"/>
      <w:r>
        <w:rPr>
          <w:rFonts w:eastAsia="黑体" w:cs="Times New Roman"/>
          <w:b w:val="0"/>
          <w:color w:val="000000"/>
          <w:sz w:val="24"/>
          <w:szCs w:val="24"/>
        </w:rPr>
        <w:t>13.2</w:t>
      </w:r>
      <w:r>
        <w:rPr>
          <w:rFonts w:ascii="Times New Roman" w:hAnsi="Times New Roman" w:eastAsia="黑体" w:cs="Times New Roman"/>
          <w:b w:val="0"/>
          <w:color w:val="000000"/>
          <w:sz w:val="24"/>
          <w:szCs w:val="24"/>
        </w:rPr>
        <w:t>竣工验收</w:t>
      </w:r>
    </w:p>
    <w:p w14:paraId="1C453C01">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13.2.1</w:t>
      </w:r>
      <w:r>
        <w:rPr>
          <w:rFonts w:ascii="Times New Roman" w:hAnsi="Times New Roman" w:eastAsia="仿宋_GB2312;仿宋" w:cs="Times New Roman"/>
          <w:color w:val="000000"/>
          <w:kern w:val="0"/>
          <w:sz w:val="24"/>
          <w:szCs w:val="24"/>
        </w:rPr>
        <w:t>竣工验收条件</w:t>
      </w:r>
    </w:p>
    <w:p w14:paraId="260EFC3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工程具备以下条件的，承包人可以申请竣工验收：</w:t>
      </w:r>
    </w:p>
    <w:p w14:paraId="1FF876E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）除发包人同意的甩项工作和缺陷修补工作外，合同范围内的全部工程以及有关工作，包括合同要求的试验、试运行以及检验均已完成，并符合合同要求；</w:t>
      </w:r>
    </w:p>
    <w:p w14:paraId="43A54BA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）已按合同约定编制了甩项工作和缺陷修补工作清单以及相应的施工计划；</w:t>
      </w:r>
    </w:p>
    <w:p w14:paraId="631BB3A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）已按合同约定的内容和份数备齐竣工资料。</w:t>
      </w:r>
    </w:p>
    <w:p w14:paraId="6C3023A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13.2.2</w:t>
      </w:r>
      <w:r>
        <w:rPr>
          <w:rFonts w:ascii="Times New Roman" w:hAnsi="Times New Roman" w:eastAsia="仿宋_GB2312;仿宋" w:cs="Times New Roman"/>
          <w:color w:val="000000"/>
          <w:kern w:val="0"/>
          <w:sz w:val="24"/>
          <w:szCs w:val="24"/>
        </w:rPr>
        <w:t>竣工验收程序</w:t>
      </w:r>
    </w:p>
    <w:p w14:paraId="5F703BF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除专用合同条款另有约定外，承包人申请竣工验收的，应当按照以下程序进行：</w:t>
      </w:r>
    </w:p>
    <w:p w14:paraId="66FB981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）承包人向监理人报送竣工验收申请报告，监理人应在收到竣工验收申请报告后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天内完成审查并报送发包人。监理人审查后认为尚不具备验收条件的，应通知承包人在竣工验收前承包人还需完成的工作内容，承包人应在完成监理人通知的全部工作内容后，再次提交竣工验收申请报告。</w:t>
      </w:r>
    </w:p>
    <w:p w14:paraId="157A23E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）监理人审查后认为已具备竣工验收条件的，应将竣工验收申请报告提交发包人，发包人应在收到经监理人审核的竣工验收申请报告后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天内审批完毕并组织监理人、承包人、设计人等相关单位完成竣工验收。</w:t>
      </w:r>
    </w:p>
    <w:p w14:paraId="7ED2567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）竣工验收合格的，发包人应在验收合格后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天内向承包人签发工程接收证书。发包人无正当理由逾期不颁发工程接收证书的，自验收合格后第</w:t>
      </w:r>
      <w:r>
        <w:rPr>
          <w:rFonts w:eastAsia="仿宋_GB2312;仿宋" w:cs="Times New Roman"/>
          <w:color w:val="000000"/>
          <w:kern w:val="0"/>
          <w:sz w:val="24"/>
          <w:szCs w:val="24"/>
        </w:rPr>
        <w:t>15</w:t>
      </w:r>
      <w:r>
        <w:rPr>
          <w:rFonts w:ascii="Times New Roman" w:hAnsi="Times New Roman" w:eastAsia="仿宋_GB2312;仿宋" w:cs="Times New Roman"/>
          <w:color w:val="000000"/>
          <w:kern w:val="0"/>
          <w:sz w:val="24"/>
          <w:szCs w:val="24"/>
        </w:rPr>
        <w:t>天起视为已颁发工程接收证书。</w:t>
      </w:r>
    </w:p>
    <w:p w14:paraId="19A08F6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5C86402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）工程未经验收或验收不合格，发包人擅自使用的，应在转移占有工程后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天内向承包人颁发工程接收证书；发包人无正当理由逾期不颁发工程接收证书的，自转移占有后第</w:t>
      </w:r>
      <w:r>
        <w:rPr>
          <w:rFonts w:eastAsia="仿宋_GB2312;仿宋" w:cs="Times New Roman"/>
          <w:color w:val="000000"/>
          <w:kern w:val="0"/>
          <w:sz w:val="24"/>
          <w:szCs w:val="24"/>
        </w:rPr>
        <w:t>15</w:t>
      </w:r>
      <w:r>
        <w:rPr>
          <w:rFonts w:ascii="Times New Roman" w:hAnsi="Times New Roman" w:eastAsia="仿宋_GB2312;仿宋" w:cs="Times New Roman"/>
          <w:color w:val="000000"/>
          <w:kern w:val="0"/>
          <w:sz w:val="24"/>
          <w:szCs w:val="24"/>
        </w:rPr>
        <w:t>天起视为已颁发工程接收证书。</w:t>
      </w:r>
    </w:p>
    <w:p w14:paraId="3889914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除专用合同条款另有约定外，发包人不按照本项约定组织竣工验收、颁发工程接收证书的，每逾期一天，应以签约合同价为基数，按照中国人民银行发布的同期同类贷款基准利率支付违约金。</w:t>
      </w:r>
    </w:p>
    <w:p w14:paraId="2CF4D4CE">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13.2.3</w:t>
      </w:r>
      <w:r>
        <w:rPr>
          <w:rFonts w:ascii="Times New Roman" w:hAnsi="Times New Roman" w:eastAsia="仿宋_GB2312;仿宋" w:cs="Times New Roman"/>
          <w:color w:val="000000"/>
          <w:kern w:val="0"/>
          <w:sz w:val="24"/>
          <w:szCs w:val="24"/>
        </w:rPr>
        <w:t>竣工日期</w:t>
      </w:r>
    </w:p>
    <w:p w14:paraId="4587C64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工程经竣工验收合格的，以承包人提交竣工验收申请报告之日为实际竣工日期，并在工程接收证书中载明；因发包人原因，未在监理人收到承包人提交的竣工验收申请报告</w:t>
      </w:r>
      <w:r>
        <w:rPr>
          <w:rFonts w:eastAsia="仿宋_GB2312;仿宋" w:cs="Times New Roman"/>
          <w:color w:val="000000"/>
          <w:kern w:val="0"/>
          <w:sz w:val="24"/>
          <w:szCs w:val="24"/>
        </w:rPr>
        <w:t>42</w:t>
      </w:r>
      <w:r>
        <w:rPr>
          <w:rFonts w:ascii="Times New Roman" w:hAnsi="Times New Roman" w:eastAsia="仿宋_GB2312;仿宋" w:cs="Times New Roman"/>
          <w:color w:val="000000"/>
          <w:kern w:val="0"/>
          <w:sz w:val="24"/>
          <w:szCs w:val="24"/>
        </w:rPr>
        <w:t>天内完成竣工验收，或完成竣工验收不予签发工程接收证书的，以提交竣工验</w:t>
      </w:r>
      <w:bookmarkStart w:id="128" w:name="%23go14"/>
      <w:bookmarkEnd w:id="128"/>
      <w:r>
        <w:rPr>
          <w:rFonts w:ascii="Times New Roman" w:hAnsi="Times New Roman" w:eastAsia="仿宋_GB2312;仿宋" w:cs="Times New Roman"/>
          <w:color w:val="000000"/>
          <w:kern w:val="0"/>
          <w:sz w:val="24"/>
          <w:szCs w:val="24"/>
        </w:rPr>
        <w:t>收申请报告的日期为实际竣工日期；工程未经竣工验收，发包人擅自使用的，以转移占有工程之日为实际竣工日期。</w:t>
      </w:r>
    </w:p>
    <w:p w14:paraId="57A5DD0E">
      <w:pPr>
        <w:numPr>
          <w:ilvl w:val="0"/>
          <w:numId w:val="0"/>
        </w:numPr>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13.2.4 </w:t>
      </w:r>
      <w:r>
        <w:rPr>
          <w:rFonts w:ascii="Times New Roman" w:hAnsi="Times New Roman" w:eastAsia="仿宋_GB2312;仿宋" w:cs="Times New Roman"/>
          <w:color w:val="000000"/>
          <w:kern w:val="0"/>
          <w:sz w:val="24"/>
          <w:szCs w:val="24"/>
        </w:rPr>
        <w:t>拒绝接收全部或部分工程</w:t>
      </w:r>
    </w:p>
    <w:p w14:paraId="14463DE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379A6A4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13.2.5 </w:t>
      </w:r>
      <w:r>
        <w:rPr>
          <w:rFonts w:ascii="Times New Roman" w:hAnsi="Times New Roman" w:eastAsia="仿宋_GB2312;仿宋" w:cs="Times New Roman"/>
          <w:color w:val="000000"/>
          <w:kern w:val="0"/>
          <w:sz w:val="24"/>
          <w:szCs w:val="24"/>
        </w:rPr>
        <w:t>移交、接收全部与部分工程</w:t>
      </w:r>
    </w:p>
    <w:p w14:paraId="60AE284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除专用合同条款另有约定外，合同当事人应当在颁发工程接收证书后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天内完成工程的移交。</w:t>
      </w:r>
    </w:p>
    <w:p w14:paraId="072DF88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发包人无正当理由不接收工程的，发包人自应当接收工程之日起，承担工程照管、成品保护、保管等与工程有关的各项费用，合同当事人可以在专用合同条款中另行约定发包人逾期接收工程的违约责任。</w:t>
      </w:r>
    </w:p>
    <w:p w14:paraId="30BE3DD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承包人无正当理由不移交工程的，承包人应承担工程照管、成品保护、保管等与工程有关的各项费用，合同当事人可以在专用合同条款中另行约定承包人无正当理由不移交工程的违约责任。</w:t>
      </w:r>
    </w:p>
    <w:p w14:paraId="409BE90A">
      <w:pPr>
        <w:pStyle w:val="6"/>
        <w:spacing w:before="120" w:after="120" w:line="360" w:lineRule="auto"/>
        <w:ind w:firstLine="480"/>
        <w:rPr>
          <w:rFonts w:ascii="Times New Roman" w:hAnsi="Times New Roman" w:eastAsia="黑体" w:cs="Times New Roman"/>
          <w:b w:val="0"/>
          <w:color w:val="000000"/>
          <w:sz w:val="24"/>
          <w:szCs w:val="24"/>
        </w:rPr>
      </w:pPr>
      <w:bookmarkStart w:id="129" w:name="__RefHeading___Toc351203589"/>
      <w:bookmarkEnd w:id="129"/>
      <w:r>
        <w:rPr>
          <w:rFonts w:eastAsia="黑体" w:cs="Times New Roman"/>
          <w:b w:val="0"/>
          <w:color w:val="000000"/>
          <w:sz w:val="24"/>
          <w:szCs w:val="24"/>
        </w:rPr>
        <w:t>13.3</w:t>
      </w:r>
      <w:r>
        <w:rPr>
          <w:rFonts w:ascii="Times New Roman" w:hAnsi="Times New Roman" w:eastAsia="黑体" w:cs="Times New Roman"/>
          <w:b w:val="0"/>
          <w:color w:val="000000"/>
          <w:sz w:val="24"/>
          <w:szCs w:val="24"/>
        </w:rPr>
        <w:t>工程试车</w:t>
      </w:r>
    </w:p>
    <w:p w14:paraId="46F1A73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13.3.1</w:t>
      </w:r>
      <w:r>
        <w:rPr>
          <w:rFonts w:ascii="Times New Roman" w:hAnsi="Times New Roman" w:eastAsia="仿宋_GB2312;仿宋" w:cs="Times New Roman"/>
          <w:color w:val="000000"/>
          <w:kern w:val="0"/>
          <w:sz w:val="24"/>
          <w:szCs w:val="24"/>
        </w:rPr>
        <w:t>试车程序</w:t>
      </w:r>
    </w:p>
    <w:p w14:paraId="1A03069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工程需要试车的，除专用合同条款另有约定外，试车内容应与承包人承包范围相一致，试车费用由承包人承担。工程试车应按如下程序进行：</w:t>
      </w:r>
    </w:p>
    <w:p w14:paraId="5DEA377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）具备单机无负荷试车条件，承包人组织试车，并在试车前</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书面通知监理人，通知中应载明试车内容、时间、地点。承包人准备试车记录，发包人根据承包人要求为试车提供必要条件。试车合格的，监理人在试车记录上签字。监理人在试车合格后不在试车记录上签字，自试车结束满</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小时后视为监理人已经认可试车记录，承包人可继续施工或办理竣工验收手续。</w:t>
      </w:r>
    </w:p>
    <w:p w14:paraId="606B432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监理人不能按时参加试车，应在试车前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小时以书面形式向承包人提出延期要求，但延期不能超过</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小时，由此导致工期延误的，工期应予以顺延。监理人未能在前述期限内提出延期要求，又不参加试车的，视为认可试车记录。</w:t>
      </w:r>
    </w:p>
    <w:p w14:paraId="1592DEA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）具备无负荷联动试车条件，发包人组织试车，并在试车前</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以书面形式通知承包人。通知中应载明试车内容、时间、地点和对承包人的要求，承包人按要求做好准备工作。试车合格，合同当事人在试车记录上签字。承包人无正当理由不参加试车的，视为认可试车记录。</w:t>
      </w:r>
    </w:p>
    <w:p w14:paraId="07AA72C7">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13.3.2 </w:t>
      </w:r>
      <w:r>
        <w:rPr>
          <w:rFonts w:ascii="Times New Roman" w:hAnsi="Times New Roman" w:eastAsia="仿宋_GB2312;仿宋" w:cs="Times New Roman"/>
          <w:color w:val="000000"/>
          <w:kern w:val="0"/>
          <w:sz w:val="24"/>
          <w:szCs w:val="24"/>
        </w:rPr>
        <w:t>试车中的责任</w:t>
      </w:r>
    </w:p>
    <w:p w14:paraId="714E98F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1653472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3E5509C5">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13.3.3 </w:t>
      </w:r>
      <w:r>
        <w:rPr>
          <w:rFonts w:ascii="Times New Roman" w:hAnsi="Times New Roman" w:eastAsia="仿宋_GB2312;仿宋" w:cs="Times New Roman"/>
          <w:color w:val="000000"/>
          <w:kern w:val="0"/>
          <w:sz w:val="24"/>
          <w:szCs w:val="24"/>
        </w:rPr>
        <w:t>投料试车</w:t>
      </w:r>
    </w:p>
    <w:p w14:paraId="69FD1E7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如需进行投料试车的，发包人应在工程竣工验收后组织投料试车。发包人要求在工程竣工验收前进行或需要承包人配合时，应征得承包人同意，并在专用合同条款中约定有关事项。</w:t>
      </w:r>
    </w:p>
    <w:p w14:paraId="43FB5E7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32BF1B42">
      <w:pPr>
        <w:pStyle w:val="6"/>
        <w:spacing w:before="120" w:after="120" w:line="360" w:lineRule="auto"/>
        <w:rPr>
          <w:rFonts w:ascii="Times New Roman" w:hAnsi="Times New Roman" w:eastAsia="黑体" w:cs="Times New Roman"/>
          <w:b w:val="0"/>
          <w:color w:val="000000"/>
          <w:sz w:val="24"/>
          <w:szCs w:val="24"/>
        </w:rPr>
      </w:pPr>
      <w:r>
        <w:rPr>
          <w:rFonts w:eastAsia="Times New Roman" w:cs="Times New Roman"/>
          <w:b w:val="0"/>
          <w:color w:val="000000"/>
          <w:sz w:val="24"/>
          <w:szCs w:val="24"/>
        </w:rPr>
        <w:t xml:space="preserve">    </w:t>
      </w:r>
      <w:bookmarkStart w:id="130" w:name="__RefHeading___Toc351203590"/>
      <w:r>
        <w:rPr>
          <w:rFonts w:eastAsia="黑体" w:cs="Times New Roman"/>
          <w:b w:val="0"/>
          <w:color w:val="000000"/>
          <w:sz w:val="24"/>
          <w:szCs w:val="24"/>
        </w:rPr>
        <w:t>13.4</w:t>
      </w:r>
      <w:r>
        <w:rPr>
          <w:rFonts w:ascii="Times New Roman" w:hAnsi="Times New Roman" w:eastAsia="黑体" w:cs="Times New Roman"/>
          <w:b w:val="0"/>
          <w:color w:val="000000"/>
          <w:sz w:val="24"/>
          <w:szCs w:val="24"/>
        </w:rPr>
        <w:t>提前交付单位工程的验收</w:t>
      </w:r>
      <w:bookmarkEnd w:id="130"/>
    </w:p>
    <w:p w14:paraId="7C60FB5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13.4.1 </w:t>
      </w:r>
      <w:r>
        <w:rPr>
          <w:rFonts w:ascii="Times New Roman" w:hAnsi="Times New Roman" w:eastAsia="仿宋_GB2312;仿宋" w:cs="Times New Roman"/>
          <w:color w:val="000000"/>
          <w:kern w:val="0"/>
          <w:sz w:val="24"/>
          <w:szCs w:val="24"/>
        </w:rPr>
        <w:t>发包人需要在工程竣工前使用单位工程的，或承包人提出提前交付已经竣工的单位工程且经发包人同意的，可进行单位工程验收，验收的程序按照第</w:t>
      </w:r>
      <w:r>
        <w:rPr>
          <w:rFonts w:eastAsia="仿宋_GB2312;仿宋" w:cs="Times New Roman"/>
          <w:color w:val="000000"/>
          <w:kern w:val="0"/>
          <w:sz w:val="24"/>
          <w:szCs w:val="24"/>
        </w:rPr>
        <w:t>13.2</w:t>
      </w:r>
      <w:r>
        <w:rPr>
          <w:rFonts w:ascii="Times New Roman" w:hAnsi="Times New Roman" w:eastAsia="仿宋_GB2312;仿宋" w:cs="Times New Roman"/>
          <w:color w:val="000000"/>
          <w:kern w:val="0"/>
          <w:sz w:val="24"/>
          <w:szCs w:val="24"/>
        </w:rPr>
        <w:t>款〔竣工验收〕的约定进行。</w:t>
      </w:r>
    </w:p>
    <w:p w14:paraId="022BD41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验收合格后，由监理人向承包人出具经发包人签认的单位工程接收证书。已签发单位工程接收证书的单位工程由发包人负责照管。单位工程的验收成果和结论作为整体工程竣工验收申请报告的附件。</w:t>
      </w:r>
    </w:p>
    <w:p w14:paraId="423D47C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13.4.2 </w:t>
      </w:r>
      <w:r>
        <w:rPr>
          <w:rFonts w:ascii="Times New Roman" w:hAnsi="Times New Roman" w:eastAsia="仿宋_GB2312;仿宋" w:cs="Times New Roman"/>
          <w:color w:val="000000"/>
          <w:kern w:val="0"/>
          <w:sz w:val="24"/>
          <w:szCs w:val="24"/>
        </w:rPr>
        <w:t>发包人要求在工程竣工前交付单位工程，由此导致承包人费用增加和（或）工期延误的，由发包人承担由此增加的费用和（或）延误的工期，并支付承包人合理的利润。</w:t>
      </w:r>
    </w:p>
    <w:p w14:paraId="460AD4F2">
      <w:pPr>
        <w:pStyle w:val="6"/>
        <w:spacing w:before="120" w:after="120" w:line="360" w:lineRule="auto"/>
        <w:ind w:firstLine="480"/>
        <w:rPr>
          <w:rFonts w:ascii="Times New Roman" w:hAnsi="Times New Roman" w:eastAsia="黑体" w:cs="Times New Roman"/>
          <w:b w:val="0"/>
          <w:color w:val="000000"/>
          <w:sz w:val="24"/>
          <w:szCs w:val="24"/>
        </w:rPr>
      </w:pPr>
      <w:bookmarkStart w:id="131" w:name="__RefHeading___Toc351203591"/>
      <w:bookmarkEnd w:id="131"/>
      <w:r>
        <w:rPr>
          <w:rFonts w:eastAsia="黑体" w:cs="Times New Roman"/>
          <w:b w:val="0"/>
          <w:color w:val="000000"/>
          <w:sz w:val="24"/>
          <w:szCs w:val="24"/>
        </w:rPr>
        <w:t xml:space="preserve">13.5 </w:t>
      </w:r>
      <w:r>
        <w:rPr>
          <w:rFonts w:ascii="Times New Roman" w:hAnsi="Times New Roman" w:eastAsia="黑体" w:cs="Times New Roman"/>
          <w:b w:val="0"/>
          <w:color w:val="000000"/>
          <w:sz w:val="24"/>
          <w:szCs w:val="24"/>
        </w:rPr>
        <w:t>施工期运行</w:t>
      </w:r>
    </w:p>
    <w:p w14:paraId="639E6B04">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13.5.1 </w:t>
      </w:r>
      <w:r>
        <w:rPr>
          <w:rFonts w:ascii="Times New Roman" w:hAnsi="Times New Roman" w:eastAsia="仿宋_GB2312;仿宋" w:cs="Times New Roman"/>
          <w:color w:val="000000"/>
          <w:kern w:val="0"/>
          <w:sz w:val="24"/>
          <w:szCs w:val="24"/>
        </w:rPr>
        <w:t>施工期运行是指合同工程尚未全部竣工，其中某项或某几项单位工程或工程设备安装已竣工，根据专用合同条款约定，需要投入施工期运行的，经发包人按第</w:t>
      </w:r>
      <w:r>
        <w:rPr>
          <w:rFonts w:eastAsia="仿宋_GB2312;仿宋" w:cs="Times New Roman"/>
          <w:color w:val="000000"/>
          <w:kern w:val="0"/>
          <w:sz w:val="24"/>
          <w:szCs w:val="24"/>
        </w:rPr>
        <w:t>13.4</w:t>
      </w:r>
      <w:r>
        <w:rPr>
          <w:rFonts w:ascii="Times New Roman" w:hAnsi="Times New Roman" w:eastAsia="仿宋_GB2312;仿宋" w:cs="Times New Roman"/>
          <w:color w:val="000000"/>
          <w:kern w:val="0"/>
          <w:sz w:val="24"/>
          <w:szCs w:val="24"/>
        </w:rPr>
        <w:t>款〔提前交付单位工程的验收〕的约定验收合格，证明能确保安全后，才能在施工期投入运行。</w:t>
      </w:r>
    </w:p>
    <w:p w14:paraId="605FD5E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13.5.2 </w:t>
      </w:r>
      <w:r>
        <w:rPr>
          <w:rFonts w:ascii="Times New Roman" w:hAnsi="Times New Roman" w:eastAsia="仿宋_GB2312;仿宋" w:cs="Times New Roman"/>
          <w:color w:val="000000"/>
          <w:kern w:val="0"/>
          <w:sz w:val="24"/>
          <w:szCs w:val="24"/>
        </w:rPr>
        <w:t>在施工期运行中发现工程或工程设备损坏或存在缺陷的，由承包人按第</w:t>
      </w:r>
      <w:r>
        <w:rPr>
          <w:rFonts w:eastAsia="仿宋_GB2312;仿宋" w:cs="Times New Roman"/>
          <w:color w:val="000000"/>
          <w:kern w:val="0"/>
          <w:sz w:val="24"/>
          <w:szCs w:val="24"/>
        </w:rPr>
        <w:t>15.2</w:t>
      </w:r>
      <w:r>
        <w:rPr>
          <w:rFonts w:ascii="Times New Roman" w:hAnsi="Times New Roman" w:eastAsia="仿宋_GB2312;仿宋" w:cs="Times New Roman"/>
          <w:color w:val="000000"/>
          <w:kern w:val="0"/>
          <w:sz w:val="24"/>
          <w:szCs w:val="24"/>
        </w:rPr>
        <w:t>款〔缺陷责任期〕约定进行修复。</w:t>
      </w:r>
    </w:p>
    <w:p w14:paraId="70E74529">
      <w:pPr>
        <w:pStyle w:val="6"/>
        <w:spacing w:before="120" w:after="120" w:line="360" w:lineRule="auto"/>
        <w:ind w:firstLine="480"/>
        <w:rPr>
          <w:rFonts w:ascii="Times New Roman" w:hAnsi="Times New Roman" w:eastAsia="黑体" w:cs="Times New Roman"/>
          <w:b w:val="0"/>
          <w:color w:val="000000"/>
          <w:sz w:val="24"/>
          <w:szCs w:val="24"/>
        </w:rPr>
      </w:pPr>
      <w:bookmarkStart w:id="132" w:name="__RefHeading___Toc351203592"/>
      <w:bookmarkEnd w:id="132"/>
      <w:r>
        <w:rPr>
          <w:rFonts w:eastAsia="黑体" w:cs="Times New Roman"/>
          <w:b w:val="0"/>
          <w:color w:val="000000"/>
          <w:sz w:val="24"/>
          <w:szCs w:val="24"/>
        </w:rPr>
        <w:t xml:space="preserve">13.6 </w:t>
      </w:r>
      <w:r>
        <w:rPr>
          <w:rFonts w:ascii="Times New Roman" w:hAnsi="Times New Roman" w:eastAsia="黑体" w:cs="Times New Roman"/>
          <w:b w:val="0"/>
          <w:color w:val="000000"/>
          <w:sz w:val="24"/>
          <w:szCs w:val="24"/>
        </w:rPr>
        <w:t>竣工退场</w:t>
      </w:r>
    </w:p>
    <w:p w14:paraId="0220638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13.6.1 </w:t>
      </w:r>
      <w:r>
        <w:rPr>
          <w:rFonts w:ascii="Times New Roman" w:hAnsi="Times New Roman" w:eastAsia="仿宋_GB2312;仿宋" w:cs="Times New Roman"/>
          <w:color w:val="000000"/>
          <w:kern w:val="0"/>
          <w:sz w:val="24"/>
          <w:szCs w:val="24"/>
        </w:rPr>
        <w:t>竣工退场</w:t>
      </w:r>
    </w:p>
    <w:p w14:paraId="78A9E82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颁发工程接收证书后，承包人应按以下要求对施工现场进行清理：</w:t>
      </w:r>
    </w:p>
    <w:p w14:paraId="4B08CE3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）施工现场内残留的垃圾已全部清除出场；</w:t>
      </w:r>
    </w:p>
    <w:p w14:paraId="079DB90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）临时工程已拆除，场地已进行清理、平整或复原；</w:t>
      </w:r>
    </w:p>
    <w:p w14:paraId="6E936AE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）按合同约定应撤离的人员、承包人施工设备和剩余的材料，包括废弃的施工设备和材料，已按计划撤离施工现场；</w:t>
      </w:r>
    </w:p>
    <w:p w14:paraId="54331DA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）施工现场周边及其附近道路、河道的施工堆积物，已全部清理；</w:t>
      </w:r>
    </w:p>
    <w:p w14:paraId="4787954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）施工现场其他场地清理工作已全部完成。</w:t>
      </w:r>
    </w:p>
    <w:p w14:paraId="2C753CB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08A5CE9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13.6.2 </w:t>
      </w:r>
      <w:r>
        <w:rPr>
          <w:rFonts w:ascii="Times New Roman" w:hAnsi="Times New Roman" w:eastAsia="仿宋_GB2312;仿宋" w:cs="Times New Roman"/>
          <w:color w:val="000000"/>
          <w:kern w:val="0"/>
          <w:sz w:val="24"/>
          <w:szCs w:val="24"/>
        </w:rPr>
        <w:t>地表还原</w:t>
      </w:r>
    </w:p>
    <w:p w14:paraId="5A5D8CF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承包人应按发包人要求恢复临时占地及清理场地，承包人未按发包人的要求恢复临时占地，或者场地清理未达到合同约定要求的，发包人有权委托其他人恢复或清理，所发生的费用由承包人承担。</w:t>
      </w:r>
    </w:p>
    <w:p w14:paraId="231AB7C2">
      <w:pPr>
        <w:pStyle w:val="5"/>
        <w:spacing w:before="120" w:after="120" w:line="360" w:lineRule="auto"/>
        <w:rPr>
          <w:rFonts w:ascii="Times New Roman" w:hAnsi="Times New Roman" w:eastAsia="黑体" w:cs="Times New Roman"/>
          <w:b w:val="0"/>
          <w:color w:val="000000"/>
          <w:sz w:val="24"/>
          <w:szCs w:val="24"/>
        </w:rPr>
      </w:pPr>
      <w:bookmarkStart w:id="133" w:name="__RefHeading___Toc351203593"/>
      <w:bookmarkEnd w:id="133"/>
      <w:r>
        <w:rPr>
          <w:rFonts w:ascii="Times New Roman" w:hAnsi="Times New Roman" w:eastAsia="黑体" w:cs="Times New Roman"/>
          <w:b w:val="0"/>
          <w:color w:val="000000"/>
          <w:sz w:val="24"/>
          <w:szCs w:val="24"/>
        </w:rPr>
        <w:t xml:space="preserve">14. </w:t>
      </w:r>
      <w:r>
        <w:rPr>
          <w:rFonts w:ascii="Times New Roman" w:hAnsi="Times New Roman" w:cs="Times New Roman"/>
          <w:b w:val="0"/>
          <w:color w:val="000000"/>
          <w:sz w:val="24"/>
          <w:szCs w:val="24"/>
        </w:rPr>
        <w:t>竣工结算</w:t>
      </w:r>
    </w:p>
    <w:p w14:paraId="065F50A2">
      <w:pPr>
        <w:pStyle w:val="6"/>
        <w:spacing w:before="120" w:after="120" w:line="360" w:lineRule="auto"/>
        <w:ind w:firstLine="480"/>
        <w:rPr>
          <w:rFonts w:ascii="Times New Roman" w:hAnsi="Times New Roman" w:eastAsia="黑体" w:cs="Times New Roman"/>
          <w:b w:val="0"/>
          <w:color w:val="000000"/>
          <w:sz w:val="24"/>
          <w:szCs w:val="24"/>
        </w:rPr>
      </w:pPr>
      <w:bookmarkStart w:id="134" w:name="__RefHeading___Toc351203594"/>
      <w:bookmarkEnd w:id="134"/>
      <w:r>
        <w:rPr>
          <w:rFonts w:eastAsia="黑体" w:cs="Times New Roman"/>
          <w:b w:val="0"/>
          <w:color w:val="000000"/>
          <w:sz w:val="24"/>
          <w:szCs w:val="24"/>
        </w:rPr>
        <w:t xml:space="preserve">14.1 </w:t>
      </w:r>
      <w:r>
        <w:rPr>
          <w:rFonts w:ascii="Times New Roman" w:hAnsi="Times New Roman" w:eastAsia="黑体" w:cs="Times New Roman"/>
          <w:b w:val="0"/>
          <w:color w:val="000000"/>
          <w:sz w:val="24"/>
          <w:szCs w:val="24"/>
        </w:rPr>
        <w:t>竣工结算申请</w:t>
      </w:r>
    </w:p>
    <w:p w14:paraId="30ADD89E">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除专用合同条款另有约定外，</w:t>
      </w:r>
      <w:r>
        <w:rPr>
          <w:rFonts w:ascii="Times New Roman" w:hAnsi="Times New Roman" w:eastAsia="仿宋_GB2312;仿宋" w:cs="Times New Roman"/>
          <w:color w:val="000000"/>
          <w:sz w:val="24"/>
          <w:szCs w:val="24"/>
        </w:rPr>
        <w:t>承包人应在工程竣工验收合格后</w:t>
      </w:r>
      <w:r>
        <w:rPr>
          <w:rFonts w:eastAsia="仿宋_GB2312;仿宋" w:cs="Times New Roman"/>
          <w:color w:val="000000"/>
          <w:sz w:val="24"/>
          <w:szCs w:val="24"/>
        </w:rPr>
        <w:t>28</w:t>
      </w:r>
      <w:r>
        <w:rPr>
          <w:rFonts w:ascii="Times New Roman" w:hAnsi="Times New Roman" w:eastAsia="仿宋_GB2312;仿宋" w:cs="Times New Roman"/>
          <w:color w:val="000000"/>
          <w:sz w:val="24"/>
          <w:szCs w:val="24"/>
        </w:rPr>
        <w:t>天内向发包人和监理人提交竣工结算申请单，并提交完整的结算资料，有关竣工结算申请单的资料清单和份数等要求由合同当事人在专用合同条款中约定。</w:t>
      </w:r>
    </w:p>
    <w:p w14:paraId="50B069ED">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除专用合同条款另有约定外，竣工结算申请单应包括以下内容：</w:t>
      </w:r>
    </w:p>
    <w:p w14:paraId="75C9CD35">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）竣工结算合同价格；</w:t>
      </w:r>
    </w:p>
    <w:p w14:paraId="41D7868A">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）发包人已支付承包人的款项；</w:t>
      </w:r>
    </w:p>
    <w:p w14:paraId="45B5203B">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）应扣留的质量保证金</w:t>
      </w:r>
      <w:r>
        <w:rPr>
          <w:rFonts w:eastAsia="仿宋_GB2312;仿宋"/>
          <w:color w:val="000000"/>
          <w:sz w:val="24"/>
          <w:szCs w:val="24"/>
        </w:rPr>
        <w:t>。已缴纳履约保证金的或提供其他工程质量担保方式的除外</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363A4B0E">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）发包人应支付承包人的合同价款。</w:t>
      </w:r>
    </w:p>
    <w:p w14:paraId="481AB076">
      <w:pPr>
        <w:pStyle w:val="6"/>
        <w:spacing w:before="120" w:after="120" w:line="360" w:lineRule="auto"/>
        <w:ind w:firstLine="480"/>
        <w:rPr>
          <w:rFonts w:ascii="Times New Roman" w:hAnsi="Times New Roman" w:eastAsia="黑体" w:cs="Times New Roman"/>
          <w:b w:val="0"/>
          <w:color w:val="000000"/>
          <w:sz w:val="24"/>
          <w:szCs w:val="24"/>
        </w:rPr>
      </w:pPr>
      <w:bookmarkStart w:id="135" w:name="__RefHeading___Toc351203595"/>
      <w:bookmarkEnd w:id="135"/>
      <w:r>
        <w:rPr>
          <w:rFonts w:eastAsia="黑体" w:cs="Times New Roman"/>
          <w:b w:val="0"/>
          <w:color w:val="000000"/>
          <w:sz w:val="24"/>
          <w:szCs w:val="24"/>
        </w:rPr>
        <w:t xml:space="preserve">14.2 </w:t>
      </w:r>
      <w:r>
        <w:rPr>
          <w:rFonts w:ascii="Times New Roman" w:hAnsi="Times New Roman" w:eastAsia="黑体" w:cs="Times New Roman"/>
          <w:b w:val="0"/>
          <w:color w:val="000000"/>
          <w:sz w:val="24"/>
          <w:szCs w:val="24"/>
        </w:rPr>
        <w:t>竣工结算审核</w:t>
      </w:r>
    </w:p>
    <w:p w14:paraId="48D7509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）除专用合同条款另有约定外，监理人应在收到竣工结算申请单后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天内完成核查并报送发包人。发包人应在收到监理人提交的经审核的竣工结算申请单后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天内完成审批，并由监理人向承包人签发经发包人签认的竣工付款证书。监理人或</w:t>
      </w:r>
      <w:r>
        <w:rPr>
          <w:rFonts w:ascii="Times New Roman" w:hAnsi="Times New Roman" w:eastAsia="仿宋_GB2312;仿宋" w:cs="Times New Roman"/>
          <w:color w:val="000000"/>
          <w:sz w:val="24"/>
          <w:szCs w:val="24"/>
        </w:rPr>
        <w:t>发包人对竣工</w:t>
      </w:r>
      <w:r>
        <w:rPr>
          <w:rFonts w:ascii="Times New Roman" w:hAnsi="Times New Roman" w:eastAsia="仿宋_GB2312;仿宋" w:cs="Times New Roman"/>
          <w:color w:val="000000"/>
          <w:kern w:val="0"/>
          <w:sz w:val="24"/>
          <w:szCs w:val="24"/>
        </w:rPr>
        <w:t>结算</w:t>
      </w:r>
      <w:r>
        <w:rPr>
          <w:rFonts w:ascii="Times New Roman" w:hAnsi="Times New Roman" w:eastAsia="仿宋_GB2312;仿宋" w:cs="Times New Roman"/>
          <w:color w:val="000000"/>
          <w:sz w:val="24"/>
          <w:szCs w:val="24"/>
        </w:rPr>
        <w:t>申请单有异议的，有权要求承包人进行修正和提供补充资料，承包人应提交修正后的竣工</w:t>
      </w:r>
      <w:r>
        <w:rPr>
          <w:rFonts w:ascii="Times New Roman" w:hAnsi="Times New Roman" w:eastAsia="仿宋_GB2312;仿宋" w:cs="Times New Roman"/>
          <w:color w:val="000000"/>
          <w:kern w:val="0"/>
          <w:sz w:val="24"/>
          <w:szCs w:val="24"/>
        </w:rPr>
        <w:t>结算</w:t>
      </w:r>
      <w:r>
        <w:rPr>
          <w:rFonts w:ascii="Times New Roman" w:hAnsi="Times New Roman" w:eastAsia="仿宋_GB2312;仿宋" w:cs="Times New Roman"/>
          <w:color w:val="000000"/>
          <w:sz w:val="24"/>
          <w:szCs w:val="24"/>
        </w:rPr>
        <w:t>申请单。</w:t>
      </w:r>
    </w:p>
    <w:p w14:paraId="4505B76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发包人在收到承包人提交竣工结算申请书后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天内未完成审批且未提出异议的，视为发包人认可承包人提交的竣工结算申请单，并自发包人收到承包人提交的竣工结算申请单后第</w:t>
      </w:r>
      <w:r>
        <w:rPr>
          <w:rFonts w:eastAsia="仿宋_GB2312;仿宋" w:cs="Times New Roman"/>
          <w:color w:val="000000"/>
          <w:kern w:val="0"/>
          <w:sz w:val="24"/>
          <w:szCs w:val="24"/>
        </w:rPr>
        <w:t>29</w:t>
      </w:r>
      <w:r>
        <w:rPr>
          <w:rFonts w:ascii="Times New Roman" w:hAnsi="Times New Roman" w:eastAsia="仿宋_GB2312;仿宋" w:cs="Times New Roman"/>
          <w:color w:val="000000"/>
          <w:kern w:val="0"/>
          <w:sz w:val="24"/>
          <w:szCs w:val="24"/>
        </w:rPr>
        <w:t>天起视为已签发竣工付款证书。</w:t>
      </w:r>
    </w:p>
    <w:p w14:paraId="182EB1D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）除专用合同条款另有约定外，发包人应在签发竣工付款证书后的</w:t>
      </w:r>
      <w:r>
        <w:rPr>
          <w:rFonts w:eastAsia="仿宋_GB2312;仿宋" w:cs="Times New Roman"/>
          <w:color w:val="000000"/>
          <w:kern w:val="0"/>
          <w:sz w:val="24"/>
          <w:szCs w:val="24"/>
        </w:rPr>
        <w:t xml:space="preserve">14 </w:t>
      </w:r>
      <w:r>
        <w:rPr>
          <w:rFonts w:ascii="Times New Roman" w:hAnsi="Times New Roman" w:eastAsia="仿宋_GB2312;仿宋" w:cs="Times New Roman"/>
          <w:color w:val="000000"/>
          <w:kern w:val="0"/>
          <w:sz w:val="24"/>
          <w:szCs w:val="24"/>
        </w:rPr>
        <w:t>天内，完成对承包人的竣工付款。发包人逾期支付的，按照中国人民银行发布的同期同类贷款基准利率支付违约金；逾期支付超过</w:t>
      </w:r>
      <w:r>
        <w:rPr>
          <w:rFonts w:eastAsia="仿宋_GB2312;仿宋" w:cs="Times New Roman"/>
          <w:color w:val="000000"/>
          <w:kern w:val="0"/>
          <w:sz w:val="24"/>
          <w:szCs w:val="24"/>
        </w:rPr>
        <w:t>56</w:t>
      </w:r>
      <w:r>
        <w:rPr>
          <w:rFonts w:ascii="Times New Roman" w:hAnsi="Times New Roman" w:eastAsia="仿宋_GB2312;仿宋" w:cs="Times New Roman"/>
          <w:color w:val="000000"/>
          <w:kern w:val="0"/>
          <w:sz w:val="24"/>
          <w:szCs w:val="24"/>
        </w:rPr>
        <w:t>天的，按照中国人民银行发布的同期同类贷款基准利率的两倍支付违约金。</w:t>
      </w:r>
    </w:p>
    <w:p w14:paraId="5237717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）承包人对发包人签认的竣工付款证书有异议的，对于有异议部分应在收到发包人签认的竣工付款证书后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天内提出异议，并由合同当事人按照专用合同条款约定的方式和程序进行复核，或按照第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条〔争议解决〕约定处理。对于无异议部分，发包人应签发临时竣工付款证书，并按本款第（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）项完成付款。承包人逾期未提出异议的，视为认可发包人的审批结果。</w:t>
      </w:r>
    </w:p>
    <w:p w14:paraId="5E4C21BD">
      <w:pPr>
        <w:pStyle w:val="6"/>
        <w:spacing w:before="120" w:after="120" w:line="360" w:lineRule="auto"/>
        <w:ind w:firstLine="480"/>
        <w:rPr>
          <w:rFonts w:ascii="Times New Roman" w:hAnsi="Times New Roman" w:eastAsia="黑体" w:cs="Times New Roman"/>
          <w:b w:val="0"/>
          <w:color w:val="000000"/>
          <w:sz w:val="24"/>
          <w:szCs w:val="24"/>
        </w:rPr>
      </w:pPr>
      <w:bookmarkStart w:id="136" w:name="__RefHeading___Toc351203596"/>
      <w:bookmarkEnd w:id="136"/>
      <w:r>
        <w:rPr>
          <w:rFonts w:eastAsia="黑体" w:cs="Times New Roman"/>
          <w:b w:val="0"/>
          <w:color w:val="000000"/>
          <w:sz w:val="24"/>
          <w:szCs w:val="24"/>
        </w:rPr>
        <w:t xml:space="preserve">14.3 </w:t>
      </w:r>
      <w:r>
        <w:rPr>
          <w:rFonts w:ascii="Times New Roman" w:hAnsi="Times New Roman" w:eastAsia="黑体" w:cs="Times New Roman"/>
          <w:b w:val="0"/>
          <w:color w:val="000000"/>
          <w:sz w:val="24"/>
          <w:szCs w:val="24"/>
        </w:rPr>
        <w:t>甩项竣工协议</w:t>
      </w:r>
    </w:p>
    <w:p w14:paraId="366F34BA">
      <w:pPr>
        <w:autoSpaceDE w:val="0"/>
        <w:spacing w:line="360" w:lineRule="auto"/>
        <w:ind w:firstLine="47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sz w:val="24"/>
          <w:szCs w:val="24"/>
        </w:rPr>
        <w:t>发包人要求甩项竣工的，合同当事人应签订甩项竣工协议。在甩项竣工协议中应明确，合同当事人按照第</w:t>
      </w:r>
      <w:r>
        <w:rPr>
          <w:rFonts w:eastAsia="仿宋_GB2312;仿宋" w:cs="Times New Roman"/>
          <w:sz w:val="24"/>
          <w:szCs w:val="24"/>
        </w:rPr>
        <w:t>14.1</w:t>
      </w:r>
      <w:r>
        <w:rPr>
          <w:rFonts w:ascii="Times New Roman" w:hAnsi="Times New Roman" w:eastAsia="仿宋_GB2312;仿宋" w:cs="Times New Roman"/>
          <w:sz w:val="24"/>
          <w:szCs w:val="24"/>
        </w:rPr>
        <w:t>款〔竣工结算申请〕及</w:t>
      </w:r>
      <w:r>
        <w:rPr>
          <w:rFonts w:eastAsia="仿宋_GB2312;仿宋" w:cs="Times New Roman"/>
          <w:sz w:val="24"/>
          <w:szCs w:val="24"/>
        </w:rPr>
        <w:t>14.2</w:t>
      </w:r>
      <w:r>
        <w:rPr>
          <w:rFonts w:ascii="Times New Roman" w:hAnsi="Times New Roman" w:eastAsia="仿宋_GB2312;仿宋" w:cs="Times New Roman"/>
          <w:sz w:val="24"/>
          <w:szCs w:val="24"/>
        </w:rPr>
        <w:t>款〔竣工结算审核〕的约定，对已完合格工程进行结算，并支付相应合同价款。</w:t>
      </w:r>
    </w:p>
    <w:p w14:paraId="0D8B1E2A">
      <w:pPr>
        <w:pStyle w:val="6"/>
        <w:spacing w:before="120" w:after="120" w:line="360" w:lineRule="auto"/>
        <w:ind w:firstLine="480"/>
        <w:rPr>
          <w:rFonts w:ascii="Times New Roman" w:hAnsi="Times New Roman" w:eastAsia="黑体" w:cs="Times New Roman"/>
          <w:b w:val="0"/>
          <w:color w:val="000000"/>
          <w:sz w:val="24"/>
          <w:szCs w:val="24"/>
        </w:rPr>
      </w:pPr>
      <w:bookmarkStart w:id="137" w:name="__RefHeading___Toc351203597"/>
      <w:bookmarkEnd w:id="137"/>
      <w:r>
        <w:rPr>
          <w:rFonts w:eastAsia="黑体" w:cs="Times New Roman"/>
          <w:b w:val="0"/>
          <w:color w:val="000000"/>
          <w:sz w:val="24"/>
          <w:szCs w:val="24"/>
        </w:rPr>
        <w:t xml:space="preserve">14.4 </w:t>
      </w:r>
      <w:r>
        <w:rPr>
          <w:rFonts w:ascii="Times New Roman" w:hAnsi="Times New Roman" w:eastAsia="黑体" w:cs="Times New Roman"/>
          <w:b w:val="0"/>
          <w:color w:val="000000"/>
          <w:sz w:val="24"/>
          <w:szCs w:val="24"/>
        </w:rPr>
        <w:t>最终结清</w:t>
      </w:r>
    </w:p>
    <w:p w14:paraId="7FF820D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14.4.1 </w:t>
      </w:r>
      <w:r>
        <w:rPr>
          <w:rFonts w:ascii="Times New Roman" w:hAnsi="Times New Roman" w:eastAsia="仿宋_GB2312;仿宋" w:cs="Times New Roman"/>
          <w:color w:val="000000"/>
          <w:kern w:val="0"/>
          <w:sz w:val="24"/>
          <w:szCs w:val="24"/>
        </w:rPr>
        <w:t>最终结清申请单</w:t>
      </w:r>
    </w:p>
    <w:p w14:paraId="728016E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）除专用合同条款另有约定外，承包人应在缺陷责任期终止证书颁发后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天内，按专用合同条款约定的份数向发包人提交最终结清申请单，并提供相关证明材料。</w:t>
      </w:r>
    </w:p>
    <w:p w14:paraId="135BB5A7">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w:t>
      </w:r>
      <w:r>
        <w:rPr>
          <w:rFonts w:ascii="Times New Roman" w:hAnsi="Times New Roman" w:eastAsia="仿宋_GB2312;仿宋" w:cs="Times New Roman"/>
          <w:color w:val="000000"/>
          <w:kern w:val="0"/>
          <w:sz w:val="24"/>
          <w:szCs w:val="24"/>
        </w:rPr>
        <w:t>最终结清申请单</w:t>
      </w:r>
      <w:r>
        <w:rPr>
          <w:rFonts w:ascii="Times New Roman" w:hAnsi="Times New Roman" w:eastAsia="仿宋_GB2312;仿宋" w:cs="Times New Roman"/>
          <w:color w:val="000000"/>
          <w:sz w:val="24"/>
          <w:szCs w:val="24"/>
        </w:rPr>
        <w:t>应列明质量保证金、应扣除的质量保证金、缺陷责任期内发生的增减费用。</w:t>
      </w:r>
    </w:p>
    <w:p w14:paraId="7E3207D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）发包人对最终结清申请单内容有异议的，有权要求承包人进行修正和提供补充资料，承包人应向发包人提交修正后的最终结清申请单。</w:t>
      </w:r>
    </w:p>
    <w:p w14:paraId="196C8984">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14.4.2 </w:t>
      </w:r>
      <w:r>
        <w:rPr>
          <w:rFonts w:ascii="Times New Roman" w:hAnsi="Times New Roman" w:eastAsia="仿宋_GB2312;仿宋" w:cs="Times New Roman"/>
          <w:color w:val="000000"/>
          <w:kern w:val="0"/>
          <w:sz w:val="24"/>
          <w:szCs w:val="24"/>
        </w:rPr>
        <w:t>最终结清证书和支付</w:t>
      </w:r>
    </w:p>
    <w:p w14:paraId="75DC0E2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）除专用合同条款另有约定外，发包人应在收到承包人提交的最终结清申请单后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天内完成审批并向承包人颁发最终结清证书。发包人逾期未完成审批，又未提出修改意见的，视为发包人同意承包人提交的最终结清申请单，且自发包人收到承包人提交的最终结清申请单后</w:t>
      </w:r>
      <w:r>
        <w:rPr>
          <w:rFonts w:eastAsia="仿宋_GB2312;仿宋" w:cs="Times New Roman"/>
          <w:color w:val="000000"/>
          <w:kern w:val="0"/>
          <w:sz w:val="24"/>
          <w:szCs w:val="24"/>
        </w:rPr>
        <w:t>15</w:t>
      </w:r>
      <w:r>
        <w:rPr>
          <w:rFonts w:ascii="Times New Roman" w:hAnsi="Times New Roman" w:eastAsia="仿宋_GB2312;仿宋" w:cs="Times New Roman"/>
          <w:color w:val="000000"/>
          <w:kern w:val="0"/>
          <w:sz w:val="24"/>
          <w:szCs w:val="24"/>
        </w:rPr>
        <w:t>天起视为已颁发最终结清证书。</w:t>
      </w:r>
    </w:p>
    <w:p w14:paraId="15F6979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）除专用合同条款另有约定外，发包人应在颁发最终结清证书后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天内完成支付。发包人逾期支付的，按照中国人民银行发布的同期同类贷款基准利率支付违约金；逾期支付超过</w:t>
      </w:r>
      <w:r>
        <w:rPr>
          <w:rFonts w:eastAsia="仿宋_GB2312;仿宋" w:cs="Times New Roman"/>
          <w:color w:val="000000"/>
          <w:kern w:val="0"/>
          <w:sz w:val="24"/>
          <w:szCs w:val="24"/>
        </w:rPr>
        <w:t>56</w:t>
      </w:r>
      <w:r>
        <w:rPr>
          <w:rFonts w:ascii="Times New Roman" w:hAnsi="Times New Roman" w:eastAsia="仿宋_GB2312;仿宋" w:cs="Times New Roman"/>
          <w:color w:val="000000"/>
          <w:kern w:val="0"/>
          <w:sz w:val="24"/>
          <w:szCs w:val="24"/>
        </w:rPr>
        <w:t>天的，按照中国人民银行发布的同期同类贷款基准利率的两倍支付违约金。</w:t>
      </w:r>
    </w:p>
    <w:p w14:paraId="78CFE51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）承包人对发包人颁发的最终结清证书有异议的，按第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条〔争议解决〕的约定办理。</w:t>
      </w:r>
    </w:p>
    <w:p w14:paraId="340603A9">
      <w:pPr>
        <w:pStyle w:val="5"/>
        <w:spacing w:before="120" w:after="120" w:line="360" w:lineRule="auto"/>
        <w:rPr>
          <w:rFonts w:ascii="Times New Roman" w:hAnsi="Times New Roman" w:eastAsia="黑体" w:cs="Times New Roman"/>
          <w:b w:val="0"/>
          <w:color w:val="000000"/>
          <w:sz w:val="24"/>
          <w:szCs w:val="24"/>
        </w:rPr>
      </w:pPr>
      <w:bookmarkStart w:id="138" w:name="__RefHeading___Toc351203598"/>
      <w:bookmarkEnd w:id="138"/>
      <w:r>
        <w:rPr>
          <w:rFonts w:ascii="Times New Roman" w:hAnsi="Times New Roman" w:eastAsia="黑体" w:cs="Times New Roman"/>
          <w:b w:val="0"/>
          <w:color w:val="000000"/>
          <w:sz w:val="24"/>
          <w:szCs w:val="24"/>
        </w:rPr>
        <w:t xml:space="preserve">15. </w:t>
      </w:r>
      <w:r>
        <w:rPr>
          <w:rFonts w:ascii="Times New Roman" w:hAnsi="Times New Roman" w:cs="Times New Roman"/>
          <w:b w:val="0"/>
          <w:color w:val="000000"/>
          <w:sz w:val="24"/>
          <w:szCs w:val="24"/>
        </w:rPr>
        <w:t>缺陷责任与保修</w:t>
      </w:r>
    </w:p>
    <w:p w14:paraId="24991698">
      <w:pPr>
        <w:pStyle w:val="6"/>
        <w:spacing w:before="120" w:after="120" w:line="360" w:lineRule="auto"/>
        <w:ind w:firstLine="480"/>
        <w:rPr>
          <w:rFonts w:ascii="Times New Roman" w:hAnsi="Times New Roman" w:eastAsia="黑体" w:cs="Times New Roman"/>
          <w:b w:val="0"/>
          <w:color w:val="000000"/>
          <w:sz w:val="24"/>
          <w:szCs w:val="24"/>
        </w:rPr>
      </w:pPr>
      <w:bookmarkStart w:id="139" w:name="__RefHeading___Toc351203599"/>
      <w:bookmarkEnd w:id="139"/>
      <w:r>
        <w:rPr>
          <w:rFonts w:eastAsia="黑体" w:cs="Times New Roman"/>
          <w:b w:val="0"/>
          <w:color w:val="000000"/>
          <w:sz w:val="24"/>
          <w:szCs w:val="24"/>
        </w:rPr>
        <w:t xml:space="preserve">15.1 </w:t>
      </w:r>
      <w:r>
        <w:rPr>
          <w:rFonts w:ascii="Times New Roman" w:hAnsi="Times New Roman" w:eastAsia="黑体" w:cs="Times New Roman"/>
          <w:b w:val="0"/>
          <w:color w:val="000000"/>
          <w:sz w:val="24"/>
          <w:szCs w:val="24"/>
        </w:rPr>
        <w:t>工程保修的原则</w:t>
      </w:r>
    </w:p>
    <w:p w14:paraId="60A370B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在工程移交发包人后，因承包人原因产生的质量缺陷，承包人应承担质量缺陷责任和保修义务。缺陷责任期届满，承包人仍应按合同约定的工程各部位保修年限承担保修义务。</w:t>
      </w:r>
    </w:p>
    <w:p w14:paraId="06CEBE59">
      <w:pPr>
        <w:pStyle w:val="6"/>
        <w:spacing w:before="120" w:after="120" w:line="360" w:lineRule="auto"/>
        <w:ind w:firstLine="480"/>
        <w:rPr>
          <w:rFonts w:ascii="Times New Roman" w:hAnsi="Times New Roman" w:eastAsia="黑体" w:cs="Times New Roman"/>
          <w:b w:val="0"/>
          <w:color w:val="000000"/>
          <w:sz w:val="24"/>
          <w:szCs w:val="24"/>
        </w:rPr>
      </w:pPr>
      <w:bookmarkStart w:id="140" w:name="__RefHeading___Toc351203600"/>
      <w:bookmarkEnd w:id="140"/>
      <w:r>
        <w:rPr>
          <w:rFonts w:eastAsia="黑体" w:cs="Times New Roman"/>
          <w:b w:val="0"/>
          <w:color w:val="000000"/>
          <w:sz w:val="24"/>
          <w:szCs w:val="24"/>
        </w:rPr>
        <w:t xml:space="preserve">15.2 </w:t>
      </w:r>
      <w:r>
        <w:rPr>
          <w:rFonts w:ascii="Times New Roman" w:hAnsi="Times New Roman" w:eastAsia="黑体" w:cs="Times New Roman"/>
          <w:b w:val="0"/>
          <w:color w:val="000000"/>
          <w:sz w:val="24"/>
          <w:szCs w:val="24"/>
        </w:rPr>
        <w:t>缺陷责任期</w:t>
      </w:r>
    </w:p>
    <w:p w14:paraId="2E26DA3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15.2.1 </w:t>
      </w:r>
      <w:r>
        <w:rPr>
          <w:rFonts w:ascii="Times New Roman" w:hAnsi="Times New Roman" w:eastAsia="仿宋_GB2312;仿宋" w:cs="Times New Roman"/>
          <w:color w:val="000000"/>
          <w:kern w:val="0"/>
          <w:sz w:val="24"/>
          <w:szCs w:val="24"/>
        </w:rPr>
        <w:t>缺陷责任期</w:t>
      </w:r>
      <w:r>
        <w:rPr>
          <w:rFonts w:eastAsia="仿宋_GB2312;仿宋"/>
          <w:color w:val="000000"/>
          <w:kern w:val="0"/>
          <w:sz w:val="24"/>
          <w:szCs w:val="24"/>
        </w:rPr>
        <w:t>从工程通过竣工验收之日</w:t>
      </w:r>
      <w:r>
        <w:rPr>
          <w:rFonts w:ascii="Times New Roman" w:hAnsi="Times New Roman" w:eastAsia="仿宋_GB2312;仿宋" w:cs="Times New Roman"/>
          <w:color w:val="000000"/>
          <w:kern w:val="0"/>
          <w:sz w:val="24"/>
          <w:szCs w:val="24"/>
        </w:rPr>
        <w:t>起计算，合同当事人应在专用合同条款约定缺陷责任期的具体期限，但该期限最长不超过</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个月。</w:t>
      </w:r>
    </w:p>
    <w:p w14:paraId="4D59EF3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单位工程先于全部工程进行验收，经验收合格并交付使用的，该单位工程缺陷责任期自单位工程验收合格之日起算。</w:t>
      </w:r>
      <w:r>
        <w:rPr>
          <w:rFonts w:eastAsia="仿宋_GB2312;仿宋"/>
          <w:color w:val="000000"/>
          <w:kern w:val="0"/>
          <w:sz w:val="24"/>
          <w:szCs w:val="24"/>
        </w:rPr>
        <w:t>因承包人原因导致工程无法按合同约定期限进行竣工验收的，缺陷责任期从实际通过竣工验收之日起计算。</w:t>
      </w:r>
      <w:r>
        <w:rPr>
          <w:rFonts w:ascii="Times New Roman" w:hAnsi="Times New Roman" w:eastAsia="仿宋_GB2312;仿宋" w:cs="Times New Roman"/>
          <w:color w:val="000000"/>
          <w:kern w:val="0"/>
          <w:sz w:val="24"/>
          <w:szCs w:val="24"/>
        </w:rPr>
        <w:t>因发包人原因导致工程无法按合同约定期限进行竣工验收的，</w:t>
      </w:r>
      <w:r>
        <w:rPr>
          <w:rFonts w:eastAsia="仿宋_GB2312;仿宋"/>
          <w:color w:val="000000"/>
          <w:kern w:val="0"/>
          <w:sz w:val="24"/>
          <w:szCs w:val="24"/>
        </w:rPr>
        <w:t>在承包人提交竣工验收报告90天后，工程自动进入缺陷责任期</w:t>
      </w:r>
      <w:r>
        <w:rPr>
          <w:rFonts w:ascii="Times New Roman" w:hAnsi="Times New Roman" w:eastAsia="仿宋_GB2312;仿宋" w:cs="Times New Roman"/>
          <w:color w:val="000000"/>
          <w:kern w:val="0"/>
          <w:sz w:val="24"/>
          <w:szCs w:val="24"/>
        </w:rPr>
        <w:t>；发包人未经竣工验收擅自使用工程的，缺陷责任期自工程转移占有之日起开始计算。</w:t>
      </w:r>
    </w:p>
    <w:p w14:paraId="6BE86FD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15.2.2</w:t>
      </w:r>
      <w:r>
        <w:rPr>
          <w:rFonts w:eastAsia="仿宋_GB2312;仿宋"/>
          <w:color w:val="000000"/>
          <w:kern w:val="0"/>
          <w:sz w:val="24"/>
          <w:szCs w:val="24"/>
        </w:rPr>
        <w:t>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w:t>
      </w:r>
      <w:r>
        <w:rPr>
          <w:rFonts w:ascii="Times New Roman" w:hAnsi="Times New Roman" w:eastAsia="仿宋_GB2312;仿宋" w:cs="Times New Roman"/>
          <w:color w:val="000000"/>
          <w:kern w:val="0"/>
          <w:sz w:val="24"/>
          <w:szCs w:val="24"/>
        </w:rPr>
        <w:t>发包人有权要求承</w:t>
      </w:r>
      <w:r>
        <w:rPr>
          <w:rFonts w:ascii="Times New Roman" w:hAnsi="Times New Roman" w:eastAsia="仿宋_GB2312;仿宋" w:cs="Times New Roman"/>
          <w:bCs/>
          <w:color w:val="000000"/>
          <w:sz w:val="24"/>
          <w:szCs w:val="24"/>
        </w:rPr>
        <w:t>包人延长缺陷责任期，</w:t>
      </w:r>
      <w:r>
        <w:rPr>
          <w:rFonts w:ascii="Times New Roman" w:hAnsi="Times New Roman" w:eastAsia="仿宋_GB2312;仿宋" w:cs="Times New Roman"/>
          <w:color w:val="000000"/>
          <w:kern w:val="0"/>
          <w:sz w:val="24"/>
          <w:szCs w:val="24"/>
        </w:rPr>
        <w:t>并应在原缺陷责任期届满前发出延长通知</w:t>
      </w:r>
      <w:r>
        <w:rPr>
          <w:rFonts w:ascii="Times New Roman" w:hAnsi="Times New Roman" w:eastAsia="仿宋_GB2312;仿宋" w:cs="Times New Roman"/>
          <w:color w:val="000000"/>
          <w:kern w:val="0"/>
          <w:sz w:val="24"/>
          <w:szCs w:val="24"/>
          <w:lang w:eastAsia="zh-CN"/>
        </w:rPr>
        <w:t>。</w:t>
      </w:r>
      <w:r>
        <w:rPr>
          <w:rFonts w:ascii="Times New Roman" w:hAnsi="Times New Roman" w:eastAsia="仿宋_GB2312;仿宋" w:cs="Times New Roman"/>
          <w:bCs/>
          <w:color w:val="000000"/>
          <w:sz w:val="24"/>
          <w:szCs w:val="24"/>
        </w:rPr>
        <w:t>但缺陷责任期</w:t>
      </w:r>
      <w:r>
        <w:rPr>
          <w:rFonts w:ascii="Times New Roman" w:hAnsi="Times New Roman" w:eastAsia="仿宋_GB2312;仿宋" w:cs="Times New Roman"/>
          <w:bCs/>
          <w:color w:val="000000"/>
          <w:sz w:val="24"/>
          <w:szCs w:val="24"/>
          <w:lang w:eastAsia="zh-CN"/>
        </w:rPr>
        <w:t>（含延长部分）</w:t>
      </w:r>
      <w:r>
        <w:rPr>
          <w:rFonts w:ascii="Times New Roman" w:hAnsi="Times New Roman" w:eastAsia="仿宋_GB2312;仿宋" w:cs="Times New Roman"/>
          <w:bCs/>
          <w:color w:val="000000"/>
          <w:sz w:val="24"/>
          <w:szCs w:val="24"/>
        </w:rPr>
        <w:t>最长</w:t>
      </w:r>
      <w:r>
        <w:rPr>
          <w:rFonts w:ascii="Times New Roman" w:hAnsi="Times New Roman" w:eastAsia="仿宋_GB2312;仿宋" w:cs="Times New Roman"/>
          <w:color w:val="000000"/>
          <w:kern w:val="0"/>
          <w:sz w:val="24"/>
          <w:szCs w:val="24"/>
        </w:rPr>
        <w:t>不能超过</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个月。</w:t>
      </w:r>
    </w:p>
    <w:p w14:paraId="21B3017F">
      <w:pPr>
        <w:autoSpaceDE w:val="0"/>
        <w:spacing w:line="360" w:lineRule="auto"/>
        <w:ind w:firstLine="480"/>
        <w:jc w:val="left"/>
        <w:rPr>
          <w:rFonts w:eastAsia="仿宋_GB2312;仿宋"/>
          <w:color w:val="000000"/>
          <w:kern w:val="0"/>
          <w:sz w:val="24"/>
          <w:szCs w:val="24"/>
        </w:rPr>
      </w:pPr>
      <w:r>
        <w:rPr>
          <w:rFonts w:eastAsia="仿宋_GB2312;仿宋"/>
          <w:color w:val="000000"/>
          <w:kern w:val="0"/>
          <w:sz w:val="24"/>
          <w:szCs w:val="24"/>
        </w:rPr>
        <w:t>由他人原因造成的缺陷，发包人负责组织维修，承包人不承担费用，且发包人不得从保证金中扣除费用。</w:t>
      </w:r>
    </w:p>
    <w:p w14:paraId="610DC7C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15.2.3 </w:t>
      </w:r>
      <w:r>
        <w:rPr>
          <w:rFonts w:ascii="Times New Roman" w:hAnsi="Times New Roman" w:eastAsia="仿宋_GB2312;仿宋" w:cs="Times New Roman"/>
          <w:color w:val="000000"/>
          <w:kern w:val="0"/>
          <w:sz w:val="24"/>
          <w:szCs w:val="24"/>
        </w:rPr>
        <w:t>任何一项缺陷或损坏修复后，经检查证明其影响了工程或工程设备的使用性能，承包人应重新进行合同约定的试验和试运行，试验和试运行的全部费用应由责任方承担。</w:t>
      </w:r>
    </w:p>
    <w:p w14:paraId="2F84F67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15.2.4 </w:t>
      </w:r>
      <w:r>
        <w:rPr>
          <w:rFonts w:ascii="Times New Roman" w:hAnsi="Times New Roman" w:eastAsia="仿宋_GB2312;仿宋" w:cs="Times New Roman"/>
          <w:color w:val="000000"/>
          <w:kern w:val="0"/>
          <w:sz w:val="24"/>
          <w:szCs w:val="24"/>
        </w:rPr>
        <w:t>除专用合同条款另有约定外，承包人应于缺陷责任期届满后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天内向发包人发出缺陷责任期届满通知，发包人应在收到缺陷责任期满通知后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天内核实承包人是否履行缺陷修复义务，承包人未能履行缺陷修复义务的，发包人有权扣除相应金额的维修费用。发包人应在收到缺陷责任期届满通知后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天内，向承包人颁发缺陷责任期终止证书。</w:t>
      </w:r>
    </w:p>
    <w:p w14:paraId="388DA66A">
      <w:pPr>
        <w:pStyle w:val="6"/>
        <w:spacing w:before="120" w:after="120" w:line="360" w:lineRule="auto"/>
        <w:ind w:firstLine="480"/>
        <w:rPr>
          <w:rFonts w:ascii="Times New Roman" w:hAnsi="Times New Roman" w:eastAsia="黑体" w:cs="Times New Roman"/>
          <w:b w:val="0"/>
          <w:color w:val="000000"/>
          <w:sz w:val="24"/>
          <w:szCs w:val="24"/>
        </w:rPr>
      </w:pPr>
      <w:bookmarkStart w:id="141" w:name="__RefHeading___Toc351203601"/>
      <w:bookmarkEnd w:id="141"/>
      <w:r>
        <w:rPr>
          <w:rFonts w:eastAsia="黑体" w:cs="Times New Roman"/>
          <w:b w:val="0"/>
          <w:color w:val="000000"/>
          <w:sz w:val="24"/>
          <w:szCs w:val="24"/>
        </w:rPr>
        <w:t xml:space="preserve">15.3 </w:t>
      </w:r>
      <w:r>
        <w:rPr>
          <w:rFonts w:ascii="Times New Roman" w:hAnsi="Times New Roman" w:eastAsia="黑体" w:cs="Times New Roman"/>
          <w:b w:val="0"/>
          <w:color w:val="000000"/>
          <w:sz w:val="24"/>
          <w:szCs w:val="24"/>
        </w:rPr>
        <w:t>质量保证金</w:t>
      </w:r>
    </w:p>
    <w:p w14:paraId="627E3B6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经合同当事人协商一致扣留质量保证金的，应在专用合同条款中予以明确。</w:t>
      </w:r>
    </w:p>
    <w:p w14:paraId="5E581376">
      <w:pPr>
        <w:spacing w:line="360" w:lineRule="auto"/>
        <w:ind w:firstLine="480"/>
        <w:jc w:val="left"/>
        <w:rPr>
          <w:rFonts w:eastAsia="仿宋_GB2312;仿宋"/>
          <w:color w:val="000000"/>
          <w:sz w:val="24"/>
          <w:szCs w:val="24"/>
        </w:rPr>
      </w:pPr>
      <w:r>
        <w:rPr>
          <w:rFonts w:eastAsia="仿宋_GB2312;仿宋"/>
          <w:color w:val="000000"/>
          <w:sz w:val="24"/>
          <w:szCs w:val="24"/>
        </w:rPr>
        <w:t>在工程项目竣工前，承包人已经提供履约担保的，发包人不得同时预留工程质量保证金。</w:t>
      </w:r>
    </w:p>
    <w:p w14:paraId="65938915">
      <w:pPr>
        <w:autoSpaceDE w:val="0"/>
        <w:spacing w:line="360" w:lineRule="auto"/>
        <w:ind w:firstLine="480"/>
        <w:jc w:val="left"/>
        <w:rPr>
          <w:rFonts w:ascii="Times New Roman" w:hAnsi="Times New Roman" w:eastAsia="仿宋_GB2312;仿宋" w:cs="Times New Roman"/>
          <w:color w:val="000000"/>
          <w:kern w:val="0"/>
          <w:sz w:val="24"/>
          <w:szCs w:val="24"/>
        </w:rPr>
      </w:pPr>
    </w:p>
    <w:p w14:paraId="1688003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15.3.1 </w:t>
      </w:r>
      <w:r>
        <w:rPr>
          <w:rFonts w:ascii="Times New Roman" w:hAnsi="Times New Roman" w:eastAsia="仿宋_GB2312;仿宋" w:cs="Times New Roman"/>
          <w:color w:val="000000"/>
          <w:kern w:val="0"/>
          <w:sz w:val="24"/>
          <w:szCs w:val="24"/>
        </w:rPr>
        <w:t>承包人提供质量保证金的方式</w:t>
      </w:r>
    </w:p>
    <w:p w14:paraId="2E52580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承包人提供质量保证金有以下三种方式：</w:t>
      </w:r>
    </w:p>
    <w:p w14:paraId="132E6D3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）质量保证金保函；</w:t>
      </w:r>
      <w:r>
        <w:rPr>
          <w:rFonts w:ascii="Times New Roman" w:hAnsi="Times New Roman" w:eastAsia="Times New Roman" w:cs="Times New Roman"/>
          <w:color w:val="000000"/>
          <w:kern w:val="0"/>
          <w:sz w:val="24"/>
          <w:szCs w:val="24"/>
        </w:rPr>
        <w:t xml:space="preserve"> </w:t>
      </w:r>
    </w:p>
    <w:p w14:paraId="30E7D66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）相应比例的工程款；</w:t>
      </w:r>
    </w:p>
    <w:p w14:paraId="186E44E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）双方约定的其他方式。</w:t>
      </w:r>
    </w:p>
    <w:p w14:paraId="6273AAC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除专用合同条款另有约定外，质量保证金原则上采用上述第（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w:t>
      </w:r>
    </w:p>
    <w:p w14:paraId="1A17EE1D">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15.3.2 </w:t>
      </w:r>
      <w:r>
        <w:rPr>
          <w:rFonts w:ascii="Times New Roman" w:hAnsi="Times New Roman" w:eastAsia="仿宋_GB2312;仿宋" w:cs="Times New Roman"/>
          <w:color w:val="000000"/>
          <w:kern w:val="0"/>
          <w:sz w:val="24"/>
          <w:szCs w:val="24"/>
        </w:rPr>
        <w:t>质量保证金的扣留</w:t>
      </w:r>
    </w:p>
    <w:p w14:paraId="2C4AB2C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质量保证金的扣留有以下三种方式：</w:t>
      </w:r>
    </w:p>
    <w:p w14:paraId="2EE34DA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）在支付工程进度款时逐次扣留，在此情形下，质量保证金的计算基数不包括预付款的支付、扣回以及价格调整的金额；</w:t>
      </w:r>
    </w:p>
    <w:p w14:paraId="36DC14E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）工</w:t>
      </w:r>
      <w:bookmarkStart w:id="142" w:name="%23go6"/>
      <w:bookmarkEnd w:id="142"/>
      <w:r>
        <w:rPr>
          <w:rFonts w:ascii="Times New Roman" w:hAnsi="Times New Roman" w:eastAsia="仿宋_GB2312;仿宋" w:cs="Times New Roman"/>
          <w:color w:val="000000"/>
          <w:kern w:val="0"/>
          <w:sz w:val="24"/>
          <w:szCs w:val="24"/>
        </w:rPr>
        <w:t>程竣工结算时一次性扣留质量保证金；</w:t>
      </w:r>
    </w:p>
    <w:p w14:paraId="3E2C81F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）双方约定的其他扣留方式。</w:t>
      </w:r>
    </w:p>
    <w:p w14:paraId="465057E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除专用合同条款另有约定外，质量保证金的扣留原则上采用上述第（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w:t>
      </w:r>
    </w:p>
    <w:p w14:paraId="237B0E1E">
      <w:pPr>
        <w:autoSpaceDE w:val="0"/>
        <w:spacing w:line="360" w:lineRule="auto"/>
        <w:ind w:firstLine="480"/>
        <w:jc w:val="left"/>
        <w:rPr>
          <w:rFonts w:eastAsia="仿宋_GB2312;仿宋"/>
          <w:color w:val="000000"/>
          <w:kern w:val="0"/>
          <w:sz w:val="24"/>
          <w:szCs w:val="24"/>
        </w:rPr>
      </w:pPr>
      <w:r>
        <w:rPr>
          <w:rFonts w:ascii="Times New Roman" w:hAnsi="Times New Roman" w:eastAsia="仿宋_GB2312;仿宋" w:cs="Times New Roman"/>
          <w:color w:val="000000"/>
          <w:kern w:val="0"/>
          <w:sz w:val="24"/>
          <w:szCs w:val="24"/>
        </w:rPr>
        <w:t>发</w:t>
      </w:r>
      <w:bookmarkStart w:id="143" w:name="%23go4"/>
      <w:bookmarkEnd w:id="143"/>
      <w:r>
        <w:rPr>
          <w:rFonts w:ascii="Times New Roman" w:hAnsi="Times New Roman" w:eastAsia="仿宋_GB2312;仿宋" w:cs="Times New Roman"/>
          <w:color w:val="000000"/>
          <w:kern w:val="0"/>
          <w:sz w:val="24"/>
          <w:szCs w:val="24"/>
        </w:rPr>
        <w:t>包人累计扣留的质量保证金不得超过工程价款结算总额的</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。如承包人在发包人签发竣工付款证书后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天内提交质量保证金保函，发包人应同时退还扣留的作为质量保证金的工程价款</w:t>
      </w:r>
      <w:r>
        <w:rPr>
          <w:rFonts w:eastAsia="仿宋_GB2312;仿宋"/>
          <w:color w:val="000000"/>
          <w:kern w:val="0"/>
          <w:sz w:val="24"/>
          <w:szCs w:val="24"/>
        </w:rPr>
        <w:t>；保函金额不得超过工程价款结算总额的3%。</w:t>
      </w:r>
    </w:p>
    <w:p w14:paraId="5A4EEE9A">
      <w:pPr>
        <w:autoSpaceDE w:val="0"/>
        <w:spacing w:line="360" w:lineRule="auto"/>
        <w:ind w:firstLine="480"/>
        <w:jc w:val="left"/>
        <w:rPr>
          <w:rFonts w:eastAsia="仿宋_GB2312;仿宋"/>
          <w:color w:val="000000"/>
          <w:kern w:val="0"/>
          <w:sz w:val="24"/>
          <w:szCs w:val="24"/>
        </w:rPr>
      </w:pPr>
      <w:r>
        <w:rPr>
          <w:rFonts w:eastAsia="仿宋_GB2312;仿宋"/>
          <w:color w:val="000000"/>
          <w:kern w:val="0"/>
          <w:sz w:val="24"/>
          <w:szCs w:val="24"/>
        </w:rPr>
        <w:t>发包人在退还质量保证金的同时按照中国人民银行发布的同期同类贷款基准利率支付利息。</w:t>
      </w:r>
    </w:p>
    <w:p w14:paraId="6ABAFC2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15.3.3 </w:t>
      </w:r>
      <w:r>
        <w:rPr>
          <w:rFonts w:ascii="Times New Roman" w:hAnsi="Times New Roman" w:eastAsia="仿宋_GB2312;仿宋" w:cs="Times New Roman"/>
          <w:color w:val="000000"/>
          <w:sz w:val="24"/>
          <w:szCs w:val="24"/>
        </w:rPr>
        <w:t>质量保证金</w:t>
      </w:r>
      <w:r>
        <w:rPr>
          <w:rFonts w:ascii="Times New Roman" w:hAnsi="Times New Roman" w:eastAsia="仿宋_GB2312;仿宋" w:cs="Times New Roman"/>
          <w:color w:val="000000"/>
          <w:kern w:val="0"/>
          <w:sz w:val="24"/>
          <w:szCs w:val="24"/>
        </w:rPr>
        <w:t>的退还</w:t>
      </w:r>
    </w:p>
    <w:p w14:paraId="776D2738">
      <w:pPr>
        <w:autoSpaceDE w:val="0"/>
        <w:spacing w:line="360" w:lineRule="auto"/>
        <w:ind w:firstLine="480"/>
        <w:jc w:val="left"/>
        <w:rPr>
          <w:rFonts w:eastAsia="仿宋_GB2312;仿宋"/>
          <w:color w:val="000000"/>
          <w:kern w:val="0"/>
          <w:sz w:val="24"/>
          <w:szCs w:val="24"/>
        </w:rPr>
      </w:pPr>
      <w:r>
        <w:rPr>
          <w:rFonts w:eastAsia="仿宋_GB2312;仿宋"/>
          <w:color w:val="000000"/>
          <w:kern w:val="0"/>
          <w:sz w:val="24"/>
          <w:szCs w:val="24"/>
        </w:rPr>
        <w:t>缺陷责任期内，承包人认真履行合同约定的责任，到期后，承包人可向发包人申请返还保证金。</w:t>
      </w:r>
    </w:p>
    <w:p w14:paraId="76EB215A">
      <w:pPr>
        <w:autoSpaceDE w:val="0"/>
        <w:spacing w:line="360" w:lineRule="auto"/>
        <w:ind w:firstLine="480"/>
        <w:jc w:val="left"/>
        <w:rPr>
          <w:rFonts w:eastAsia="仿宋_GB2312;仿宋"/>
          <w:color w:val="000000"/>
          <w:kern w:val="0"/>
          <w:sz w:val="24"/>
          <w:szCs w:val="24"/>
        </w:rPr>
      </w:pPr>
      <w:r>
        <w:rPr>
          <w:rFonts w:eastAsia="仿宋_GB2312;仿宋"/>
          <w:color w:val="000000"/>
          <w:kern w:val="0"/>
          <w:sz w:val="24"/>
          <w:szCs w:val="24"/>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16989F2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olor w:val="000000"/>
          <w:kern w:val="0"/>
          <w:sz w:val="24"/>
          <w:szCs w:val="24"/>
        </w:rPr>
        <w:t>发包人和承包人对保证金预留、返还以及工程维修质量、费用有争议的，按本合同第20条约定的争议和纠纷解决程序处理</w:t>
      </w:r>
      <w:r>
        <w:rPr>
          <w:rFonts w:ascii="Times New Roman" w:hAnsi="Times New Roman" w:eastAsia="仿宋_GB2312;仿宋" w:cs="Times New Roman"/>
          <w:color w:val="000000"/>
          <w:kern w:val="0"/>
          <w:sz w:val="24"/>
          <w:szCs w:val="24"/>
        </w:rPr>
        <w:t>。</w:t>
      </w:r>
    </w:p>
    <w:p w14:paraId="7D0D6C8D">
      <w:pPr>
        <w:pStyle w:val="6"/>
        <w:spacing w:before="120" w:after="120" w:line="360" w:lineRule="auto"/>
        <w:ind w:firstLine="480"/>
        <w:rPr>
          <w:rFonts w:ascii="Times New Roman" w:hAnsi="Times New Roman" w:eastAsia="黑体" w:cs="Times New Roman"/>
          <w:b w:val="0"/>
          <w:color w:val="000000"/>
          <w:sz w:val="24"/>
          <w:szCs w:val="24"/>
        </w:rPr>
      </w:pPr>
      <w:bookmarkStart w:id="144" w:name="__RefHeading___Toc351203602"/>
      <w:bookmarkEnd w:id="144"/>
      <w:r>
        <w:rPr>
          <w:rFonts w:eastAsia="黑体" w:cs="Times New Roman"/>
          <w:b w:val="0"/>
          <w:color w:val="000000"/>
          <w:sz w:val="24"/>
          <w:szCs w:val="24"/>
        </w:rPr>
        <w:t xml:space="preserve">15.4 </w:t>
      </w:r>
      <w:r>
        <w:rPr>
          <w:rFonts w:ascii="Times New Roman" w:hAnsi="Times New Roman" w:eastAsia="黑体" w:cs="Times New Roman"/>
          <w:b w:val="0"/>
          <w:color w:val="000000"/>
          <w:sz w:val="24"/>
          <w:szCs w:val="24"/>
        </w:rPr>
        <w:t>保修</w:t>
      </w:r>
    </w:p>
    <w:p w14:paraId="7E14211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15.4.1</w:t>
      </w:r>
      <w:r>
        <w:rPr>
          <w:rFonts w:ascii="Times New Roman" w:hAnsi="Times New Roman" w:eastAsia="仿宋_GB2312;仿宋" w:cs="Times New Roman"/>
          <w:color w:val="000000"/>
          <w:kern w:val="0"/>
          <w:sz w:val="24"/>
          <w:szCs w:val="24"/>
        </w:rPr>
        <w:t>保修责任</w:t>
      </w:r>
    </w:p>
    <w:p w14:paraId="60AEDD6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0178035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发包人未经竣工验收擅自使用工程的，保修期自</w:t>
      </w:r>
      <w:r>
        <w:rPr>
          <w:rFonts w:ascii="Times New Roman" w:hAnsi="Times New Roman" w:eastAsia="仿宋_GB2312;仿宋" w:cs="Times New Roman"/>
          <w:color w:val="000000"/>
          <w:kern w:val="0"/>
          <w:sz w:val="24"/>
          <w:szCs w:val="24"/>
        </w:rPr>
        <w:t>转移占有之日起算</w:t>
      </w:r>
      <w:r>
        <w:rPr>
          <w:rFonts w:ascii="Times New Roman" w:hAnsi="Times New Roman" w:eastAsia="仿宋_GB2312;仿宋" w:cs="Times New Roman"/>
          <w:color w:val="000000"/>
          <w:sz w:val="24"/>
          <w:szCs w:val="24"/>
        </w:rPr>
        <w:t>。</w:t>
      </w:r>
    </w:p>
    <w:p w14:paraId="647463D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15.4.2 </w:t>
      </w:r>
      <w:r>
        <w:rPr>
          <w:rFonts w:ascii="Times New Roman" w:hAnsi="Times New Roman" w:eastAsia="仿宋_GB2312;仿宋" w:cs="Times New Roman"/>
          <w:color w:val="000000"/>
          <w:kern w:val="0"/>
          <w:sz w:val="24"/>
          <w:szCs w:val="24"/>
        </w:rPr>
        <w:t>修复费用</w:t>
      </w:r>
    </w:p>
    <w:p w14:paraId="7387CB8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保修期内，修复的费用按照以下约定处理：</w:t>
      </w:r>
    </w:p>
    <w:p w14:paraId="3EFC16C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）保修期内，因承包人原因造成工程的缺陷、损坏，承包人应负责修复，并承担修复的费用以及因工程的缺陷、损坏造成的人身伤害和财产损失；</w:t>
      </w:r>
    </w:p>
    <w:p w14:paraId="3B5CA0B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）保修期内，因发包人使用不当造成工程的缺陷、损坏，可以委托承包人修复，但发包人应承担修复的费用，并支付承包人合理利润；</w:t>
      </w:r>
    </w:p>
    <w:p w14:paraId="41AED88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）因其他原因造成工程的缺陷、损坏，可以委托承包人修复，发包人应承担修复的费用，并支付承包人合理的利润，因工程的缺陷、损坏造成的人身伤害和财产损失由责任方承担。</w:t>
      </w:r>
    </w:p>
    <w:p w14:paraId="666FD22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15.4.3 </w:t>
      </w:r>
      <w:r>
        <w:rPr>
          <w:rFonts w:ascii="Times New Roman" w:hAnsi="Times New Roman" w:eastAsia="仿宋_GB2312;仿宋" w:cs="Times New Roman"/>
          <w:color w:val="000000"/>
          <w:kern w:val="0"/>
          <w:sz w:val="24"/>
          <w:szCs w:val="24"/>
        </w:rPr>
        <w:t>修复通知</w:t>
      </w:r>
    </w:p>
    <w:p w14:paraId="70CAEDB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在保修期内，发包人在使用过程中，发现已接收的工程存在缺陷或损坏的，应书面通知承包人予以修复，但情况紧急必须立即修复缺陷或损坏的，发包人可以口头通知承包人并在口头通知后</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小时内书面确认，承包人应在专用合同条款约定的合理期限内到达工程现场并修复缺陷或损坏。</w:t>
      </w:r>
    </w:p>
    <w:p w14:paraId="346D6111">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15.4.4 </w:t>
      </w:r>
      <w:r>
        <w:rPr>
          <w:rFonts w:ascii="Times New Roman" w:hAnsi="Times New Roman" w:eastAsia="仿宋_GB2312;仿宋" w:cs="Times New Roman"/>
          <w:color w:val="000000"/>
          <w:kern w:val="0"/>
          <w:sz w:val="24"/>
          <w:szCs w:val="24"/>
        </w:rPr>
        <w:t>未能修复</w:t>
      </w:r>
    </w:p>
    <w:p w14:paraId="56833B2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1864C69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15.4.5 </w:t>
      </w:r>
      <w:r>
        <w:rPr>
          <w:rFonts w:ascii="Times New Roman" w:hAnsi="Times New Roman" w:eastAsia="仿宋_GB2312;仿宋" w:cs="Times New Roman"/>
          <w:color w:val="000000"/>
          <w:kern w:val="0"/>
          <w:sz w:val="24"/>
          <w:szCs w:val="24"/>
        </w:rPr>
        <w:t>承包人出入权</w:t>
      </w:r>
    </w:p>
    <w:p w14:paraId="4C75812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在保修期内，为了修复缺陷或损坏，承包人有权出入工程现场，除情况紧急必须立即修复缺陷或损坏外，承包人应提前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小时通知发包人进场修复的时间。承包人进入工程现场前应获得发包人同意，且不应影响发包人正常的生产经营，并应遵守发包人有关保安和保密等规定。</w:t>
      </w:r>
    </w:p>
    <w:p w14:paraId="35549B64">
      <w:pPr>
        <w:pStyle w:val="5"/>
        <w:spacing w:before="120" w:after="120" w:line="360" w:lineRule="auto"/>
        <w:rPr>
          <w:rFonts w:ascii="Times New Roman" w:hAnsi="Times New Roman" w:eastAsia="黑体" w:cs="Times New Roman"/>
          <w:b w:val="0"/>
          <w:color w:val="000000"/>
          <w:sz w:val="24"/>
          <w:szCs w:val="24"/>
        </w:rPr>
      </w:pPr>
      <w:bookmarkStart w:id="145" w:name="__RefHeading___Toc351203603"/>
      <w:bookmarkEnd w:id="145"/>
      <w:r>
        <w:rPr>
          <w:rFonts w:ascii="Times New Roman" w:hAnsi="Times New Roman" w:eastAsia="黑体" w:cs="Times New Roman"/>
          <w:b w:val="0"/>
          <w:color w:val="000000"/>
          <w:sz w:val="24"/>
          <w:szCs w:val="24"/>
        </w:rPr>
        <w:t xml:space="preserve">16. </w:t>
      </w:r>
      <w:r>
        <w:rPr>
          <w:rFonts w:ascii="Times New Roman" w:hAnsi="Times New Roman" w:cs="Times New Roman"/>
          <w:b w:val="0"/>
          <w:color w:val="000000"/>
          <w:sz w:val="24"/>
          <w:szCs w:val="24"/>
        </w:rPr>
        <w:t>违约</w:t>
      </w:r>
    </w:p>
    <w:p w14:paraId="62B69506">
      <w:pPr>
        <w:pStyle w:val="6"/>
        <w:spacing w:before="120" w:after="120" w:line="360" w:lineRule="auto"/>
        <w:ind w:firstLine="480"/>
        <w:rPr>
          <w:rFonts w:ascii="Times New Roman" w:hAnsi="Times New Roman" w:eastAsia="黑体" w:cs="Times New Roman"/>
          <w:b w:val="0"/>
          <w:color w:val="000000"/>
          <w:sz w:val="24"/>
          <w:szCs w:val="24"/>
        </w:rPr>
      </w:pPr>
      <w:bookmarkStart w:id="146" w:name="__RefHeading___Toc351203604"/>
      <w:bookmarkEnd w:id="146"/>
      <w:r>
        <w:rPr>
          <w:rFonts w:eastAsia="黑体" w:cs="Times New Roman"/>
          <w:b w:val="0"/>
          <w:color w:val="000000"/>
          <w:sz w:val="24"/>
          <w:szCs w:val="24"/>
        </w:rPr>
        <w:t xml:space="preserve">16.1 </w:t>
      </w:r>
      <w:r>
        <w:rPr>
          <w:rFonts w:ascii="Times New Roman" w:hAnsi="Times New Roman" w:eastAsia="黑体" w:cs="Times New Roman"/>
          <w:b w:val="0"/>
          <w:color w:val="000000"/>
          <w:sz w:val="24"/>
          <w:szCs w:val="24"/>
        </w:rPr>
        <w:t>发包人违约</w:t>
      </w:r>
    </w:p>
    <w:p w14:paraId="5FA8F3D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16.1.1 </w:t>
      </w:r>
      <w:r>
        <w:rPr>
          <w:rFonts w:ascii="Times New Roman" w:hAnsi="Times New Roman" w:eastAsia="仿宋_GB2312;仿宋" w:cs="Times New Roman"/>
          <w:color w:val="000000"/>
          <w:kern w:val="0"/>
          <w:sz w:val="24"/>
          <w:szCs w:val="24"/>
        </w:rPr>
        <w:t>发包人违约的情形</w:t>
      </w:r>
    </w:p>
    <w:p w14:paraId="4F26980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在合同履行过程中发生的下列情形，属于发包人违约：</w:t>
      </w:r>
    </w:p>
    <w:p w14:paraId="0F5E341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）因发包人原因未能在计划开工日期前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天内下达开工通知的；</w:t>
      </w:r>
    </w:p>
    <w:p w14:paraId="354C258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）因发包人原因未能按合同约定支付合同价款的；</w:t>
      </w:r>
    </w:p>
    <w:p w14:paraId="69CA012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）发包人违反第</w:t>
      </w:r>
      <w:r>
        <w:rPr>
          <w:rFonts w:eastAsia="仿宋_GB2312;仿宋" w:cs="Times New Roman"/>
          <w:color w:val="000000"/>
          <w:kern w:val="0"/>
          <w:sz w:val="24"/>
          <w:szCs w:val="24"/>
        </w:rPr>
        <w:t>10.1</w:t>
      </w:r>
      <w:r>
        <w:rPr>
          <w:rFonts w:ascii="Times New Roman" w:hAnsi="Times New Roman" w:eastAsia="仿宋_GB2312;仿宋" w:cs="Times New Roman"/>
          <w:color w:val="000000"/>
          <w:kern w:val="0"/>
          <w:sz w:val="24"/>
          <w:szCs w:val="24"/>
        </w:rPr>
        <w:t>款〔变更的范围〕第（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）项约定，自行实施被取消的工作或转由他人实施的；</w:t>
      </w:r>
    </w:p>
    <w:p w14:paraId="1589E23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）发包人提供的材料、工程设备的规格、数量或质量不符合合同约定，或因发包人原因导致交货日期延误或交货地点变更等情况的；</w:t>
      </w:r>
    </w:p>
    <w:p w14:paraId="5E2CCFA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）因发包人违反合同约定造成暂停施工的；</w:t>
      </w:r>
    </w:p>
    <w:p w14:paraId="0DA47A2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）发包人无正当理由没有在约定期限内发出复工指示，导致承包人无法复工的；</w:t>
      </w:r>
    </w:p>
    <w:p w14:paraId="2BB94AA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）发包人明确表示或者以其行为表明不履行合同主要义务的；</w:t>
      </w:r>
    </w:p>
    <w:p w14:paraId="30083B2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）发包人未能按照合同约定履行其他义务的。</w:t>
      </w:r>
    </w:p>
    <w:p w14:paraId="3376F26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发包人发生除本项第（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）目以外的违约情况时，承包人可向发包人发出通知，要求发包人采取有效措施纠正违约行为。发包人收到承包人通知后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天内仍不纠正违约行为的，承包人有权暂停相应部位工程施工，并通知监理人。</w:t>
      </w:r>
    </w:p>
    <w:p w14:paraId="7B6C1C2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16.1.2 </w:t>
      </w:r>
      <w:r>
        <w:rPr>
          <w:rFonts w:ascii="Times New Roman" w:hAnsi="Times New Roman" w:eastAsia="仿宋_GB2312;仿宋" w:cs="Times New Roman"/>
          <w:color w:val="000000"/>
          <w:kern w:val="0"/>
          <w:sz w:val="24"/>
          <w:szCs w:val="24"/>
        </w:rPr>
        <w:t>发包人违约的责任</w:t>
      </w:r>
    </w:p>
    <w:p w14:paraId="03D5988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发包人应承担因其违约给承包人增加的费用和（或）延误的工期，并支付承包人合理的利润。此外，合同当事人可在专用合同条款中另行约定发包人违约责任的承担方式和计算方法。</w:t>
      </w:r>
    </w:p>
    <w:p w14:paraId="4C24942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16.1.3 </w:t>
      </w:r>
      <w:r>
        <w:rPr>
          <w:rFonts w:ascii="Times New Roman" w:hAnsi="Times New Roman" w:eastAsia="仿宋_GB2312;仿宋" w:cs="Times New Roman"/>
          <w:color w:val="000000"/>
          <w:kern w:val="0"/>
          <w:sz w:val="24"/>
          <w:szCs w:val="24"/>
        </w:rPr>
        <w:t>因发包人违约解除合同</w:t>
      </w:r>
    </w:p>
    <w:p w14:paraId="389DB03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除专用合同条款另有约定外，承包人按第</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项〔发包人违约的情形〕约定暂停施工满</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天后，发包人仍不纠正其违约行为并致使合同目的不能实现的，或出现第</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）目约定的违约情况，承包人有权解除合同，发包人应承担由此增加的费用，并支付承包人合理的利润。</w:t>
      </w:r>
    </w:p>
    <w:p w14:paraId="2E0DBB42">
      <w:pPr>
        <w:autoSpaceDE w:val="0"/>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16.1.4 </w:t>
      </w:r>
      <w:r>
        <w:rPr>
          <w:rFonts w:ascii="Times New Roman" w:hAnsi="Times New Roman" w:eastAsia="仿宋_GB2312;仿宋" w:cs="Times New Roman"/>
          <w:color w:val="000000"/>
          <w:kern w:val="0"/>
          <w:sz w:val="24"/>
          <w:szCs w:val="24"/>
        </w:rPr>
        <w:t>因发包人违约解除合同后的付款</w:t>
      </w:r>
    </w:p>
    <w:p w14:paraId="7D819F2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承包人按照本款约定解除合同的，发包人应在解除合同后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天内支付下列款项，并解除履约担保：</w:t>
      </w:r>
    </w:p>
    <w:p w14:paraId="63F84EA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）合同解除前所完成工作的价款；</w:t>
      </w:r>
    </w:p>
    <w:p w14:paraId="1D62609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）承包人为工程施工订购并已付款的材料、工程设备和其他物品的价款；</w:t>
      </w:r>
    </w:p>
    <w:p w14:paraId="0E71358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）承包人撤离施工现场以及遣散承包人人员的款项；</w:t>
      </w:r>
    </w:p>
    <w:p w14:paraId="1545EF3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）按照合同约定在合同解除前应支付的违约金；</w:t>
      </w:r>
    </w:p>
    <w:p w14:paraId="3153B80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）按照合同约定应当支付给承包人的其他款项；</w:t>
      </w:r>
    </w:p>
    <w:p w14:paraId="77780D0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）按照合同约定应退还的质量保证金；</w:t>
      </w:r>
    </w:p>
    <w:p w14:paraId="0ABEFAC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）因解除合同给承包人造成的损失。</w:t>
      </w:r>
    </w:p>
    <w:p w14:paraId="6647D7D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合同当事人未能就解除合同后的结清达成一致的，按照第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条〔争议解决〕的约定处理。</w:t>
      </w:r>
    </w:p>
    <w:p w14:paraId="3A46CAE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承包人应妥善做好已完工程和与工程有关的已购材料、工程设备的保护和移交工作，并将施工设备和人员撤出施工现场，发包人应为承包人撤出提供必要条件。</w:t>
      </w:r>
    </w:p>
    <w:p w14:paraId="77A8A2A7">
      <w:pPr>
        <w:pStyle w:val="6"/>
        <w:spacing w:before="120" w:after="120" w:line="360" w:lineRule="auto"/>
        <w:ind w:firstLine="480"/>
        <w:rPr>
          <w:rFonts w:ascii="Times New Roman" w:hAnsi="Times New Roman" w:eastAsia="黑体" w:cs="Times New Roman"/>
          <w:b w:val="0"/>
          <w:color w:val="000000"/>
          <w:sz w:val="24"/>
          <w:szCs w:val="24"/>
        </w:rPr>
      </w:pPr>
      <w:bookmarkStart w:id="147" w:name="__RefHeading___Toc351203605"/>
      <w:bookmarkEnd w:id="147"/>
      <w:r>
        <w:rPr>
          <w:rFonts w:eastAsia="黑体" w:cs="Times New Roman"/>
          <w:b w:val="0"/>
          <w:color w:val="000000"/>
          <w:sz w:val="24"/>
          <w:szCs w:val="24"/>
        </w:rPr>
        <w:t xml:space="preserve">16.2 </w:t>
      </w:r>
      <w:r>
        <w:rPr>
          <w:rFonts w:ascii="Times New Roman" w:hAnsi="Times New Roman" w:eastAsia="黑体" w:cs="Times New Roman"/>
          <w:b w:val="0"/>
          <w:color w:val="000000"/>
          <w:sz w:val="24"/>
          <w:szCs w:val="24"/>
        </w:rPr>
        <w:t>承包人违约</w:t>
      </w:r>
    </w:p>
    <w:p w14:paraId="4D8DF5D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16.2.1 </w:t>
      </w:r>
      <w:r>
        <w:rPr>
          <w:rFonts w:ascii="Times New Roman" w:hAnsi="Times New Roman" w:eastAsia="仿宋_GB2312;仿宋" w:cs="Times New Roman"/>
          <w:color w:val="000000"/>
          <w:kern w:val="0"/>
          <w:sz w:val="24"/>
          <w:szCs w:val="24"/>
        </w:rPr>
        <w:t>承包人违约的情形</w:t>
      </w:r>
    </w:p>
    <w:p w14:paraId="3CEB309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在合同履行过程中发生的下列情形，属于承包人违约：</w:t>
      </w:r>
    </w:p>
    <w:p w14:paraId="59D397F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）承包人违反合同约定进行转包或违法分包的；</w:t>
      </w:r>
    </w:p>
    <w:p w14:paraId="111CA1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）承包人违反合同约定采购和使用不合格的材料和工程设备的；</w:t>
      </w:r>
    </w:p>
    <w:p w14:paraId="25B8E4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）因承包人原因导致工程质量不符合合同要求的；</w:t>
      </w:r>
      <w:r>
        <w:rPr>
          <w:rFonts w:ascii="Times New Roman" w:hAnsi="Times New Roman" w:eastAsia="Times New Roman" w:cs="Times New Roman"/>
          <w:color w:val="000000"/>
          <w:kern w:val="0"/>
          <w:sz w:val="24"/>
          <w:szCs w:val="24"/>
        </w:rPr>
        <w:t xml:space="preserve"> </w:t>
      </w:r>
    </w:p>
    <w:p w14:paraId="20AF103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）承包人违反第</w:t>
      </w:r>
      <w:r>
        <w:rPr>
          <w:rFonts w:eastAsia="仿宋_GB2312;仿宋" w:cs="Times New Roman"/>
          <w:color w:val="000000"/>
          <w:kern w:val="0"/>
          <w:sz w:val="24"/>
          <w:szCs w:val="24"/>
        </w:rPr>
        <w:t>8.9</w:t>
      </w:r>
      <w:r>
        <w:rPr>
          <w:rFonts w:ascii="Times New Roman" w:hAnsi="Times New Roman" w:eastAsia="仿宋_GB2312;仿宋" w:cs="Times New Roman"/>
          <w:color w:val="000000"/>
          <w:kern w:val="0"/>
          <w:sz w:val="24"/>
          <w:szCs w:val="24"/>
        </w:rPr>
        <w:t>款〔材料与设备专用要求〕的约定，未经批准，私自将已按照合同约定进入施工现场的材料或设备撤离施工现场的；</w:t>
      </w:r>
    </w:p>
    <w:p w14:paraId="615C32E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）承包人未能按施工进度计划及时完成合同约定的工作，造成工期延误的；</w:t>
      </w:r>
    </w:p>
    <w:p w14:paraId="17E7084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）承包人在缺陷责任期及保修期内，未能在合理期限对工程缺陷进行修复，或拒绝按发包人要求进行修复的；</w:t>
      </w:r>
    </w:p>
    <w:p w14:paraId="019D4E0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）承包人明确表示或者以其行为表明不履行合同主要义务的；</w:t>
      </w:r>
    </w:p>
    <w:p w14:paraId="21F16EC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）承包人未能按照合同约定履行其他义务的。</w:t>
      </w:r>
    </w:p>
    <w:p w14:paraId="7A1DC01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承包人发生除本项第（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）目约定以外的其他违约情况时，监理人可向承包人发出整改通知，要求其在指定的期限内改正。</w:t>
      </w:r>
    </w:p>
    <w:p w14:paraId="4343428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16.2.2 </w:t>
      </w:r>
      <w:r>
        <w:rPr>
          <w:rFonts w:ascii="Times New Roman" w:hAnsi="Times New Roman" w:eastAsia="仿宋_GB2312;仿宋" w:cs="Times New Roman"/>
          <w:color w:val="000000"/>
          <w:kern w:val="0"/>
          <w:sz w:val="24"/>
          <w:szCs w:val="24"/>
        </w:rPr>
        <w:t>承包人违约的责任</w:t>
      </w:r>
    </w:p>
    <w:p w14:paraId="5D9285E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承包人应承担因其违约行为而增加的费用和（或）延误的工期。此外，合同当事人可在专用合同条款中另行约定承包人违约责任的承担方式和计算方法。</w:t>
      </w:r>
    </w:p>
    <w:p w14:paraId="65D0BDBD">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16.2.3 </w:t>
      </w:r>
      <w:r>
        <w:rPr>
          <w:rFonts w:ascii="Times New Roman" w:hAnsi="Times New Roman" w:eastAsia="仿宋_GB2312;仿宋" w:cs="Times New Roman"/>
          <w:color w:val="000000"/>
          <w:kern w:val="0"/>
          <w:sz w:val="24"/>
          <w:szCs w:val="24"/>
        </w:rPr>
        <w:t>因承包人违约解除合同</w:t>
      </w:r>
    </w:p>
    <w:p w14:paraId="4317454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除专用合同条款另有约定外，出现第</w:t>
      </w:r>
      <w:r>
        <w:rPr>
          <w:rFonts w:eastAsia="仿宋_GB2312;仿宋" w:cs="Times New Roman"/>
          <w:color w:val="000000"/>
          <w:kern w:val="0"/>
          <w:sz w:val="24"/>
          <w:szCs w:val="24"/>
        </w:rPr>
        <w:t>16.2.1</w:t>
      </w:r>
      <w:r>
        <w:rPr>
          <w:rFonts w:ascii="Times New Roman" w:hAnsi="Times New Roman" w:eastAsia="仿宋_GB2312;仿宋" w:cs="Times New Roman"/>
          <w:color w:val="000000"/>
          <w:kern w:val="0"/>
          <w:sz w:val="24"/>
          <w:szCs w:val="24"/>
        </w:rPr>
        <w:t>项〔承包人违约的情形〕第（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7841CAE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16.2.4</w:t>
      </w:r>
      <w:r>
        <w:rPr>
          <w:rFonts w:ascii="Times New Roman" w:hAnsi="Times New Roman" w:eastAsia="仿宋_GB2312;仿宋" w:cs="Times New Roman"/>
          <w:color w:val="000000"/>
          <w:kern w:val="0"/>
          <w:sz w:val="24"/>
          <w:szCs w:val="24"/>
        </w:rPr>
        <w:t>因承包人违约解除合同后的处理</w:t>
      </w:r>
    </w:p>
    <w:p w14:paraId="0C82A5E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因承包人原因导致合同解除的，则合同当事人应在合同解除后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天内完成估价、付款和清算，并按以下约定执行：</w:t>
      </w:r>
    </w:p>
    <w:p w14:paraId="2521CAD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）合同解除后，按第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款〔商定或确定〕商定或确定承包人实际完成工作对应的合同价款，以及承包人已提供的材料、工程设备、施工设备和临时工程等的价值；</w:t>
      </w:r>
    </w:p>
    <w:p w14:paraId="14946BF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）合同解除后，承包人应支付的违约金；</w:t>
      </w:r>
    </w:p>
    <w:p w14:paraId="1B268B9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）合同解除后，因解除合同给发包人造成的损失；</w:t>
      </w:r>
    </w:p>
    <w:p w14:paraId="1F5596E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）合同解除后，承包人应按照发包人要求和监理人的指示完成现场的清理和撤离；</w:t>
      </w:r>
    </w:p>
    <w:p w14:paraId="5A568CD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）发包人和承包人应在合同解除后进行清算，出具最终结清付款证书，结清全部款项。</w:t>
      </w:r>
    </w:p>
    <w:p w14:paraId="5CE3D01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因承包人违约解除合同的，发包人有权暂停对承包人的付款，查清各项付款和已扣款项。发包人和承包人未能就合同解除后的清算和款项支付达成一致的，按照第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条〔争议解决〕的约定处理。</w:t>
      </w:r>
    </w:p>
    <w:p w14:paraId="3328C16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16.2.5</w:t>
      </w:r>
      <w:r>
        <w:rPr>
          <w:rFonts w:ascii="Times New Roman" w:hAnsi="Times New Roman" w:eastAsia="仿宋_GB2312;仿宋" w:cs="Times New Roman"/>
          <w:color w:val="000000"/>
          <w:kern w:val="0"/>
          <w:sz w:val="24"/>
          <w:szCs w:val="24"/>
        </w:rPr>
        <w:t>采购合同权益转让</w:t>
      </w:r>
    </w:p>
    <w:p w14:paraId="7DE127E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因承包人违约解除合同的，发包人有权要求承包人将其为实施合同而签订的材料和设备的采购合同的权益转让给发包人，承包人应在收到解除合同通知后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天内，协助发包人与采购合同的供应商达成相关的转让协议。</w:t>
      </w:r>
    </w:p>
    <w:p w14:paraId="00C4BF7B">
      <w:pPr>
        <w:pStyle w:val="6"/>
        <w:spacing w:before="120" w:after="120" w:line="360" w:lineRule="auto"/>
        <w:ind w:firstLine="480"/>
        <w:rPr>
          <w:rFonts w:ascii="Times New Roman" w:hAnsi="Times New Roman" w:eastAsia="黑体" w:cs="Times New Roman"/>
          <w:b w:val="0"/>
          <w:color w:val="000000"/>
          <w:sz w:val="24"/>
          <w:szCs w:val="24"/>
        </w:rPr>
      </w:pPr>
      <w:bookmarkStart w:id="148" w:name="__RefHeading___Toc351203606"/>
      <w:bookmarkEnd w:id="148"/>
      <w:r>
        <w:rPr>
          <w:rFonts w:eastAsia="黑体" w:cs="Times New Roman"/>
          <w:b w:val="0"/>
          <w:color w:val="000000"/>
          <w:sz w:val="24"/>
          <w:szCs w:val="24"/>
        </w:rPr>
        <w:t xml:space="preserve">16.3 </w:t>
      </w:r>
      <w:r>
        <w:rPr>
          <w:rFonts w:ascii="Times New Roman" w:hAnsi="Times New Roman" w:eastAsia="黑体" w:cs="Times New Roman"/>
          <w:b w:val="0"/>
          <w:color w:val="000000"/>
          <w:sz w:val="24"/>
          <w:szCs w:val="24"/>
        </w:rPr>
        <w:t>第三人造成的违约</w:t>
      </w:r>
    </w:p>
    <w:p w14:paraId="281F34D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在履行合同过程中，一方当事人因第三人的原因造成违约的，应当向对方当事人承担违约责任。一方当事人和第三人之间的纠纷，依照法律规定或者按照约定解决。</w:t>
      </w:r>
    </w:p>
    <w:p w14:paraId="444DF01E">
      <w:pPr>
        <w:pStyle w:val="5"/>
        <w:spacing w:before="120" w:after="120" w:line="360" w:lineRule="auto"/>
        <w:rPr>
          <w:rFonts w:ascii="Times New Roman" w:hAnsi="Times New Roman" w:eastAsia="黑体" w:cs="Times New Roman"/>
          <w:b w:val="0"/>
          <w:color w:val="000000"/>
          <w:sz w:val="24"/>
          <w:szCs w:val="24"/>
        </w:rPr>
      </w:pPr>
      <w:bookmarkStart w:id="149" w:name="__RefHeading___Toc351203607"/>
      <w:r>
        <w:rPr>
          <w:rFonts w:ascii="Times New Roman" w:hAnsi="Times New Roman" w:eastAsia="黑体" w:cs="Times New Roman"/>
          <w:b w:val="0"/>
          <w:color w:val="000000"/>
          <w:sz w:val="24"/>
          <w:szCs w:val="24"/>
        </w:rPr>
        <w:t xml:space="preserve">17. </w:t>
      </w:r>
      <w:r>
        <w:rPr>
          <w:rFonts w:ascii="Times New Roman" w:hAnsi="Times New Roman" w:cs="Times New Roman"/>
          <w:b w:val="0"/>
          <w:color w:val="000000"/>
          <w:sz w:val="24"/>
          <w:szCs w:val="24"/>
        </w:rPr>
        <w:t>不可抗力</w:t>
      </w:r>
      <w:bookmarkEnd w:id="149"/>
      <w:r>
        <w:rPr>
          <w:rFonts w:ascii="Times New Roman" w:hAnsi="Times New Roman" w:eastAsia="Times New Roman" w:cs="Times New Roman"/>
          <w:b w:val="0"/>
          <w:color w:val="000000"/>
          <w:sz w:val="24"/>
          <w:szCs w:val="24"/>
        </w:rPr>
        <w:t xml:space="preserve"> </w:t>
      </w:r>
    </w:p>
    <w:p w14:paraId="43286E5C">
      <w:pPr>
        <w:pStyle w:val="6"/>
        <w:spacing w:before="120" w:after="120" w:line="360" w:lineRule="auto"/>
        <w:ind w:firstLine="480"/>
        <w:rPr>
          <w:rFonts w:ascii="Times New Roman" w:hAnsi="Times New Roman" w:eastAsia="黑体" w:cs="Times New Roman"/>
          <w:b w:val="0"/>
          <w:color w:val="000000"/>
          <w:sz w:val="24"/>
          <w:szCs w:val="24"/>
        </w:rPr>
      </w:pPr>
      <w:bookmarkStart w:id="150" w:name="__RefHeading___Toc351203608"/>
      <w:bookmarkEnd w:id="150"/>
      <w:r>
        <w:rPr>
          <w:rFonts w:eastAsia="黑体" w:cs="Times New Roman"/>
          <w:b w:val="0"/>
          <w:color w:val="000000"/>
          <w:sz w:val="24"/>
          <w:szCs w:val="24"/>
        </w:rPr>
        <w:t xml:space="preserve">17.1 </w:t>
      </w:r>
      <w:r>
        <w:rPr>
          <w:rFonts w:ascii="Times New Roman" w:hAnsi="Times New Roman" w:eastAsia="黑体" w:cs="Times New Roman"/>
          <w:b w:val="0"/>
          <w:color w:val="000000"/>
          <w:sz w:val="24"/>
          <w:szCs w:val="24"/>
        </w:rPr>
        <w:t>不可抗力的确认</w:t>
      </w:r>
    </w:p>
    <w:p w14:paraId="65D7CC7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不可抗力是指合同当事人在签订合同时不可预见，在合同履行过程中不可避免且不能克服的自然灾害和社会性突发事件，如地震、海啸、瘟疫、骚乱、戒严、暴动、战争和专用合同条款中约定的其他情形。</w:t>
      </w:r>
    </w:p>
    <w:p w14:paraId="0DDA884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不可抗力发生后，发包人和承包人应收集证明不可抗力发生及不可抗力造成损失的证据，并及时认真统计所造成的损失。合同当事人对是否属于不可抗力或其损失的意见不一致的，由监理人按第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款〔商定或确定〕的约定处理。发生争议时，按第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条〔争议解决〕的约定处理。</w:t>
      </w:r>
    </w:p>
    <w:p w14:paraId="6FF8FEE0">
      <w:pPr>
        <w:pStyle w:val="6"/>
        <w:spacing w:before="120" w:after="120" w:line="360" w:lineRule="auto"/>
        <w:ind w:firstLine="480"/>
        <w:rPr>
          <w:rFonts w:ascii="Times New Roman" w:hAnsi="Times New Roman" w:eastAsia="黑体" w:cs="Times New Roman"/>
          <w:b w:val="0"/>
          <w:color w:val="000000"/>
          <w:sz w:val="24"/>
          <w:szCs w:val="24"/>
        </w:rPr>
      </w:pPr>
      <w:bookmarkStart w:id="151" w:name="__RefHeading___Toc351203609"/>
      <w:bookmarkEnd w:id="151"/>
      <w:r>
        <w:rPr>
          <w:rFonts w:eastAsia="黑体" w:cs="Times New Roman"/>
          <w:b w:val="0"/>
          <w:color w:val="000000"/>
          <w:sz w:val="24"/>
          <w:szCs w:val="24"/>
        </w:rPr>
        <w:t xml:space="preserve">17.2 </w:t>
      </w:r>
      <w:r>
        <w:rPr>
          <w:rFonts w:ascii="Times New Roman" w:hAnsi="Times New Roman" w:eastAsia="黑体" w:cs="Times New Roman"/>
          <w:b w:val="0"/>
          <w:color w:val="000000"/>
          <w:sz w:val="24"/>
          <w:szCs w:val="24"/>
        </w:rPr>
        <w:t>不可抗力的通知</w:t>
      </w:r>
    </w:p>
    <w:p w14:paraId="713A6D9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合同一方当事人遇到不可抗力事件，使其履行合同义务受到阻碍时，应立即通知合同另一方当事人和监理人，书面说明不可抗力和受阻碍的详细情况，并提供必要的证明。</w:t>
      </w:r>
    </w:p>
    <w:p w14:paraId="456A1B3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不可抗力持续发生的，合同一方当事人应及时向合同另一方当事人和监理人提交中间报告，说明不可抗力和履行合同受阻的情况，并于不可抗力事件结束后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天内提交最终报告及有关资料。</w:t>
      </w:r>
    </w:p>
    <w:p w14:paraId="56C06A96">
      <w:pPr>
        <w:pStyle w:val="6"/>
        <w:spacing w:before="120" w:after="120" w:line="360" w:lineRule="auto"/>
        <w:ind w:firstLine="480"/>
        <w:rPr>
          <w:rFonts w:ascii="Times New Roman" w:hAnsi="Times New Roman" w:eastAsia="黑体" w:cs="Times New Roman"/>
          <w:b w:val="0"/>
          <w:color w:val="000000"/>
          <w:sz w:val="24"/>
          <w:szCs w:val="24"/>
        </w:rPr>
      </w:pPr>
      <w:bookmarkStart w:id="152" w:name="__RefHeading___Toc351203610"/>
      <w:bookmarkEnd w:id="152"/>
      <w:r>
        <w:rPr>
          <w:rFonts w:eastAsia="黑体" w:cs="Times New Roman"/>
          <w:b w:val="0"/>
          <w:color w:val="000000"/>
          <w:sz w:val="24"/>
          <w:szCs w:val="24"/>
        </w:rPr>
        <w:t xml:space="preserve">17.3 </w:t>
      </w:r>
      <w:r>
        <w:rPr>
          <w:rFonts w:ascii="Times New Roman" w:hAnsi="Times New Roman" w:eastAsia="黑体" w:cs="Times New Roman"/>
          <w:b w:val="0"/>
          <w:color w:val="000000"/>
          <w:sz w:val="24"/>
          <w:szCs w:val="24"/>
        </w:rPr>
        <w:t>不可抗力后果的承担</w:t>
      </w:r>
    </w:p>
    <w:p w14:paraId="4CC17DE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17.3.1 </w:t>
      </w:r>
      <w:r>
        <w:rPr>
          <w:rFonts w:ascii="Times New Roman" w:hAnsi="Times New Roman" w:eastAsia="仿宋_GB2312;仿宋" w:cs="Times New Roman"/>
          <w:color w:val="000000"/>
          <w:kern w:val="0"/>
          <w:sz w:val="24"/>
          <w:szCs w:val="24"/>
        </w:rPr>
        <w:t>不可抗力引起的后果及造成的损失由合同当事人按照法律规定及合同约定各自承担。不可抗力发生前已完成的工程应当按照合同约定进行计量支付。</w:t>
      </w:r>
    </w:p>
    <w:p w14:paraId="3310455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17.3.2 </w:t>
      </w:r>
      <w:r>
        <w:rPr>
          <w:rFonts w:ascii="Times New Roman" w:hAnsi="Times New Roman" w:eastAsia="仿宋_GB2312;仿宋" w:cs="Times New Roman"/>
          <w:color w:val="000000"/>
          <w:kern w:val="0"/>
          <w:sz w:val="24"/>
          <w:szCs w:val="24"/>
        </w:rPr>
        <w:t>不可抗力导致的人员伤亡、财产损失、费用增加和（或）工期延误等后果，由合同当事人按以下原则承担：</w:t>
      </w:r>
    </w:p>
    <w:p w14:paraId="0563A1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）永久工程、已运至施工现场的材料和工程设备的损坏，以及因工程损坏造成的第三人人员伤亡和财产损失由发包人承担；</w:t>
      </w:r>
    </w:p>
    <w:p w14:paraId="4A01A57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）承包人施工设备的损坏由承包人承担；</w:t>
      </w:r>
    </w:p>
    <w:p w14:paraId="39E0956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）发包人和承包人承担各自人员伤亡和财产的损失；</w:t>
      </w:r>
    </w:p>
    <w:p w14:paraId="0187640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）因不可抗力影响承包人履行合同约定的义务，已经引起或将引起工期延误的，应当顺延工期，由此导致承包人停工的费用损失由发包人和承包人合理分担，停工期间必须支付的工人工资由发包人承担；</w:t>
      </w:r>
    </w:p>
    <w:p w14:paraId="7A6DAFC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）因不可抗力引起或将引起工期延误，发包人要求赶工的，由此增加的赶工费用由发包人承担；</w:t>
      </w:r>
    </w:p>
    <w:p w14:paraId="30C447D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）承包人在停工期间按照发包人要求照管、清理和修复工程的费用由发包人承担。</w:t>
      </w:r>
    </w:p>
    <w:p w14:paraId="3082607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不可抗力发生后，合同当事人均应采取措施尽量避免和减少损失的扩大，任何一方当事人没有采取有效措施导致损失扩大的，应对扩大的损失承担责任。</w:t>
      </w:r>
    </w:p>
    <w:p w14:paraId="73E8BCA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因合同一方迟延履行合同义务，在迟延履行期间遭遇不可抗力的，不免除其违约责任。</w:t>
      </w:r>
    </w:p>
    <w:p w14:paraId="664D8247">
      <w:pPr>
        <w:pStyle w:val="6"/>
        <w:spacing w:before="120" w:after="120" w:line="360" w:lineRule="auto"/>
        <w:ind w:firstLine="480"/>
        <w:rPr>
          <w:rFonts w:ascii="Times New Roman" w:hAnsi="Times New Roman" w:eastAsia="黑体" w:cs="Times New Roman"/>
          <w:b w:val="0"/>
          <w:color w:val="000000"/>
          <w:sz w:val="24"/>
          <w:szCs w:val="24"/>
        </w:rPr>
      </w:pPr>
      <w:bookmarkStart w:id="153" w:name="__RefHeading___Toc351203611"/>
      <w:bookmarkEnd w:id="153"/>
      <w:r>
        <w:rPr>
          <w:rFonts w:eastAsia="黑体" w:cs="Times New Roman"/>
          <w:b w:val="0"/>
          <w:color w:val="000000"/>
          <w:sz w:val="24"/>
          <w:szCs w:val="24"/>
        </w:rPr>
        <w:t xml:space="preserve">17.4 </w:t>
      </w:r>
      <w:r>
        <w:rPr>
          <w:rFonts w:ascii="Times New Roman" w:hAnsi="Times New Roman" w:eastAsia="黑体" w:cs="Times New Roman"/>
          <w:b w:val="0"/>
          <w:color w:val="000000"/>
          <w:sz w:val="24"/>
          <w:szCs w:val="24"/>
        </w:rPr>
        <w:t>因不可抗力解除合同</w:t>
      </w:r>
    </w:p>
    <w:p w14:paraId="446A84D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因不可抗力导致合同无法履行连续超过</w:t>
      </w:r>
      <w:r>
        <w:rPr>
          <w:rFonts w:eastAsia="仿宋_GB2312;仿宋" w:cs="Times New Roman"/>
          <w:color w:val="000000"/>
          <w:kern w:val="0"/>
          <w:sz w:val="24"/>
          <w:szCs w:val="24"/>
        </w:rPr>
        <w:t>84</w:t>
      </w:r>
      <w:r>
        <w:rPr>
          <w:rFonts w:ascii="Times New Roman" w:hAnsi="Times New Roman" w:eastAsia="仿宋_GB2312;仿宋" w:cs="Times New Roman"/>
          <w:color w:val="000000"/>
          <w:kern w:val="0"/>
          <w:sz w:val="24"/>
          <w:szCs w:val="24"/>
        </w:rPr>
        <w:t>天或累计超过</w:t>
      </w:r>
      <w:r>
        <w:rPr>
          <w:rFonts w:eastAsia="仿宋_GB2312;仿宋" w:cs="Times New Roman"/>
          <w:color w:val="000000"/>
          <w:kern w:val="0"/>
          <w:sz w:val="24"/>
          <w:szCs w:val="24"/>
        </w:rPr>
        <w:t>140</w:t>
      </w:r>
      <w:r>
        <w:rPr>
          <w:rFonts w:ascii="Times New Roman" w:hAnsi="Times New Roman" w:eastAsia="仿宋_GB2312;仿宋" w:cs="Times New Roman"/>
          <w:color w:val="000000"/>
          <w:kern w:val="0"/>
          <w:sz w:val="24"/>
          <w:szCs w:val="24"/>
        </w:rPr>
        <w:t>天的，发包人和承包人均有权解除合同。合同解除后，由双方当事人按照第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款〔商定或确定〕商定或确定发包人应支付的款项，该款项包括：</w:t>
      </w:r>
    </w:p>
    <w:p w14:paraId="60566FA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）合同解除前承包人已完成工作的价款；</w:t>
      </w:r>
    </w:p>
    <w:p w14:paraId="3788C92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）承包人为工程订购的并已交付给承包人，或承包人有责任接受交付的材料、工程设备和其他物品的价款；</w:t>
      </w:r>
    </w:p>
    <w:p w14:paraId="5B6BED9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）发包人要求承包人退货或解除订货合同而产生的费用，或因不能退货或解除合同而产生的损失；</w:t>
      </w:r>
    </w:p>
    <w:p w14:paraId="5AB1030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）承包人撤离施工现场以及遣散承包人人员的费用；</w:t>
      </w:r>
    </w:p>
    <w:p w14:paraId="1A08BCE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）按照合同约定在合同解除前应支付给承包人的其他款项；</w:t>
      </w:r>
    </w:p>
    <w:p w14:paraId="565A596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）扣减承包人按照合同约定应向发包人支付的款项；</w:t>
      </w:r>
    </w:p>
    <w:p w14:paraId="238F58B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）双方商定或确定的其他款项。</w:t>
      </w:r>
    </w:p>
    <w:p w14:paraId="79FAF08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除专用合同条款另有约定外，合同解除后，发包人应在商定或确定上述款项后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天内完成上述款项的支付。</w:t>
      </w:r>
    </w:p>
    <w:p w14:paraId="3A758BD0">
      <w:pPr>
        <w:pStyle w:val="5"/>
        <w:spacing w:before="120" w:after="120" w:line="360" w:lineRule="auto"/>
        <w:rPr>
          <w:rFonts w:ascii="Times New Roman" w:hAnsi="Times New Roman" w:eastAsia="黑体" w:cs="Times New Roman"/>
          <w:b w:val="0"/>
          <w:color w:val="000000"/>
          <w:sz w:val="24"/>
          <w:szCs w:val="24"/>
        </w:rPr>
      </w:pPr>
      <w:bookmarkStart w:id="154" w:name="__RefHeading___Toc351203612"/>
      <w:bookmarkEnd w:id="154"/>
      <w:r>
        <w:rPr>
          <w:rFonts w:ascii="Times New Roman" w:hAnsi="Times New Roman" w:eastAsia="黑体" w:cs="Times New Roman"/>
          <w:b w:val="0"/>
          <w:color w:val="000000"/>
          <w:sz w:val="24"/>
          <w:szCs w:val="24"/>
        </w:rPr>
        <w:t xml:space="preserve">18. </w:t>
      </w:r>
      <w:r>
        <w:rPr>
          <w:rFonts w:ascii="Times New Roman" w:hAnsi="Times New Roman" w:cs="Times New Roman"/>
          <w:b w:val="0"/>
          <w:color w:val="000000"/>
          <w:sz w:val="24"/>
          <w:szCs w:val="24"/>
        </w:rPr>
        <w:t>保险</w:t>
      </w:r>
    </w:p>
    <w:p w14:paraId="61C01B29">
      <w:pPr>
        <w:pStyle w:val="6"/>
        <w:spacing w:before="120" w:after="120" w:line="360" w:lineRule="auto"/>
        <w:ind w:firstLine="480"/>
        <w:rPr>
          <w:rFonts w:ascii="Times New Roman" w:hAnsi="Times New Roman" w:eastAsia="黑体" w:cs="Times New Roman"/>
          <w:b w:val="0"/>
          <w:color w:val="000000"/>
          <w:sz w:val="24"/>
          <w:szCs w:val="24"/>
        </w:rPr>
      </w:pPr>
      <w:bookmarkStart w:id="155" w:name="__RefHeading___Toc351203613"/>
      <w:bookmarkEnd w:id="155"/>
      <w:r>
        <w:rPr>
          <w:rFonts w:eastAsia="黑体" w:cs="Times New Roman"/>
          <w:b w:val="0"/>
          <w:color w:val="000000"/>
          <w:sz w:val="24"/>
          <w:szCs w:val="24"/>
        </w:rPr>
        <w:t xml:space="preserve">18.1 </w:t>
      </w:r>
      <w:r>
        <w:rPr>
          <w:rFonts w:ascii="Times New Roman" w:hAnsi="Times New Roman" w:eastAsia="黑体" w:cs="Times New Roman"/>
          <w:b w:val="0"/>
          <w:color w:val="000000"/>
          <w:sz w:val="24"/>
          <w:szCs w:val="24"/>
        </w:rPr>
        <w:t>工程保险</w:t>
      </w:r>
    </w:p>
    <w:p w14:paraId="1AC078F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除专用合同条款另有约定外，发包人应投保建筑工程一切险或安装工程一切险；发包人委托承包人投保的，因投保产生的保险费和其他相关费用由发包人承担。</w:t>
      </w:r>
    </w:p>
    <w:p w14:paraId="73461F25">
      <w:pPr>
        <w:pStyle w:val="6"/>
        <w:spacing w:before="120" w:after="120" w:line="360" w:lineRule="auto"/>
        <w:ind w:firstLine="480"/>
        <w:rPr>
          <w:rFonts w:ascii="Times New Roman" w:hAnsi="Times New Roman" w:eastAsia="黑体" w:cs="Times New Roman"/>
          <w:b w:val="0"/>
          <w:color w:val="000000"/>
          <w:sz w:val="24"/>
          <w:szCs w:val="24"/>
        </w:rPr>
      </w:pPr>
      <w:bookmarkStart w:id="156" w:name="__RefHeading___Toc351203614"/>
      <w:bookmarkEnd w:id="156"/>
      <w:r>
        <w:rPr>
          <w:rFonts w:eastAsia="黑体" w:cs="Times New Roman"/>
          <w:b w:val="0"/>
          <w:color w:val="000000"/>
          <w:sz w:val="24"/>
          <w:szCs w:val="24"/>
        </w:rPr>
        <w:t xml:space="preserve">18.2 </w:t>
      </w:r>
      <w:r>
        <w:rPr>
          <w:rFonts w:ascii="Times New Roman" w:hAnsi="Times New Roman" w:eastAsia="黑体" w:cs="Times New Roman"/>
          <w:b w:val="0"/>
          <w:color w:val="000000"/>
          <w:sz w:val="24"/>
          <w:szCs w:val="24"/>
        </w:rPr>
        <w:t>工伤保险</w:t>
      </w:r>
    </w:p>
    <w:p w14:paraId="0C03B1FD">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18.2.1 </w:t>
      </w:r>
      <w:r>
        <w:rPr>
          <w:rFonts w:ascii="Times New Roman" w:hAnsi="Times New Roman" w:eastAsia="仿宋_GB2312;仿宋" w:cs="Times New Roman"/>
          <w:color w:val="000000"/>
          <w:kern w:val="0"/>
          <w:sz w:val="24"/>
          <w:szCs w:val="24"/>
        </w:rPr>
        <w:t>发包人应依照法律规定参加工伤保险，并为在施工现场的全部员工办理工伤保险，缴纳工伤保险费，并要求监理人及由发包人为履行合同聘请的第三方依法参加工伤保险。</w:t>
      </w:r>
    </w:p>
    <w:p w14:paraId="4A547A3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18.2.2 </w:t>
      </w:r>
      <w:r>
        <w:rPr>
          <w:rFonts w:ascii="Times New Roman" w:hAnsi="Times New Roman" w:eastAsia="仿宋_GB2312;仿宋" w:cs="Times New Roman"/>
          <w:color w:val="000000"/>
          <w:kern w:val="0"/>
          <w:sz w:val="24"/>
          <w:szCs w:val="24"/>
        </w:rPr>
        <w:t>承包人应依照法律规定参加工伤保险，并为其履行合同的全部员工办理工伤保险，缴纳工伤保险费，并要求分包人及由承包人为履行合同聘请的第三方依法参加工伤保险。</w:t>
      </w:r>
    </w:p>
    <w:p w14:paraId="2589912B">
      <w:pPr>
        <w:pStyle w:val="6"/>
        <w:spacing w:before="120" w:after="120" w:line="360" w:lineRule="auto"/>
        <w:ind w:firstLine="480"/>
        <w:rPr>
          <w:rFonts w:ascii="Times New Roman" w:hAnsi="Times New Roman" w:eastAsia="黑体" w:cs="Times New Roman"/>
          <w:b w:val="0"/>
          <w:color w:val="000000"/>
          <w:sz w:val="24"/>
          <w:szCs w:val="24"/>
        </w:rPr>
      </w:pPr>
      <w:bookmarkStart w:id="157" w:name="__RefHeading___Toc351203615"/>
      <w:bookmarkEnd w:id="157"/>
      <w:r>
        <w:rPr>
          <w:rFonts w:eastAsia="黑体" w:cs="Times New Roman"/>
          <w:b w:val="0"/>
          <w:color w:val="000000"/>
          <w:sz w:val="24"/>
          <w:szCs w:val="24"/>
        </w:rPr>
        <w:t>18.3</w:t>
      </w:r>
      <w:r>
        <w:rPr>
          <w:rFonts w:ascii="Times New Roman" w:hAnsi="Times New Roman" w:eastAsia="黑体" w:cs="Times New Roman"/>
          <w:b w:val="0"/>
          <w:color w:val="000000"/>
          <w:sz w:val="24"/>
          <w:szCs w:val="24"/>
        </w:rPr>
        <w:t>其他保险</w:t>
      </w:r>
    </w:p>
    <w:p w14:paraId="69513D06">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发包人和承包人可以为其施工现场的全部人员办理意外伤害保险并支付保险费，包括其员工及为履行合同聘请的第三方的人员，具体事项由合同当事人在专用合同条款约定。</w:t>
      </w:r>
    </w:p>
    <w:p w14:paraId="7D0E960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除专用合同条款另有约定外，承包人应为其施工设备等办理财产保险。</w:t>
      </w:r>
    </w:p>
    <w:p w14:paraId="3272A432">
      <w:pPr>
        <w:pStyle w:val="6"/>
        <w:spacing w:before="120" w:after="120" w:line="360" w:lineRule="auto"/>
        <w:ind w:firstLine="480"/>
        <w:rPr>
          <w:rFonts w:ascii="Times New Roman" w:hAnsi="Times New Roman" w:eastAsia="黑体" w:cs="Times New Roman"/>
          <w:b w:val="0"/>
          <w:color w:val="000000"/>
          <w:sz w:val="24"/>
          <w:szCs w:val="24"/>
        </w:rPr>
      </w:pPr>
      <w:bookmarkStart w:id="158" w:name="__RefHeading___Toc351203616"/>
      <w:bookmarkEnd w:id="158"/>
      <w:r>
        <w:rPr>
          <w:rFonts w:eastAsia="黑体" w:cs="Times New Roman"/>
          <w:b w:val="0"/>
          <w:color w:val="000000"/>
          <w:sz w:val="24"/>
          <w:szCs w:val="24"/>
        </w:rPr>
        <w:t>18.4</w:t>
      </w:r>
      <w:r>
        <w:rPr>
          <w:rFonts w:ascii="Times New Roman" w:hAnsi="Times New Roman" w:eastAsia="黑体" w:cs="Times New Roman"/>
          <w:b w:val="0"/>
          <w:color w:val="000000"/>
          <w:sz w:val="24"/>
          <w:szCs w:val="24"/>
        </w:rPr>
        <w:t>持续保险</w:t>
      </w:r>
    </w:p>
    <w:p w14:paraId="7A9FF70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合同当事人应与保险人保持联系，使保险人能够随时了解工程实施中的变动，并确保按保险合同条款要求持续保险。</w:t>
      </w:r>
    </w:p>
    <w:p w14:paraId="72CE5A1E">
      <w:pPr>
        <w:pStyle w:val="6"/>
        <w:spacing w:before="120" w:after="120" w:line="360" w:lineRule="auto"/>
        <w:ind w:firstLine="480"/>
        <w:rPr>
          <w:rFonts w:ascii="Times New Roman" w:hAnsi="Times New Roman" w:eastAsia="黑体" w:cs="Times New Roman"/>
          <w:b w:val="0"/>
          <w:color w:val="000000"/>
          <w:sz w:val="24"/>
          <w:szCs w:val="24"/>
        </w:rPr>
      </w:pPr>
      <w:bookmarkStart w:id="159" w:name="__RefHeading___Toc351203617"/>
      <w:bookmarkEnd w:id="159"/>
      <w:r>
        <w:rPr>
          <w:rFonts w:eastAsia="黑体" w:cs="Times New Roman"/>
          <w:b w:val="0"/>
          <w:color w:val="000000"/>
          <w:sz w:val="24"/>
          <w:szCs w:val="24"/>
        </w:rPr>
        <w:t xml:space="preserve">18.5 </w:t>
      </w:r>
      <w:r>
        <w:rPr>
          <w:rFonts w:ascii="Times New Roman" w:hAnsi="Times New Roman" w:eastAsia="黑体" w:cs="Times New Roman"/>
          <w:b w:val="0"/>
          <w:color w:val="000000"/>
          <w:sz w:val="24"/>
          <w:szCs w:val="24"/>
        </w:rPr>
        <w:t>保险凭证</w:t>
      </w:r>
    </w:p>
    <w:p w14:paraId="4FA94816">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合同当事人应及时向另一方当事人提交其已投保的各项保险的凭证和保险单复印件。</w:t>
      </w:r>
    </w:p>
    <w:p w14:paraId="7C5E7EB3">
      <w:pPr>
        <w:pStyle w:val="6"/>
        <w:spacing w:before="120" w:after="120" w:line="360" w:lineRule="auto"/>
        <w:ind w:firstLine="480"/>
        <w:rPr>
          <w:rFonts w:ascii="Times New Roman" w:hAnsi="Times New Roman" w:eastAsia="黑体" w:cs="Times New Roman"/>
          <w:b w:val="0"/>
          <w:color w:val="000000"/>
          <w:sz w:val="24"/>
          <w:szCs w:val="24"/>
        </w:rPr>
      </w:pPr>
      <w:bookmarkStart w:id="160" w:name="__RefHeading___Toc351203618"/>
      <w:bookmarkEnd w:id="160"/>
      <w:r>
        <w:rPr>
          <w:rFonts w:eastAsia="黑体" w:cs="Times New Roman"/>
          <w:b w:val="0"/>
          <w:color w:val="000000"/>
          <w:sz w:val="24"/>
          <w:szCs w:val="24"/>
        </w:rPr>
        <w:t xml:space="preserve">18.6 </w:t>
      </w:r>
      <w:r>
        <w:rPr>
          <w:rFonts w:ascii="Times New Roman" w:hAnsi="Times New Roman" w:eastAsia="黑体" w:cs="Times New Roman"/>
          <w:b w:val="0"/>
          <w:color w:val="000000"/>
          <w:sz w:val="24"/>
          <w:szCs w:val="24"/>
        </w:rPr>
        <w:t>未按约定投保的补救</w:t>
      </w:r>
    </w:p>
    <w:p w14:paraId="704D95D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18.6.1</w:t>
      </w:r>
      <w:r>
        <w:rPr>
          <w:rFonts w:ascii="Times New Roman" w:hAnsi="Times New Roman" w:eastAsia="仿宋_GB2312;仿宋" w:cs="Times New Roman"/>
          <w:color w:val="000000"/>
          <w:sz w:val="24"/>
          <w:szCs w:val="24"/>
        </w:rPr>
        <w:t>发包人未按合同约定办理保险，或未能使保险持续有效的，则承包人可代为办理，所需费用由发包人承担。发包人未按合同约定办理保险，导致未能得到足额赔偿的，由发包人负责补足。</w:t>
      </w:r>
    </w:p>
    <w:p w14:paraId="1083C044">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18.6.2</w:t>
      </w:r>
      <w:r>
        <w:rPr>
          <w:rFonts w:ascii="Times New Roman" w:hAnsi="Times New Roman" w:eastAsia="仿宋_GB2312;仿宋" w:cs="Times New Roman"/>
          <w:color w:val="000000"/>
          <w:sz w:val="24"/>
          <w:szCs w:val="24"/>
        </w:rPr>
        <w:t>承包人未按合同约定办理保险，或未能使保险持续有效的，则发包人可代为办理，所需费用由承包人承担。承包人未按合同约定办理保险，导致未能得到足额赔偿的，由承包人负责补足。</w:t>
      </w:r>
    </w:p>
    <w:p w14:paraId="3C1FB3BA">
      <w:pPr>
        <w:pStyle w:val="6"/>
        <w:spacing w:before="120" w:after="120" w:line="360" w:lineRule="auto"/>
        <w:ind w:firstLine="480"/>
        <w:rPr>
          <w:rFonts w:ascii="Times New Roman" w:hAnsi="Times New Roman" w:eastAsia="黑体" w:cs="Times New Roman"/>
          <w:b w:val="0"/>
          <w:color w:val="000000"/>
          <w:sz w:val="24"/>
          <w:szCs w:val="24"/>
        </w:rPr>
      </w:pPr>
      <w:bookmarkStart w:id="161" w:name="__RefHeading___Toc351203619"/>
      <w:bookmarkEnd w:id="161"/>
      <w:r>
        <w:rPr>
          <w:rFonts w:eastAsia="黑体" w:cs="Times New Roman"/>
          <w:b w:val="0"/>
          <w:color w:val="000000"/>
          <w:sz w:val="24"/>
          <w:szCs w:val="24"/>
        </w:rPr>
        <w:t xml:space="preserve">18.7 </w:t>
      </w:r>
      <w:r>
        <w:rPr>
          <w:rFonts w:ascii="Times New Roman" w:hAnsi="Times New Roman" w:eastAsia="黑体" w:cs="Times New Roman"/>
          <w:b w:val="0"/>
          <w:color w:val="000000"/>
          <w:sz w:val="24"/>
          <w:szCs w:val="24"/>
        </w:rPr>
        <w:t>通知义务</w:t>
      </w:r>
    </w:p>
    <w:p w14:paraId="5B71097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除专用合同条款另有约定外，发包人变更除工伤保险之外的保险合同时，应事先征得承包人同意，并通知监理人；承包人变更除工伤保险之外的保险合同时，应事先征得发包人同意，并通知监理人。</w:t>
      </w:r>
    </w:p>
    <w:p w14:paraId="022CF014">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保险事故发生时，投保人应按照保险合同规定的条件和期限及时向保险人报告。发包人和承包人应当在知道保险事故发生后及时通知对方。</w:t>
      </w:r>
    </w:p>
    <w:p w14:paraId="5C22933E">
      <w:pPr>
        <w:pStyle w:val="5"/>
        <w:spacing w:before="120" w:after="120" w:line="360" w:lineRule="auto"/>
        <w:rPr>
          <w:rFonts w:ascii="Times New Roman" w:hAnsi="Times New Roman" w:eastAsia="黑体" w:cs="Times New Roman"/>
          <w:b w:val="0"/>
          <w:color w:val="000000"/>
          <w:sz w:val="24"/>
          <w:szCs w:val="24"/>
        </w:rPr>
      </w:pPr>
      <w:bookmarkStart w:id="162" w:name="__RefHeading___Toc351203620"/>
      <w:bookmarkEnd w:id="162"/>
      <w:r>
        <w:rPr>
          <w:rFonts w:ascii="Times New Roman" w:hAnsi="Times New Roman" w:eastAsia="黑体" w:cs="Times New Roman"/>
          <w:b w:val="0"/>
          <w:color w:val="000000"/>
          <w:sz w:val="24"/>
          <w:szCs w:val="24"/>
        </w:rPr>
        <w:t xml:space="preserve">19. </w:t>
      </w:r>
      <w:r>
        <w:rPr>
          <w:rFonts w:ascii="Times New Roman" w:hAnsi="Times New Roman" w:cs="Times New Roman"/>
          <w:b w:val="0"/>
          <w:color w:val="000000"/>
          <w:sz w:val="24"/>
          <w:szCs w:val="24"/>
        </w:rPr>
        <w:t>索赔</w:t>
      </w:r>
    </w:p>
    <w:p w14:paraId="16E27370">
      <w:pPr>
        <w:pStyle w:val="6"/>
        <w:spacing w:before="120" w:after="120" w:line="360" w:lineRule="auto"/>
        <w:ind w:firstLine="480"/>
        <w:rPr>
          <w:rFonts w:ascii="Times New Roman" w:hAnsi="Times New Roman" w:eastAsia="黑体" w:cs="Times New Roman"/>
          <w:b w:val="0"/>
          <w:color w:val="000000"/>
          <w:sz w:val="24"/>
          <w:szCs w:val="24"/>
        </w:rPr>
      </w:pPr>
      <w:bookmarkStart w:id="163" w:name="__RefHeading___Toc351203621"/>
      <w:bookmarkEnd w:id="163"/>
      <w:r>
        <w:rPr>
          <w:rFonts w:eastAsia="黑体" w:cs="Times New Roman"/>
          <w:b w:val="0"/>
          <w:color w:val="000000"/>
          <w:sz w:val="24"/>
          <w:szCs w:val="24"/>
        </w:rPr>
        <w:t>19.1</w:t>
      </w:r>
      <w:r>
        <w:rPr>
          <w:rFonts w:ascii="Times New Roman" w:hAnsi="Times New Roman" w:eastAsia="黑体" w:cs="Times New Roman"/>
          <w:b w:val="0"/>
          <w:color w:val="000000"/>
          <w:sz w:val="24"/>
          <w:szCs w:val="24"/>
        </w:rPr>
        <w:t>承包人的索赔</w:t>
      </w:r>
    </w:p>
    <w:p w14:paraId="638CE80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根据合同约定，承包人认为有权得到追加付款和（或）延长工期的，应按以下程序向发包人提出索赔：</w:t>
      </w:r>
    </w:p>
    <w:p w14:paraId="0A13651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）承包人应在知道或应当知道索赔事件发生后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天内，向监理人递交索赔意向通知书，并说明发生索赔事件的事由；承包人未在前述</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天内发出索赔意向通知书的，丧失要求追加付款和（或）延长工期的权利；</w:t>
      </w:r>
    </w:p>
    <w:p w14:paraId="1874D49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）承包人应在发出索赔意向通知书后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天内，向监理人正式递交索赔报告；索赔报告应详细说明索赔理由以及要求追加的付款金额和（或）延长的工期，并附必要的记录和证明材料；</w:t>
      </w:r>
    </w:p>
    <w:p w14:paraId="18F8846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）索赔事件具有持续影响的，承包人应按合理时间间隔继续递交延续索赔通知，说明持续影响的实际情况和记录，列出累计的追加付款金额和（或）工期延长天数；</w:t>
      </w:r>
    </w:p>
    <w:p w14:paraId="3D62487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）在索赔事件影响结束后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天内，承包人应向监理人递交最终索赔报告，说明最终要求索赔的追加付款金额和（或）延长的工期，并附必要的记录和证明材料。</w:t>
      </w:r>
    </w:p>
    <w:p w14:paraId="3E720F77">
      <w:pPr>
        <w:pStyle w:val="6"/>
        <w:spacing w:before="120" w:after="120" w:line="360" w:lineRule="auto"/>
        <w:ind w:firstLine="480"/>
        <w:rPr>
          <w:rFonts w:ascii="Times New Roman" w:hAnsi="Times New Roman" w:eastAsia="黑体" w:cs="Times New Roman"/>
          <w:b w:val="0"/>
          <w:color w:val="000000"/>
          <w:sz w:val="24"/>
          <w:szCs w:val="24"/>
        </w:rPr>
      </w:pPr>
      <w:bookmarkStart w:id="164" w:name="__RefHeading___Toc351203622"/>
      <w:bookmarkEnd w:id="164"/>
      <w:r>
        <w:rPr>
          <w:rFonts w:eastAsia="黑体" w:cs="Times New Roman"/>
          <w:b w:val="0"/>
          <w:color w:val="000000"/>
          <w:sz w:val="24"/>
          <w:szCs w:val="24"/>
        </w:rPr>
        <w:t xml:space="preserve">19.2 </w:t>
      </w:r>
      <w:r>
        <w:rPr>
          <w:rFonts w:ascii="Times New Roman" w:hAnsi="Times New Roman" w:eastAsia="黑体" w:cs="Times New Roman"/>
          <w:b w:val="0"/>
          <w:color w:val="000000"/>
          <w:sz w:val="24"/>
          <w:szCs w:val="24"/>
        </w:rPr>
        <w:t>对承包人索赔的处理</w:t>
      </w:r>
    </w:p>
    <w:p w14:paraId="4B5AAA7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对承包人索赔的处理如下：</w:t>
      </w:r>
    </w:p>
    <w:p w14:paraId="160AE2F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）监理人应在收到索赔报告后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天内完成审查并报送发包人。监理人对索赔报告存在异议的，有权要求承包人提交全部原始记录副本；</w:t>
      </w:r>
    </w:p>
    <w:p w14:paraId="3011837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）发包人应在监理人收到索赔报告或有关索赔的进一步证明材料后的</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天内，由监理人向承包人出具经发包人签认的索赔处理结果。发包人逾期答复的，则视为认可承包人的索赔要求；</w:t>
      </w:r>
    </w:p>
    <w:p w14:paraId="61D5D4F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）承包人接受索赔处理结果的，索赔款项在当期进度款中进行支付；承包人不接受索赔处理结果的，按照第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w:t>
      </w:r>
    </w:p>
    <w:p w14:paraId="4F16D860">
      <w:pPr>
        <w:pStyle w:val="6"/>
        <w:spacing w:before="120" w:after="120" w:line="360" w:lineRule="auto"/>
        <w:ind w:firstLine="480"/>
        <w:rPr>
          <w:rFonts w:ascii="Times New Roman" w:hAnsi="Times New Roman" w:eastAsia="黑体" w:cs="Times New Roman"/>
          <w:b w:val="0"/>
          <w:color w:val="000000"/>
          <w:sz w:val="24"/>
          <w:szCs w:val="24"/>
        </w:rPr>
      </w:pPr>
      <w:bookmarkStart w:id="165" w:name="__RefHeading___Toc351203623"/>
      <w:bookmarkEnd w:id="165"/>
      <w:r>
        <w:rPr>
          <w:rFonts w:eastAsia="黑体" w:cs="Times New Roman"/>
          <w:b w:val="0"/>
          <w:color w:val="000000"/>
          <w:sz w:val="24"/>
          <w:szCs w:val="24"/>
        </w:rPr>
        <w:t>19.3</w:t>
      </w:r>
      <w:r>
        <w:rPr>
          <w:rFonts w:ascii="Times New Roman" w:hAnsi="Times New Roman" w:eastAsia="黑体" w:cs="Times New Roman"/>
          <w:b w:val="0"/>
          <w:color w:val="000000"/>
          <w:sz w:val="24"/>
          <w:szCs w:val="24"/>
        </w:rPr>
        <w:t>发包人的索赔</w:t>
      </w:r>
    </w:p>
    <w:p w14:paraId="7674F1F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根据合同约定，发包人认为有权得到赔付金额和（或）延长缺陷责任期的，监理人应向承包人发出通知并附有详细的证明。</w:t>
      </w:r>
    </w:p>
    <w:p w14:paraId="3C55088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发包人应在知道或应当知道索赔事件发生后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天内通过监理人向承包人提出索赔意向通知书，发包人未在前述</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天内发出索赔意向通知书的，丧失要求赔付金额和（或）延长缺陷责任期的权利。发包人应在发出索赔意向通知书后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天内，通过监理人向承包人正式递交索赔报告。</w:t>
      </w:r>
    </w:p>
    <w:p w14:paraId="5C11F83A">
      <w:pPr>
        <w:pStyle w:val="6"/>
        <w:spacing w:before="120" w:after="120" w:line="360" w:lineRule="auto"/>
        <w:ind w:firstLine="480"/>
        <w:rPr>
          <w:rFonts w:ascii="Times New Roman" w:hAnsi="Times New Roman" w:eastAsia="黑体" w:cs="Times New Roman"/>
          <w:b w:val="0"/>
          <w:color w:val="000000"/>
          <w:sz w:val="24"/>
          <w:szCs w:val="24"/>
        </w:rPr>
      </w:pPr>
      <w:bookmarkStart w:id="166" w:name="__RefHeading___Toc351203624"/>
      <w:bookmarkEnd w:id="166"/>
      <w:r>
        <w:rPr>
          <w:rFonts w:eastAsia="黑体" w:cs="Times New Roman"/>
          <w:b w:val="0"/>
          <w:color w:val="000000"/>
          <w:sz w:val="24"/>
          <w:szCs w:val="24"/>
        </w:rPr>
        <w:t xml:space="preserve">19.4 </w:t>
      </w:r>
      <w:r>
        <w:rPr>
          <w:rFonts w:ascii="Times New Roman" w:hAnsi="Times New Roman" w:eastAsia="黑体" w:cs="Times New Roman"/>
          <w:b w:val="0"/>
          <w:color w:val="000000"/>
          <w:sz w:val="24"/>
          <w:szCs w:val="24"/>
        </w:rPr>
        <w:t>对发包人索赔的处理</w:t>
      </w:r>
    </w:p>
    <w:p w14:paraId="28BBBFA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对发包人索赔的处理如下：</w:t>
      </w:r>
    </w:p>
    <w:p w14:paraId="4B03311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）承包人收到发包人提交的索赔报告后，应及时审查索赔报告的内容、查验发包人证明材料；</w:t>
      </w:r>
    </w:p>
    <w:p w14:paraId="7FC96B7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）承包人应在收到索赔报告或有关索赔的进一步证明材料后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天内，将索赔处理结果答复发包人。如果承包人未在上述期限内作出答复的，则视为对发包人索赔要求的认可；</w:t>
      </w:r>
    </w:p>
    <w:p w14:paraId="5D05FC6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）承包人接受索赔处理结果的，发包人可从应支付给承包人的合同价款中扣除赔付的金额或延长缺陷责任期；发包人不接受索赔处理结果的，按第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w:t>
      </w:r>
    </w:p>
    <w:p w14:paraId="47A9CF8E">
      <w:pPr>
        <w:pStyle w:val="6"/>
        <w:spacing w:before="120" w:after="120" w:line="360" w:lineRule="auto"/>
        <w:ind w:firstLine="480"/>
        <w:rPr>
          <w:rFonts w:ascii="Times New Roman" w:hAnsi="Times New Roman" w:eastAsia="黑体" w:cs="Times New Roman"/>
          <w:b w:val="0"/>
          <w:color w:val="000000"/>
          <w:sz w:val="24"/>
          <w:szCs w:val="24"/>
        </w:rPr>
      </w:pPr>
      <w:bookmarkStart w:id="167" w:name="__RefHeading___Toc351203625"/>
      <w:bookmarkEnd w:id="167"/>
      <w:r>
        <w:rPr>
          <w:rFonts w:eastAsia="黑体" w:cs="Times New Roman"/>
          <w:b w:val="0"/>
          <w:color w:val="000000"/>
          <w:sz w:val="24"/>
          <w:szCs w:val="24"/>
        </w:rPr>
        <w:t xml:space="preserve">19.5 </w:t>
      </w:r>
      <w:r>
        <w:rPr>
          <w:rFonts w:ascii="Times New Roman" w:hAnsi="Times New Roman" w:eastAsia="黑体" w:cs="Times New Roman"/>
          <w:b w:val="0"/>
          <w:color w:val="000000"/>
          <w:sz w:val="24"/>
          <w:szCs w:val="24"/>
        </w:rPr>
        <w:t>提出索赔的期限</w:t>
      </w:r>
    </w:p>
    <w:p w14:paraId="174620EB">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）承包人按第</w:t>
      </w:r>
      <w:r>
        <w:rPr>
          <w:rFonts w:eastAsia="仿宋_GB2312;仿宋" w:cs="Times New Roman"/>
          <w:color w:val="000000"/>
          <w:kern w:val="0"/>
          <w:sz w:val="24"/>
          <w:szCs w:val="24"/>
        </w:rPr>
        <w:t>14.2</w:t>
      </w:r>
      <w:r>
        <w:rPr>
          <w:rFonts w:ascii="Times New Roman" w:hAnsi="Times New Roman" w:eastAsia="仿宋_GB2312;仿宋" w:cs="Times New Roman"/>
          <w:color w:val="000000"/>
          <w:kern w:val="0"/>
          <w:sz w:val="24"/>
          <w:szCs w:val="24"/>
        </w:rPr>
        <w:t>款〔竣工结算审核〕约定接收竣工付款证书后，应被视为已无权再提出在工程接收证书颁发前所发生的任何索赔。</w:t>
      </w:r>
    </w:p>
    <w:p w14:paraId="3AFEDD51">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）承包人按第</w:t>
      </w:r>
      <w:r>
        <w:rPr>
          <w:rFonts w:eastAsia="仿宋_GB2312;仿宋" w:cs="Times New Roman"/>
          <w:color w:val="000000"/>
          <w:kern w:val="0"/>
          <w:sz w:val="24"/>
          <w:szCs w:val="24"/>
        </w:rPr>
        <w:t>14.4</w:t>
      </w:r>
      <w:r>
        <w:rPr>
          <w:rFonts w:ascii="Times New Roman" w:hAnsi="Times New Roman" w:eastAsia="仿宋_GB2312;仿宋" w:cs="Times New Roman"/>
          <w:color w:val="000000"/>
          <w:kern w:val="0"/>
          <w:sz w:val="24"/>
          <w:szCs w:val="24"/>
        </w:rPr>
        <w:t>款〔最终结清〕提交的最终结清申请单中，只限于提出工程接收证书颁发后发生的索赔。提出索赔的期限自接受最终结清证书时终止。</w:t>
      </w:r>
    </w:p>
    <w:p w14:paraId="34D2F240">
      <w:pPr>
        <w:pStyle w:val="5"/>
        <w:spacing w:before="120" w:after="120" w:line="360" w:lineRule="auto"/>
        <w:rPr>
          <w:rFonts w:ascii="Times New Roman" w:hAnsi="Times New Roman" w:eastAsia="黑体" w:cs="Times New Roman"/>
          <w:b w:val="0"/>
          <w:color w:val="000000"/>
          <w:sz w:val="24"/>
          <w:szCs w:val="24"/>
        </w:rPr>
      </w:pPr>
      <w:bookmarkStart w:id="168" w:name="__RefHeading___Toc351203626"/>
      <w:bookmarkEnd w:id="168"/>
      <w:r>
        <w:rPr>
          <w:rFonts w:ascii="Times New Roman" w:hAnsi="Times New Roman" w:eastAsia="黑体" w:cs="Times New Roman"/>
          <w:b w:val="0"/>
          <w:color w:val="000000"/>
          <w:sz w:val="24"/>
          <w:szCs w:val="24"/>
        </w:rPr>
        <w:t xml:space="preserve">20. </w:t>
      </w:r>
      <w:r>
        <w:rPr>
          <w:rFonts w:ascii="Times New Roman" w:hAnsi="Times New Roman" w:cs="Times New Roman"/>
          <w:b w:val="0"/>
          <w:color w:val="000000"/>
          <w:sz w:val="24"/>
          <w:szCs w:val="24"/>
        </w:rPr>
        <w:t>争议解决</w:t>
      </w:r>
    </w:p>
    <w:p w14:paraId="3BA5AB2C">
      <w:pPr>
        <w:pStyle w:val="6"/>
        <w:spacing w:before="120" w:after="120" w:line="360" w:lineRule="auto"/>
        <w:ind w:firstLine="480"/>
        <w:rPr>
          <w:rFonts w:ascii="Times New Roman" w:hAnsi="Times New Roman" w:eastAsia="黑体" w:cs="Times New Roman"/>
          <w:b w:val="0"/>
          <w:color w:val="000000"/>
          <w:sz w:val="24"/>
          <w:szCs w:val="24"/>
        </w:rPr>
      </w:pPr>
      <w:bookmarkStart w:id="169" w:name="__RefHeading___Toc351203627"/>
      <w:bookmarkEnd w:id="169"/>
      <w:r>
        <w:rPr>
          <w:rFonts w:eastAsia="黑体" w:cs="Times New Roman"/>
          <w:b w:val="0"/>
          <w:color w:val="000000"/>
          <w:sz w:val="24"/>
          <w:szCs w:val="24"/>
        </w:rPr>
        <w:t>20.1</w:t>
      </w:r>
      <w:r>
        <w:rPr>
          <w:rFonts w:ascii="Times New Roman" w:hAnsi="Times New Roman" w:eastAsia="黑体" w:cs="Times New Roman"/>
          <w:b w:val="0"/>
          <w:color w:val="000000"/>
          <w:sz w:val="24"/>
          <w:szCs w:val="24"/>
        </w:rPr>
        <w:t>和解</w:t>
      </w:r>
    </w:p>
    <w:p w14:paraId="6E4946B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合同当事人可以就争议自行和解，自行和解达成协议的经双方签字并盖章后作为合同补充文件，双方均应遵照执行。</w:t>
      </w:r>
    </w:p>
    <w:p w14:paraId="2B31F3DE">
      <w:pPr>
        <w:pStyle w:val="6"/>
        <w:spacing w:before="120" w:after="120" w:line="360" w:lineRule="auto"/>
        <w:ind w:firstLine="480"/>
        <w:rPr>
          <w:rFonts w:ascii="Times New Roman" w:hAnsi="Times New Roman" w:eastAsia="黑体" w:cs="Times New Roman"/>
          <w:b w:val="0"/>
          <w:color w:val="000000"/>
          <w:sz w:val="24"/>
          <w:szCs w:val="24"/>
        </w:rPr>
      </w:pPr>
      <w:bookmarkStart w:id="170" w:name="__RefHeading___Toc351203628"/>
      <w:bookmarkEnd w:id="170"/>
      <w:r>
        <w:rPr>
          <w:rFonts w:eastAsia="黑体" w:cs="Times New Roman"/>
          <w:b w:val="0"/>
          <w:color w:val="000000"/>
          <w:sz w:val="24"/>
          <w:szCs w:val="24"/>
        </w:rPr>
        <w:t>20.2</w:t>
      </w:r>
      <w:r>
        <w:rPr>
          <w:rFonts w:ascii="Times New Roman" w:hAnsi="Times New Roman" w:eastAsia="黑体" w:cs="Times New Roman"/>
          <w:b w:val="0"/>
          <w:color w:val="000000"/>
          <w:sz w:val="24"/>
          <w:szCs w:val="24"/>
        </w:rPr>
        <w:t>调解</w:t>
      </w:r>
    </w:p>
    <w:p w14:paraId="4B7249F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合同当事人可以就争议请求建设行政主管部门、行业协会或其他第三方进行调解，调解达成协议的，经双方签字并盖章后作为合同补充文件，双方均应遵照执行。</w:t>
      </w:r>
    </w:p>
    <w:p w14:paraId="1B49813F">
      <w:pPr>
        <w:pStyle w:val="6"/>
        <w:spacing w:before="120" w:after="120" w:line="360" w:lineRule="auto"/>
        <w:ind w:firstLine="480"/>
        <w:rPr>
          <w:rFonts w:ascii="Times New Roman" w:hAnsi="Times New Roman" w:eastAsia="黑体" w:cs="Times New Roman"/>
          <w:b w:val="0"/>
          <w:color w:val="000000"/>
          <w:sz w:val="24"/>
          <w:szCs w:val="24"/>
        </w:rPr>
      </w:pPr>
      <w:bookmarkStart w:id="171" w:name="__RefHeading___Toc351203629"/>
      <w:bookmarkEnd w:id="171"/>
      <w:r>
        <w:rPr>
          <w:rFonts w:eastAsia="黑体" w:cs="Times New Roman"/>
          <w:b w:val="0"/>
          <w:color w:val="000000"/>
          <w:sz w:val="24"/>
          <w:szCs w:val="24"/>
        </w:rPr>
        <w:t>20.3</w:t>
      </w:r>
      <w:r>
        <w:rPr>
          <w:rFonts w:ascii="Times New Roman" w:hAnsi="Times New Roman" w:eastAsia="黑体" w:cs="Times New Roman"/>
          <w:b w:val="0"/>
          <w:color w:val="000000"/>
          <w:sz w:val="24"/>
          <w:szCs w:val="24"/>
        </w:rPr>
        <w:t>争议评审</w:t>
      </w:r>
    </w:p>
    <w:p w14:paraId="23DA039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合同当事人在专用合同条款中约定采取争议评审方式解决争议以及评审规则，并按下列约定执行：</w:t>
      </w:r>
      <w:r>
        <w:rPr>
          <w:rFonts w:ascii="Times New Roman" w:hAnsi="Times New Roman" w:eastAsia="Times New Roman" w:cs="Times New Roman"/>
          <w:color w:val="000000"/>
          <w:kern w:val="0"/>
          <w:sz w:val="24"/>
          <w:szCs w:val="24"/>
        </w:rPr>
        <w:t xml:space="preserve"> </w:t>
      </w:r>
    </w:p>
    <w:p w14:paraId="501249C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20.3.1 </w:t>
      </w:r>
      <w:r>
        <w:rPr>
          <w:rFonts w:ascii="Times New Roman" w:hAnsi="Times New Roman" w:eastAsia="仿宋_GB2312;仿宋" w:cs="Times New Roman"/>
          <w:color w:val="000000"/>
          <w:kern w:val="0"/>
          <w:sz w:val="24"/>
          <w:szCs w:val="24"/>
        </w:rPr>
        <w:t>争议评审小组的确定</w:t>
      </w:r>
    </w:p>
    <w:p w14:paraId="13D2F90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合同当事人可以共同选择一名或三名争议评审员，组成争议评审小组。除专用合同条款另有约定外，合同当事人应当自合同签订后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天内，或者争议发生后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天内，选定争议评审员。</w:t>
      </w:r>
    </w:p>
    <w:p w14:paraId="60797C2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w:t>
      </w:r>
      <w:r>
        <w:rPr>
          <w:rFonts w:ascii="Times New Roman" w:hAnsi="Times New Roman" w:eastAsia="Times New Roman" w:cs="Times New Roman"/>
          <w:color w:val="000000"/>
          <w:kern w:val="0"/>
          <w:sz w:val="24"/>
          <w:szCs w:val="24"/>
        </w:rPr>
        <w:t xml:space="preserve"> </w:t>
      </w:r>
    </w:p>
    <w:p w14:paraId="4898ED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除专用合同条款另有约定外，评审员报酬由发包人和承包人各承担一半。</w:t>
      </w:r>
    </w:p>
    <w:p w14:paraId="4564C5A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20.3.2 </w:t>
      </w:r>
      <w:r>
        <w:rPr>
          <w:rFonts w:ascii="Times New Roman" w:hAnsi="Times New Roman" w:eastAsia="仿宋_GB2312;仿宋" w:cs="Times New Roman"/>
          <w:color w:val="000000"/>
          <w:kern w:val="0"/>
          <w:sz w:val="24"/>
          <w:szCs w:val="24"/>
        </w:rPr>
        <w:t>争议评审小组的决定</w:t>
      </w:r>
    </w:p>
    <w:p w14:paraId="4FEA17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天内作出书面决定，并说明理由。合同当事人可以在专用合同条款中对本项事项另行约定。</w:t>
      </w:r>
    </w:p>
    <w:p w14:paraId="483F418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20.3.3 </w:t>
      </w:r>
      <w:r>
        <w:rPr>
          <w:rFonts w:ascii="Times New Roman" w:hAnsi="Times New Roman" w:eastAsia="仿宋_GB2312;仿宋" w:cs="Times New Roman"/>
          <w:color w:val="000000"/>
          <w:kern w:val="0"/>
          <w:sz w:val="24"/>
          <w:szCs w:val="24"/>
        </w:rPr>
        <w:t>争议评审小组决定的效力</w:t>
      </w:r>
    </w:p>
    <w:p w14:paraId="67A8FBB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争议评审小组作出的书面决定经合同当事人签字确认后，对双方具有约束力，双方应遵照执行。</w:t>
      </w:r>
    </w:p>
    <w:p w14:paraId="3A9D018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任何一方当事人不接受争议评审小组决定或不履行争议评审小组决定的，双方可选择采用其他争议解决方式。</w:t>
      </w:r>
    </w:p>
    <w:p w14:paraId="5975096A">
      <w:pPr>
        <w:pStyle w:val="6"/>
        <w:spacing w:before="120" w:after="120" w:line="360" w:lineRule="auto"/>
        <w:ind w:firstLine="480"/>
        <w:rPr>
          <w:rFonts w:ascii="Times New Roman" w:hAnsi="Times New Roman" w:eastAsia="黑体" w:cs="Times New Roman"/>
          <w:b w:val="0"/>
          <w:color w:val="000000"/>
          <w:sz w:val="24"/>
          <w:szCs w:val="24"/>
        </w:rPr>
      </w:pPr>
      <w:bookmarkStart w:id="172" w:name="__RefHeading___Toc351203630"/>
      <w:bookmarkEnd w:id="172"/>
      <w:r>
        <w:rPr>
          <w:rFonts w:eastAsia="黑体" w:cs="Times New Roman"/>
          <w:b w:val="0"/>
          <w:color w:val="000000"/>
          <w:sz w:val="24"/>
          <w:szCs w:val="24"/>
        </w:rPr>
        <w:t>20.4</w:t>
      </w:r>
      <w:r>
        <w:rPr>
          <w:rFonts w:ascii="Times New Roman" w:hAnsi="Times New Roman" w:eastAsia="黑体" w:cs="Times New Roman"/>
          <w:b w:val="0"/>
          <w:color w:val="000000"/>
          <w:sz w:val="24"/>
          <w:szCs w:val="24"/>
        </w:rPr>
        <w:t>仲裁或诉讼</w:t>
      </w:r>
    </w:p>
    <w:p w14:paraId="300BA97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因合同及合同有关事项产生的争议，合同当事人可以在专用合同条款中约定以下一种方式解决争议：</w:t>
      </w:r>
    </w:p>
    <w:p w14:paraId="6C59FC7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）向约定的仲裁委员会申请仲裁；</w:t>
      </w:r>
    </w:p>
    <w:p w14:paraId="36CD848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）向有管辖权的人民法院起诉。</w:t>
      </w:r>
    </w:p>
    <w:p w14:paraId="7E43627E">
      <w:pPr>
        <w:pStyle w:val="6"/>
        <w:spacing w:before="120" w:after="120" w:line="360" w:lineRule="auto"/>
        <w:ind w:firstLine="480"/>
        <w:rPr>
          <w:rFonts w:ascii="Times New Roman" w:hAnsi="Times New Roman" w:eastAsia="黑体" w:cs="Times New Roman"/>
          <w:b w:val="0"/>
          <w:color w:val="000000"/>
          <w:sz w:val="24"/>
          <w:szCs w:val="24"/>
        </w:rPr>
      </w:pPr>
      <w:bookmarkStart w:id="173" w:name="__RefHeading___Toc351203631"/>
      <w:bookmarkEnd w:id="173"/>
      <w:r>
        <w:rPr>
          <w:rFonts w:eastAsia="黑体" w:cs="Times New Roman"/>
          <w:b w:val="0"/>
          <w:color w:val="000000"/>
          <w:sz w:val="24"/>
          <w:szCs w:val="24"/>
        </w:rPr>
        <w:t>20.5</w:t>
      </w:r>
      <w:r>
        <w:rPr>
          <w:rFonts w:ascii="Times New Roman" w:hAnsi="Times New Roman" w:eastAsia="黑体" w:cs="Times New Roman"/>
          <w:b w:val="0"/>
          <w:color w:val="000000"/>
          <w:sz w:val="24"/>
          <w:szCs w:val="24"/>
        </w:rPr>
        <w:t>争议解决条款效力</w:t>
      </w:r>
    </w:p>
    <w:p w14:paraId="4C376FB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合同有关争议解决的条款独立存在，合同的变更、解除、终止、无效或者被撤销均不影响其效力。</w:t>
      </w:r>
      <w:r>
        <w:rPr>
          <w:rFonts w:ascii="Times New Roman" w:hAnsi="Times New Roman" w:eastAsia="Times New Roman" w:cs="Times New Roman"/>
          <w:color w:val="000000"/>
          <w:kern w:val="0"/>
          <w:sz w:val="24"/>
          <w:szCs w:val="24"/>
        </w:rPr>
        <w:t xml:space="preserve"> </w:t>
      </w:r>
      <w:r>
        <w:br w:type="page"/>
      </w:r>
    </w:p>
    <w:p w14:paraId="1BEFAB91">
      <w:pPr>
        <w:pStyle w:val="4"/>
        <w:jc w:val="center"/>
        <w:rPr>
          <w:rFonts w:ascii="华文中宋;宋体" w:hAnsi="华文中宋;宋体" w:eastAsia="华文中宋;宋体" w:cs="华文中宋;宋体"/>
          <w:sz w:val="36"/>
          <w:szCs w:val="36"/>
        </w:rPr>
      </w:pPr>
      <w:bookmarkStart w:id="174" w:name="__RefHeading___Toc351203632"/>
      <w:bookmarkEnd w:id="174"/>
      <w:r>
        <w:rPr>
          <w:rFonts w:ascii="华文中宋;宋体" w:hAnsi="华文中宋;宋体" w:eastAsia="华文中宋;宋体" w:cs="华文中宋;宋体"/>
          <w:sz w:val="36"/>
          <w:szCs w:val="36"/>
        </w:rPr>
        <w:t>第三部分 专用合同条款</w:t>
      </w:r>
    </w:p>
    <w:p w14:paraId="1658294F">
      <w:pPr>
        <w:pStyle w:val="5"/>
        <w:spacing w:before="120" w:after="120" w:line="360" w:lineRule="auto"/>
        <w:rPr>
          <w:rFonts w:ascii="Times New Roman" w:hAnsi="Times New Roman" w:eastAsia="黑体" w:cs="Times New Roman"/>
          <w:b w:val="0"/>
          <w:color w:val="000000"/>
          <w:sz w:val="24"/>
          <w:szCs w:val="24"/>
        </w:rPr>
      </w:pPr>
      <w:bookmarkStart w:id="175" w:name="__RefHeading___Toc351203633"/>
      <w:bookmarkEnd w:id="175"/>
      <w:r>
        <w:rPr>
          <w:rFonts w:ascii="Times New Roman" w:hAnsi="Times New Roman" w:eastAsia="黑体" w:cs="Times New Roman"/>
          <w:b w:val="0"/>
          <w:color w:val="000000"/>
          <w:sz w:val="24"/>
          <w:szCs w:val="24"/>
        </w:rPr>
        <w:t xml:space="preserve">1. </w:t>
      </w:r>
      <w:r>
        <w:rPr>
          <w:rFonts w:ascii="Times New Roman" w:hAnsi="Times New Roman" w:cs="Times New Roman"/>
          <w:b w:val="0"/>
          <w:color w:val="000000"/>
          <w:sz w:val="24"/>
          <w:szCs w:val="24"/>
        </w:rPr>
        <w:t>一般约定</w:t>
      </w:r>
    </w:p>
    <w:p w14:paraId="7AB57C5A">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1.1 </w:t>
      </w:r>
      <w:r>
        <w:rPr>
          <w:rFonts w:ascii="Times New Roman" w:hAnsi="Times New Roman" w:eastAsia="黑体" w:cs="Times New Roman"/>
          <w:color w:val="000000"/>
          <w:sz w:val="24"/>
          <w:szCs w:val="24"/>
        </w:rPr>
        <w:t>词语定义</w:t>
      </w:r>
    </w:p>
    <w:p w14:paraId="56D28776">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1.1.1</w:t>
      </w:r>
      <w:r>
        <w:rPr>
          <w:rFonts w:ascii="Times New Roman" w:hAnsi="Times New Roman" w:eastAsia="仿宋_GB2312;仿宋" w:cs="Times New Roman"/>
          <w:color w:val="000000"/>
          <w:kern w:val="0"/>
          <w:sz w:val="24"/>
          <w:szCs w:val="24"/>
        </w:rPr>
        <w:t>合同</w:t>
      </w:r>
    </w:p>
    <w:p w14:paraId="6D857DE1">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1.1.1.10</w:t>
      </w:r>
      <w:r>
        <w:rPr>
          <w:rFonts w:ascii="Times New Roman" w:hAnsi="Times New Roman" w:eastAsia="仿宋_GB2312;仿宋" w:cs="Times New Roman"/>
          <w:color w:val="000000"/>
          <w:kern w:val="0"/>
          <w:sz w:val="24"/>
          <w:szCs w:val="24"/>
        </w:rPr>
        <w:t>其他合同文件包括：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0FC20C4">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1.1.2 </w:t>
      </w:r>
      <w:r>
        <w:rPr>
          <w:rFonts w:ascii="Times New Roman" w:hAnsi="Times New Roman" w:eastAsia="仿宋_GB2312;仿宋" w:cs="Times New Roman"/>
          <w:color w:val="000000"/>
          <w:sz w:val="24"/>
          <w:szCs w:val="24"/>
        </w:rPr>
        <w:t>合同当事人及其他相关方</w:t>
      </w:r>
    </w:p>
    <w:p w14:paraId="4403F997">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1.1.2.4</w:t>
      </w:r>
      <w:r>
        <w:rPr>
          <w:rFonts w:ascii="Times New Roman" w:hAnsi="Times New Roman" w:eastAsia="仿宋_GB2312;仿宋" w:cs="Times New Roman"/>
          <w:color w:val="000000"/>
          <w:sz w:val="24"/>
          <w:szCs w:val="24"/>
        </w:rPr>
        <w:t>监理人：</w:t>
      </w:r>
    </w:p>
    <w:p w14:paraId="7C7F3D55">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名</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称：</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4F91EF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资质类别和等级：</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DE31F5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B523A28">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205CD735">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8C6EDEE">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1.1.2.5 </w:t>
      </w:r>
      <w:r>
        <w:rPr>
          <w:rFonts w:ascii="Times New Roman" w:hAnsi="Times New Roman" w:eastAsia="仿宋_GB2312;仿宋" w:cs="Times New Roman"/>
          <w:color w:val="000000"/>
          <w:sz w:val="24"/>
          <w:szCs w:val="24"/>
        </w:rPr>
        <w:t>设计人：</w:t>
      </w:r>
    </w:p>
    <w:p w14:paraId="02579BE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名</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称：</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E52780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资质类别和等级：</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8E5A3A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F49F4C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82097C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487FCE6">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1.1.3 </w:t>
      </w:r>
      <w:r>
        <w:rPr>
          <w:rFonts w:ascii="Times New Roman" w:hAnsi="Times New Roman" w:eastAsia="仿宋_GB2312;仿宋" w:cs="Times New Roman"/>
          <w:color w:val="000000"/>
          <w:sz w:val="24"/>
          <w:szCs w:val="24"/>
        </w:rPr>
        <w:t>工程和设备</w:t>
      </w:r>
    </w:p>
    <w:p w14:paraId="675E4B6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1.1.3.7 </w:t>
      </w:r>
      <w:r>
        <w:rPr>
          <w:rFonts w:ascii="Times New Roman" w:hAnsi="Times New Roman" w:eastAsia="仿宋_GB2312;仿宋" w:cs="Times New Roman"/>
          <w:color w:val="000000"/>
          <w:sz w:val="24"/>
          <w:szCs w:val="24"/>
        </w:rPr>
        <w:t>作为施工现场组成部分的其他场所包括：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23743CC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1.1.3.9 </w:t>
      </w:r>
      <w:r>
        <w:rPr>
          <w:rFonts w:ascii="Times New Roman" w:hAnsi="Times New Roman" w:eastAsia="仿宋_GB2312;仿宋" w:cs="Times New Roman"/>
          <w:color w:val="000000"/>
          <w:kern w:val="0"/>
          <w:sz w:val="24"/>
          <w:szCs w:val="24"/>
        </w:rPr>
        <w:t>永久占地包括：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4B3989E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1.1.3.10 </w:t>
      </w:r>
      <w:r>
        <w:rPr>
          <w:rFonts w:ascii="Times New Roman" w:hAnsi="Times New Roman" w:eastAsia="仿宋_GB2312;仿宋" w:cs="Times New Roman"/>
          <w:color w:val="000000"/>
          <w:kern w:val="0"/>
          <w:sz w:val="24"/>
          <w:szCs w:val="24"/>
        </w:rPr>
        <w:t>临时占地包括：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402A22F0">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1.3</w:t>
      </w:r>
      <w:r>
        <w:rPr>
          <w:rFonts w:ascii="Times New Roman" w:hAnsi="Times New Roman" w:eastAsia="黑体" w:cs="Times New Roman"/>
          <w:color w:val="000000"/>
          <w:sz w:val="24"/>
          <w:szCs w:val="24"/>
        </w:rPr>
        <w:t>法律</w:t>
      </w:r>
      <w:r>
        <w:rPr>
          <w:rFonts w:ascii="Times New Roman" w:hAnsi="Times New Roman" w:eastAsia="Times New Roman" w:cs="Times New Roman"/>
          <w:color w:val="000000"/>
          <w:sz w:val="24"/>
          <w:szCs w:val="24"/>
        </w:rPr>
        <w:t xml:space="preserve"> </w:t>
      </w:r>
    </w:p>
    <w:p w14:paraId="0A5C2D37">
      <w:pPr>
        <w:autoSpaceDE w:val="0"/>
        <w:spacing w:line="360" w:lineRule="auto"/>
        <w:ind w:left="596"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适用于合同的其他规范性文件：</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8FFE0CB">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1.4 </w:t>
      </w:r>
      <w:r>
        <w:rPr>
          <w:rFonts w:ascii="Times New Roman" w:hAnsi="Times New Roman" w:eastAsia="黑体" w:cs="Times New Roman"/>
          <w:color w:val="000000"/>
          <w:sz w:val="24"/>
          <w:szCs w:val="24"/>
        </w:rPr>
        <w:t>标准和规范</w:t>
      </w:r>
    </w:p>
    <w:p w14:paraId="2FCFBAC0">
      <w:pPr>
        <w:spacing w:line="360" w:lineRule="auto"/>
        <w:ind w:left="596" w:firstLine="0"/>
        <w:rPr>
          <w:rFonts w:ascii="Times New Roman" w:hAnsi="Times New Roman" w:eastAsia="仿宋_GB2312;仿宋" w:cs="Times New Roman"/>
          <w:color w:val="000000"/>
          <w:sz w:val="24"/>
          <w:szCs w:val="24"/>
        </w:rPr>
      </w:pPr>
      <w:r>
        <w:rPr>
          <w:rFonts w:eastAsia="仿宋_GB2312;仿宋" w:cs="Times New Roman"/>
          <w:color w:val="000000"/>
          <w:sz w:val="24"/>
          <w:szCs w:val="24"/>
        </w:rPr>
        <w:t>1.4.1</w:t>
      </w:r>
      <w:r>
        <w:rPr>
          <w:rFonts w:ascii="Times New Roman" w:hAnsi="Times New Roman" w:eastAsia="仿宋_GB2312;仿宋" w:cs="Times New Roman"/>
          <w:color w:val="000000"/>
          <w:sz w:val="24"/>
          <w:szCs w:val="24"/>
        </w:rPr>
        <w:t>适用于工程的标准规范包括：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F9A59E4">
      <w:pPr>
        <w:numPr>
          <w:ilvl w:val="0"/>
          <w:numId w:val="0"/>
        </w:numPr>
        <w:spacing w:line="360" w:lineRule="auto"/>
        <w:ind w:firstLine="480"/>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1.4.2 </w:t>
      </w:r>
      <w:r>
        <w:rPr>
          <w:rFonts w:ascii="Times New Roman" w:hAnsi="Times New Roman" w:eastAsia="仿宋_GB2312;仿宋" w:cs="Times New Roman"/>
          <w:color w:val="000000"/>
          <w:kern w:val="0"/>
          <w:sz w:val="24"/>
          <w:szCs w:val="24"/>
        </w:rPr>
        <w:t>发包人提供国外标准、规范的名称：</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664A19D">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发包人提供国外标准、规范的份数：</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D10080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发包人提供国外标准、规范的名称：</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EEA1CD0">
      <w:pPr>
        <w:spacing w:line="360" w:lineRule="auto"/>
        <w:ind w:left="596" w:firstLine="0"/>
        <w:rPr>
          <w:rFonts w:ascii="Times New Roman" w:hAnsi="Times New Roman" w:eastAsia="仿宋_GB2312;仿宋" w:cs="Times New Roman"/>
          <w:color w:val="000000"/>
          <w:sz w:val="24"/>
          <w:szCs w:val="24"/>
        </w:rPr>
      </w:pPr>
      <w:r>
        <w:rPr>
          <w:rFonts w:eastAsia="仿宋_GB2312;仿宋" w:cs="Times New Roman"/>
          <w:color w:val="000000"/>
          <w:sz w:val="24"/>
          <w:szCs w:val="24"/>
        </w:rPr>
        <w:t>1.4.3</w:t>
      </w:r>
      <w:r>
        <w:rPr>
          <w:rFonts w:ascii="Times New Roman" w:hAnsi="Times New Roman" w:eastAsia="仿宋_GB2312;仿宋" w:cs="Times New Roman"/>
          <w:color w:val="000000"/>
          <w:sz w:val="24"/>
          <w:szCs w:val="24"/>
        </w:rPr>
        <w:t>发包人对工程的技术标准和功能要求的特殊要求：</w:t>
      </w:r>
    </w:p>
    <w:p w14:paraId="0A3F0234">
      <w:pPr>
        <w:spacing w:line="360" w:lineRule="auto"/>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eastAsia="仿宋_GB2312;仿宋" w:cs="Times New Roman"/>
          <w:color w:val="000000"/>
          <w:sz w:val="24"/>
          <w:szCs w:val="24"/>
          <w:u w:val="single"/>
        </w:rPr>
        <w:t></w:t>
      </w:r>
      <w:r>
        <w:rPr>
          <w:rFonts w:eastAsia="Times New Roman" w:cs="Times New Roman"/>
          <w:color w:val="000000"/>
          <w:sz w:val="24"/>
          <w:szCs w:val="24"/>
          <w:u w:val="single"/>
        </w:rPr>
        <w:t xml:space="preserve"> </w:t>
      </w:r>
      <w:r>
        <w:rPr>
          <w:rFonts w:eastAsia="仿宋_GB2312;仿宋" w:cs="Times New Roman"/>
          <w:color w:val="000000"/>
          <w:sz w:val="24"/>
          <w:szCs w:val="24"/>
          <w:u w:val="single"/>
        </w:rPr>
        <w:t></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B29D38F">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1.5 </w:t>
      </w:r>
      <w:r>
        <w:rPr>
          <w:rFonts w:ascii="Times New Roman" w:hAnsi="Times New Roman" w:eastAsia="黑体" w:cs="Times New Roman"/>
          <w:color w:val="000000"/>
          <w:sz w:val="24"/>
          <w:szCs w:val="24"/>
        </w:rPr>
        <w:t>合同文件的优先顺序</w:t>
      </w:r>
    </w:p>
    <w:p w14:paraId="39A4E3A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合同文件组成及优先顺序为：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D9EFB6C">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1.6 </w:t>
      </w:r>
      <w:r>
        <w:rPr>
          <w:rFonts w:ascii="Times New Roman" w:hAnsi="Times New Roman" w:eastAsia="黑体" w:cs="Times New Roman"/>
          <w:color w:val="000000"/>
          <w:sz w:val="24"/>
          <w:szCs w:val="24"/>
        </w:rPr>
        <w:t>图纸和承包人文件</w:t>
      </w:r>
      <w:r>
        <w:rPr>
          <w:rFonts w:eastAsia="黑体" w:cs="Times New Roman"/>
          <w:color w:val="000000"/>
          <w:sz w:val="24"/>
          <w:szCs w:val="24"/>
        </w:rPr>
        <w:tab/>
      </w:r>
    </w:p>
    <w:p w14:paraId="1012A56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1.6.1 </w:t>
      </w:r>
      <w:r>
        <w:rPr>
          <w:rFonts w:ascii="Times New Roman" w:hAnsi="Times New Roman" w:eastAsia="仿宋_GB2312;仿宋" w:cs="Times New Roman"/>
          <w:color w:val="000000"/>
          <w:sz w:val="24"/>
          <w:szCs w:val="24"/>
        </w:rPr>
        <w:t>图纸的提供</w:t>
      </w:r>
    </w:p>
    <w:p w14:paraId="1EF92640">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发包人向承包人提供图纸的期限：</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0D7846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发包人向承包人提供图纸的数量：</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88B250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发包人向承包人提供图纸的内容：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B85271B">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1.6.4 </w:t>
      </w:r>
      <w:r>
        <w:rPr>
          <w:rFonts w:ascii="Times New Roman" w:hAnsi="Times New Roman" w:eastAsia="仿宋_GB2312;仿宋" w:cs="Times New Roman"/>
          <w:color w:val="000000"/>
          <w:sz w:val="24"/>
          <w:szCs w:val="24"/>
        </w:rPr>
        <w:t>承包人文件</w:t>
      </w:r>
    </w:p>
    <w:p w14:paraId="5513528D">
      <w:pPr>
        <w:spacing w:line="360" w:lineRule="auto"/>
        <w:ind w:left="596"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需要由承包人提供的文件，包括：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ECAC4A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承包人提供的文件的期限为：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4860AB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承包人提供的文件的数量为：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F21CDB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承包人提供的文件的形式为：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23659BD">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发包人审批承包人文件的期限：</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6624BF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1.6.5 </w:t>
      </w:r>
      <w:r>
        <w:rPr>
          <w:rFonts w:ascii="Times New Roman" w:hAnsi="Times New Roman" w:eastAsia="仿宋_GB2312;仿宋" w:cs="Times New Roman"/>
          <w:color w:val="000000"/>
          <w:sz w:val="24"/>
          <w:szCs w:val="24"/>
        </w:rPr>
        <w:t>现场图纸准备</w:t>
      </w:r>
    </w:p>
    <w:p w14:paraId="7E18D3E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关于现场图纸准备的约定：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8FD950F">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1.7 </w:t>
      </w:r>
      <w:r>
        <w:rPr>
          <w:rFonts w:ascii="Times New Roman" w:hAnsi="Times New Roman" w:eastAsia="黑体" w:cs="Times New Roman"/>
          <w:color w:val="000000"/>
          <w:sz w:val="24"/>
          <w:szCs w:val="24"/>
        </w:rPr>
        <w:t>联络</w:t>
      </w:r>
    </w:p>
    <w:p w14:paraId="51B4ECDF">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1.7.1</w:t>
      </w:r>
      <w:r>
        <w:rPr>
          <w:rFonts w:ascii="Times New Roman" w:hAnsi="Times New Roman" w:eastAsia="仿宋_GB2312;仿宋" w:cs="Times New Roman"/>
          <w:color w:val="000000"/>
          <w:kern w:val="0"/>
          <w:sz w:val="24"/>
          <w:szCs w:val="24"/>
        </w:rPr>
        <w:t>发包人和承包人应当在</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天内将与合同有关的通知、批准、证明、证书、指示、指令、要求、请求、同意、意见、确定和决定等书面函件送达对方当事人。</w:t>
      </w:r>
    </w:p>
    <w:p w14:paraId="7D71F297">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1.7.2 </w:t>
      </w:r>
      <w:r>
        <w:rPr>
          <w:rFonts w:ascii="Times New Roman" w:hAnsi="Times New Roman" w:eastAsia="仿宋_GB2312;仿宋" w:cs="Times New Roman"/>
          <w:color w:val="000000"/>
          <w:kern w:val="0"/>
          <w:sz w:val="24"/>
          <w:szCs w:val="24"/>
        </w:rPr>
        <w:t>发包人接收文件的地点：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04D48CA1">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发包人指定的接收人为：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29606436">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承包人接收文件的地点：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44F9C46B">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承包人指定的接收人为：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59E8CEE9">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监理人接收文件的地点：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36135EBE">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监理人指定的接收人为：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7A08DC9B">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1.10 </w:t>
      </w:r>
      <w:r>
        <w:rPr>
          <w:rFonts w:ascii="Times New Roman" w:hAnsi="Times New Roman" w:eastAsia="黑体" w:cs="Times New Roman"/>
          <w:color w:val="000000"/>
          <w:sz w:val="24"/>
          <w:szCs w:val="24"/>
        </w:rPr>
        <w:t>交通运输</w:t>
      </w:r>
    </w:p>
    <w:p w14:paraId="06EA29B8">
      <w:pPr>
        <w:numPr>
          <w:ilvl w:val="0"/>
          <w:numId w:val="0"/>
        </w:numPr>
        <w:spacing w:line="360" w:lineRule="auto"/>
        <w:ind w:firstLine="480"/>
        <w:outlineLvl w:val="0"/>
        <w:rPr>
          <w:rFonts w:ascii="Times New Roman" w:hAnsi="Times New Roman" w:eastAsia="仿宋_GB2312;仿宋" w:cs="Times New Roman"/>
          <w:sz w:val="24"/>
          <w:szCs w:val="24"/>
        </w:rPr>
      </w:pPr>
      <w:r>
        <w:rPr>
          <w:rFonts w:eastAsia="仿宋_GB2312;仿宋" w:cs="Times New Roman"/>
          <w:sz w:val="24"/>
          <w:szCs w:val="24"/>
        </w:rPr>
        <w:t xml:space="preserve">1.10.1 </w:t>
      </w:r>
      <w:r>
        <w:rPr>
          <w:rFonts w:ascii="Times New Roman" w:hAnsi="Times New Roman" w:eastAsia="仿宋_GB2312;仿宋" w:cs="Times New Roman"/>
          <w:sz w:val="24"/>
          <w:szCs w:val="24"/>
        </w:rPr>
        <w:t>出入现场的权利</w:t>
      </w:r>
    </w:p>
    <w:p w14:paraId="70267A8D">
      <w:pPr>
        <w:spacing w:line="360" w:lineRule="auto"/>
        <w:ind w:left="596" w:firstLine="0"/>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关于出入现场的权利的约定：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sz w:val="24"/>
          <w:szCs w:val="24"/>
        </w:rPr>
        <w:t>。</w:t>
      </w:r>
    </w:p>
    <w:p w14:paraId="2CC87A0C">
      <w:pPr>
        <w:numPr>
          <w:ilvl w:val="0"/>
          <w:numId w:val="0"/>
        </w:numPr>
        <w:spacing w:line="360" w:lineRule="auto"/>
        <w:ind w:firstLine="480"/>
        <w:jc w:val="left"/>
        <w:outlineLvl w:val="0"/>
        <w:rPr>
          <w:rFonts w:ascii="Times New Roman" w:hAnsi="Times New Roman" w:eastAsia="仿宋_GB2312;仿宋" w:cs="Times New Roman"/>
          <w:sz w:val="24"/>
          <w:szCs w:val="24"/>
        </w:rPr>
      </w:pPr>
      <w:r>
        <w:rPr>
          <w:rFonts w:eastAsia="仿宋_GB2312;仿宋" w:cs="Times New Roman"/>
          <w:sz w:val="24"/>
          <w:szCs w:val="24"/>
        </w:rPr>
        <w:t xml:space="preserve">1.10.3 </w:t>
      </w:r>
      <w:r>
        <w:rPr>
          <w:rFonts w:ascii="Times New Roman" w:hAnsi="Times New Roman" w:eastAsia="仿宋_GB2312;仿宋" w:cs="Times New Roman"/>
          <w:sz w:val="24"/>
          <w:szCs w:val="24"/>
        </w:rPr>
        <w:t>场内交通</w:t>
      </w:r>
    </w:p>
    <w:p w14:paraId="6CF6AC2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关于场外交通和场内交通的边界的约定：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sz w:val="24"/>
          <w:szCs w:val="24"/>
        </w:rPr>
        <w:t>。</w:t>
      </w:r>
    </w:p>
    <w:p w14:paraId="49A6A25F">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关于发包人向承包人免费提供满足工程施工需要的场内道路和交通设施的约定：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sz w:val="24"/>
          <w:szCs w:val="24"/>
        </w:rPr>
        <w:t>。</w:t>
      </w:r>
      <w:r>
        <w:rPr>
          <w:rFonts w:ascii="Times New Roman" w:hAnsi="Times New Roman" w:eastAsia="Times New Roman" w:cs="Times New Roman"/>
          <w:sz w:val="24"/>
          <w:szCs w:val="24"/>
        </w:rPr>
        <w:t xml:space="preserve">  </w:t>
      </w:r>
    </w:p>
    <w:p w14:paraId="406DD852">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1.10.4</w:t>
      </w:r>
      <w:r>
        <w:rPr>
          <w:rFonts w:ascii="Times New Roman" w:hAnsi="Times New Roman" w:eastAsia="仿宋_GB2312;仿宋" w:cs="Times New Roman"/>
          <w:sz w:val="24"/>
          <w:szCs w:val="24"/>
        </w:rPr>
        <w:t>超大件和超重件的运输</w:t>
      </w:r>
    </w:p>
    <w:p w14:paraId="1768DC48">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运输超大件或超重件所需的道路和桥梁临时加固改造费用和其他有关费用由</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承担。</w:t>
      </w:r>
    </w:p>
    <w:p w14:paraId="41589A32">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1.11 </w:t>
      </w:r>
      <w:r>
        <w:rPr>
          <w:rFonts w:ascii="Times New Roman" w:hAnsi="Times New Roman" w:eastAsia="黑体" w:cs="Times New Roman"/>
          <w:color w:val="000000"/>
          <w:sz w:val="24"/>
          <w:szCs w:val="24"/>
        </w:rPr>
        <w:t>知识产权</w:t>
      </w:r>
    </w:p>
    <w:p w14:paraId="6B514D8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1.11.1</w:t>
      </w:r>
      <w:r>
        <w:rPr>
          <w:rFonts w:ascii="Times New Roman" w:hAnsi="Times New Roman" w:eastAsia="仿宋_GB2312;仿宋" w:cs="Times New Roman"/>
          <w:color w:val="000000"/>
          <w:sz w:val="24"/>
          <w:szCs w:val="24"/>
        </w:rPr>
        <w:t>关于发包人提供给承包人的图纸、发包人为实施工程自行编制或委托编制的技术规范以及反映发包人关于合同要求或其他类似性质的文件的著作权的归属：</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6D9BBDD">
      <w:pPr>
        <w:spacing w:line="360" w:lineRule="auto"/>
        <w:ind w:left="596" w:firstLine="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关于发包人提供的上述文件的使用限制的要求：</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7C825B3">
      <w:pPr>
        <w:numPr>
          <w:ilvl w:val="0"/>
          <w:numId w:val="0"/>
        </w:numPr>
        <w:spacing w:line="360" w:lineRule="auto"/>
        <w:ind w:left="596" w:firstLine="0"/>
        <w:outlineLvl w:val="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1.11.2 </w:t>
      </w:r>
      <w:r>
        <w:rPr>
          <w:rFonts w:ascii="Times New Roman" w:hAnsi="Times New Roman" w:eastAsia="仿宋_GB2312;仿宋" w:cs="Times New Roman"/>
          <w:color w:val="000000"/>
          <w:sz w:val="24"/>
          <w:szCs w:val="24"/>
        </w:rPr>
        <w:t>关于承包人为实施工程所编制文件的著作权的归属：</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CA4110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关于承包人提供的上述文件的使用限制的要求：</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73B9DB9">
      <w:pPr>
        <w:numPr>
          <w:ilvl w:val="0"/>
          <w:numId w:val="0"/>
        </w:numPr>
        <w:spacing w:line="360" w:lineRule="auto"/>
        <w:ind w:firstLine="480"/>
        <w:outlineLvl w:val="0"/>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 xml:space="preserve">1.11.4 </w:t>
      </w:r>
      <w:r>
        <w:rPr>
          <w:rFonts w:ascii="Times New Roman" w:hAnsi="Times New Roman" w:eastAsia="仿宋_GB2312;仿宋" w:cs="Times New Roman"/>
          <w:color w:val="000000"/>
          <w:sz w:val="24"/>
          <w:szCs w:val="24"/>
        </w:rPr>
        <w:t>承包人在施工过程中所采用的专利、专有技术、技术秘密的使用费的承担方式：</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w:t>
      </w:r>
    </w:p>
    <w:p w14:paraId="016BC67F">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1.13</w:t>
      </w:r>
      <w:r>
        <w:rPr>
          <w:rFonts w:ascii="Times New Roman" w:hAnsi="Times New Roman" w:eastAsia="黑体" w:cs="Times New Roman"/>
          <w:color w:val="000000"/>
          <w:sz w:val="24"/>
          <w:szCs w:val="24"/>
        </w:rPr>
        <w:t>工程量清单错误的修正</w:t>
      </w:r>
    </w:p>
    <w:p w14:paraId="41BCEAE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出现工程量清单错误时，是否调整合同价格：</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w:t>
      </w:r>
    </w:p>
    <w:p w14:paraId="6247F20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允许调整合同价格的工程量偏差范围：</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w:t>
      </w:r>
    </w:p>
    <w:p w14:paraId="7D88085C">
      <w:pPr>
        <w:pStyle w:val="5"/>
        <w:spacing w:before="120" w:after="120" w:line="360" w:lineRule="auto"/>
        <w:rPr>
          <w:rFonts w:ascii="Times New Roman" w:hAnsi="Times New Roman" w:eastAsia="黑体" w:cs="Times New Roman"/>
          <w:b w:val="0"/>
          <w:color w:val="000000"/>
          <w:sz w:val="24"/>
          <w:szCs w:val="24"/>
        </w:rPr>
      </w:pPr>
      <w:bookmarkStart w:id="176" w:name="__RefHeading___Toc351203634"/>
      <w:bookmarkEnd w:id="176"/>
      <w:r>
        <w:rPr>
          <w:rFonts w:ascii="Times New Roman" w:hAnsi="Times New Roman" w:eastAsia="黑体" w:cs="Times New Roman"/>
          <w:b w:val="0"/>
          <w:color w:val="000000"/>
          <w:sz w:val="24"/>
          <w:szCs w:val="24"/>
        </w:rPr>
        <w:t xml:space="preserve">2. </w:t>
      </w:r>
      <w:r>
        <w:rPr>
          <w:rFonts w:ascii="Times New Roman" w:hAnsi="Times New Roman" w:cs="Times New Roman"/>
          <w:b w:val="0"/>
          <w:color w:val="000000"/>
          <w:sz w:val="24"/>
          <w:szCs w:val="24"/>
        </w:rPr>
        <w:t>发包人</w:t>
      </w:r>
    </w:p>
    <w:p w14:paraId="28075FC8">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2.2 </w:t>
      </w:r>
      <w:r>
        <w:rPr>
          <w:rFonts w:ascii="Times New Roman" w:hAnsi="Times New Roman" w:eastAsia="黑体" w:cs="Times New Roman"/>
          <w:color w:val="000000"/>
          <w:sz w:val="24"/>
          <w:szCs w:val="24"/>
        </w:rPr>
        <w:t>发包人代表</w:t>
      </w:r>
    </w:p>
    <w:p w14:paraId="5AA14E6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发包人代表：</w:t>
      </w:r>
    </w:p>
    <w:p w14:paraId="591C452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姓</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名：</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137C910">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身份证号：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7A1E8A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职</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务：</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2AB24F8">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F75556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189425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6F5927A">
      <w:pPr>
        <w:spacing w:line="360" w:lineRule="auto"/>
        <w:ind w:firstLine="480"/>
        <w:rPr>
          <w:rFonts w:ascii="Times New Roman" w:hAnsi="Times New Roman" w:eastAsia="仿宋_GB2312;仿宋" w:cs="Times New Roman"/>
          <w:b/>
          <w:color w:val="000000"/>
          <w:sz w:val="24"/>
          <w:szCs w:val="24"/>
        </w:rPr>
      </w:pPr>
      <w:r>
        <w:rPr>
          <w:rFonts w:ascii="Times New Roman" w:hAnsi="Times New Roman" w:eastAsia="仿宋_GB2312;仿宋" w:cs="Times New Roman"/>
          <w:color w:val="000000"/>
          <w:sz w:val="24"/>
          <w:szCs w:val="24"/>
        </w:rPr>
        <w:t>发包人对发包人代表的授权范围如下：</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9871C59">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2.4 </w:t>
      </w:r>
      <w:r>
        <w:rPr>
          <w:rFonts w:ascii="Times New Roman" w:hAnsi="Times New Roman" w:eastAsia="黑体" w:cs="Times New Roman"/>
          <w:color w:val="000000"/>
          <w:sz w:val="24"/>
          <w:szCs w:val="24"/>
        </w:rPr>
        <w:t>施工现场、施工条件和基础资料的提供</w:t>
      </w:r>
    </w:p>
    <w:p w14:paraId="359AB76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2.4.1 </w:t>
      </w:r>
      <w:r>
        <w:rPr>
          <w:rFonts w:ascii="Times New Roman" w:hAnsi="Times New Roman" w:eastAsia="仿宋_GB2312;仿宋" w:cs="Times New Roman"/>
          <w:color w:val="000000"/>
          <w:sz w:val="24"/>
          <w:szCs w:val="24"/>
        </w:rPr>
        <w:t>提供施工现场</w:t>
      </w:r>
    </w:p>
    <w:p w14:paraId="018E8EDD">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关于发包人移交施工现场的期限要求：</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1E76676">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2.4.2 </w:t>
      </w:r>
      <w:r>
        <w:rPr>
          <w:rFonts w:ascii="Times New Roman" w:hAnsi="Times New Roman" w:eastAsia="仿宋_GB2312;仿宋" w:cs="Times New Roman"/>
          <w:color w:val="000000"/>
          <w:sz w:val="24"/>
          <w:szCs w:val="24"/>
        </w:rPr>
        <w:t>提供施工条件</w:t>
      </w:r>
    </w:p>
    <w:p w14:paraId="0356FCF4">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关于发包人应负责提供施工所需要的条件，包括：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85C36C9">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2.5 </w:t>
      </w:r>
      <w:r>
        <w:rPr>
          <w:rFonts w:ascii="Times New Roman" w:hAnsi="Times New Roman" w:eastAsia="黑体" w:cs="Times New Roman"/>
          <w:color w:val="000000"/>
          <w:sz w:val="24"/>
          <w:szCs w:val="24"/>
        </w:rPr>
        <w:t>资金来源证明及支付担保</w:t>
      </w:r>
    </w:p>
    <w:p w14:paraId="2F3D2A7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发包人提供资金来源证明的期限要求：</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35ABD4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发包人是否提供支付担保：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8C3F4EA">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发包人提供支付担保的形式：</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60462E3">
      <w:pPr>
        <w:pStyle w:val="5"/>
        <w:spacing w:before="120" w:after="120" w:line="360" w:lineRule="auto"/>
        <w:rPr>
          <w:rFonts w:ascii="Times New Roman" w:hAnsi="Times New Roman" w:eastAsia="黑体" w:cs="Times New Roman"/>
          <w:b w:val="0"/>
          <w:color w:val="000000"/>
          <w:sz w:val="24"/>
          <w:szCs w:val="24"/>
        </w:rPr>
      </w:pPr>
      <w:bookmarkStart w:id="177" w:name="__RefHeading___Toc351203635"/>
      <w:bookmarkEnd w:id="177"/>
      <w:r>
        <w:rPr>
          <w:rFonts w:ascii="Times New Roman" w:hAnsi="Times New Roman" w:eastAsia="黑体" w:cs="Times New Roman"/>
          <w:b w:val="0"/>
          <w:color w:val="000000"/>
          <w:sz w:val="24"/>
          <w:szCs w:val="24"/>
        </w:rPr>
        <w:t xml:space="preserve">3. </w:t>
      </w:r>
      <w:r>
        <w:rPr>
          <w:rFonts w:ascii="Times New Roman" w:hAnsi="Times New Roman" w:cs="Times New Roman"/>
          <w:b w:val="0"/>
          <w:color w:val="000000"/>
          <w:sz w:val="24"/>
          <w:szCs w:val="24"/>
        </w:rPr>
        <w:t>承包人</w:t>
      </w:r>
    </w:p>
    <w:p w14:paraId="440B7CCE">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3.1 </w:t>
      </w:r>
      <w:r>
        <w:rPr>
          <w:rFonts w:ascii="Times New Roman" w:hAnsi="Times New Roman" w:eastAsia="黑体" w:cs="Times New Roman"/>
          <w:color w:val="000000"/>
          <w:sz w:val="24"/>
          <w:szCs w:val="24"/>
        </w:rPr>
        <w:t>承包人的一般义务</w:t>
      </w:r>
    </w:p>
    <w:p w14:paraId="51E85C4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9</w:t>
      </w:r>
      <w:r>
        <w:rPr>
          <w:rFonts w:ascii="Times New Roman" w:hAnsi="Times New Roman" w:eastAsia="仿宋_GB2312;仿宋" w:cs="Times New Roman"/>
          <w:color w:val="000000"/>
          <w:kern w:val="0"/>
          <w:sz w:val="24"/>
          <w:szCs w:val="24"/>
        </w:rPr>
        <w:t>）</w:t>
      </w:r>
      <w:r>
        <w:rPr>
          <w:rFonts w:ascii="Times New Roman" w:hAnsi="Times New Roman" w:eastAsia="仿宋_GB2312;仿宋" w:cs="Times New Roman"/>
          <w:color w:val="000000"/>
          <w:sz w:val="24"/>
          <w:szCs w:val="24"/>
        </w:rPr>
        <w:t>承包人提交的竣工资料的内容：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95DE3C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承包人需要提交的竣工资料套数：</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20FDB64">
      <w:pPr>
        <w:spacing w:line="360" w:lineRule="auto"/>
        <w:ind w:left="638"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承包人提交的竣工资料的费用承担：</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52B3591">
      <w:pPr>
        <w:spacing w:line="360" w:lineRule="auto"/>
        <w:ind w:left="638"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承包人提交的竣工资料移交时间：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28E93E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承包人提交的竣工资料形式要求：</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32F00A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）承包人应履行的其他义务：</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u w:val="single"/>
          <w:lang w:val="en-US" w:eastAsia="zh-CN"/>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F42885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3.2 </w:t>
      </w:r>
      <w:r>
        <w:rPr>
          <w:rFonts w:ascii="Times New Roman" w:hAnsi="Times New Roman" w:eastAsia="黑体" w:cs="Times New Roman"/>
          <w:color w:val="000000"/>
          <w:sz w:val="24"/>
          <w:szCs w:val="24"/>
        </w:rPr>
        <w:t>项目经理</w:t>
      </w:r>
    </w:p>
    <w:p w14:paraId="3D02AEA0">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3.2.1 </w:t>
      </w:r>
      <w:r>
        <w:rPr>
          <w:rFonts w:ascii="Times New Roman" w:hAnsi="Times New Roman" w:eastAsia="仿宋_GB2312;仿宋" w:cs="Times New Roman"/>
          <w:color w:val="000000"/>
          <w:sz w:val="24"/>
          <w:szCs w:val="24"/>
        </w:rPr>
        <w:t>项目经理：</w:t>
      </w:r>
    </w:p>
    <w:p w14:paraId="7EAF730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姓</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名：</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3F68B3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身份证号：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144D95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建造师执业资格等级：</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60948B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建造师注册证书号：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81C0C7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建造师执业印章号：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7740F8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安全生产考核合格证书号：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42A719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E34810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2071CE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98A795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承包人对项目经理的授权范围如下：</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794AF9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关于项目经理每月在施工现场的时间要求：</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60D590B">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承包人未提交劳动合同，以及没有为项目经理缴纳社会保险证明的违约责任：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83E5439">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项目经理未经批准，擅自离开施工现场的违约责任：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EB3B23F">
      <w:pPr>
        <w:spacing w:line="360" w:lineRule="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3.2.3 </w:t>
      </w:r>
      <w:r>
        <w:rPr>
          <w:rFonts w:ascii="Times New Roman" w:hAnsi="Times New Roman" w:eastAsia="仿宋_GB2312;仿宋" w:cs="Times New Roman"/>
          <w:color w:val="000000"/>
          <w:sz w:val="24"/>
          <w:szCs w:val="24"/>
        </w:rPr>
        <w:t>承包人擅自更换项目经理的违约责任：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28A7CD2B">
      <w:pPr>
        <w:numPr>
          <w:ilvl w:val="0"/>
          <w:numId w:val="0"/>
        </w:numPr>
        <w:spacing w:line="360" w:lineRule="auto"/>
        <w:outlineLvl w:val="0"/>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仿宋_GB2312;仿宋" w:cs="Times New Roman"/>
          <w:color w:val="000000"/>
          <w:sz w:val="24"/>
          <w:szCs w:val="24"/>
        </w:rPr>
        <w:t xml:space="preserve">3.2.4 </w:t>
      </w:r>
      <w:r>
        <w:rPr>
          <w:rFonts w:ascii="Times New Roman" w:hAnsi="Times New Roman" w:eastAsia="仿宋_GB2312;仿宋" w:cs="Times New Roman"/>
          <w:color w:val="000000"/>
          <w:sz w:val="24"/>
          <w:szCs w:val="24"/>
        </w:rPr>
        <w:t>承包人无正当理由拒绝更换项目经理的违约责任：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E58085F">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3.3 </w:t>
      </w:r>
      <w:r>
        <w:rPr>
          <w:rFonts w:ascii="Times New Roman" w:hAnsi="Times New Roman" w:eastAsia="黑体" w:cs="Times New Roman"/>
          <w:color w:val="000000"/>
          <w:sz w:val="24"/>
          <w:szCs w:val="24"/>
        </w:rPr>
        <w:t>承包人人员</w:t>
      </w:r>
    </w:p>
    <w:p w14:paraId="6773C4EA">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3.3.1 </w:t>
      </w:r>
      <w:r>
        <w:rPr>
          <w:rFonts w:ascii="Times New Roman" w:hAnsi="Times New Roman" w:eastAsia="仿宋_GB2312;仿宋" w:cs="Times New Roman"/>
          <w:color w:val="000000"/>
          <w:sz w:val="24"/>
          <w:szCs w:val="24"/>
        </w:rPr>
        <w:t>承包人提交项目管理机构及施工现场管理人员安排报告的期限：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85B386A">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3.3.3 </w:t>
      </w:r>
      <w:r>
        <w:rPr>
          <w:rFonts w:ascii="Times New Roman" w:hAnsi="Times New Roman" w:eastAsia="仿宋_GB2312;仿宋" w:cs="Times New Roman"/>
          <w:color w:val="000000"/>
          <w:sz w:val="24"/>
          <w:szCs w:val="24"/>
        </w:rPr>
        <w:t>承包人无正当理由拒绝撤换主要施工管理人员的违约责任：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96F7774">
      <w:pPr>
        <w:spacing w:line="360" w:lineRule="auto"/>
        <w:ind w:firstLine="480"/>
        <w:rPr>
          <w:rFonts w:ascii="Times New Roman" w:hAnsi="Times New Roman" w:eastAsia="仿宋_GB2312;仿宋" w:cs="Times New Roman"/>
          <w:color w:val="000000"/>
          <w:sz w:val="24"/>
          <w:szCs w:val="24"/>
          <w:u w:val="single"/>
        </w:rPr>
      </w:pPr>
      <w:r>
        <w:rPr>
          <w:rFonts w:eastAsia="仿宋_GB2312;仿宋" w:cs="Times New Roman"/>
          <w:color w:val="000000"/>
          <w:sz w:val="24"/>
          <w:szCs w:val="24"/>
        </w:rPr>
        <w:t xml:space="preserve">3.3.4 </w:t>
      </w:r>
      <w:r>
        <w:rPr>
          <w:rFonts w:ascii="Times New Roman" w:hAnsi="Times New Roman" w:eastAsia="仿宋_GB2312;仿宋" w:cs="Times New Roman"/>
          <w:color w:val="000000"/>
          <w:sz w:val="24"/>
          <w:szCs w:val="24"/>
        </w:rPr>
        <w:t>承包人主要施工管理人员离开施工现场的批准要求：</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082F023">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3.3.5</w:t>
      </w:r>
      <w:r>
        <w:rPr>
          <w:rFonts w:ascii="Times New Roman" w:hAnsi="Times New Roman" w:eastAsia="仿宋_GB2312;仿宋" w:cs="Times New Roman"/>
          <w:color w:val="000000"/>
          <w:sz w:val="24"/>
          <w:szCs w:val="24"/>
        </w:rPr>
        <w:t>承包人擅自更换主要施工管理人员的违约责任：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57B741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承包人主要施工管理人员擅自离开施工现场的违约责任：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A5E4379">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3.5 </w:t>
      </w:r>
      <w:r>
        <w:rPr>
          <w:rFonts w:ascii="Times New Roman" w:hAnsi="Times New Roman" w:eastAsia="黑体" w:cs="Times New Roman"/>
          <w:color w:val="000000"/>
          <w:sz w:val="24"/>
          <w:szCs w:val="24"/>
        </w:rPr>
        <w:t>分包</w:t>
      </w:r>
    </w:p>
    <w:p w14:paraId="683742EE">
      <w:pPr>
        <w:spacing w:line="360" w:lineRule="auto"/>
        <w:ind w:firstLine="480"/>
        <w:rPr>
          <w:rFonts w:ascii="Times New Roman" w:hAnsi="Times New Roman" w:eastAsia="仿宋_GB2312;仿宋" w:cs="Times New Roman"/>
          <w:sz w:val="24"/>
          <w:szCs w:val="24"/>
        </w:rPr>
      </w:pPr>
      <w:r>
        <w:rPr>
          <w:rFonts w:eastAsia="仿宋_GB2312;仿宋" w:cs="Times New Roman"/>
          <w:sz w:val="24"/>
          <w:szCs w:val="24"/>
        </w:rPr>
        <w:t xml:space="preserve">3.5.1 </w:t>
      </w:r>
      <w:r>
        <w:rPr>
          <w:rFonts w:ascii="Times New Roman" w:hAnsi="Times New Roman" w:eastAsia="仿宋_GB2312;仿宋" w:cs="Times New Roman"/>
          <w:sz w:val="24"/>
          <w:szCs w:val="24"/>
        </w:rPr>
        <w:t>分包的一般约定</w:t>
      </w:r>
    </w:p>
    <w:p w14:paraId="1CC45B3D">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禁止分包的工程包括：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5FDA778">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sz w:val="24"/>
          <w:szCs w:val="24"/>
        </w:rPr>
        <w:t>主体结构、关键性工作的范围：</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86CFE51">
      <w:pPr>
        <w:spacing w:line="360" w:lineRule="auto"/>
        <w:rPr>
          <w:rFonts w:ascii="Times New Roman" w:hAnsi="Times New Roman" w:eastAsia="仿宋_GB2312;仿宋" w:cs="Times New Roman"/>
          <w:sz w:val="24"/>
          <w:szCs w:val="24"/>
        </w:rPr>
      </w:pPr>
      <w:r>
        <w:rPr>
          <w:rFonts w:eastAsia="Times New Roman" w:cs="Times New Roman"/>
          <w:sz w:val="24"/>
          <w:szCs w:val="24"/>
        </w:rPr>
        <w:t xml:space="preserve">    </w:t>
      </w:r>
      <w:r>
        <w:rPr>
          <w:rFonts w:eastAsia="仿宋_GB2312;仿宋" w:cs="Times New Roman"/>
          <w:sz w:val="24"/>
          <w:szCs w:val="24"/>
        </w:rPr>
        <w:t>3.5.2</w:t>
      </w:r>
      <w:r>
        <w:rPr>
          <w:rFonts w:ascii="Times New Roman" w:hAnsi="Times New Roman" w:eastAsia="仿宋_GB2312;仿宋" w:cs="Times New Roman"/>
          <w:sz w:val="24"/>
          <w:szCs w:val="24"/>
        </w:rPr>
        <w:t>分包的确定</w:t>
      </w:r>
    </w:p>
    <w:p w14:paraId="0B32B02C">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sz w:val="24"/>
          <w:szCs w:val="24"/>
        </w:rPr>
        <w:t>允许分包的专业工程包括：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905FC5A">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其他关于分包的约定：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453D0C2">
      <w:pPr>
        <w:spacing w:line="360" w:lineRule="auto"/>
        <w:ind w:firstLine="480"/>
        <w:rPr>
          <w:rFonts w:ascii="Times New Roman" w:hAnsi="Times New Roman" w:eastAsia="仿宋_GB2312;仿宋" w:cs="Times New Roman"/>
          <w:sz w:val="24"/>
          <w:szCs w:val="24"/>
        </w:rPr>
      </w:pPr>
      <w:r>
        <w:rPr>
          <w:rFonts w:eastAsia="仿宋_GB2312;仿宋" w:cs="Times New Roman"/>
          <w:sz w:val="24"/>
          <w:szCs w:val="24"/>
        </w:rPr>
        <w:t xml:space="preserve">3.5.4 </w:t>
      </w:r>
      <w:r>
        <w:rPr>
          <w:rFonts w:ascii="Times New Roman" w:hAnsi="Times New Roman" w:eastAsia="仿宋_GB2312;仿宋" w:cs="Times New Roman"/>
          <w:sz w:val="24"/>
          <w:szCs w:val="24"/>
        </w:rPr>
        <w:t>分包合同价款</w:t>
      </w:r>
    </w:p>
    <w:p w14:paraId="4E7DE1FC">
      <w:pPr>
        <w:spacing w:line="360" w:lineRule="auto"/>
        <w:ind w:firstLine="480"/>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关于分包合同价款支付的约定：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63FF40F">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3.6 </w:t>
      </w:r>
      <w:r>
        <w:rPr>
          <w:rFonts w:ascii="Times New Roman" w:hAnsi="Times New Roman" w:eastAsia="黑体" w:cs="Times New Roman"/>
          <w:color w:val="000000"/>
          <w:sz w:val="24"/>
          <w:szCs w:val="24"/>
        </w:rPr>
        <w:t>工程照管与成品、半成品保护</w:t>
      </w:r>
    </w:p>
    <w:p w14:paraId="3A1DDC59">
      <w:pPr>
        <w:spacing w:before="120" w:after="120" w:line="360" w:lineRule="auto"/>
        <w:ind w:firstLine="480"/>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承包人负责照管工程及工程相关的材料、工程设备的起始时间：</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80A9F95">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3.7 </w:t>
      </w:r>
      <w:r>
        <w:rPr>
          <w:rFonts w:ascii="Times New Roman" w:hAnsi="Times New Roman" w:eastAsia="黑体" w:cs="Times New Roman"/>
          <w:color w:val="000000"/>
          <w:sz w:val="24"/>
          <w:szCs w:val="24"/>
        </w:rPr>
        <w:t>履约担保</w:t>
      </w:r>
    </w:p>
    <w:p w14:paraId="3F54E52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承包人是否提供履约担保：</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5286EE9">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承包人提供履约担保的形式、金额及期限的：</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BF5A6FD">
      <w:pPr>
        <w:pStyle w:val="5"/>
        <w:spacing w:before="120" w:after="120" w:line="360" w:lineRule="auto"/>
        <w:rPr>
          <w:rFonts w:ascii="Times New Roman" w:hAnsi="Times New Roman" w:eastAsia="黑体" w:cs="Times New Roman"/>
          <w:b w:val="0"/>
          <w:color w:val="000000"/>
          <w:sz w:val="24"/>
          <w:szCs w:val="24"/>
        </w:rPr>
      </w:pPr>
      <w:bookmarkStart w:id="178" w:name="__RefHeading___Toc351203636"/>
      <w:bookmarkEnd w:id="178"/>
      <w:r>
        <w:rPr>
          <w:rFonts w:ascii="Times New Roman" w:hAnsi="Times New Roman" w:eastAsia="黑体" w:cs="Times New Roman"/>
          <w:b w:val="0"/>
          <w:color w:val="000000"/>
          <w:sz w:val="24"/>
          <w:szCs w:val="24"/>
        </w:rPr>
        <w:t xml:space="preserve">4. </w:t>
      </w:r>
      <w:r>
        <w:rPr>
          <w:rFonts w:ascii="Times New Roman" w:hAnsi="Times New Roman" w:cs="Times New Roman"/>
          <w:b w:val="0"/>
          <w:color w:val="000000"/>
          <w:sz w:val="24"/>
          <w:szCs w:val="24"/>
        </w:rPr>
        <w:t>监理人</w:t>
      </w:r>
    </w:p>
    <w:p w14:paraId="7145A0E5">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4.1</w:t>
      </w:r>
      <w:r>
        <w:rPr>
          <w:rFonts w:ascii="Times New Roman" w:hAnsi="Times New Roman" w:eastAsia="黑体" w:cs="Times New Roman"/>
          <w:color w:val="000000"/>
          <w:sz w:val="24"/>
          <w:szCs w:val="24"/>
        </w:rPr>
        <w:t>监理人的一般规定</w:t>
      </w:r>
    </w:p>
    <w:p w14:paraId="7BB546D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关于监理人的监理内容：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36FACE5">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关于监理人的监理权限：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70885CDC">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关于监理人在施工现场的办公场所、生活场所的提供和费用承担的约定：</w:t>
      </w:r>
      <w:r>
        <w:rPr>
          <w:rFonts w:ascii="Times New Roman" w:hAnsi="Times New Roman" w:eastAsia="Times New Roman" w:cs="Times New Roman"/>
          <w:color w:val="000000"/>
          <w:sz w:val="24"/>
          <w:szCs w:val="24"/>
          <w:u w:val="single"/>
        </w:rPr>
        <w:t xml:space="preserve">                                                </w:t>
      </w:r>
    </w:p>
    <w:p w14:paraId="2CE388A2">
      <w:pPr>
        <w:spacing w:line="360" w:lineRule="auto"/>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7E572B4">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4.2 </w:t>
      </w:r>
      <w:r>
        <w:rPr>
          <w:rFonts w:ascii="Times New Roman" w:hAnsi="Times New Roman" w:eastAsia="黑体" w:cs="Times New Roman"/>
          <w:color w:val="000000"/>
          <w:sz w:val="24"/>
          <w:szCs w:val="24"/>
        </w:rPr>
        <w:t>监理人员</w:t>
      </w:r>
    </w:p>
    <w:p w14:paraId="68FC142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总监理工程师：</w:t>
      </w:r>
    </w:p>
    <w:p w14:paraId="7516A93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姓</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名：</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AD4A22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职</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务：</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3B37645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监理工程师执业资格证书号：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3246610">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34FDBEA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BB7B87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36FF708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关于监理人的其他约定：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50D6090">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4.4 </w:t>
      </w:r>
      <w:r>
        <w:rPr>
          <w:rFonts w:ascii="Times New Roman" w:hAnsi="Times New Roman" w:eastAsia="黑体" w:cs="Times New Roman"/>
          <w:color w:val="000000"/>
          <w:sz w:val="24"/>
          <w:szCs w:val="24"/>
        </w:rPr>
        <w:t>商定或确定</w:t>
      </w:r>
    </w:p>
    <w:p w14:paraId="79F50B7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在发包人和承包人不能通过协商达成一致意见时，发包人授权监理人对以下事项进行确定：</w:t>
      </w:r>
    </w:p>
    <w:p w14:paraId="6A05B33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913DFA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0B4873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0925D07">
      <w:pPr>
        <w:pStyle w:val="5"/>
        <w:spacing w:before="120" w:after="120" w:line="360" w:lineRule="auto"/>
        <w:rPr>
          <w:rFonts w:ascii="Times New Roman" w:hAnsi="Times New Roman" w:eastAsia="黑体" w:cs="Times New Roman"/>
          <w:b w:val="0"/>
          <w:color w:val="000000"/>
          <w:sz w:val="24"/>
          <w:szCs w:val="24"/>
        </w:rPr>
      </w:pPr>
      <w:bookmarkStart w:id="179" w:name="__RefHeading___Toc351203637"/>
      <w:bookmarkEnd w:id="179"/>
      <w:r>
        <w:rPr>
          <w:rFonts w:ascii="Times New Roman" w:hAnsi="Times New Roman" w:eastAsia="黑体" w:cs="Times New Roman"/>
          <w:b w:val="0"/>
          <w:color w:val="000000"/>
          <w:sz w:val="24"/>
          <w:szCs w:val="24"/>
        </w:rPr>
        <w:t xml:space="preserve">5. </w:t>
      </w:r>
      <w:r>
        <w:rPr>
          <w:rFonts w:ascii="Times New Roman" w:hAnsi="Times New Roman" w:cs="Times New Roman"/>
          <w:b w:val="0"/>
          <w:color w:val="000000"/>
          <w:sz w:val="24"/>
          <w:szCs w:val="24"/>
        </w:rPr>
        <w:t>工程质量</w:t>
      </w:r>
    </w:p>
    <w:p w14:paraId="1E4FEABA">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5.1 </w:t>
      </w:r>
      <w:r>
        <w:rPr>
          <w:rFonts w:ascii="Times New Roman" w:hAnsi="Times New Roman" w:eastAsia="黑体" w:cs="Times New Roman"/>
          <w:color w:val="000000"/>
          <w:sz w:val="24"/>
          <w:szCs w:val="24"/>
        </w:rPr>
        <w:t>质量要求</w:t>
      </w:r>
    </w:p>
    <w:p w14:paraId="2A9E0E8D">
      <w:pPr>
        <w:spacing w:line="360" w:lineRule="auto"/>
        <w:jc w:val="left"/>
        <w:rPr>
          <w:rFonts w:ascii="Times New Roman" w:hAnsi="Times New Roman" w:eastAsia="仿宋_GB2312;仿宋" w:cs="Times New Roman"/>
          <w:sz w:val="24"/>
          <w:szCs w:val="24"/>
        </w:rPr>
      </w:pPr>
      <w:r>
        <w:rPr>
          <w:rFonts w:eastAsia="仿宋_GB2312;仿宋" w:cs="Times New Roman"/>
          <w:sz w:val="24"/>
          <w:szCs w:val="24"/>
        </w:rPr>
        <w:t xml:space="preserve">5.1.1 </w:t>
      </w:r>
      <w:r>
        <w:rPr>
          <w:rFonts w:ascii="Times New Roman" w:hAnsi="Times New Roman" w:eastAsia="仿宋_GB2312;仿宋" w:cs="Times New Roman"/>
          <w:sz w:val="24"/>
          <w:szCs w:val="24"/>
        </w:rPr>
        <w:t>特殊质量标准和要求：</w:t>
      </w:r>
      <w:r>
        <w:rPr>
          <w:rFonts w:ascii="Times New Roman" w:hAnsi="Times New Roman" w:eastAsia="Times New Roman" w:cs="Times New Roman"/>
          <w:sz w:val="24"/>
          <w:szCs w:val="24"/>
          <w:u w:val="single"/>
        </w:rPr>
        <w:t xml:space="preserve">    </w:t>
      </w:r>
      <w:r>
        <w:rPr>
          <w:rFonts w:ascii="仿宋" w:hAnsi="仿宋" w:eastAsia="仿宋" w:cs="仿宋"/>
          <w:b/>
          <w:color w:val="000000"/>
          <w:sz w:val="22"/>
          <w:szCs w:val="22"/>
          <w:u w:val="single"/>
        </w:rPr>
        <w:t>按规范施工达到合格</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026976FC">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关于工程奖项的约定：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9945B5B">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5.3 </w:t>
      </w:r>
      <w:r>
        <w:rPr>
          <w:rFonts w:ascii="Times New Roman" w:hAnsi="Times New Roman" w:eastAsia="黑体" w:cs="Times New Roman"/>
          <w:color w:val="000000"/>
          <w:sz w:val="24"/>
          <w:szCs w:val="24"/>
        </w:rPr>
        <w:t>隐蔽工程检查</w:t>
      </w:r>
    </w:p>
    <w:p w14:paraId="164D2BDD">
      <w:pPr>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5.3.2</w:t>
      </w:r>
      <w:r>
        <w:rPr>
          <w:rFonts w:ascii="Times New Roman" w:hAnsi="Times New Roman" w:eastAsia="仿宋_GB2312;仿宋" w:cs="Times New Roman"/>
          <w:sz w:val="24"/>
          <w:szCs w:val="24"/>
        </w:rPr>
        <w:t>承包人提前通知监理人隐蔽工程检查的期限的约定：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EDCCE6C">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监理人不能按时进行检查时，应提前</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小时提交书面延期要求。</w:t>
      </w:r>
    </w:p>
    <w:p w14:paraId="159E5885">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关于延期最长不得超过：</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小时。</w:t>
      </w:r>
    </w:p>
    <w:p w14:paraId="74736C5C">
      <w:pPr>
        <w:pStyle w:val="5"/>
        <w:spacing w:before="120" w:after="120" w:line="360" w:lineRule="auto"/>
        <w:rPr>
          <w:rFonts w:ascii="Times New Roman" w:hAnsi="Times New Roman" w:eastAsia="黑体" w:cs="Times New Roman"/>
          <w:b w:val="0"/>
          <w:color w:val="000000"/>
          <w:sz w:val="24"/>
          <w:szCs w:val="24"/>
        </w:rPr>
      </w:pPr>
      <w:bookmarkStart w:id="180" w:name="__RefHeading___Toc351203638"/>
      <w:bookmarkEnd w:id="180"/>
      <w:r>
        <w:rPr>
          <w:rFonts w:ascii="Times New Roman" w:hAnsi="Times New Roman" w:eastAsia="黑体" w:cs="Times New Roman"/>
          <w:b w:val="0"/>
          <w:color w:val="000000"/>
          <w:sz w:val="24"/>
          <w:szCs w:val="24"/>
        </w:rPr>
        <w:t xml:space="preserve">6. </w:t>
      </w:r>
      <w:r>
        <w:rPr>
          <w:rFonts w:ascii="Times New Roman" w:hAnsi="Times New Roman" w:cs="Times New Roman"/>
          <w:b w:val="0"/>
          <w:color w:val="000000"/>
          <w:sz w:val="24"/>
          <w:szCs w:val="24"/>
        </w:rPr>
        <w:t>安全文明施工与环境保护</w:t>
      </w:r>
    </w:p>
    <w:p w14:paraId="01332620">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6.1</w:t>
      </w:r>
      <w:r>
        <w:rPr>
          <w:rFonts w:ascii="Times New Roman" w:hAnsi="Times New Roman" w:eastAsia="黑体" w:cs="Times New Roman"/>
          <w:color w:val="000000"/>
          <w:sz w:val="24"/>
          <w:szCs w:val="24"/>
        </w:rPr>
        <w:t>安全文明施工</w:t>
      </w:r>
    </w:p>
    <w:p w14:paraId="2F421DDA">
      <w:pPr>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6.1.1</w:t>
      </w:r>
      <w:r>
        <w:rPr>
          <w:rFonts w:eastAsia="仿宋_GB2312;仿宋" w:cs="Times New Roman"/>
          <w:color w:val="000000"/>
          <w:sz w:val="24"/>
          <w:szCs w:val="24"/>
        </w:rPr>
        <w:t xml:space="preserve"> </w:t>
      </w:r>
      <w:r>
        <w:rPr>
          <w:rFonts w:ascii="Times New Roman" w:hAnsi="Times New Roman" w:eastAsia="仿宋_GB2312;仿宋" w:cs="Times New Roman"/>
          <w:color w:val="000000"/>
          <w:sz w:val="24"/>
          <w:szCs w:val="24"/>
        </w:rPr>
        <w:t>项目安全生产的达标目标及相应事项的约定：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93612CB">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6.1.4 </w:t>
      </w:r>
      <w:r>
        <w:rPr>
          <w:rFonts w:ascii="Times New Roman" w:hAnsi="Times New Roman" w:eastAsia="仿宋_GB2312;仿宋" w:cs="Times New Roman"/>
          <w:sz w:val="24"/>
          <w:szCs w:val="24"/>
        </w:rPr>
        <w:t>关于治安保卫的特别约定：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513521A">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关于编制施工场地治安管理计划的约定：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eastAsia="仿宋_GB2312;仿宋" w:cs="Times New Roman"/>
          <w:sz w:val="24"/>
          <w:szCs w:val="24"/>
          <w:u w:val="single"/>
        </w:rPr>
        <w:br w:type="textWrapping"/>
      </w:r>
      <w:r>
        <w:rPr>
          <w:rFonts w:eastAsia="仿宋_GB2312;仿宋" w:cs="Times New Roman"/>
          <w:sz w:val="24"/>
          <w:szCs w:val="24"/>
        </w:rPr>
        <w:t xml:space="preserve">6.1.5 </w:t>
      </w:r>
      <w:r>
        <w:rPr>
          <w:rFonts w:ascii="Times New Roman" w:hAnsi="Times New Roman" w:eastAsia="仿宋_GB2312;仿宋" w:cs="Times New Roman"/>
          <w:sz w:val="24"/>
          <w:szCs w:val="24"/>
        </w:rPr>
        <w:t>文明施工</w:t>
      </w:r>
    </w:p>
    <w:p w14:paraId="3AF99AC2">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合同当事人对文明施工的要求：</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73317CF">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6.1.6 </w:t>
      </w:r>
      <w:r>
        <w:rPr>
          <w:rFonts w:ascii="Times New Roman" w:hAnsi="Times New Roman" w:eastAsia="仿宋_GB2312;仿宋" w:cs="Times New Roman"/>
          <w:sz w:val="24"/>
          <w:szCs w:val="24"/>
        </w:rPr>
        <w:t>关于安全文明施工费支付比例和支付期限的约定：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53E35AD">
      <w:pPr>
        <w:pStyle w:val="5"/>
        <w:spacing w:before="120" w:after="120" w:line="360" w:lineRule="auto"/>
        <w:rPr>
          <w:rFonts w:ascii="Times New Roman" w:hAnsi="Times New Roman" w:eastAsia="黑体" w:cs="Times New Roman"/>
          <w:b w:val="0"/>
          <w:color w:val="000000"/>
          <w:sz w:val="24"/>
          <w:szCs w:val="24"/>
        </w:rPr>
      </w:pPr>
      <w:bookmarkStart w:id="181" w:name="__RefHeading___Toc351203639"/>
      <w:bookmarkEnd w:id="181"/>
      <w:r>
        <w:rPr>
          <w:rFonts w:ascii="Times New Roman" w:hAnsi="Times New Roman" w:eastAsia="黑体" w:cs="Times New Roman"/>
          <w:b w:val="0"/>
          <w:color w:val="000000"/>
          <w:sz w:val="24"/>
          <w:szCs w:val="24"/>
        </w:rPr>
        <w:t xml:space="preserve">7. </w:t>
      </w:r>
      <w:r>
        <w:rPr>
          <w:rFonts w:ascii="Times New Roman" w:hAnsi="Times New Roman" w:cs="Times New Roman"/>
          <w:b w:val="0"/>
          <w:color w:val="000000"/>
          <w:sz w:val="24"/>
          <w:szCs w:val="24"/>
        </w:rPr>
        <w:t>工期和进度</w:t>
      </w:r>
    </w:p>
    <w:p w14:paraId="60044E6C">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7.1 </w:t>
      </w:r>
      <w:r>
        <w:rPr>
          <w:rFonts w:ascii="Times New Roman" w:hAnsi="Times New Roman" w:eastAsia="黑体" w:cs="Times New Roman"/>
          <w:color w:val="000000"/>
          <w:sz w:val="24"/>
          <w:szCs w:val="24"/>
        </w:rPr>
        <w:t>施工组织设计</w:t>
      </w:r>
    </w:p>
    <w:p w14:paraId="6BA17428">
      <w:pPr>
        <w:autoSpaceDE w:val="0"/>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 xml:space="preserve">7.1.1 </w:t>
      </w:r>
      <w:r>
        <w:rPr>
          <w:rFonts w:ascii="Times New Roman" w:hAnsi="Times New Roman" w:eastAsia="仿宋_GB2312;仿宋" w:cs="Times New Roman"/>
          <w:color w:val="000000"/>
          <w:sz w:val="24"/>
          <w:szCs w:val="24"/>
        </w:rPr>
        <w:t>合</w:t>
      </w:r>
      <w:r>
        <w:rPr>
          <w:rFonts w:ascii="Times New Roman" w:hAnsi="Times New Roman" w:eastAsia="仿宋_GB2312;仿宋" w:cs="Times New Roman"/>
          <w:color w:val="000000"/>
          <w:kern w:val="0"/>
          <w:sz w:val="24"/>
          <w:szCs w:val="24"/>
        </w:rPr>
        <w:t>同当事人约定的施工组织设计应包括的其他内容：</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B2E661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sz w:val="24"/>
          <w:szCs w:val="24"/>
        </w:rPr>
        <w:t>7.1.2</w:t>
      </w:r>
      <w:r>
        <w:rPr>
          <w:rFonts w:eastAsia="仿宋_GB2312;仿宋" w:cs="Times New Roman"/>
          <w:color w:val="000000"/>
          <w:sz w:val="24"/>
          <w:szCs w:val="24"/>
        </w:rPr>
        <w:t xml:space="preserve"> </w:t>
      </w:r>
      <w:r>
        <w:rPr>
          <w:rFonts w:ascii="Times New Roman" w:hAnsi="Times New Roman" w:eastAsia="仿宋_GB2312;仿宋" w:cs="Times New Roman"/>
          <w:color w:val="000000"/>
          <w:kern w:val="0"/>
          <w:sz w:val="24"/>
          <w:szCs w:val="24"/>
        </w:rPr>
        <w:t>施工组织设计的提交和修改</w:t>
      </w:r>
    </w:p>
    <w:p w14:paraId="56B7057C">
      <w:pPr>
        <w:autoSpaceDE w:val="0"/>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kern w:val="0"/>
          <w:sz w:val="24"/>
          <w:szCs w:val="24"/>
        </w:rPr>
        <w:t>承包人提交详细施工组织设计的期限的约定：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4EF6CA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发包人和监理人在收到详细的施工组织设计后确认或提出修改意见的期</w:t>
      </w:r>
      <w:r>
        <w:rPr>
          <w:rFonts w:ascii="Times New Roman" w:hAnsi="Times New Roman" w:eastAsia="仿宋_GB2312;仿宋" w:cs="Times New Roman"/>
          <w:color w:val="000000"/>
          <w:sz w:val="24"/>
          <w:szCs w:val="24"/>
          <w:lang w:val="en-US" w:eastAsia="zh-CN"/>
        </w:rPr>
        <w:t>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4F46480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7.2 </w:t>
      </w:r>
      <w:r>
        <w:rPr>
          <w:rFonts w:ascii="Times New Roman" w:hAnsi="Times New Roman" w:eastAsia="黑体" w:cs="Times New Roman"/>
          <w:color w:val="000000"/>
          <w:sz w:val="24"/>
          <w:szCs w:val="24"/>
        </w:rPr>
        <w:t>施工进度计划</w:t>
      </w:r>
    </w:p>
    <w:p w14:paraId="48BB38C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7.2.2 </w:t>
      </w:r>
      <w:r>
        <w:rPr>
          <w:rFonts w:ascii="Times New Roman" w:hAnsi="Times New Roman" w:eastAsia="仿宋_GB2312;仿宋" w:cs="Times New Roman"/>
          <w:color w:val="000000"/>
          <w:sz w:val="24"/>
          <w:szCs w:val="24"/>
        </w:rPr>
        <w:t>施工进度计划的修订</w:t>
      </w:r>
    </w:p>
    <w:p w14:paraId="3F2EF8CC">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发包人和监理人在收到修订的施工进度计划后确认或提出修改意见的期限：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7BF1CEA7">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7.3 </w:t>
      </w:r>
      <w:r>
        <w:rPr>
          <w:rFonts w:ascii="Times New Roman" w:hAnsi="Times New Roman" w:eastAsia="黑体" w:cs="Times New Roman"/>
          <w:color w:val="000000"/>
          <w:sz w:val="24"/>
          <w:szCs w:val="24"/>
        </w:rPr>
        <w:t>开工</w:t>
      </w:r>
    </w:p>
    <w:p w14:paraId="7DA6EBB8">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7.3.1 </w:t>
      </w:r>
      <w:r>
        <w:rPr>
          <w:rFonts w:ascii="Times New Roman" w:hAnsi="Times New Roman" w:eastAsia="仿宋_GB2312;仿宋" w:cs="Times New Roman"/>
          <w:color w:val="000000"/>
          <w:sz w:val="24"/>
          <w:szCs w:val="24"/>
        </w:rPr>
        <w:t>开工准备</w:t>
      </w:r>
    </w:p>
    <w:p w14:paraId="7BA2D1C0">
      <w:pPr>
        <w:spacing w:line="360" w:lineRule="auto"/>
        <w:ind w:firstLine="645"/>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sz w:val="24"/>
          <w:szCs w:val="24"/>
        </w:rPr>
        <w:t>关于承包人提交</w:t>
      </w:r>
      <w:r>
        <w:rPr>
          <w:rFonts w:ascii="Times New Roman" w:hAnsi="Times New Roman" w:eastAsia="仿宋_GB2312;仿宋" w:cs="Times New Roman"/>
          <w:color w:val="000000"/>
          <w:kern w:val="0"/>
          <w:sz w:val="24"/>
          <w:szCs w:val="24"/>
        </w:rPr>
        <w:t>工程开工报审表的期限：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1EF462E1">
      <w:pPr>
        <w:spacing w:line="360" w:lineRule="auto"/>
        <w:ind w:firstLine="645"/>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sz w:val="24"/>
          <w:szCs w:val="24"/>
        </w:rPr>
        <w:t>关于发包人应完成的其他开工准备工作及期限：</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325AF58">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sz w:val="24"/>
          <w:szCs w:val="24"/>
        </w:rPr>
        <w:t>关于承包人应完成的其他开工准备工作及期限：</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02B6061">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7.3.2</w:t>
      </w:r>
      <w:r>
        <w:rPr>
          <w:rFonts w:ascii="Times New Roman" w:hAnsi="Times New Roman" w:eastAsia="仿宋_GB2312;仿宋" w:cs="Times New Roman"/>
          <w:color w:val="000000"/>
          <w:sz w:val="24"/>
          <w:szCs w:val="24"/>
        </w:rPr>
        <w:t>开工通知</w:t>
      </w:r>
    </w:p>
    <w:p w14:paraId="76BDA7A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因发包人原因造成监理人未能在计划开工日期之日起</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color w:val="000000"/>
          <w:sz w:val="24"/>
          <w:szCs w:val="24"/>
        </w:rPr>
        <w:t>天内发出开工通知的，承包人有权提出价格调整要求，或者解除合同。</w:t>
      </w:r>
    </w:p>
    <w:p w14:paraId="7AB498E3">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7.4 </w:t>
      </w:r>
      <w:r>
        <w:rPr>
          <w:rFonts w:ascii="Times New Roman" w:hAnsi="Times New Roman" w:eastAsia="黑体" w:cs="Times New Roman"/>
          <w:color w:val="000000"/>
          <w:sz w:val="24"/>
          <w:szCs w:val="24"/>
        </w:rPr>
        <w:t>测量放线</w:t>
      </w:r>
    </w:p>
    <w:p w14:paraId="132E78E8">
      <w:pPr>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7.4.1</w:t>
      </w:r>
      <w:r>
        <w:rPr>
          <w:rFonts w:ascii="Times New Roman" w:hAnsi="Times New Roman" w:eastAsia="仿宋_GB2312;仿宋" w:cs="Times New Roman"/>
          <w:sz w:val="24"/>
          <w:szCs w:val="24"/>
        </w:rPr>
        <w:t>发包人通过监理人向承包人提供测量基准点、基准线和水准点及其书面资料的期限：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339A010D">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7.5 </w:t>
      </w:r>
      <w:r>
        <w:rPr>
          <w:rFonts w:ascii="Times New Roman" w:hAnsi="Times New Roman" w:eastAsia="黑体" w:cs="Times New Roman"/>
          <w:color w:val="000000"/>
          <w:sz w:val="24"/>
          <w:szCs w:val="24"/>
        </w:rPr>
        <w:t>工期延误</w:t>
      </w:r>
    </w:p>
    <w:p w14:paraId="55F29C4C">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7.5.1 </w:t>
      </w:r>
      <w:r>
        <w:rPr>
          <w:rFonts w:ascii="Times New Roman" w:hAnsi="Times New Roman" w:eastAsia="仿宋_GB2312;仿宋" w:cs="Times New Roman"/>
          <w:sz w:val="24"/>
          <w:szCs w:val="24"/>
        </w:rPr>
        <w:t>因发包人原因导致工期延误</w:t>
      </w:r>
    </w:p>
    <w:p w14:paraId="7F6B65D1">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w:t>
      </w:r>
      <w:r>
        <w:rPr>
          <w:rFonts w:eastAsia="仿宋_GB2312;仿宋" w:cs="Times New Roman"/>
          <w:sz w:val="24"/>
          <w:szCs w:val="24"/>
        </w:rPr>
        <w:t>7</w:t>
      </w:r>
      <w:r>
        <w:rPr>
          <w:rFonts w:ascii="Times New Roman" w:hAnsi="Times New Roman" w:eastAsia="仿宋_GB2312;仿宋" w:cs="Times New Roman"/>
          <w:sz w:val="24"/>
          <w:szCs w:val="24"/>
        </w:rPr>
        <w:t>）因发包人原因导致工期延误的其他情形：</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0C928BA">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7.5.2 </w:t>
      </w:r>
      <w:r>
        <w:rPr>
          <w:rFonts w:ascii="Times New Roman" w:hAnsi="Times New Roman" w:eastAsia="仿宋_GB2312;仿宋" w:cs="Times New Roman"/>
          <w:sz w:val="24"/>
          <w:szCs w:val="24"/>
        </w:rPr>
        <w:t>因承包人原因导致工期延误</w:t>
      </w:r>
    </w:p>
    <w:p w14:paraId="1AA480E6">
      <w:pPr>
        <w:spacing w:line="360" w:lineRule="auto"/>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因承包人原因造成工期延误，逾期竣工违约金的计算方法为：</w:t>
      </w:r>
      <w:r>
        <w:rPr>
          <w:rFonts w:ascii="Times New Roman" w:hAnsi="Times New Roman" w:eastAsia="Times New Roman" w:cs="Times New Roman"/>
          <w:sz w:val="24"/>
          <w:szCs w:val="24"/>
          <w:u w:val="single"/>
          <w:lang w:val="en-US" w:eastAsia="zh-CN"/>
        </w:rPr>
        <w:t xml:space="preserve">  </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3D7CA1B4">
      <w:pPr>
        <w:spacing w:line="360" w:lineRule="auto"/>
        <w:jc w:val="left"/>
        <w:rPr>
          <w:rFonts w:ascii="Times New Roman" w:hAnsi="Times New Roman" w:eastAsia="仿宋_GB2312;仿宋" w:cs="Times New Roman"/>
          <w:sz w:val="24"/>
          <w:szCs w:val="24"/>
          <w:u w:val="single"/>
          <w:lang w:val="en-US" w:eastAsia="zh-CN"/>
        </w:rPr>
      </w:pPr>
      <w:r>
        <w:rPr>
          <w:rFonts w:ascii="Times New Roman" w:hAnsi="Times New Roman" w:eastAsia="仿宋_GB2312;仿宋" w:cs="Times New Roman"/>
          <w:sz w:val="24"/>
          <w:szCs w:val="24"/>
        </w:rPr>
        <w:t>因承包人原因造成工期延误，逾期竣工违约金的上限：</w:t>
      </w:r>
      <w:r>
        <w:rPr>
          <w:rFonts w:ascii="Times New Roman" w:hAnsi="Times New Roman" w:eastAsia="Times New Roman" w:cs="Times New Roman"/>
          <w:sz w:val="24"/>
          <w:szCs w:val="24"/>
          <w:u w:val="single"/>
          <w:lang w:val="en-US" w:eastAsia="zh-CN"/>
        </w:rPr>
        <w:t xml:space="preserve">             </w:t>
      </w:r>
      <w:r>
        <w:rPr>
          <w:rFonts w:ascii="Times New Roman" w:hAnsi="Times New Roman" w:eastAsia="仿宋_GB2312;仿宋" w:cs="Times New Roman"/>
          <w:sz w:val="24"/>
          <w:szCs w:val="24"/>
          <w:u w:val="single"/>
          <w:lang w:val="en-US" w:eastAsia="zh-CN"/>
        </w:rPr>
        <w:t>。</w:t>
      </w:r>
    </w:p>
    <w:p w14:paraId="23B07C52">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7.6 </w:t>
      </w:r>
      <w:r>
        <w:rPr>
          <w:rFonts w:ascii="Times New Roman" w:hAnsi="Times New Roman" w:eastAsia="黑体" w:cs="Times New Roman"/>
          <w:color w:val="000000"/>
          <w:sz w:val="24"/>
          <w:szCs w:val="24"/>
        </w:rPr>
        <w:t>不利物质条件</w:t>
      </w:r>
    </w:p>
    <w:p w14:paraId="08162921">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不利物质条件的其他情形和有关约定：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655ED5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7.7</w:t>
      </w:r>
      <w:r>
        <w:rPr>
          <w:rFonts w:ascii="Times New Roman" w:hAnsi="Times New Roman" w:eastAsia="黑体" w:cs="Times New Roman"/>
          <w:color w:val="000000"/>
          <w:sz w:val="24"/>
          <w:szCs w:val="24"/>
        </w:rPr>
        <w:t>异常恶劣的气候条件</w:t>
      </w:r>
    </w:p>
    <w:p w14:paraId="78A4262D">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发包人和承包人同意以下情形视为异常恶劣的气候条件：</w:t>
      </w:r>
    </w:p>
    <w:p w14:paraId="44B40A01">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1</w:t>
      </w:r>
      <w:r>
        <w:rPr>
          <w:rFonts w:ascii="Times New Roman" w:hAnsi="Times New Roman" w:eastAsia="仿宋_GB2312;仿宋" w:cs="Times New Roman"/>
          <w:sz w:val="24"/>
          <w:szCs w:val="24"/>
        </w:rPr>
        <w:t>）</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7B702A9E">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2</w:t>
      </w:r>
      <w:r>
        <w:rPr>
          <w:rFonts w:ascii="Times New Roman" w:hAnsi="Times New Roman" w:eastAsia="仿宋_GB2312;仿宋" w:cs="Times New Roman"/>
          <w:sz w:val="24"/>
          <w:szCs w:val="24"/>
        </w:rPr>
        <w:t>）</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22C10132">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3</w:t>
      </w:r>
      <w:r>
        <w:rPr>
          <w:rFonts w:ascii="Times New Roman" w:hAnsi="Times New Roman" w:eastAsia="仿宋_GB2312;仿宋" w:cs="Times New Roman"/>
          <w:sz w:val="24"/>
          <w:szCs w:val="24"/>
        </w:rPr>
        <w:t>）</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63A84CE5">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7.9 </w:t>
      </w:r>
      <w:r>
        <w:rPr>
          <w:rFonts w:ascii="Times New Roman" w:hAnsi="Times New Roman" w:eastAsia="黑体" w:cs="Times New Roman"/>
          <w:color w:val="000000"/>
          <w:sz w:val="24"/>
          <w:szCs w:val="24"/>
        </w:rPr>
        <w:t>提前竣工的奖励</w:t>
      </w:r>
    </w:p>
    <w:p w14:paraId="5441B3E3">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7.9.2</w:t>
      </w:r>
      <w:r>
        <w:rPr>
          <w:rFonts w:ascii="Times New Roman" w:hAnsi="Times New Roman" w:eastAsia="仿宋_GB2312;仿宋" w:cs="Times New Roman"/>
          <w:sz w:val="24"/>
          <w:szCs w:val="24"/>
        </w:rPr>
        <w:t>提前竣工的奖励：</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6A12F023">
      <w:pPr>
        <w:pStyle w:val="5"/>
        <w:spacing w:before="120" w:after="120" w:line="360" w:lineRule="auto"/>
        <w:rPr>
          <w:rFonts w:ascii="Times New Roman" w:hAnsi="Times New Roman" w:eastAsia="黑体" w:cs="Times New Roman"/>
          <w:b w:val="0"/>
          <w:color w:val="000000"/>
          <w:sz w:val="24"/>
          <w:szCs w:val="24"/>
        </w:rPr>
      </w:pPr>
      <w:bookmarkStart w:id="182" w:name="__RefHeading___Toc351203640"/>
      <w:bookmarkEnd w:id="182"/>
      <w:r>
        <w:rPr>
          <w:rFonts w:ascii="Times New Roman" w:hAnsi="Times New Roman" w:eastAsia="黑体" w:cs="Times New Roman"/>
          <w:b w:val="0"/>
          <w:color w:val="000000"/>
          <w:sz w:val="24"/>
          <w:szCs w:val="24"/>
        </w:rPr>
        <w:t xml:space="preserve">8. </w:t>
      </w:r>
      <w:r>
        <w:rPr>
          <w:rFonts w:ascii="Times New Roman" w:hAnsi="Times New Roman" w:cs="Times New Roman"/>
          <w:b w:val="0"/>
          <w:color w:val="000000"/>
          <w:sz w:val="24"/>
          <w:szCs w:val="24"/>
        </w:rPr>
        <w:t>材料与设备</w:t>
      </w:r>
    </w:p>
    <w:p w14:paraId="31028FA8">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8.4</w:t>
      </w:r>
      <w:r>
        <w:rPr>
          <w:rFonts w:ascii="Times New Roman" w:hAnsi="Times New Roman" w:eastAsia="黑体" w:cs="Times New Roman"/>
          <w:color w:val="000000"/>
          <w:sz w:val="24"/>
          <w:szCs w:val="24"/>
        </w:rPr>
        <w:t>材料与工程设备的保管与使用</w:t>
      </w:r>
    </w:p>
    <w:p w14:paraId="513B145F">
      <w:pPr>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8.4.1</w:t>
      </w:r>
      <w:r>
        <w:rPr>
          <w:rFonts w:ascii="Times New Roman" w:hAnsi="Times New Roman" w:eastAsia="仿宋_GB2312;仿宋" w:cs="Times New Roman"/>
          <w:sz w:val="24"/>
          <w:szCs w:val="24"/>
        </w:rPr>
        <w:t>发包人供应的材料设备的保管费用的承担：</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2EDCA93">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8.6 </w:t>
      </w:r>
      <w:r>
        <w:rPr>
          <w:rFonts w:ascii="Times New Roman" w:hAnsi="Times New Roman" w:eastAsia="黑体" w:cs="Times New Roman"/>
          <w:color w:val="000000"/>
          <w:sz w:val="24"/>
          <w:szCs w:val="24"/>
        </w:rPr>
        <w:t>样品</w:t>
      </w:r>
    </w:p>
    <w:p w14:paraId="72B906E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8.6.1</w:t>
      </w:r>
      <w:r>
        <w:rPr>
          <w:rFonts w:eastAsia="仿宋_GB2312;仿宋" w:cs="Times New Roman"/>
          <w:color w:val="000000"/>
          <w:kern w:val="0"/>
          <w:sz w:val="24"/>
          <w:szCs w:val="24"/>
        </w:rPr>
        <w:tab/>
      </w:r>
      <w:r>
        <w:rPr>
          <w:rFonts w:ascii="Times New Roman" w:hAnsi="Times New Roman" w:eastAsia="仿宋_GB2312;仿宋" w:cs="Times New Roman"/>
          <w:color w:val="000000"/>
          <w:kern w:val="0"/>
          <w:sz w:val="24"/>
          <w:szCs w:val="24"/>
        </w:rPr>
        <w:t>样品的报送与封存</w:t>
      </w:r>
    </w:p>
    <w:p w14:paraId="4053A0C5">
      <w:pPr>
        <w:autoSpaceDE w:val="0"/>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kern w:val="0"/>
          <w:sz w:val="24"/>
          <w:szCs w:val="24"/>
        </w:rPr>
        <w:t>需要承包人报送样品的材料或工程设备，样品的种类、名称、规格、数量要求：</w:t>
      </w:r>
      <w:r>
        <w:rPr>
          <w:rFonts w:ascii="Times New Roman" w:hAnsi="Times New Roman" w:eastAsia="Times New Roman" w:cs="Times New Roman"/>
          <w:sz w:val="24"/>
          <w:szCs w:val="24"/>
          <w:u w:val="single"/>
        </w:rPr>
        <w:t xml:space="preserve">                                          </w:t>
      </w:r>
    </w:p>
    <w:p w14:paraId="2E39FA8E">
      <w:pPr>
        <w:autoSpaceDE w:val="0"/>
        <w:spacing w:line="360" w:lineRule="auto"/>
        <w:jc w:val="left"/>
        <w:rPr>
          <w:rFonts w:ascii="Times New Roman" w:hAnsi="Times New Roman" w:eastAsia="仿宋_GB2312;仿宋" w:cs="Times New Roman"/>
          <w:sz w:val="24"/>
          <w:szCs w:val="24"/>
        </w:rPr>
      </w:pPr>
      <w:r>
        <w:rPr>
          <w:rFonts w:eastAsia="Times New Roman" w:cs="Times New Roman"/>
          <w:sz w:val="24"/>
          <w:szCs w:val="24"/>
          <w:u w:val="single"/>
        </w:rPr>
        <w:t xml:space="preserve">                                                         </w:t>
      </w:r>
      <w:r>
        <w:rPr>
          <w:rFonts w:ascii="Times New Roman" w:hAnsi="Times New Roman" w:eastAsia="仿宋_GB2312;仿宋" w:cs="Times New Roman"/>
          <w:sz w:val="24"/>
          <w:szCs w:val="24"/>
        </w:rPr>
        <w:t>。</w:t>
      </w:r>
    </w:p>
    <w:p w14:paraId="5B214135">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8.8 </w:t>
      </w:r>
      <w:r>
        <w:rPr>
          <w:rFonts w:ascii="Times New Roman" w:hAnsi="Times New Roman" w:eastAsia="黑体" w:cs="Times New Roman"/>
          <w:color w:val="000000"/>
          <w:sz w:val="24"/>
          <w:szCs w:val="24"/>
        </w:rPr>
        <w:t>施工设备和临时设施</w:t>
      </w:r>
    </w:p>
    <w:p w14:paraId="5A660CD9">
      <w:pPr>
        <w:autoSpaceDE w:val="0"/>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8.8.1 </w:t>
      </w:r>
      <w:r>
        <w:rPr>
          <w:rFonts w:ascii="Times New Roman" w:hAnsi="Times New Roman" w:eastAsia="仿宋_GB2312;仿宋" w:cs="Times New Roman"/>
          <w:sz w:val="24"/>
          <w:szCs w:val="24"/>
        </w:rPr>
        <w:t>承包人提供的施工设备和临时设施</w:t>
      </w:r>
    </w:p>
    <w:p w14:paraId="512ECE8D">
      <w:pPr>
        <w:autoSpaceDE w:val="0"/>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关于修建临时设施费用承担的约定：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122ADD8">
      <w:pPr>
        <w:pStyle w:val="5"/>
        <w:spacing w:before="120" w:after="120" w:line="360" w:lineRule="auto"/>
        <w:rPr>
          <w:rFonts w:ascii="Times New Roman" w:hAnsi="Times New Roman" w:eastAsia="黑体" w:cs="Times New Roman"/>
          <w:b w:val="0"/>
          <w:color w:val="000000"/>
          <w:sz w:val="24"/>
          <w:szCs w:val="24"/>
        </w:rPr>
      </w:pPr>
      <w:bookmarkStart w:id="183" w:name="__RefHeading___Toc351203641"/>
      <w:bookmarkEnd w:id="183"/>
      <w:r>
        <w:rPr>
          <w:rFonts w:ascii="Times New Roman" w:hAnsi="Times New Roman" w:eastAsia="黑体" w:cs="Times New Roman"/>
          <w:b w:val="0"/>
          <w:color w:val="000000"/>
          <w:sz w:val="24"/>
          <w:szCs w:val="24"/>
        </w:rPr>
        <w:t xml:space="preserve">9. </w:t>
      </w:r>
      <w:r>
        <w:rPr>
          <w:rFonts w:ascii="Times New Roman" w:hAnsi="Times New Roman" w:cs="Times New Roman"/>
          <w:b w:val="0"/>
          <w:color w:val="000000"/>
          <w:sz w:val="24"/>
          <w:szCs w:val="24"/>
        </w:rPr>
        <w:t>试验与检验</w:t>
      </w:r>
    </w:p>
    <w:p w14:paraId="2BA4FEF1">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9.1</w:t>
      </w:r>
      <w:r>
        <w:rPr>
          <w:rFonts w:ascii="Times New Roman" w:hAnsi="Times New Roman" w:eastAsia="黑体" w:cs="Times New Roman"/>
          <w:color w:val="000000"/>
          <w:sz w:val="24"/>
          <w:szCs w:val="24"/>
        </w:rPr>
        <w:t>试验设备与试验人员</w:t>
      </w:r>
    </w:p>
    <w:p w14:paraId="589931FE">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9.1.2 </w:t>
      </w:r>
      <w:r>
        <w:rPr>
          <w:rFonts w:ascii="Times New Roman" w:hAnsi="Times New Roman" w:eastAsia="仿宋_GB2312;仿宋" w:cs="Times New Roman"/>
          <w:sz w:val="24"/>
          <w:szCs w:val="24"/>
        </w:rPr>
        <w:t>试验设备</w:t>
      </w:r>
    </w:p>
    <w:p w14:paraId="2F16E71C">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施工现场需要配置的试验场所：</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2C4822E">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施工现场需要配备的试验设备：</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86BAA77">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施工现场需要具备的其他试验条件：</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8E7DDF1">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9.4 </w:t>
      </w:r>
      <w:r>
        <w:rPr>
          <w:rFonts w:ascii="Times New Roman" w:hAnsi="Times New Roman" w:eastAsia="黑体" w:cs="Times New Roman"/>
          <w:color w:val="000000"/>
          <w:sz w:val="24"/>
          <w:szCs w:val="24"/>
        </w:rPr>
        <w:t>现场工艺试验</w:t>
      </w:r>
      <w:r>
        <w:rPr>
          <w:rFonts w:ascii="Times New Roman" w:hAnsi="Times New Roman" w:eastAsia="Times New Roman" w:cs="Times New Roman"/>
          <w:color w:val="000000"/>
          <w:sz w:val="24"/>
          <w:szCs w:val="24"/>
        </w:rPr>
        <w:t xml:space="preserve"> </w:t>
      </w:r>
    </w:p>
    <w:p w14:paraId="539F70E7">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现场工艺试验的有关约定：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134906D">
      <w:pPr>
        <w:pStyle w:val="5"/>
        <w:spacing w:before="120" w:after="120" w:line="360" w:lineRule="auto"/>
        <w:rPr>
          <w:rFonts w:ascii="Times New Roman" w:hAnsi="Times New Roman" w:eastAsia="黑体" w:cs="Times New Roman"/>
          <w:b w:val="0"/>
          <w:color w:val="000000"/>
          <w:sz w:val="24"/>
          <w:szCs w:val="24"/>
        </w:rPr>
      </w:pPr>
      <w:bookmarkStart w:id="184" w:name="__RefHeading___Toc351203642"/>
      <w:bookmarkEnd w:id="184"/>
      <w:r>
        <w:rPr>
          <w:rFonts w:ascii="Times New Roman" w:hAnsi="Times New Roman" w:eastAsia="黑体" w:cs="Times New Roman"/>
          <w:b w:val="0"/>
          <w:color w:val="000000"/>
          <w:sz w:val="24"/>
          <w:szCs w:val="24"/>
        </w:rPr>
        <w:t xml:space="preserve">10. </w:t>
      </w:r>
      <w:r>
        <w:rPr>
          <w:rFonts w:ascii="Times New Roman" w:hAnsi="Times New Roman" w:cs="Times New Roman"/>
          <w:b w:val="0"/>
          <w:color w:val="000000"/>
          <w:sz w:val="24"/>
          <w:szCs w:val="24"/>
        </w:rPr>
        <w:t>变更</w:t>
      </w:r>
    </w:p>
    <w:p w14:paraId="518773F6">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10.1</w:t>
      </w:r>
      <w:r>
        <w:rPr>
          <w:rFonts w:ascii="Times New Roman" w:hAnsi="Times New Roman" w:eastAsia="黑体" w:cs="Times New Roman"/>
          <w:color w:val="000000"/>
          <w:sz w:val="24"/>
          <w:szCs w:val="24"/>
        </w:rPr>
        <w:t>变更的范围</w:t>
      </w:r>
    </w:p>
    <w:p w14:paraId="7214A08B">
      <w:pPr>
        <w:spacing w:line="360" w:lineRule="auto"/>
        <w:ind w:firstLine="60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关于变更的范围的约定：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6C2976E">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10.4 </w:t>
      </w:r>
      <w:r>
        <w:rPr>
          <w:rFonts w:ascii="Times New Roman" w:hAnsi="Times New Roman" w:eastAsia="黑体" w:cs="Times New Roman"/>
          <w:color w:val="000000"/>
          <w:sz w:val="24"/>
          <w:szCs w:val="24"/>
        </w:rPr>
        <w:t>变更估价</w:t>
      </w:r>
    </w:p>
    <w:p w14:paraId="2A571227">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10.4.1 </w:t>
      </w:r>
      <w:r>
        <w:rPr>
          <w:rFonts w:ascii="Times New Roman" w:hAnsi="Times New Roman" w:eastAsia="仿宋_GB2312;仿宋" w:cs="Times New Roman"/>
          <w:sz w:val="24"/>
          <w:szCs w:val="24"/>
        </w:rPr>
        <w:t>变更估价原则</w:t>
      </w:r>
    </w:p>
    <w:p w14:paraId="0F2830C8">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关于变更估价的约定</w:t>
      </w:r>
      <w:r>
        <w:rPr>
          <w:rFonts w:eastAsia="仿宋_GB2312;仿宋" w:cs="Times New Roman"/>
          <w:color w:val="000000"/>
          <w:sz w:val="24"/>
          <w:szCs w:val="24"/>
        </w:rPr>
        <w:t xml:space="preserve">: </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9BFBF1C">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10.5</w:t>
      </w:r>
      <w:r>
        <w:rPr>
          <w:rFonts w:ascii="Times New Roman" w:hAnsi="Times New Roman" w:eastAsia="黑体" w:cs="Times New Roman"/>
          <w:color w:val="000000"/>
          <w:sz w:val="24"/>
          <w:szCs w:val="24"/>
        </w:rPr>
        <w:t>承包人的合理化建议</w:t>
      </w:r>
    </w:p>
    <w:p w14:paraId="7E6D21B7">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监理人审查承包人合理化建议的期限：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17ABE87D">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发包人审批承包人合理化建议的期限：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6EC7CB1B">
      <w:pPr>
        <w:spacing w:line="360" w:lineRule="auto"/>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承包人提出的合理化建议降低了合同价格或者提高了工程经济效益的奖励的方法和金额为：</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508E2006">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10.7 </w:t>
      </w:r>
      <w:r>
        <w:rPr>
          <w:rFonts w:ascii="Times New Roman" w:hAnsi="Times New Roman" w:eastAsia="黑体" w:cs="Times New Roman"/>
          <w:color w:val="000000"/>
          <w:sz w:val="24"/>
          <w:szCs w:val="24"/>
        </w:rPr>
        <w:t>暂估价</w:t>
      </w:r>
    </w:p>
    <w:p w14:paraId="094FB293">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kern w:val="0"/>
          <w:sz w:val="24"/>
          <w:szCs w:val="24"/>
        </w:rPr>
        <w:t>暂估价材料和工程设备的明细详见附件</w:t>
      </w:r>
      <w:r>
        <w:rPr>
          <w:rFonts w:eastAsia="仿宋_GB2312;仿宋" w:cs="Times New Roman"/>
          <w:kern w:val="0"/>
          <w:sz w:val="24"/>
          <w:szCs w:val="24"/>
        </w:rPr>
        <w:t>11</w:t>
      </w:r>
      <w:r>
        <w:rPr>
          <w:rFonts w:ascii="Times New Roman" w:hAnsi="Times New Roman" w:eastAsia="仿宋_GB2312;仿宋" w:cs="Times New Roman"/>
          <w:kern w:val="0"/>
          <w:sz w:val="24"/>
          <w:szCs w:val="24"/>
        </w:rPr>
        <w:t>：《</w:t>
      </w:r>
      <w:r>
        <w:rPr>
          <w:rFonts w:ascii="Times New Roman" w:hAnsi="Times New Roman" w:eastAsia="仿宋_GB2312;仿宋" w:cs="Times New Roman"/>
          <w:color w:val="000000"/>
          <w:sz w:val="24"/>
          <w:szCs w:val="24"/>
        </w:rPr>
        <w:t>暂估价一览表》</w:t>
      </w:r>
      <w:r>
        <w:rPr>
          <w:rFonts w:ascii="Times New Roman" w:hAnsi="Times New Roman" w:eastAsia="仿宋_GB2312;仿宋" w:cs="Times New Roman"/>
          <w:kern w:val="0"/>
          <w:sz w:val="24"/>
          <w:szCs w:val="24"/>
        </w:rPr>
        <w:t>。</w:t>
      </w:r>
    </w:p>
    <w:p w14:paraId="53C7A5B3">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10.7.1 </w:t>
      </w:r>
      <w:r>
        <w:rPr>
          <w:rFonts w:ascii="Times New Roman" w:hAnsi="Times New Roman" w:eastAsia="仿宋_GB2312;仿宋" w:cs="Times New Roman"/>
          <w:sz w:val="24"/>
          <w:szCs w:val="24"/>
        </w:rPr>
        <w:t>依法必须招标的暂估价项目</w:t>
      </w:r>
    </w:p>
    <w:p w14:paraId="0982B2F5">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对于依法必须招标的暂估价项目的确认和批准采取第</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种方式确定。</w:t>
      </w:r>
    </w:p>
    <w:p w14:paraId="5603E0F5">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10.7.2 </w:t>
      </w:r>
      <w:r>
        <w:rPr>
          <w:rFonts w:ascii="Times New Roman" w:hAnsi="Times New Roman" w:eastAsia="仿宋_GB2312;仿宋" w:cs="Times New Roman"/>
          <w:sz w:val="24"/>
          <w:szCs w:val="24"/>
        </w:rPr>
        <w:t>不属于依法必须招标的暂估价项目</w:t>
      </w:r>
    </w:p>
    <w:p w14:paraId="68F486E4">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对于不属于依法必须招标的暂估价项目的确认和批准采取第</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sz w:val="24"/>
          <w:szCs w:val="24"/>
        </w:rPr>
        <w:t xml:space="preserve"> </w:t>
      </w:r>
      <w:r>
        <w:rPr>
          <w:rFonts w:ascii="Times New Roman" w:hAnsi="Times New Roman" w:eastAsia="仿宋_GB2312;仿宋" w:cs="Times New Roman"/>
          <w:sz w:val="24"/>
          <w:szCs w:val="24"/>
        </w:rPr>
        <w:t>种方式确定。</w:t>
      </w:r>
    </w:p>
    <w:p w14:paraId="79F8817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种方式：</w:t>
      </w:r>
      <w:r>
        <w:rPr>
          <w:rFonts w:ascii="Times New Roman" w:hAnsi="Times New Roman" w:eastAsia="仿宋_GB2312;仿宋" w:cs="Times New Roman"/>
          <w:color w:val="000000"/>
          <w:kern w:val="0"/>
          <w:sz w:val="24"/>
          <w:szCs w:val="24"/>
        </w:rPr>
        <w:t>承包人直接实施的暂估价项目</w:t>
      </w:r>
    </w:p>
    <w:p w14:paraId="779E39E6">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承包人直接实施的暂估价项目的约定：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D94CBA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10.8 </w:t>
      </w:r>
      <w:r>
        <w:rPr>
          <w:rFonts w:ascii="Times New Roman" w:hAnsi="Times New Roman" w:eastAsia="黑体" w:cs="Times New Roman"/>
          <w:color w:val="000000"/>
          <w:sz w:val="24"/>
          <w:szCs w:val="24"/>
        </w:rPr>
        <w:t>暂列金额</w:t>
      </w:r>
    </w:p>
    <w:p w14:paraId="370E0AB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合同当事人关于暂列金额使用的约定：</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u w:val="single"/>
          <w:lang w:val="en-US" w:eastAsia="zh-CN"/>
        </w:rPr>
        <w:t>按相关规范执行</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color w:val="000000"/>
          <w:kern w:val="0"/>
          <w:sz w:val="24"/>
          <w:szCs w:val="24"/>
        </w:rPr>
        <w:t>。</w:t>
      </w:r>
    </w:p>
    <w:p w14:paraId="3FC52B79">
      <w:pPr>
        <w:pStyle w:val="5"/>
        <w:spacing w:before="120" w:after="120" w:line="360" w:lineRule="auto"/>
        <w:rPr>
          <w:rFonts w:ascii="Times New Roman" w:hAnsi="Times New Roman" w:eastAsia="黑体" w:cs="Times New Roman"/>
          <w:b w:val="0"/>
          <w:color w:val="000000"/>
          <w:sz w:val="24"/>
          <w:szCs w:val="24"/>
        </w:rPr>
      </w:pPr>
      <w:bookmarkStart w:id="185" w:name="__RefHeading___Toc351203643"/>
      <w:bookmarkEnd w:id="185"/>
      <w:r>
        <w:rPr>
          <w:rFonts w:ascii="Times New Roman" w:hAnsi="Times New Roman" w:eastAsia="黑体" w:cs="Times New Roman"/>
          <w:b w:val="0"/>
          <w:color w:val="000000"/>
          <w:sz w:val="24"/>
          <w:szCs w:val="24"/>
        </w:rPr>
        <w:t xml:space="preserve">11. </w:t>
      </w:r>
      <w:r>
        <w:rPr>
          <w:rFonts w:ascii="Times New Roman" w:hAnsi="Times New Roman" w:cs="Times New Roman"/>
          <w:b w:val="0"/>
          <w:color w:val="000000"/>
          <w:sz w:val="24"/>
          <w:szCs w:val="24"/>
        </w:rPr>
        <w:t>价格调整</w:t>
      </w:r>
    </w:p>
    <w:p w14:paraId="6471EEF0">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11.1 </w:t>
      </w:r>
      <w:r>
        <w:rPr>
          <w:rFonts w:ascii="Times New Roman" w:hAnsi="Times New Roman" w:eastAsia="黑体" w:cs="Times New Roman"/>
          <w:color w:val="000000"/>
          <w:sz w:val="24"/>
          <w:szCs w:val="24"/>
        </w:rPr>
        <w:t>市场价格波动引起的调整</w:t>
      </w:r>
    </w:p>
    <w:p w14:paraId="36BA47AD">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市场价格波动是否调整合同价格的约定：</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3655545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因市场价格波动调整合同价格，采用以下</w:t>
      </w:r>
      <w:r>
        <w:rPr>
          <w:rFonts w:ascii="Times New Roman" w:hAnsi="Times New Roman" w:eastAsia="仿宋_GB2312;仿宋" w:cs="Times New Roman"/>
          <w:sz w:val="24"/>
          <w:szCs w:val="24"/>
        </w:rPr>
        <w:t>第</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color w:val="000000"/>
          <w:sz w:val="24"/>
          <w:szCs w:val="24"/>
        </w:rPr>
        <w:t>种方式对合同价格进行调整：</w:t>
      </w:r>
    </w:p>
    <w:p w14:paraId="2D20EF7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种方式：采用价格指数进行价格调整。</w:t>
      </w:r>
    </w:p>
    <w:p w14:paraId="678B11E0">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关于各可调因子、定值和变值权重，以及基本价格指数及其来源的约定：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24D5CEA5">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种方式：采用造价信息进行价格调整。</w:t>
      </w:r>
    </w:p>
    <w:p w14:paraId="523FD484">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）关于基准价格的约定：</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1FCF173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专用合同条款</w:t>
      </w:r>
      <w:r>
        <w:rPr>
          <w:rFonts w:ascii="宋体" w:hAnsi="宋体" w:cs="宋体"/>
          <w:color w:val="000000"/>
          <w:sz w:val="24"/>
          <w:szCs w:val="24"/>
        </w:rPr>
        <w:t>①</w:t>
      </w:r>
      <w:r>
        <w:rPr>
          <w:rFonts w:ascii="Times New Roman" w:hAnsi="Times New Roman" w:eastAsia="仿宋_GB2312;仿宋" w:cs="Times New Roman"/>
          <w:color w:val="000000"/>
          <w:sz w:val="24"/>
          <w:szCs w:val="24"/>
        </w:rPr>
        <w:t>承包人在已标价工程量清单或预算书中载明的材料单价低于基准价格的：专用合同条款合同履行期间材料单价涨幅以基准价格为基础超过</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时，或材料单价跌幅以已标价工程量清单或预算书中载明材料单价为基础超过</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时，其超过部分据实调整。</w:t>
      </w:r>
    </w:p>
    <w:p w14:paraId="49DA7511">
      <w:pPr>
        <w:spacing w:line="360" w:lineRule="auto"/>
        <w:ind w:firstLine="480"/>
        <w:jc w:val="left"/>
        <w:rPr>
          <w:rFonts w:ascii="Times New Roman" w:hAnsi="Times New Roman" w:eastAsia="仿宋_GB2312;仿宋" w:cs="Times New Roman"/>
          <w:color w:val="000000"/>
          <w:sz w:val="24"/>
          <w:szCs w:val="24"/>
        </w:rPr>
      </w:pPr>
      <w:r>
        <w:rPr>
          <w:rFonts w:ascii="宋体" w:hAnsi="宋体" w:cs="宋体"/>
          <w:color w:val="000000"/>
          <w:sz w:val="24"/>
          <w:szCs w:val="24"/>
        </w:rPr>
        <w:t>②</w:t>
      </w:r>
      <w:r>
        <w:rPr>
          <w:rFonts w:ascii="Times New Roman" w:hAnsi="Times New Roman" w:eastAsia="仿宋_GB2312;仿宋" w:cs="Times New Roman"/>
          <w:color w:val="000000"/>
          <w:sz w:val="24"/>
          <w:szCs w:val="24"/>
        </w:rPr>
        <w:t>承包人在已标价工程量清单或预算书中载明的材料单价高于基准价格的：专用合同条款合同履行期间材料单价跌幅以基准价格为基础超过</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时，材料单价涨幅以已标价工程量清单或预算书中载明材料单价为基础超过</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时，其超过部分据实调整。</w:t>
      </w:r>
    </w:p>
    <w:p w14:paraId="2ECA6589">
      <w:pPr>
        <w:spacing w:line="360" w:lineRule="auto"/>
        <w:ind w:firstLine="645"/>
        <w:jc w:val="left"/>
        <w:rPr>
          <w:rFonts w:ascii="Times New Roman" w:hAnsi="Times New Roman" w:eastAsia="仿宋_GB2312;仿宋" w:cs="Times New Roman"/>
          <w:color w:val="000000"/>
          <w:sz w:val="24"/>
          <w:szCs w:val="24"/>
        </w:rPr>
      </w:pPr>
      <w:r>
        <w:rPr>
          <w:rFonts w:ascii="宋体" w:hAnsi="宋体" w:cs="宋体"/>
          <w:color w:val="000000"/>
          <w:sz w:val="24"/>
          <w:szCs w:val="24"/>
        </w:rPr>
        <w:t>③</w:t>
      </w:r>
      <w:r>
        <w:rPr>
          <w:rFonts w:ascii="Times New Roman" w:hAnsi="Times New Roman" w:eastAsia="仿宋_GB2312;仿宋" w:cs="Times New Roman"/>
          <w:color w:val="000000"/>
          <w:sz w:val="24"/>
          <w:szCs w:val="24"/>
        </w:rPr>
        <w:t>承包人在已标价工程量清单或预算书中载明的材料单价等于基准单价的：专用合同条款合同履行期间材料单价涨跌幅以基准单价为基础超过</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时，其超过部分据实调整。</w:t>
      </w:r>
    </w:p>
    <w:p w14:paraId="0C224007">
      <w:pPr>
        <w:spacing w:line="360" w:lineRule="auto"/>
        <w:ind w:firstLine="645"/>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种方式：其他价格调整方式：</w:t>
      </w:r>
      <w:r>
        <w:rPr>
          <w:rFonts w:ascii="Times New Roman" w:hAnsi="Times New Roman" w:eastAsia="Times New Roman" w:cs="Times New Roman"/>
          <w:color w:val="000000"/>
          <w:sz w:val="24"/>
          <w:szCs w:val="24"/>
          <w:u w:val="single"/>
        </w:rPr>
        <w:t xml:space="preserve">                        </w:t>
      </w:r>
      <w:bookmarkStart w:id="186" w:name="__RefHeading___Toc351203644"/>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787C819">
      <w:pPr>
        <w:spacing w:line="360" w:lineRule="auto"/>
        <w:ind w:firstLine="645"/>
        <w:jc w:val="left"/>
        <w:rPr>
          <w:rFonts w:ascii="Times New Roman" w:hAnsi="Times New Roman" w:eastAsia="黑体" w:cs="Times New Roman"/>
          <w:b w:val="0"/>
          <w:color w:val="000000"/>
          <w:sz w:val="24"/>
          <w:szCs w:val="24"/>
        </w:rPr>
      </w:pPr>
      <w:r>
        <w:rPr>
          <w:rFonts w:eastAsia="黑体" w:cs="Times New Roman"/>
          <w:b w:val="0"/>
          <w:color w:val="000000"/>
          <w:sz w:val="24"/>
          <w:szCs w:val="24"/>
        </w:rPr>
        <w:t xml:space="preserve">12. </w:t>
      </w:r>
      <w:r>
        <w:rPr>
          <w:rFonts w:ascii="Times New Roman" w:hAnsi="Times New Roman" w:eastAsia="黑体" w:cs="Times New Roman"/>
          <w:b w:val="0"/>
          <w:color w:val="000000"/>
          <w:sz w:val="24"/>
          <w:szCs w:val="24"/>
        </w:rPr>
        <w:t>合同价格、计量与支付</w:t>
      </w:r>
      <w:bookmarkEnd w:id="186"/>
    </w:p>
    <w:p w14:paraId="3E9B09E8">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12.1 </w:t>
      </w:r>
      <w:r>
        <w:rPr>
          <w:rFonts w:ascii="Times New Roman" w:hAnsi="Times New Roman" w:eastAsia="黑体" w:cs="Times New Roman"/>
          <w:color w:val="000000"/>
          <w:sz w:val="24"/>
          <w:szCs w:val="24"/>
        </w:rPr>
        <w:t>合同价格形式</w:t>
      </w:r>
    </w:p>
    <w:p w14:paraId="2690E6A4">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、单价合同。</w:t>
      </w:r>
    </w:p>
    <w:p w14:paraId="7A3AF511">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综合单价包含的风险范围：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932F2BF">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风险费用的计算方法：</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63ECAA2">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风险范围以外合同价格的调整方法：</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15771C6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、总价合同。</w:t>
      </w:r>
    </w:p>
    <w:p w14:paraId="7F98DBC2">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总价包含的风险范围：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B1B8B51">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风险费用的计算方法：</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CDC204D">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风险范围以外合同价格的调整方法：</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0DEC27A7">
      <w:pPr>
        <w:spacing w:line="360" w:lineRule="auto"/>
        <w:ind w:firstLine="480"/>
        <w:jc w:val="left"/>
        <w:rPr>
          <w:rFonts w:ascii="Times New Roman" w:hAnsi="Times New Roman" w:eastAsia="仿宋_GB2312;仿宋" w:cs="Times New Roman"/>
          <w:color w:val="000000"/>
          <w:sz w:val="24"/>
          <w:szCs w:val="24"/>
          <w:u w:val="single"/>
        </w:rPr>
      </w:pP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、其他价格方式：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2DBA721">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12.2 </w:t>
      </w:r>
      <w:r>
        <w:rPr>
          <w:rFonts w:ascii="Times New Roman" w:hAnsi="Times New Roman" w:eastAsia="黑体" w:cs="Times New Roman"/>
          <w:color w:val="000000"/>
          <w:sz w:val="24"/>
          <w:szCs w:val="24"/>
        </w:rPr>
        <w:t>预付款</w:t>
      </w:r>
    </w:p>
    <w:p w14:paraId="74403EB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12.2.1 </w:t>
      </w:r>
      <w:r>
        <w:rPr>
          <w:rFonts w:ascii="Times New Roman" w:hAnsi="Times New Roman" w:eastAsia="仿宋_GB2312;仿宋" w:cs="Times New Roman"/>
          <w:color w:val="000000"/>
          <w:sz w:val="24"/>
          <w:szCs w:val="24"/>
        </w:rPr>
        <w:t>预付款的支付</w:t>
      </w:r>
    </w:p>
    <w:p w14:paraId="043D60E6">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预付款支付比例或金额：</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u w:val="single"/>
          <w:lang w:val="en-US" w:eastAsia="zh-CN"/>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2C1C6EC">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预付款支付期限：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D49198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预付款扣回的方式：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75FDDD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12.2.2 </w:t>
      </w:r>
      <w:r>
        <w:rPr>
          <w:rFonts w:ascii="Times New Roman" w:hAnsi="Times New Roman" w:eastAsia="仿宋_GB2312;仿宋" w:cs="Times New Roman"/>
          <w:color w:val="000000"/>
          <w:sz w:val="24"/>
          <w:szCs w:val="24"/>
        </w:rPr>
        <w:t>预付款担保</w:t>
      </w:r>
    </w:p>
    <w:p w14:paraId="17068E82">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承包人提交预付款担保的期限：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1E7CAE5">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预付款担保的形式为：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9D72B61">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12.3 </w:t>
      </w:r>
      <w:r>
        <w:rPr>
          <w:rFonts w:ascii="Times New Roman" w:hAnsi="Times New Roman" w:eastAsia="黑体" w:cs="Times New Roman"/>
          <w:color w:val="000000"/>
          <w:sz w:val="24"/>
          <w:szCs w:val="24"/>
        </w:rPr>
        <w:t>计量</w:t>
      </w:r>
    </w:p>
    <w:p w14:paraId="199C2A7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12.3.1 </w:t>
      </w:r>
      <w:r>
        <w:rPr>
          <w:rFonts w:ascii="Times New Roman" w:hAnsi="Times New Roman" w:eastAsia="仿宋_GB2312;仿宋" w:cs="Times New Roman"/>
          <w:color w:val="000000"/>
          <w:sz w:val="24"/>
          <w:szCs w:val="24"/>
        </w:rPr>
        <w:t>计量原则</w:t>
      </w:r>
    </w:p>
    <w:p w14:paraId="6264B55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工程量计算规则：</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D64821E">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12.3.2 </w:t>
      </w:r>
      <w:r>
        <w:rPr>
          <w:rFonts w:ascii="Times New Roman" w:hAnsi="Times New Roman" w:eastAsia="仿宋_GB2312;仿宋" w:cs="Times New Roman"/>
          <w:color w:val="000000"/>
          <w:sz w:val="24"/>
          <w:szCs w:val="24"/>
        </w:rPr>
        <w:t>计量周期</w:t>
      </w:r>
    </w:p>
    <w:p w14:paraId="4E8DFF4C">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关于计量周期的约定：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A131DD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12.3.3 </w:t>
      </w:r>
      <w:r>
        <w:rPr>
          <w:rFonts w:ascii="Times New Roman" w:hAnsi="Times New Roman" w:eastAsia="仿宋_GB2312;仿宋" w:cs="Times New Roman"/>
          <w:color w:val="000000"/>
          <w:sz w:val="24"/>
          <w:szCs w:val="24"/>
        </w:rPr>
        <w:t>单价合同的计量</w:t>
      </w:r>
    </w:p>
    <w:p w14:paraId="17A5A6E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关于单价合同计量的约定：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8FE0D73">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12.3.4 </w:t>
      </w:r>
      <w:r>
        <w:rPr>
          <w:rFonts w:ascii="Times New Roman" w:hAnsi="Times New Roman" w:eastAsia="仿宋_GB2312;仿宋" w:cs="Times New Roman"/>
          <w:color w:val="000000"/>
          <w:sz w:val="24"/>
          <w:szCs w:val="24"/>
        </w:rPr>
        <w:t>总价合同的计量</w:t>
      </w:r>
    </w:p>
    <w:p w14:paraId="0924A70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关于总价合同计量的约定：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1E4C4FC">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12.3.5</w:t>
      </w:r>
      <w:r>
        <w:rPr>
          <w:rFonts w:ascii="Times New Roman" w:hAnsi="Times New Roman" w:eastAsia="仿宋_GB2312;仿宋" w:cs="Times New Roman"/>
          <w:color w:val="000000"/>
          <w:sz w:val="24"/>
          <w:szCs w:val="24"/>
        </w:rPr>
        <w:t>总价合同采用支付分解表计量支付的，是否适用第</w:t>
      </w:r>
      <w:r>
        <w:rPr>
          <w:rFonts w:eastAsia="仿宋_GB2312;仿宋" w:cs="Times New Roman"/>
          <w:color w:val="000000"/>
          <w:kern w:val="0"/>
          <w:sz w:val="24"/>
          <w:szCs w:val="24"/>
        </w:rPr>
        <w:t xml:space="preserve">12.3.4 </w:t>
      </w:r>
      <w:r>
        <w:rPr>
          <w:rFonts w:ascii="Times New Roman" w:hAnsi="Times New Roman" w:eastAsia="仿宋_GB2312;仿宋" w:cs="Times New Roman"/>
          <w:color w:val="000000"/>
          <w:sz w:val="24"/>
          <w:szCs w:val="24"/>
        </w:rPr>
        <w:t>项</w:t>
      </w:r>
      <w:r>
        <w:rPr>
          <w:rFonts w:ascii="Times New Roman" w:hAnsi="Times New Roman" w:eastAsia="仿宋_GB2312;仿宋" w:cs="Times New Roman"/>
          <w:color w:val="000000"/>
          <w:kern w:val="0"/>
          <w:sz w:val="24"/>
          <w:szCs w:val="24"/>
        </w:rPr>
        <w:t>〔总价合同的计量〕</w:t>
      </w:r>
      <w:r>
        <w:rPr>
          <w:rFonts w:ascii="Times New Roman" w:hAnsi="Times New Roman" w:eastAsia="仿宋_GB2312;仿宋" w:cs="Times New Roman"/>
          <w:color w:val="000000"/>
          <w:sz w:val="24"/>
          <w:szCs w:val="24"/>
        </w:rPr>
        <w:t>约定进行计量：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83824E3">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12.3.6 </w:t>
      </w:r>
      <w:r>
        <w:rPr>
          <w:rFonts w:ascii="Times New Roman" w:hAnsi="Times New Roman" w:eastAsia="仿宋_GB2312;仿宋" w:cs="Times New Roman"/>
          <w:color w:val="000000"/>
          <w:sz w:val="24"/>
          <w:szCs w:val="24"/>
        </w:rPr>
        <w:t>其他价格形式合同的计量</w:t>
      </w:r>
    </w:p>
    <w:p w14:paraId="1B4FD39B">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其他价格形式的计量方式和程序：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79D105B">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12.4 </w:t>
      </w:r>
      <w:r>
        <w:rPr>
          <w:rFonts w:ascii="Times New Roman" w:hAnsi="Times New Roman" w:eastAsia="黑体" w:cs="Times New Roman"/>
          <w:color w:val="000000"/>
          <w:sz w:val="24"/>
          <w:szCs w:val="24"/>
        </w:rPr>
        <w:t>工程进度款支付</w:t>
      </w:r>
    </w:p>
    <w:p w14:paraId="72ADC5C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12.4.1 </w:t>
      </w:r>
      <w:r>
        <w:rPr>
          <w:rFonts w:ascii="Times New Roman" w:hAnsi="Times New Roman" w:eastAsia="仿宋_GB2312;仿宋" w:cs="Times New Roman"/>
          <w:color w:val="000000"/>
          <w:sz w:val="24"/>
          <w:szCs w:val="24"/>
        </w:rPr>
        <w:t>付款周期</w:t>
      </w:r>
    </w:p>
    <w:p w14:paraId="6457854D">
      <w:pPr>
        <w:spacing w:line="360" w:lineRule="auto"/>
        <w:ind w:firstLine="480"/>
        <w:jc w:val="both"/>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关于付款周期的约定：</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u w:val="single"/>
          <w:lang w:val="en-US" w:eastAsia="zh-CN"/>
        </w:rPr>
        <w:t xml:space="preserve">                           </w:t>
      </w:r>
      <w:r>
        <w:rPr>
          <w:rFonts w:ascii="Times New Roman" w:hAnsi="Times New Roman" w:eastAsia="仿宋_GB2312;仿宋" w:cs="Times New Roman"/>
          <w:color w:val="000000"/>
          <w:sz w:val="24"/>
          <w:szCs w:val="24"/>
        </w:rPr>
        <w:t>。</w:t>
      </w:r>
    </w:p>
    <w:p w14:paraId="5267788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12.4.2 </w:t>
      </w:r>
      <w:r>
        <w:rPr>
          <w:rFonts w:ascii="Times New Roman" w:hAnsi="Times New Roman" w:eastAsia="仿宋_GB2312;仿宋" w:cs="Times New Roman"/>
          <w:color w:val="000000"/>
          <w:sz w:val="24"/>
          <w:szCs w:val="24"/>
        </w:rPr>
        <w:t>进度付款申请单的编制</w:t>
      </w:r>
    </w:p>
    <w:p w14:paraId="2A8BDA57">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关于进度付款申请单编制的约定：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F698D13">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12.4.3 </w:t>
      </w:r>
      <w:r>
        <w:rPr>
          <w:rFonts w:ascii="Times New Roman" w:hAnsi="Times New Roman" w:eastAsia="仿宋_GB2312;仿宋" w:cs="Times New Roman"/>
          <w:color w:val="000000"/>
          <w:sz w:val="24"/>
          <w:szCs w:val="24"/>
        </w:rPr>
        <w:t>进度付款申请单的提交</w:t>
      </w:r>
    </w:p>
    <w:p w14:paraId="5ACE3225">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）单价合同进度付款申请单提交的约定：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740DDD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）总价合同进度付款申请单提交的约定：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B0111F3">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）其他价格形式合同进度付款申请单提交的约定：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BF53E5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12.4.4 </w:t>
      </w:r>
      <w:r>
        <w:rPr>
          <w:rFonts w:ascii="Times New Roman" w:hAnsi="Times New Roman" w:eastAsia="仿宋_GB2312;仿宋" w:cs="Times New Roman"/>
          <w:color w:val="000000"/>
          <w:sz w:val="24"/>
          <w:szCs w:val="24"/>
        </w:rPr>
        <w:t>进度款审核和支付</w:t>
      </w:r>
    </w:p>
    <w:p w14:paraId="23DACA7C">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）监理人审查并报送发包人的期限：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CC16879">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发包人完成审批并签发进度款支付证书的期限：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E45B54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）发包人支付进度款的期限：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8EED39B">
      <w:pPr>
        <w:spacing w:line="360" w:lineRule="auto"/>
        <w:ind w:firstLine="60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发包人逾期支付进度款的违约金的计算方式：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7780181">
      <w:pPr>
        <w:spacing w:line="360" w:lineRule="auto"/>
        <w:ind w:firstLine="60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12.4.6 </w:t>
      </w:r>
      <w:r>
        <w:rPr>
          <w:rFonts w:ascii="Times New Roman" w:hAnsi="Times New Roman" w:eastAsia="仿宋_GB2312;仿宋" w:cs="Times New Roman"/>
          <w:color w:val="000000"/>
          <w:sz w:val="24"/>
          <w:szCs w:val="24"/>
        </w:rPr>
        <w:t>支付分解表的编制</w:t>
      </w:r>
    </w:p>
    <w:p w14:paraId="43636575">
      <w:pPr>
        <w:spacing w:line="360" w:lineRule="auto"/>
        <w:ind w:firstLine="480"/>
        <w:jc w:val="left"/>
        <w:rPr>
          <w:rFonts w:ascii="Times New Roman" w:hAnsi="Times New Roman" w:eastAsia="仿宋_GB2312;仿宋" w:cs="Times New Roman"/>
          <w:color w:val="000000"/>
          <w:sz w:val="24"/>
          <w:szCs w:val="24"/>
          <w:u w:val="single"/>
        </w:rPr>
      </w:pP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、总价合同支付分解表的编制与审批：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86A5B59">
      <w:pPr>
        <w:spacing w:line="360" w:lineRule="auto"/>
        <w:ind w:firstLine="480"/>
        <w:jc w:val="left"/>
        <w:rPr>
          <w:rFonts w:ascii="Times New Roman" w:hAnsi="Times New Roman" w:eastAsia="仿宋_GB2312;仿宋" w:cs="Times New Roman"/>
          <w:color w:val="000000"/>
          <w:sz w:val="24"/>
          <w:szCs w:val="24"/>
          <w:u w:val="single"/>
        </w:rPr>
      </w:pP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、单价合同的总价项目支付分解表的编制与审批：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4754E000">
      <w:pPr>
        <w:pStyle w:val="5"/>
        <w:spacing w:before="120" w:after="120" w:line="360" w:lineRule="auto"/>
        <w:rPr>
          <w:rFonts w:ascii="Times New Roman" w:hAnsi="Times New Roman" w:eastAsia="黑体" w:cs="Times New Roman"/>
          <w:b w:val="0"/>
          <w:color w:val="000000"/>
          <w:sz w:val="24"/>
          <w:szCs w:val="24"/>
        </w:rPr>
      </w:pPr>
      <w:bookmarkStart w:id="187" w:name="__RefHeading___Toc351203645"/>
      <w:bookmarkEnd w:id="187"/>
      <w:r>
        <w:rPr>
          <w:rFonts w:ascii="Times New Roman" w:hAnsi="Times New Roman" w:eastAsia="黑体" w:cs="Times New Roman"/>
          <w:b w:val="0"/>
          <w:color w:val="000000"/>
          <w:sz w:val="24"/>
          <w:szCs w:val="24"/>
        </w:rPr>
        <w:t xml:space="preserve">13. </w:t>
      </w:r>
      <w:r>
        <w:rPr>
          <w:rFonts w:ascii="Times New Roman" w:hAnsi="Times New Roman" w:cs="Times New Roman"/>
          <w:b w:val="0"/>
          <w:color w:val="000000"/>
          <w:sz w:val="24"/>
          <w:szCs w:val="24"/>
        </w:rPr>
        <w:t>验收和工程试车</w:t>
      </w:r>
    </w:p>
    <w:p w14:paraId="1EDEA625">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13.1 </w:t>
      </w:r>
      <w:r>
        <w:rPr>
          <w:rFonts w:ascii="Times New Roman" w:hAnsi="Times New Roman" w:eastAsia="黑体" w:cs="Times New Roman"/>
          <w:color w:val="000000"/>
          <w:sz w:val="24"/>
          <w:szCs w:val="24"/>
        </w:rPr>
        <w:t>分部分项工程验收</w:t>
      </w:r>
    </w:p>
    <w:p w14:paraId="319ED523">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13.1.2</w:t>
      </w:r>
      <w:r>
        <w:rPr>
          <w:rFonts w:ascii="Times New Roman" w:hAnsi="Times New Roman" w:eastAsia="仿宋_GB2312;仿宋" w:cs="Times New Roman"/>
          <w:sz w:val="24"/>
          <w:szCs w:val="24"/>
        </w:rPr>
        <w:t>监理人不能按时进行验收时，应提前</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小时提交书面延期要求。</w:t>
      </w:r>
    </w:p>
    <w:p w14:paraId="41E1B8D4">
      <w:pPr>
        <w:spacing w:line="360" w:lineRule="auto"/>
        <w:ind w:firstLine="480"/>
        <w:jc w:val="left"/>
        <w:rPr>
          <w:rFonts w:ascii="Times New Roman" w:hAnsi="Times New Roman" w:eastAsia="仿宋_GB2312;仿宋" w:cs="Times New Roman"/>
          <w:b/>
          <w:color w:val="000000"/>
          <w:sz w:val="24"/>
          <w:szCs w:val="24"/>
        </w:rPr>
      </w:pPr>
      <w:r>
        <w:rPr>
          <w:rFonts w:ascii="Times New Roman" w:hAnsi="Times New Roman" w:eastAsia="仿宋_GB2312;仿宋" w:cs="Times New Roman"/>
          <w:sz w:val="24"/>
          <w:szCs w:val="24"/>
        </w:rPr>
        <w:t>关于延期最长不得超过：</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小时。</w:t>
      </w:r>
    </w:p>
    <w:p w14:paraId="2D13BC6E">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13.2 </w:t>
      </w:r>
      <w:r>
        <w:rPr>
          <w:rFonts w:ascii="Times New Roman" w:hAnsi="Times New Roman" w:eastAsia="黑体" w:cs="Times New Roman"/>
          <w:color w:val="000000"/>
          <w:sz w:val="24"/>
          <w:szCs w:val="24"/>
        </w:rPr>
        <w:t>竣工验收</w:t>
      </w:r>
    </w:p>
    <w:p w14:paraId="6640EEA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13.2.2</w:t>
      </w:r>
      <w:r>
        <w:rPr>
          <w:rFonts w:ascii="Times New Roman" w:hAnsi="Times New Roman" w:eastAsia="仿宋_GB2312;仿宋" w:cs="Times New Roman"/>
          <w:color w:val="000000"/>
          <w:sz w:val="24"/>
          <w:szCs w:val="24"/>
        </w:rPr>
        <w:t>竣工验收程序</w:t>
      </w:r>
    </w:p>
    <w:p w14:paraId="66A6E775">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关于竣工验收程序的约定：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6E926A0">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发包人不按照本项约定组织竣工验收、颁发工程接收证书的违约金的计算方法：</w:t>
      </w:r>
      <w:r>
        <w:rPr>
          <w:rFonts w:ascii="Times New Roman" w:hAnsi="Times New Roman" w:eastAsia="Times New Roman" w:cs="Times New Roman"/>
          <w:color w:val="000000"/>
          <w:sz w:val="24"/>
          <w:szCs w:val="24"/>
          <w:u w:val="single"/>
        </w:rPr>
        <w:t xml:space="preserve">                                         </w:t>
      </w:r>
    </w:p>
    <w:p w14:paraId="587E8971">
      <w:pPr>
        <w:spacing w:line="360" w:lineRule="auto"/>
        <w:jc w:val="left"/>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474FD8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13.2.5</w:t>
      </w:r>
      <w:r>
        <w:rPr>
          <w:rFonts w:ascii="Times New Roman" w:hAnsi="Times New Roman" w:eastAsia="仿宋_GB2312;仿宋" w:cs="Times New Roman"/>
          <w:color w:val="000000"/>
          <w:sz w:val="24"/>
          <w:szCs w:val="24"/>
        </w:rPr>
        <w:t>移交、接收全部与部分工程</w:t>
      </w:r>
    </w:p>
    <w:p w14:paraId="0BFCAEC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承包人向发包人移交工程的期限：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39EE31B">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发包人未按本合同约定接收全部或部分工程的，违约金的计算方法为：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E1CE72F">
      <w:pPr>
        <w:spacing w:line="360" w:lineRule="auto"/>
        <w:jc w:val="both"/>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承包人未按时移交工程的，违约金的计算方法为：</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u w:val="single"/>
          <w:lang w:val="en-US" w:eastAsia="zh-CN"/>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8DF4C8E">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13.3 </w:t>
      </w:r>
      <w:r>
        <w:rPr>
          <w:rFonts w:ascii="Times New Roman" w:hAnsi="Times New Roman" w:eastAsia="黑体" w:cs="Times New Roman"/>
          <w:color w:val="000000"/>
          <w:sz w:val="24"/>
          <w:szCs w:val="24"/>
        </w:rPr>
        <w:t>工程试车</w:t>
      </w:r>
    </w:p>
    <w:p w14:paraId="707FBAE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13.3.1 </w:t>
      </w:r>
      <w:r>
        <w:rPr>
          <w:rFonts w:ascii="Times New Roman" w:hAnsi="Times New Roman" w:eastAsia="仿宋_GB2312;仿宋" w:cs="Times New Roman"/>
          <w:color w:val="000000"/>
          <w:kern w:val="0"/>
          <w:sz w:val="24"/>
          <w:szCs w:val="24"/>
        </w:rPr>
        <w:t>试车程序</w:t>
      </w:r>
    </w:p>
    <w:p w14:paraId="3B6C6FE6">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工程试车内容：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D5B6AB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）单机无负荷试车费用由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承担；</w:t>
      </w:r>
    </w:p>
    <w:p w14:paraId="5629344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）无负荷联动试车费用由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承担。</w:t>
      </w:r>
    </w:p>
    <w:p w14:paraId="00E9985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13.3.3 </w:t>
      </w:r>
      <w:r>
        <w:rPr>
          <w:rFonts w:ascii="Times New Roman" w:hAnsi="Times New Roman" w:eastAsia="仿宋_GB2312;仿宋" w:cs="Times New Roman"/>
          <w:color w:val="000000"/>
          <w:kern w:val="0"/>
          <w:sz w:val="24"/>
          <w:szCs w:val="24"/>
        </w:rPr>
        <w:t>投料试车</w:t>
      </w:r>
    </w:p>
    <w:p w14:paraId="2701CD7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关于投料试车相关事项的约定：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1706249">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13.6 </w:t>
      </w:r>
      <w:r>
        <w:rPr>
          <w:rFonts w:ascii="Times New Roman" w:hAnsi="Times New Roman" w:eastAsia="黑体" w:cs="Times New Roman"/>
          <w:color w:val="000000"/>
          <w:sz w:val="24"/>
          <w:szCs w:val="24"/>
        </w:rPr>
        <w:t>竣工退场</w:t>
      </w:r>
    </w:p>
    <w:p w14:paraId="3A851E3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13.6.1 </w:t>
      </w:r>
      <w:r>
        <w:rPr>
          <w:rFonts w:ascii="Times New Roman" w:hAnsi="Times New Roman" w:eastAsia="仿宋_GB2312;仿宋" w:cs="Times New Roman"/>
          <w:color w:val="000000"/>
          <w:kern w:val="0"/>
          <w:sz w:val="24"/>
          <w:szCs w:val="24"/>
        </w:rPr>
        <w:t>竣工退场</w:t>
      </w:r>
    </w:p>
    <w:p w14:paraId="2A257D9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承包人完成竣工退场的期限：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w:t>
      </w:r>
    </w:p>
    <w:p w14:paraId="730C9239">
      <w:pPr>
        <w:pStyle w:val="5"/>
        <w:spacing w:before="120" w:after="120" w:line="360" w:lineRule="auto"/>
        <w:rPr>
          <w:rFonts w:ascii="Times New Roman" w:hAnsi="Times New Roman" w:eastAsia="黑体" w:cs="Times New Roman"/>
          <w:b w:val="0"/>
          <w:color w:val="000000"/>
          <w:sz w:val="24"/>
          <w:szCs w:val="24"/>
        </w:rPr>
      </w:pPr>
      <w:bookmarkStart w:id="188" w:name="__RefHeading___Toc351203646"/>
      <w:bookmarkEnd w:id="188"/>
      <w:r>
        <w:rPr>
          <w:rFonts w:ascii="Times New Roman" w:hAnsi="Times New Roman" w:eastAsia="黑体" w:cs="Times New Roman"/>
          <w:b w:val="0"/>
          <w:color w:val="000000"/>
          <w:sz w:val="24"/>
          <w:szCs w:val="24"/>
        </w:rPr>
        <w:t xml:space="preserve">14. </w:t>
      </w:r>
      <w:r>
        <w:rPr>
          <w:rFonts w:ascii="Times New Roman" w:hAnsi="Times New Roman" w:cs="Times New Roman"/>
          <w:b w:val="0"/>
          <w:color w:val="000000"/>
          <w:sz w:val="24"/>
          <w:szCs w:val="24"/>
        </w:rPr>
        <w:t>竣工结算</w:t>
      </w:r>
    </w:p>
    <w:p w14:paraId="737CBC1D">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14.1 </w:t>
      </w:r>
      <w:r>
        <w:rPr>
          <w:rFonts w:ascii="Times New Roman" w:hAnsi="Times New Roman" w:eastAsia="黑体" w:cs="Times New Roman"/>
          <w:color w:val="000000"/>
          <w:sz w:val="24"/>
          <w:szCs w:val="24"/>
        </w:rPr>
        <w:t>竣工结算申请</w:t>
      </w:r>
    </w:p>
    <w:p w14:paraId="533F9F5C">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sz w:val="24"/>
          <w:szCs w:val="24"/>
        </w:rPr>
        <w:t>承包人提交竣工结算申请单的期限：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D8B30BC">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竣工结算申请单应包括的内容：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3840EA1">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14.2 </w:t>
      </w:r>
      <w:r>
        <w:rPr>
          <w:rFonts w:ascii="Times New Roman" w:hAnsi="Times New Roman" w:eastAsia="黑体" w:cs="Times New Roman"/>
          <w:color w:val="000000"/>
          <w:sz w:val="24"/>
          <w:szCs w:val="24"/>
        </w:rPr>
        <w:t>竣工结算审核</w:t>
      </w:r>
    </w:p>
    <w:p w14:paraId="7BD99024">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发包人审批竣工付款申请单的期限：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9C030EF">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sz w:val="24"/>
          <w:szCs w:val="24"/>
        </w:rPr>
        <w:t>发包人完成竣工付款的期限：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10D8BF1">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关于竣工付款证书异议部分复核的方式和程序：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2369C78">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14.4 </w:t>
      </w:r>
      <w:r>
        <w:rPr>
          <w:rFonts w:ascii="Times New Roman" w:hAnsi="Times New Roman" w:eastAsia="黑体" w:cs="Times New Roman"/>
          <w:color w:val="000000"/>
          <w:sz w:val="24"/>
          <w:szCs w:val="24"/>
        </w:rPr>
        <w:t>最终结清</w:t>
      </w:r>
    </w:p>
    <w:p w14:paraId="758669D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14.4.1 </w:t>
      </w:r>
      <w:r>
        <w:rPr>
          <w:rFonts w:ascii="Times New Roman" w:hAnsi="Times New Roman" w:eastAsia="仿宋_GB2312;仿宋" w:cs="Times New Roman"/>
          <w:color w:val="000000"/>
          <w:kern w:val="0"/>
          <w:sz w:val="24"/>
          <w:szCs w:val="24"/>
        </w:rPr>
        <w:t>最终结清申请单</w:t>
      </w:r>
    </w:p>
    <w:p w14:paraId="65F605F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承包人提交最终结清申请单的份数：</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265F2E8">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color w:val="000000"/>
          <w:kern w:val="0"/>
          <w:sz w:val="24"/>
          <w:szCs w:val="24"/>
        </w:rPr>
        <w:t>承包人提交最终结算申请单的期限：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sz w:val="24"/>
          <w:szCs w:val="24"/>
        </w:rPr>
        <w:t xml:space="preserve"> </w:t>
      </w:r>
    </w:p>
    <w:p w14:paraId="279AF03C">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14.4.2 </w:t>
      </w:r>
      <w:r>
        <w:rPr>
          <w:rFonts w:ascii="Times New Roman" w:hAnsi="Times New Roman" w:eastAsia="仿宋_GB2312;仿宋" w:cs="Times New Roman"/>
          <w:sz w:val="24"/>
          <w:szCs w:val="24"/>
        </w:rPr>
        <w:t>最终结清证书和支付</w:t>
      </w:r>
    </w:p>
    <w:p w14:paraId="417354F4">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1</w:t>
      </w:r>
      <w:r>
        <w:rPr>
          <w:rFonts w:ascii="Times New Roman" w:hAnsi="Times New Roman" w:eastAsia="仿宋_GB2312;仿宋" w:cs="Times New Roman"/>
          <w:sz w:val="24"/>
          <w:szCs w:val="24"/>
        </w:rPr>
        <w:t>）发包人完成最终结清申请单的审批并颁发最终结清证书的期限：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B13A8FA">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2</w:t>
      </w:r>
      <w:r>
        <w:rPr>
          <w:rFonts w:ascii="Times New Roman" w:hAnsi="Times New Roman" w:eastAsia="仿宋_GB2312;仿宋" w:cs="Times New Roman"/>
          <w:sz w:val="24"/>
          <w:szCs w:val="24"/>
        </w:rPr>
        <w:t>）发包人完成支付的期限：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13EB07B">
      <w:pPr>
        <w:pStyle w:val="5"/>
        <w:spacing w:before="120" w:after="120" w:line="360" w:lineRule="auto"/>
        <w:rPr>
          <w:rFonts w:ascii="Times New Roman" w:hAnsi="Times New Roman" w:eastAsia="黑体" w:cs="Times New Roman"/>
          <w:b w:val="0"/>
          <w:color w:val="000000"/>
          <w:sz w:val="24"/>
          <w:szCs w:val="24"/>
        </w:rPr>
      </w:pPr>
      <w:bookmarkStart w:id="189" w:name="__RefHeading___Toc351203647"/>
      <w:bookmarkEnd w:id="189"/>
      <w:r>
        <w:rPr>
          <w:rFonts w:ascii="Times New Roman" w:hAnsi="Times New Roman" w:eastAsia="黑体" w:cs="Times New Roman"/>
          <w:b w:val="0"/>
          <w:color w:val="000000"/>
          <w:sz w:val="24"/>
          <w:szCs w:val="24"/>
        </w:rPr>
        <w:t xml:space="preserve">15. </w:t>
      </w:r>
      <w:r>
        <w:rPr>
          <w:rFonts w:ascii="Times New Roman" w:hAnsi="Times New Roman" w:cs="Times New Roman"/>
          <w:b w:val="0"/>
          <w:color w:val="000000"/>
          <w:sz w:val="24"/>
          <w:szCs w:val="24"/>
        </w:rPr>
        <w:t>缺陷责任期与保修</w:t>
      </w:r>
    </w:p>
    <w:p w14:paraId="61A33C34">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15.2</w:t>
      </w:r>
      <w:r>
        <w:rPr>
          <w:rFonts w:ascii="Times New Roman" w:hAnsi="Times New Roman" w:eastAsia="黑体" w:cs="Times New Roman"/>
          <w:color w:val="000000"/>
          <w:sz w:val="24"/>
          <w:szCs w:val="24"/>
        </w:rPr>
        <w:t>缺陷责任期</w:t>
      </w:r>
    </w:p>
    <w:p w14:paraId="32CF053C">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缺陷责任期的具体期限：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A3F7E8B">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15.3 </w:t>
      </w:r>
      <w:r>
        <w:rPr>
          <w:rFonts w:ascii="Times New Roman" w:hAnsi="Times New Roman" w:eastAsia="黑体" w:cs="Times New Roman"/>
          <w:color w:val="000000"/>
          <w:sz w:val="24"/>
          <w:szCs w:val="24"/>
        </w:rPr>
        <w:t>质量保证金</w:t>
      </w:r>
    </w:p>
    <w:p w14:paraId="01BF0C0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关于是否扣留质量保证金的约定：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eastAsia="仿宋_GB2312;仿宋"/>
          <w:color w:val="000000"/>
          <w:sz w:val="24"/>
          <w:szCs w:val="24"/>
        </w:rPr>
        <w:t>在工程项目竣工前，承包人按专用合同条款第3.7条提供履约担保的，发包人不得同时预留工程质量保证金。</w:t>
      </w:r>
    </w:p>
    <w:p w14:paraId="4A0B71C8">
      <w:pPr>
        <w:numPr>
          <w:ilvl w:val="0"/>
          <w:numId w:val="0"/>
        </w:numPr>
        <w:spacing w:line="360" w:lineRule="auto"/>
        <w:ind w:firstLine="480"/>
        <w:jc w:val="left"/>
        <w:outlineLvl w:val="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15.3.1 </w:t>
      </w:r>
      <w:r>
        <w:rPr>
          <w:rFonts w:ascii="Times New Roman" w:hAnsi="Times New Roman" w:eastAsia="仿宋_GB2312;仿宋" w:cs="Times New Roman"/>
          <w:color w:val="000000"/>
          <w:sz w:val="24"/>
          <w:szCs w:val="24"/>
        </w:rPr>
        <w:t>承包人提供质量保证金的方式</w:t>
      </w:r>
    </w:p>
    <w:p w14:paraId="5828F7C9">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质量保证金采用以下第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种方式：</w:t>
      </w:r>
    </w:p>
    <w:p w14:paraId="3AA5C07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）质量保证金保函，保证金额为：</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kern w:val="0"/>
          <w:sz w:val="24"/>
          <w:szCs w:val="24"/>
        </w:rPr>
        <w:t xml:space="preserve"> </w:t>
      </w:r>
    </w:p>
    <w:p w14:paraId="4AE6A20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kern w:val="0"/>
          <w:sz w:val="24"/>
          <w:szCs w:val="24"/>
          <w:u w:val="single"/>
        </w:rPr>
        <w:t xml:space="preserve">      </w:t>
      </w:r>
      <w:r>
        <w:rPr>
          <w:rFonts w:eastAsia="仿宋_GB2312;仿宋" w:cs="Times New Roman"/>
          <w:color w:val="000000"/>
          <w:kern w:val="0"/>
          <w:sz w:val="24"/>
          <w:szCs w:val="24"/>
        </w:rPr>
        <w:t>%</w:t>
      </w:r>
      <w:r>
        <w:rPr>
          <w:rFonts w:ascii="Times New Roman" w:hAnsi="Times New Roman" w:eastAsia="仿宋_GB2312;仿宋" w:cs="Times New Roman"/>
          <w:color w:val="000000"/>
          <w:kern w:val="0"/>
          <w:sz w:val="24"/>
          <w:szCs w:val="24"/>
        </w:rPr>
        <w:t>的工程款；</w:t>
      </w:r>
    </w:p>
    <w:p w14:paraId="221FD26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）其他方式</w:t>
      </w:r>
      <w:r>
        <w:rPr>
          <w:rFonts w:eastAsia="仿宋_GB2312;仿宋" w:cs="Times New Roman"/>
          <w:color w:val="000000"/>
          <w:kern w:val="0"/>
          <w:sz w:val="24"/>
          <w:szCs w:val="24"/>
        </w:rPr>
        <w:t>:</w:t>
      </w:r>
      <w:r>
        <w:rPr>
          <w:rFonts w:eastAsia="仿宋_GB2312;仿宋"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4AF8C34A">
      <w:pPr>
        <w:numPr>
          <w:ilvl w:val="0"/>
          <w:numId w:val="0"/>
        </w:numPr>
        <w:spacing w:line="360" w:lineRule="auto"/>
        <w:ind w:firstLine="480"/>
        <w:jc w:val="left"/>
        <w:outlineLvl w:val="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15.3.2 </w:t>
      </w:r>
      <w:r>
        <w:rPr>
          <w:rFonts w:ascii="Times New Roman" w:hAnsi="Times New Roman" w:eastAsia="仿宋_GB2312;仿宋" w:cs="Times New Roman"/>
          <w:color w:val="000000"/>
          <w:sz w:val="24"/>
          <w:szCs w:val="24"/>
        </w:rPr>
        <w:t>质量保证金的扣留</w:t>
      </w:r>
      <w:r>
        <w:rPr>
          <w:rFonts w:ascii="Times New Roman" w:hAnsi="Times New Roman" w:eastAsia="Times New Roman" w:cs="Times New Roman"/>
          <w:color w:val="000000"/>
          <w:sz w:val="24"/>
          <w:szCs w:val="24"/>
        </w:rPr>
        <w:t xml:space="preserve"> </w:t>
      </w:r>
    </w:p>
    <w:p w14:paraId="26D8484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质量保证金的扣留采取以下第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种方式：</w:t>
      </w:r>
    </w:p>
    <w:p w14:paraId="00D6FBB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）在支付工程进度款时逐次扣留，在此情形下，质量保证金的计算基数不包括预付款的支付、扣回以及价格调整的金额；</w:t>
      </w:r>
    </w:p>
    <w:p w14:paraId="730D6C94">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）工程竣工结算时一次性扣留质量保证金；</w:t>
      </w:r>
    </w:p>
    <w:p w14:paraId="13CA988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）其他扣留方式</w:t>
      </w:r>
      <w:r>
        <w:rPr>
          <w:rFonts w:eastAsia="仿宋_GB2312;仿宋" w:cs="Times New Roman"/>
          <w:color w:val="000000"/>
          <w:kern w:val="0"/>
          <w:sz w:val="24"/>
          <w:szCs w:val="24"/>
        </w:rPr>
        <w:t>:</w:t>
      </w:r>
      <w:r>
        <w:rPr>
          <w:rFonts w:eastAsia="仿宋_GB2312;仿宋"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4D631B5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关于质量保证金的补充约定：</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180DAEE2">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15.4</w:t>
      </w:r>
      <w:r>
        <w:rPr>
          <w:rFonts w:ascii="Times New Roman" w:hAnsi="Times New Roman" w:eastAsia="黑体" w:cs="Times New Roman"/>
          <w:color w:val="000000"/>
          <w:sz w:val="24"/>
          <w:szCs w:val="24"/>
        </w:rPr>
        <w:t>保修</w:t>
      </w:r>
    </w:p>
    <w:p w14:paraId="410A7BD0">
      <w:pPr>
        <w:spacing w:line="360" w:lineRule="auto"/>
        <w:ind w:firstLine="468"/>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15.4.1 </w:t>
      </w:r>
      <w:r>
        <w:rPr>
          <w:rFonts w:ascii="Times New Roman" w:hAnsi="Times New Roman" w:eastAsia="仿宋_GB2312;仿宋" w:cs="Times New Roman"/>
          <w:color w:val="000000"/>
          <w:sz w:val="24"/>
          <w:szCs w:val="24"/>
        </w:rPr>
        <w:t>保修责任</w:t>
      </w:r>
    </w:p>
    <w:p w14:paraId="5A819060">
      <w:pPr>
        <w:spacing w:line="360" w:lineRule="auto"/>
        <w:ind w:firstLine="468"/>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工程保修期为：</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05FF724">
      <w:pPr>
        <w:spacing w:line="360" w:lineRule="auto"/>
        <w:ind w:firstLine="468"/>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15.4.3 </w:t>
      </w:r>
      <w:r>
        <w:rPr>
          <w:rFonts w:ascii="Times New Roman" w:hAnsi="Times New Roman" w:eastAsia="仿宋_GB2312;仿宋" w:cs="Times New Roman"/>
          <w:color w:val="000000"/>
          <w:sz w:val="24"/>
          <w:szCs w:val="24"/>
        </w:rPr>
        <w:t>修复通知</w:t>
      </w:r>
    </w:p>
    <w:p w14:paraId="617AC9CD">
      <w:pPr>
        <w:spacing w:line="360" w:lineRule="auto"/>
        <w:ind w:firstLine="468"/>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承包人收到保修通知并到达工程现场的合理时间：</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25A11114">
      <w:pPr>
        <w:pStyle w:val="5"/>
        <w:spacing w:before="120" w:after="120" w:line="360" w:lineRule="auto"/>
        <w:rPr>
          <w:rFonts w:ascii="Times New Roman" w:hAnsi="Times New Roman" w:eastAsia="黑体" w:cs="Times New Roman"/>
          <w:b w:val="0"/>
          <w:color w:val="000000"/>
          <w:sz w:val="24"/>
          <w:szCs w:val="24"/>
        </w:rPr>
      </w:pPr>
      <w:bookmarkStart w:id="190" w:name="__RefHeading___Toc351203648"/>
      <w:bookmarkEnd w:id="190"/>
      <w:r>
        <w:rPr>
          <w:rFonts w:ascii="Times New Roman" w:hAnsi="Times New Roman" w:eastAsia="黑体" w:cs="Times New Roman"/>
          <w:b w:val="0"/>
          <w:color w:val="000000"/>
          <w:sz w:val="24"/>
          <w:szCs w:val="24"/>
        </w:rPr>
        <w:t xml:space="preserve">16. </w:t>
      </w:r>
      <w:r>
        <w:rPr>
          <w:rFonts w:ascii="Times New Roman" w:hAnsi="Times New Roman" w:cs="Times New Roman"/>
          <w:b w:val="0"/>
          <w:color w:val="000000"/>
          <w:sz w:val="24"/>
          <w:szCs w:val="24"/>
        </w:rPr>
        <w:t>违约</w:t>
      </w:r>
    </w:p>
    <w:p w14:paraId="1FCFBA8A">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16.1 </w:t>
      </w:r>
      <w:r>
        <w:rPr>
          <w:rFonts w:ascii="Times New Roman" w:hAnsi="Times New Roman" w:eastAsia="黑体" w:cs="Times New Roman"/>
          <w:color w:val="000000"/>
          <w:sz w:val="24"/>
          <w:szCs w:val="24"/>
        </w:rPr>
        <w:t>发包人违约</w:t>
      </w:r>
    </w:p>
    <w:p w14:paraId="37C81F78">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16.1.1</w:t>
      </w:r>
      <w:r>
        <w:rPr>
          <w:rFonts w:ascii="Times New Roman" w:hAnsi="Times New Roman" w:eastAsia="仿宋_GB2312;仿宋" w:cs="Times New Roman"/>
          <w:color w:val="000000"/>
          <w:sz w:val="24"/>
          <w:szCs w:val="24"/>
        </w:rPr>
        <w:t>发包人违约的情形</w:t>
      </w:r>
    </w:p>
    <w:p w14:paraId="2D4855A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发包人违约的其他情形：</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FFF83D8">
      <w:pPr>
        <w:spacing w:line="360" w:lineRule="auto"/>
        <w:ind w:left="1500" w:hanging="1200"/>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eastAsia="仿宋_GB2312;仿宋" w:cs="Times New Roman"/>
          <w:color w:val="000000"/>
          <w:kern w:val="0"/>
          <w:sz w:val="24"/>
          <w:szCs w:val="24"/>
        </w:rPr>
        <w:t xml:space="preserve">16.1.2 </w:t>
      </w:r>
      <w:r>
        <w:rPr>
          <w:rFonts w:ascii="Times New Roman" w:hAnsi="Times New Roman" w:eastAsia="仿宋_GB2312;仿宋" w:cs="Times New Roman"/>
          <w:color w:val="000000"/>
          <w:kern w:val="0"/>
          <w:sz w:val="24"/>
          <w:szCs w:val="24"/>
        </w:rPr>
        <w:t>发包人违约的责任</w:t>
      </w:r>
    </w:p>
    <w:p w14:paraId="365B7EA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发包人违约责任的承担方式和计算方法：</w:t>
      </w:r>
    </w:p>
    <w:p w14:paraId="768747DC">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）因发包人原因未能在计划开工日期前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天内下达开工通知的违约</w:t>
      </w:r>
      <w:r>
        <w:rPr>
          <w:rFonts w:ascii="Times New Roman" w:hAnsi="Times New Roman" w:eastAsia="仿宋_GB2312;仿宋" w:cs="Times New Roman"/>
          <w:color w:val="000000"/>
          <w:kern w:val="0"/>
          <w:sz w:val="24"/>
          <w:szCs w:val="24"/>
          <w:lang w:val="en-US" w:eastAsia="zh-CN"/>
        </w:rPr>
        <w:t>责</w:t>
      </w:r>
      <w:r>
        <w:rPr>
          <w:rFonts w:ascii="Times New Roman" w:hAnsi="Times New Roman" w:eastAsia="仿宋_GB2312;仿宋" w:cs="Times New Roman"/>
          <w:color w:val="000000"/>
          <w:kern w:val="0"/>
          <w:sz w:val="24"/>
          <w:szCs w:val="24"/>
        </w:rPr>
        <w:t>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138BBD3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）因发包人原因未能按合同约定支付合同价款的违约责任：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D6604D4">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）发包人违反第</w:t>
      </w:r>
      <w:r>
        <w:rPr>
          <w:rFonts w:eastAsia="仿宋_GB2312;仿宋" w:cs="Times New Roman"/>
          <w:color w:val="000000"/>
          <w:kern w:val="0"/>
          <w:sz w:val="24"/>
          <w:szCs w:val="24"/>
        </w:rPr>
        <w:t>10.1</w:t>
      </w:r>
      <w:r>
        <w:rPr>
          <w:rFonts w:ascii="Times New Roman" w:hAnsi="Times New Roman" w:eastAsia="仿宋_GB2312;仿宋" w:cs="Times New Roman"/>
          <w:color w:val="000000"/>
          <w:kern w:val="0"/>
          <w:sz w:val="24"/>
          <w:szCs w:val="24"/>
        </w:rPr>
        <w:t>款〔变更的范围〕第（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）项约定，自行实施被取消的工作或转由他人实施的违约责任：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EE44B3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）发包人提供的材料、工程设备的规格、数量或质量不符合合同约定，或因发包人原因导致交货日期延误或交货地点变更等情况的违约责任：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2DC03841">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）因发包人违反合同约定造成暂停施工的违约责任：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23051E0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）发包人无正当理由没有在约定期限内发出复工指示，导致承包人无法复工的违约责任：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1F89511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）其他：</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448965E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16.1.3 </w:t>
      </w:r>
      <w:r>
        <w:rPr>
          <w:rFonts w:ascii="Times New Roman" w:hAnsi="Times New Roman" w:eastAsia="仿宋_GB2312;仿宋" w:cs="Times New Roman"/>
          <w:color w:val="000000"/>
          <w:sz w:val="24"/>
          <w:szCs w:val="24"/>
        </w:rPr>
        <w:t>因发包人违约解除合同</w:t>
      </w:r>
    </w:p>
    <w:p w14:paraId="64842C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承包人按</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项〔发包人违约的情形〕约定暂停施工满</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天后发包人仍不纠正其违约行为并致使合同目的不能实现的，承包人有权解除合同。</w:t>
      </w:r>
    </w:p>
    <w:p w14:paraId="5F087573">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16.2 </w:t>
      </w:r>
      <w:r>
        <w:rPr>
          <w:rFonts w:ascii="Times New Roman" w:hAnsi="Times New Roman" w:eastAsia="黑体" w:cs="Times New Roman"/>
          <w:color w:val="000000"/>
          <w:sz w:val="24"/>
          <w:szCs w:val="24"/>
        </w:rPr>
        <w:t>承包人违约</w:t>
      </w:r>
    </w:p>
    <w:p w14:paraId="2FF56B84">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16.2.1 </w:t>
      </w:r>
      <w:r>
        <w:rPr>
          <w:rFonts w:ascii="Times New Roman" w:hAnsi="Times New Roman" w:eastAsia="仿宋_GB2312;仿宋" w:cs="Times New Roman"/>
          <w:color w:val="000000"/>
          <w:kern w:val="0"/>
          <w:sz w:val="24"/>
          <w:szCs w:val="24"/>
        </w:rPr>
        <w:t>承包人违约的情形</w:t>
      </w:r>
    </w:p>
    <w:p w14:paraId="399454C1">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承包人违约的其他情形：</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2A1FBE7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16.2.2</w:t>
      </w:r>
      <w:r>
        <w:rPr>
          <w:rFonts w:ascii="Times New Roman" w:hAnsi="Times New Roman" w:eastAsia="仿宋_GB2312;仿宋" w:cs="Times New Roman"/>
          <w:color w:val="000000"/>
          <w:kern w:val="0"/>
          <w:sz w:val="24"/>
          <w:szCs w:val="24"/>
        </w:rPr>
        <w:t>承包人违约的责任</w:t>
      </w:r>
    </w:p>
    <w:p w14:paraId="01E89464">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承包人违约责任的承担方式和计算方法：</w:t>
      </w:r>
      <w:r>
        <w:rPr>
          <w:rFonts w:ascii="Times New Roman" w:hAnsi="Times New Roman" w:eastAsia="Times New Roman" w:cs="Times New Roman"/>
          <w:color w:val="000000"/>
          <w:kern w:val="0"/>
          <w:sz w:val="24"/>
          <w:szCs w:val="24"/>
          <w:u w:val="single"/>
        </w:rPr>
        <w:t xml:space="preserve">           </w:t>
      </w:r>
      <w:r>
        <w:rPr>
          <w:rFonts w:ascii="Times New Roman" w:hAnsi="Times New Roman" w:eastAsia="Times New Roman" w:cs="Times New Roman"/>
          <w:color w:val="000000"/>
          <w:kern w:val="0"/>
          <w:sz w:val="24"/>
          <w:szCs w:val="24"/>
          <w:u w:val="single"/>
          <w:lang w:val="en-US" w:eastAsia="zh-CN"/>
        </w:rPr>
        <w:t xml:space="preserve">             </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sz w:val="24"/>
          <w:szCs w:val="24"/>
        </w:rPr>
        <w:t xml:space="preserve">   </w:t>
      </w:r>
    </w:p>
    <w:p w14:paraId="3CEDDBD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16.2.3 </w:t>
      </w:r>
      <w:r>
        <w:rPr>
          <w:rFonts w:ascii="Times New Roman" w:hAnsi="Times New Roman" w:eastAsia="仿宋_GB2312;仿宋" w:cs="Times New Roman"/>
          <w:color w:val="000000"/>
          <w:sz w:val="24"/>
          <w:szCs w:val="24"/>
        </w:rPr>
        <w:t>因承包人违约解除合同</w:t>
      </w:r>
    </w:p>
    <w:p w14:paraId="1D0FA452">
      <w:pPr>
        <w:spacing w:before="120" w:after="120" w:line="360" w:lineRule="auto"/>
        <w:ind w:firstLine="480"/>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关于承包人违约解除合同的特别约定：</w:t>
      </w:r>
      <w:r>
        <w:rPr>
          <w:rFonts w:ascii="Times New Roman" w:hAnsi="Times New Roman" w:eastAsia="Times New Roman" w:cs="Times New Roman"/>
          <w:color w:val="000000"/>
          <w:kern w:val="0"/>
          <w:sz w:val="24"/>
          <w:szCs w:val="24"/>
          <w:u w:val="single"/>
        </w:rPr>
        <w:t xml:space="preserve">           </w:t>
      </w:r>
      <w:r>
        <w:rPr>
          <w:rFonts w:ascii="Times New Roman" w:hAnsi="Times New Roman" w:eastAsia="Times New Roman" w:cs="Times New Roman"/>
          <w:color w:val="000000"/>
          <w:kern w:val="0"/>
          <w:sz w:val="24"/>
          <w:szCs w:val="24"/>
          <w:u w:val="single"/>
          <w:lang w:val="en-US" w:eastAsia="zh-CN"/>
        </w:rPr>
        <w:t xml:space="preserve">             </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63028593">
      <w:pPr>
        <w:spacing w:before="120" w:after="120"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发包人继续使用承包人在施工现场的材料、设备、临时工程、承包人文件和由承包人或以其名义编制的其他文件的费用承担方式：</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6453D298">
      <w:pPr>
        <w:pStyle w:val="5"/>
        <w:spacing w:before="120" w:after="120" w:line="360" w:lineRule="auto"/>
        <w:rPr>
          <w:rFonts w:ascii="Times New Roman" w:hAnsi="Times New Roman" w:eastAsia="黑体" w:cs="Times New Roman"/>
          <w:b w:val="0"/>
          <w:color w:val="000000"/>
          <w:sz w:val="24"/>
          <w:szCs w:val="24"/>
        </w:rPr>
      </w:pPr>
      <w:bookmarkStart w:id="191" w:name="__RefHeading___Toc351203649"/>
      <w:r>
        <w:rPr>
          <w:rFonts w:ascii="Times New Roman" w:hAnsi="Times New Roman" w:eastAsia="黑体" w:cs="Times New Roman"/>
          <w:b w:val="0"/>
          <w:color w:val="000000"/>
          <w:sz w:val="24"/>
          <w:szCs w:val="24"/>
        </w:rPr>
        <w:t xml:space="preserve">17. </w:t>
      </w:r>
      <w:r>
        <w:rPr>
          <w:rFonts w:ascii="Times New Roman" w:hAnsi="Times New Roman" w:cs="Times New Roman"/>
          <w:b w:val="0"/>
          <w:color w:val="000000"/>
          <w:sz w:val="24"/>
          <w:szCs w:val="24"/>
        </w:rPr>
        <w:t>不可抗力</w:t>
      </w:r>
      <w:bookmarkEnd w:id="191"/>
      <w:r>
        <w:rPr>
          <w:rFonts w:ascii="Times New Roman" w:hAnsi="Times New Roman" w:eastAsia="Times New Roman" w:cs="Times New Roman"/>
          <w:b w:val="0"/>
          <w:color w:val="000000"/>
          <w:sz w:val="24"/>
          <w:szCs w:val="24"/>
        </w:rPr>
        <w:t xml:space="preserve"> </w:t>
      </w:r>
    </w:p>
    <w:p w14:paraId="5D52F218">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17.1 </w:t>
      </w:r>
      <w:r>
        <w:rPr>
          <w:rFonts w:ascii="Times New Roman" w:hAnsi="Times New Roman" w:eastAsia="黑体" w:cs="Times New Roman"/>
          <w:color w:val="000000"/>
          <w:sz w:val="24"/>
          <w:szCs w:val="24"/>
        </w:rPr>
        <w:t>不可抗力的确认</w:t>
      </w:r>
    </w:p>
    <w:p w14:paraId="7A433488">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sz w:val="24"/>
          <w:szCs w:val="24"/>
        </w:rPr>
        <w:t>除通用合同条款约定的不可抗力事件之外，视为不可抗力的其他情形：</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31410383">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17.4 </w:t>
      </w:r>
      <w:r>
        <w:rPr>
          <w:rFonts w:ascii="Times New Roman" w:hAnsi="Times New Roman" w:eastAsia="黑体" w:cs="Times New Roman"/>
          <w:color w:val="000000"/>
          <w:sz w:val="24"/>
          <w:szCs w:val="24"/>
        </w:rPr>
        <w:t>因不可抗力解除合同</w:t>
      </w:r>
    </w:p>
    <w:p w14:paraId="44F278CF">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合同解除后，发包人应在商定或确定发包人应支付款项后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天内完成款项的支付。</w:t>
      </w:r>
    </w:p>
    <w:p w14:paraId="3B40D350">
      <w:pPr>
        <w:pStyle w:val="5"/>
        <w:spacing w:before="120" w:after="120" w:line="360" w:lineRule="auto"/>
        <w:rPr>
          <w:rFonts w:ascii="Times New Roman" w:hAnsi="Times New Roman" w:eastAsia="黑体" w:cs="Times New Roman"/>
          <w:b w:val="0"/>
          <w:color w:val="000000"/>
          <w:sz w:val="24"/>
          <w:szCs w:val="24"/>
        </w:rPr>
      </w:pPr>
      <w:bookmarkStart w:id="192" w:name="__RefHeading___Toc351203650"/>
      <w:bookmarkEnd w:id="192"/>
      <w:r>
        <w:rPr>
          <w:rFonts w:ascii="Times New Roman" w:hAnsi="Times New Roman" w:eastAsia="黑体" w:cs="Times New Roman"/>
          <w:b w:val="0"/>
          <w:color w:val="000000"/>
          <w:sz w:val="24"/>
          <w:szCs w:val="24"/>
        </w:rPr>
        <w:t xml:space="preserve">18. </w:t>
      </w:r>
      <w:r>
        <w:rPr>
          <w:rFonts w:ascii="Times New Roman" w:hAnsi="Times New Roman" w:cs="Times New Roman"/>
          <w:b w:val="0"/>
          <w:color w:val="000000"/>
          <w:sz w:val="24"/>
          <w:szCs w:val="24"/>
        </w:rPr>
        <w:t>保险</w:t>
      </w:r>
    </w:p>
    <w:p w14:paraId="1F9992EC">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18.1 </w:t>
      </w:r>
      <w:r>
        <w:rPr>
          <w:rFonts w:ascii="Times New Roman" w:hAnsi="Times New Roman" w:eastAsia="黑体" w:cs="Times New Roman"/>
          <w:color w:val="000000"/>
          <w:sz w:val="24"/>
          <w:szCs w:val="24"/>
        </w:rPr>
        <w:t>工程保险</w:t>
      </w:r>
    </w:p>
    <w:p w14:paraId="16F9211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关于工程保险的特别约定：</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623EA31">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18.3 </w:t>
      </w:r>
      <w:r>
        <w:rPr>
          <w:rFonts w:ascii="Times New Roman" w:hAnsi="Times New Roman" w:eastAsia="黑体" w:cs="Times New Roman"/>
          <w:color w:val="000000"/>
          <w:sz w:val="24"/>
          <w:szCs w:val="24"/>
        </w:rPr>
        <w:t>其他保险</w:t>
      </w:r>
    </w:p>
    <w:p w14:paraId="0405BFC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关于其他保险的约定：</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3BB157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承包人是否应为其施工设备等办理财产保险：</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F641CE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18.7 </w:t>
      </w:r>
      <w:r>
        <w:rPr>
          <w:rFonts w:ascii="Times New Roman" w:hAnsi="Times New Roman" w:eastAsia="黑体" w:cs="Times New Roman"/>
          <w:color w:val="000000"/>
          <w:sz w:val="24"/>
          <w:szCs w:val="24"/>
        </w:rPr>
        <w:t>通知义务</w:t>
      </w:r>
    </w:p>
    <w:p w14:paraId="31F0007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关于变更保险合同时的通知义务的约定：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2A2E2A7">
      <w:pPr>
        <w:pStyle w:val="5"/>
        <w:spacing w:before="120" w:after="120" w:line="360" w:lineRule="auto"/>
        <w:rPr>
          <w:rFonts w:ascii="Times New Roman" w:hAnsi="Times New Roman" w:eastAsia="黑体" w:cs="Times New Roman"/>
          <w:b w:val="0"/>
          <w:color w:val="000000"/>
          <w:sz w:val="24"/>
          <w:szCs w:val="24"/>
        </w:rPr>
      </w:pPr>
      <w:bookmarkStart w:id="193" w:name="__RefHeading___Toc351203651"/>
      <w:bookmarkEnd w:id="193"/>
      <w:r>
        <w:rPr>
          <w:rFonts w:ascii="Times New Roman" w:hAnsi="Times New Roman" w:eastAsia="黑体" w:cs="Times New Roman"/>
          <w:b w:val="0"/>
          <w:color w:val="000000"/>
          <w:sz w:val="24"/>
          <w:szCs w:val="24"/>
        </w:rPr>
        <w:t xml:space="preserve">20. </w:t>
      </w:r>
      <w:r>
        <w:rPr>
          <w:rFonts w:ascii="Times New Roman" w:hAnsi="Times New Roman" w:cs="Times New Roman"/>
          <w:b w:val="0"/>
          <w:color w:val="000000"/>
          <w:sz w:val="24"/>
          <w:szCs w:val="24"/>
        </w:rPr>
        <w:t>争议解决</w:t>
      </w:r>
    </w:p>
    <w:p w14:paraId="244FA6E8">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20.3 </w:t>
      </w:r>
      <w:r>
        <w:rPr>
          <w:rFonts w:ascii="Times New Roman" w:hAnsi="Times New Roman" w:eastAsia="黑体" w:cs="Times New Roman"/>
          <w:color w:val="000000"/>
          <w:sz w:val="24"/>
          <w:szCs w:val="24"/>
        </w:rPr>
        <w:t>争议评审</w:t>
      </w:r>
    </w:p>
    <w:p w14:paraId="43EA4515">
      <w:pPr>
        <w:spacing w:line="360" w:lineRule="auto"/>
        <w:ind w:left="149" w:firstLine="36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合同当事人是否同意将工程争议提交争议评审小组决定：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0D248EF2">
      <w:pPr>
        <w:numPr>
          <w:ilvl w:val="0"/>
          <w:numId w:val="0"/>
        </w:numPr>
        <w:spacing w:line="360" w:lineRule="auto"/>
        <w:ind w:firstLine="480"/>
        <w:jc w:val="left"/>
        <w:outlineLvl w:val="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20.3.1 </w:t>
      </w:r>
      <w:r>
        <w:rPr>
          <w:rFonts w:ascii="Times New Roman" w:hAnsi="Times New Roman" w:eastAsia="仿宋_GB2312;仿宋" w:cs="Times New Roman"/>
          <w:color w:val="000000"/>
          <w:sz w:val="24"/>
          <w:szCs w:val="24"/>
        </w:rPr>
        <w:t>争议评审小组的确定</w:t>
      </w:r>
    </w:p>
    <w:p w14:paraId="33603600">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争议评审小组成员的确定：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5B79EF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选定争议评审员的期限：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258C861">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争议评审小组成员的报酬承担方式：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A8D442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其他事项的约定：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E545EBE">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20.3.2 </w:t>
      </w:r>
      <w:r>
        <w:rPr>
          <w:rFonts w:ascii="Times New Roman" w:hAnsi="Times New Roman" w:eastAsia="仿宋_GB2312;仿宋" w:cs="Times New Roman"/>
          <w:color w:val="000000"/>
          <w:kern w:val="0"/>
          <w:sz w:val="24"/>
          <w:szCs w:val="24"/>
        </w:rPr>
        <w:t>争议评审小组的决定</w:t>
      </w:r>
    </w:p>
    <w:p w14:paraId="34952553">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合同当事人关于本项的约定：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C13AAE4">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20.4</w:t>
      </w:r>
      <w:r>
        <w:rPr>
          <w:rFonts w:ascii="Times New Roman" w:hAnsi="Times New Roman" w:eastAsia="黑体" w:cs="Times New Roman"/>
          <w:color w:val="000000"/>
          <w:sz w:val="24"/>
          <w:szCs w:val="24"/>
        </w:rPr>
        <w:t>仲裁或诉讼</w:t>
      </w:r>
    </w:p>
    <w:p w14:paraId="4FD6E57E">
      <w:pPr>
        <w:spacing w:before="0" w:after="120" w:line="360" w:lineRule="auto"/>
        <w:ind w:firstLine="480"/>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因合同及合同有关事项发生的争议，按下列第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种方式解决：</w:t>
      </w:r>
    </w:p>
    <w:p w14:paraId="546A50B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）向</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仲裁委员会申请仲裁；</w:t>
      </w:r>
    </w:p>
    <w:p w14:paraId="40E7619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）向</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人民法院起诉。</w:t>
      </w:r>
      <w:r>
        <w:br w:type="page"/>
      </w:r>
    </w:p>
    <w:p w14:paraId="32476602">
      <w:pPr>
        <w:spacing w:line="360" w:lineRule="auto"/>
        <w:jc w:val="left"/>
        <w:rPr>
          <w:rFonts w:ascii="Times New Roman" w:hAnsi="Times New Roman" w:eastAsia="黑体" w:cs="Times New Roman"/>
          <w:b/>
          <w:color w:val="000000"/>
          <w:sz w:val="24"/>
          <w:szCs w:val="24"/>
        </w:rPr>
      </w:pPr>
      <w:bookmarkStart w:id="194" w:name="__RefHeading___Toc351203652"/>
      <w:bookmarkEnd w:id="194"/>
      <w:r>
        <w:rPr>
          <w:rFonts w:ascii="Times New Roman" w:hAnsi="Times New Roman" w:eastAsia="黑体" w:cs="Times New Roman"/>
          <w:b/>
          <w:color w:val="000000"/>
          <w:sz w:val="24"/>
          <w:szCs w:val="24"/>
        </w:rPr>
        <w:t>附件</w:t>
      </w:r>
    </w:p>
    <w:p w14:paraId="07607A85">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协议书附件：</w:t>
      </w:r>
    </w:p>
    <w:p w14:paraId="34E9EB69">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：承包人承揽工程项目一览表</w:t>
      </w:r>
    </w:p>
    <w:p w14:paraId="27692F78">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专用合同条款附件：</w:t>
      </w:r>
    </w:p>
    <w:p w14:paraId="62506AB9">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：发包人供应材料设备一览表</w:t>
      </w:r>
    </w:p>
    <w:p w14:paraId="30CB9D52">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：工程质量保修书</w:t>
      </w:r>
    </w:p>
    <w:p w14:paraId="4BE455F5">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：主要建设工程文件目录</w:t>
      </w:r>
    </w:p>
    <w:p w14:paraId="702AF8C4">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：承包人用于本工程施工的机械设备表</w:t>
      </w:r>
    </w:p>
    <w:p w14:paraId="13D810AC">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6</w:t>
      </w:r>
      <w:r>
        <w:rPr>
          <w:rFonts w:ascii="Times New Roman" w:hAnsi="Times New Roman" w:eastAsia="仿宋_GB2312;仿宋" w:cs="Times New Roman"/>
          <w:color w:val="000000"/>
          <w:sz w:val="24"/>
          <w:szCs w:val="24"/>
        </w:rPr>
        <w:t>：承包人主要施工管理人员表</w:t>
      </w:r>
    </w:p>
    <w:p w14:paraId="5F912A4D">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：分包人主要施工管理人员表</w:t>
      </w:r>
    </w:p>
    <w:p w14:paraId="22CCFE7A">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8</w:t>
      </w:r>
      <w:r>
        <w:rPr>
          <w:rFonts w:ascii="Times New Roman" w:hAnsi="Times New Roman" w:eastAsia="仿宋_GB2312;仿宋" w:cs="Times New Roman"/>
          <w:color w:val="000000"/>
          <w:sz w:val="24"/>
          <w:szCs w:val="24"/>
        </w:rPr>
        <w:t>：履约担保格式</w:t>
      </w:r>
    </w:p>
    <w:p w14:paraId="7D8A67C3">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9</w:t>
      </w:r>
      <w:r>
        <w:rPr>
          <w:rFonts w:ascii="Times New Roman" w:hAnsi="Times New Roman" w:eastAsia="仿宋_GB2312;仿宋" w:cs="Times New Roman"/>
          <w:color w:val="000000"/>
          <w:sz w:val="24"/>
          <w:szCs w:val="24"/>
        </w:rPr>
        <w:t>：预付款担保格式</w:t>
      </w:r>
    </w:p>
    <w:p w14:paraId="686EC6ED">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10</w:t>
      </w:r>
      <w:r>
        <w:rPr>
          <w:rFonts w:ascii="Times New Roman" w:hAnsi="Times New Roman" w:eastAsia="仿宋_GB2312;仿宋" w:cs="Times New Roman"/>
          <w:color w:val="000000"/>
          <w:sz w:val="24"/>
          <w:szCs w:val="24"/>
        </w:rPr>
        <w:t>：支付担保格式</w:t>
      </w:r>
    </w:p>
    <w:p w14:paraId="79413EA4">
      <w:pPr>
        <w:spacing w:line="360" w:lineRule="auto"/>
        <w:jc w:val="left"/>
        <w:rPr>
          <w:rFonts w:ascii="Times New Roman" w:hAnsi="Times New Roman" w:eastAsia="黑体" w:cs="Times New Roman"/>
          <w:color w:val="000000"/>
          <w:sz w:val="24"/>
          <w:szCs w:val="24"/>
        </w:rPr>
        <w:sectPr>
          <w:headerReference r:id="rId16" w:type="first"/>
          <w:footerReference r:id="rId18" w:type="first"/>
          <w:headerReference r:id="rId15" w:type="default"/>
          <w:footerReference r:id="rId17" w:type="default"/>
          <w:pgSz w:w="11906" w:h="16838"/>
          <w:pgMar w:top="1418" w:right="1555" w:bottom="1418" w:left="1531" w:header="851" w:footer="992" w:gutter="0"/>
          <w:pgNumType w:fmt="decimal"/>
          <w:cols w:space="720" w:num="1"/>
          <w:formProt w:val="0"/>
          <w:titlePg/>
          <w:docGrid w:type="lines" w:linePitch="312" w:charSpace="0"/>
        </w:sect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11</w:t>
      </w:r>
      <w:r>
        <w:rPr>
          <w:rFonts w:ascii="Times New Roman" w:hAnsi="Times New Roman" w:eastAsia="仿宋_GB2312;仿宋" w:cs="Times New Roman"/>
          <w:color w:val="000000"/>
          <w:sz w:val="24"/>
          <w:szCs w:val="24"/>
        </w:rPr>
        <w:t>：暂估价一览表</w:t>
      </w:r>
    </w:p>
    <w:p w14:paraId="7635C79D">
      <w:pPr>
        <w:spacing w:before="156" w:after="156" w:line="440" w:lineRule="exact"/>
        <w:jc w:val="left"/>
        <w:rPr>
          <w:rFonts w:ascii="仿宋_GB2312;仿宋" w:hAnsi="仿宋_GB2312;仿宋" w:eastAsia="仿宋_GB2312;仿宋" w:cs="Times New Roman"/>
          <w:color w:val="000000"/>
          <w:sz w:val="24"/>
          <w:szCs w:val="24"/>
        </w:rPr>
      </w:pPr>
      <w:r>
        <w:rPr>
          <w:rFonts w:ascii="仿宋_GB2312;仿宋" w:hAnsi="仿宋_GB2312;仿宋" w:eastAsia="仿宋_GB2312;仿宋" w:cs="Times New Roman"/>
          <w:color w:val="000000"/>
          <w:sz w:val="24"/>
          <w:szCs w:val="24"/>
        </w:rPr>
        <w:t>附件1：</w:t>
      </w:r>
    </w:p>
    <w:p w14:paraId="3CD6EBB5">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承包人承揽工程项目一览表</w:t>
      </w:r>
    </w:p>
    <w:tbl>
      <w:tblPr>
        <w:tblStyle w:val="20"/>
        <w:tblW w:w="14055" w:type="dxa"/>
        <w:tblInd w:w="473" w:type="dxa"/>
        <w:tblLayout w:type="fixed"/>
        <w:tblCellMar>
          <w:top w:w="0" w:type="dxa"/>
          <w:left w:w="28" w:type="dxa"/>
          <w:bottom w:w="0" w:type="dxa"/>
          <w:right w:w="28" w:type="dxa"/>
        </w:tblCellMar>
      </w:tblPr>
      <w:tblGrid>
        <w:gridCol w:w="1229"/>
        <w:gridCol w:w="1774"/>
        <w:gridCol w:w="1364"/>
        <w:gridCol w:w="2320"/>
        <w:gridCol w:w="818"/>
        <w:gridCol w:w="1502"/>
        <w:gridCol w:w="2047"/>
        <w:gridCol w:w="1364"/>
        <w:gridCol w:w="819"/>
        <w:gridCol w:w="818"/>
      </w:tblGrid>
      <w:tr w14:paraId="427DE1D5">
        <w:tblPrEx>
          <w:tblCellMar>
            <w:top w:w="0" w:type="dxa"/>
            <w:left w:w="28" w:type="dxa"/>
            <w:bottom w:w="0" w:type="dxa"/>
            <w:right w:w="28" w:type="dxa"/>
          </w:tblCellMar>
        </w:tblPrEx>
        <w:trPr>
          <w:trHeight w:val="868" w:hRule="atLeast"/>
        </w:trPr>
        <w:tc>
          <w:tcPr>
            <w:tcW w:w="1229" w:type="dxa"/>
            <w:tcBorders>
              <w:top w:val="single" w:color="000000" w:sz="12" w:space="0"/>
              <w:left w:val="single" w:color="000000" w:sz="12" w:space="0"/>
              <w:bottom w:val="double" w:color="000000" w:sz="6" w:space="0"/>
              <w:right w:val="single" w:color="000000" w:sz="6" w:space="0"/>
            </w:tcBorders>
            <w:vAlign w:val="center"/>
          </w:tcPr>
          <w:p w14:paraId="1B7AEA2C">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单位工程名称</w:t>
            </w:r>
          </w:p>
        </w:tc>
        <w:tc>
          <w:tcPr>
            <w:tcW w:w="1774" w:type="dxa"/>
            <w:tcBorders>
              <w:top w:val="single" w:color="000000" w:sz="12" w:space="0"/>
              <w:left w:val="single" w:color="000000" w:sz="6" w:space="0"/>
              <w:bottom w:val="double" w:color="000000" w:sz="6" w:space="0"/>
              <w:right w:val="single" w:color="000000" w:sz="6" w:space="0"/>
            </w:tcBorders>
            <w:vAlign w:val="center"/>
          </w:tcPr>
          <w:p w14:paraId="10FB360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建设规模</w:t>
            </w:r>
          </w:p>
        </w:tc>
        <w:tc>
          <w:tcPr>
            <w:tcW w:w="1364" w:type="dxa"/>
            <w:tcBorders>
              <w:top w:val="single" w:color="000000" w:sz="12" w:space="0"/>
              <w:left w:val="single" w:color="000000" w:sz="6" w:space="0"/>
              <w:bottom w:val="double" w:color="000000" w:sz="6" w:space="0"/>
              <w:right w:val="single" w:color="000000" w:sz="6" w:space="0"/>
            </w:tcBorders>
            <w:vAlign w:val="center"/>
          </w:tcPr>
          <w:p w14:paraId="0F36FA58">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建筑面积(平方米)</w:t>
            </w:r>
          </w:p>
        </w:tc>
        <w:tc>
          <w:tcPr>
            <w:tcW w:w="2320" w:type="dxa"/>
            <w:tcBorders>
              <w:top w:val="single" w:color="000000" w:sz="12" w:space="0"/>
              <w:left w:val="single" w:color="000000" w:sz="6" w:space="0"/>
              <w:bottom w:val="double" w:color="000000" w:sz="6" w:space="0"/>
              <w:right w:val="single" w:color="000000" w:sz="6" w:space="0"/>
            </w:tcBorders>
            <w:vAlign w:val="center"/>
          </w:tcPr>
          <w:p w14:paraId="34A43D4E">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结构形式</w:t>
            </w:r>
          </w:p>
        </w:tc>
        <w:tc>
          <w:tcPr>
            <w:tcW w:w="818" w:type="dxa"/>
            <w:tcBorders>
              <w:top w:val="single" w:color="000000" w:sz="12" w:space="0"/>
              <w:left w:val="single" w:color="000000" w:sz="6" w:space="0"/>
              <w:bottom w:val="double" w:color="000000" w:sz="6" w:space="0"/>
              <w:right w:val="single" w:color="000000" w:sz="6" w:space="0"/>
            </w:tcBorders>
            <w:vAlign w:val="center"/>
          </w:tcPr>
          <w:p w14:paraId="441A762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层数</w:t>
            </w:r>
          </w:p>
        </w:tc>
        <w:tc>
          <w:tcPr>
            <w:tcW w:w="1502" w:type="dxa"/>
            <w:tcBorders>
              <w:top w:val="single" w:color="000000" w:sz="12" w:space="0"/>
              <w:left w:val="single" w:color="000000" w:sz="6" w:space="0"/>
              <w:bottom w:val="double" w:color="000000" w:sz="6" w:space="0"/>
              <w:right w:val="single" w:color="000000" w:sz="6" w:space="0"/>
            </w:tcBorders>
            <w:vAlign w:val="center"/>
          </w:tcPr>
          <w:p w14:paraId="751AB0A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生产能力</w:t>
            </w:r>
          </w:p>
        </w:tc>
        <w:tc>
          <w:tcPr>
            <w:tcW w:w="2047" w:type="dxa"/>
            <w:tcBorders>
              <w:top w:val="single" w:color="000000" w:sz="12" w:space="0"/>
              <w:left w:val="single" w:color="000000" w:sz="6" w:space="0"/>
              <w:bottom w:val="double" w:color="000000" w:sz="6" w:space="0"/>
              <w:right w:val="single" w:color="000000" w:sz="6" w:space="0"/>
            </w:tcBorders>
            <w:vAlign w:val="center"/>
          </w:tcPr>
          <w:p w14:paraId="766FF9A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设备安装内容</w:t>
            </w:r>
          </w:p>
        </w:tc>
        <w:tc>
          <w:tcPr>
            <w:tcW w:w="1364" w:type="dxa"/>
            <w:tcBorders>
              <w:top w:val="single" w:color="000000" w:sz="12" w:space="0"/>
              <w:left w:val="single" w:color="000000" w:sz="6" w:space="0"/>
              <w:bottom w:val="double" w:color="000000" w:sz="6" w:space="0"/>
              <w:right w:val="single" w:color="000000" w:sz="6" w:space="0"/>
            </w:tcBorders>
            <w:vAlign w:val="center"/>
          </w:tcPr>
          <w:p w14:paraId="4E957C8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合同价格（元）</w:t>
            </w:r>
          </w:p>
        </w:tc>
        <w:tc>
          <w:tcPr>
            <w:tcW w:w="819" w:type="dxa"/>
            <w:tcBorders>
              <w:top w:val="single" w:color="000000" w:sz="12" w:space="0"/>
              <w:left w:val="single" w:color="000000" w:sz="6" w:space="0"/>
              <w:bottom w:val="double" w:color="000000" w:sz="6" w:space="0"/>
              <w:right w:val="single" w:color="000000" w:sz="6" w:space="0"/>
            </w:tcBorders>
            <w:vAlign w:val="center"/>
          </w:tcPr>
          <w:p w14:paraId="58EC8650">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开工日期</w:t>
            </w:r>
          </w:p>
        </w:tc>
        <w:tc>
          <w:tcPr>
            <w:tcW w:w="818" w:type="dxa"/>
            <w:tcBorders>
              <w:top w:val="single" w:color="000000" w:sz="12" w:space="0"/>
              <w:left w:val="single" w:color="000000" w:sz="6" w:space="0"/>
              <w:bottom w:val="double" w:color="000000" w:sz="6" w:space="0"/>
              <w:right w:val="single" w:color="000000" w:sz="12" w:space="0"/>
            </w:tcBorders>
            <w:vAlign w:val="center"/>
          </w:tcPr>
          <w:p w14:paraId="0361326A">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竣工日期</w:t>
            </w:r>
          </w:p>
        </w:tc>
      </w:tr>
      <w:tr w14:paraId="53EF1F7C">
        <w:tblPrEx>
          <w:tblCellMar>
            <w:top w:w="0" w:type="dxa"/>
            <w:left w:w="28" w:type="dxa"/>
            <w:bottom w:w="0" w:type="dxa"/>
            <w:right w:w="28" w:type="dxa"/>
          </w:tblCellMar>
        </w:tblPrEx>
        <w:trPr>
          <w:trHeight w:val="584" w:hRule="atLeast"/>
        </w:trPr>
        <w:tc>
          <w:tcPr>
            <w:tcW w:w="1229" w:type="dxa"/>
            <w:tcBorders>
              <w:top w:val="double" w:color="000000" w:sz="6" w:space="0"/>
              <w:left w:val="single" w:color="000000" w:sz="12" w:space="0"/>
              <w:bottom w:val="single" w:color="000000" w:sz="6" w:space="0"/>
              <w:right w:val="single" w:color="000000" w:sz="6" w:space="0"/>
            </w:tcBorders>
            <w:vAlign w:val="center"/>
          </w:tcPr>
          <w:p w14:paraId="55FE14F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top w:val="double" w:color="000000" w:sz="6" w:space="0"/>
              <w:left w:val="single" w:color="000000" w:sz="6" w:space="0"/>
              <w:bottom w:val="single" w:color="000000" w:sz="6" w:space="0"/>
              <w:right w:val="single" w:color="000000" w:sz="6" w:space="0"/>
            </w:tcBorders>
            <w:vAlign w:val="center"/>
          </w:tcPr>
          <w:p w14:paraId="5E6DB7C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double" w:color="000000" w:sz="6" w:space="0"/>
              <w:left w:val="single" w:color="000000" w:sz="6" w:space="0"/>
              <w:bottom w:val="single" w:color="000000" w:sz="6" w:space="0"/>
              <w:right w:val="single" w:color="000000" w:sz="6" w:space="0"/>
            </w:tcBorders>
            <w:vAlign w:val="center"/>
          </w:tcPr>
          <w:p w14:paraId="32DB7A0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top w:val="double" w:color="000000" w:sz="6" w:space="0"/>
              <w:left w:val="single" w:color="000000" w:sz="6" w:space="0"/>
              <w:bottom w:val="single" w:color="000000" w:sz="6" w:space="0"/>
              <w:right w:val="single" w:color="000000" w:sz="6" w:space="0"/>
            </w:tcBorders>
            <w:vAlign w:val="center"/>
          </w:tcPr>
          <w:p w14:paraId="49073BF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double" w:color="000000" w:sz="6" w:space="0"/>
              <w:left w:val="single" w:color="000000" w:sz="6" w:space="0"/>
              <w:bottom w:val="single" w:color="000000" w:sz="6" w:space="0"/>
              <w:right w:val="single" w:color="000000" w:sz="6" w:space="0"/>
            </w:tcBorders>
            <w:vAlign w:val="center"/>
          </w:tcPr>
          <w:p w14:paraId="2758814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top w:val="double" w:color="000000" w:sz="6" w:space="0"/>
              <w:left w:val="single" w:color="000000" w:sz="6" w:space="0"/>
              <w:bottom w:val="single" w:color="000000" w:sz="6" w:space="0"/>
              <w:right w:val="single" w:color="000000" w:sz="6" w:space="0"/>
            </w:tcBorders>
            <w:vAlign w:val="center"/>
          </w:tcPr>
          <w:p w14:paraId="3CC3771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top w:val="double" w:color="000000" w:sz="6" w:space="0"/>
              <w:left w:val="single" w:color="000000" w:sz="6" w:space="0"/>
              <w:bottom w:val="single" w:color="000000" w:sz="6" w:space="0"/>
              <w:right w:val="single" w:color="000000" w:sz="6" w:space="0"/>
            </w:tcBorders>
            <w:vAlign w:val="center"/>
          </w:tcPr>
          <w:p w14:paraId="7BD0595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double" w:color="000000" w:sz="6" w:space="0"/>
              <w:left w:val="single" w:color="000000" w:sz="6" w:space="0"/>
              <w:bottom w:val="single" w:color="000000" w:sz="6" w:space="0"/>
              <w:right w:val="single" w:color="000000" w:sz="6" w:space="0"/>
            </w:tcBorders>
            <w:vAlign w:val="center"/>
          </w:tcPr>
          <w:p w14:paraId="015EF89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top w:val="double" w:color="000000" w:sz="6" w:space="0"/>
              <w:left w:val="single" w:color="000000" w:sz="6" w:space="0"/>
              <w:bottom w:val="single" w:color="000000" w:sz="6" w:space="0"/>
              <w:right w:val="single" w:color="000000" w:sz="6" w:space="0"/>
            </w:tcBorders>
            <w:vAlign w:val="center"/>
          </w:tcPr>
          <w:p w14:paraId="6004DD4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double" w:color="000000" w:sz="6" w:space="0"/>
              <w:left w:val="single" w:color="000000" w:sz="6" w:space="0"/>
              <w:bottom w:val="single" w:color="000000" w:sz="6" w:space="0"/>
              <w:right w:val="single" w:color="000000" w:sz="12" w:space="0"/>
            </w:tcBorders>
            <w:vAlign w:val="center"/>
          </w:tcPr>
          <w:p w14:paraId="47724B74">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4E111F0">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3BD45C9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082205D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02786EF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0C399A8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39B1486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3BD275C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34E56DF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527D210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5F4DBF5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732E5DB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3CA01F1">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5832FA4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0E2A7E9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24E994A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3B8750E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11FB37F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249E98D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780E15E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06B663D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44032FB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5CDCF62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3AAAE06">
        <w:tblPrEx>
          <w:tblCellMar>
            <w:top w:w="0" w:type="dxa"/>
            <w:left w:w="28" w:type="dxa"/>
            <w:bottom w:w="0" w:type="dxa"/>
            <w:right w:w="28" w:type="dxa"/>
          </w:tblCellMar>
        </w:tblPrEx>
        <w:trPr>
          <w:trHeight w:val="555" w:hRule="atLeast"/>
        </w:trPr>
        <w:tc>
          <w:tcPr>
            <w:tcW w:w="1229" w:type="dxa"/>
            <w:tcBorders>
              <w:top w:val="single" w:color="000000" w:sz="6" w:space="0"/>
              <w:left w:val="single" w:color="000000" w:sz="12" w:space="0"/>
              <w:bottom w:val="single" w:color="000000" w:sz="6" w:space="0"/>
              <w:right w:val="single" w:color="000000" w:sz="6" w:space="0"/>
            </w:tcBorders>
            <w:vAlign w:val="center"/>
          </w:tcPr>
          <w:p w14:paraId="6D991A2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top w:val="single" w:color="000000" w:sz="6" w:space="0"/>
              <w:left w:val="single" w:color="000000" w:sz="6" w:space="0"/>
              <w:bottom w:val="single" w:color="000000" w:sz="6" w:space="0"/>
              <w:right w:val="single" w:color="000000" w:sz="6" w:space="0"/>
            </w:tcBorders>
            <w:vAlign w:val="center"/>
          </w:tcPr>
          <w:p w14:paraId="05129BF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6" w:space="0"/>
              <w:right w:val="single" w:color="000000" w:sz="6" w:space="0"/>
            </w:tcBorders>
            <w:vAlign w:val="center"/>
          </w:tcPr>
          <w:p w14:paraId="54B5B13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top w:val="single" w:color="000000" w:sz="6" w:space="0"/>
              <w:left w:val="single" w:color="000000" w:sz="6" w:space="0"/>
              <w:bottom w:val="single" w:color="000000" w:sz="6" w:space="0"/>
              <w:right w:val="single" w:color="000000" w:sz="6" w:space="0"/>
            </w:tcBorders>
            <w:vAlign w:val="center"/>
          </w:tcPr>
          <w:p w14:paraId="49589DA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6" w:space="0"/>
              <w:right w:val="single" w:color="000000" w:sz="6" w:space="0"/>
            </w:tcBorders>
            <w:vAlign w:val="center"/>
          </w:tcPr>
          <w:p w14:paraId="24F6224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top w:val="single" w:color="000000" w:sz="6" w:space="0"/>
              <w:left w:val="single" w:color="000000" w:sz="6" w:space="0"/>
              <w:bottom w:val="single" w:color="000000" w:sz="6" w:space="0"/>
              <w:right w:val="single" w:color="000000" w:sz="6" w:space="0"/>
            </w:tcBorders>
            <w:vAlign w:val="center"/>
          </w:tcPr>
          <w:p w14:paraId="2F5119F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top w:val="single" w:color="000000" w:sz="6" w:space="0"/>
              <w:left w:val="single" w:color="000000" w:sz="6" w:space="0"/>
              <w:bottom w:val="single" w:color="000000" w:sz="6" w:space="0"/>
              <w:right w:val="single" w:color="000000" w:sz="6" w:space="0"/>
            </w:tcBorders>
            <w:vAlign w:val="center"/>
          </w:tcPr>
          <w:p w14:paraId="09AD75F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6" w:space="0"/>
              <w:right w:val="single" w:color="000000" w:sz="6" w:space="0"/>
            </w:tcBorders>
            <w:vAlign w:val="center"/>
          </w:tcPr>
          <w:p w14:paraId="2670389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top w:val="single" w:color="000000" w:sz="6" w:space="0"/>
              <w:left w:val="single" w:color="000000" w:sz="6" w:space="0"/>
              <w:bottom w:val="single" w:color="000000" w:sz="6" w:space="0"/>
              <w:right w:val="single" w:color="000000" w:sz="6" w:space="0"/>
            </w:tcBorders>
            <w:vAlign w:val="center"/>
          </w:tcPr>
          <w:p w14:paraId="3292C9B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6" w:space="0"/>
              <w:right w:val="single" w:color="000000" w:sz="12" w:space="0"/>
            </w:tcBorders>
            <w:vAlign w:val="center"/>
          </w:tcPr>
          <w:p w14:paraId="5F3A317E">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3E90C67">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02B786F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57B9F61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2D2155C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073295E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0CC222C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2A9FB98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4933E9A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059011D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141C6A3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1A1FEE3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66DF372">
        <w:tblPrEx>
          <w:tblCellMar>
            <w:top w:w="0" w:type="dxa"/>
            <w:left w:w="28" w:type="dxa"/>
            <w:bottom w:w="0" w:type="dxa"/>
            <w:right w:w="28" w:type="dxa"/>
          </w:tblCellMar>
        </w:tblPrEx>
        <w:trPr>
          <w:trHeight w:val="555" w:hRule="atLeast"/>
        </w:trPr>
        <w:tc>
          <w:tcPr>
            <w:tcW w:w="1229" w:type="dxa"/>
            <w:tcBorders>
              <w:top w:val="single" w:color="000000" w:sz="6" w:space="0"/>
              <w:left w:val="single" w:color="000000" w:sz="12" w:space="0"/>
              <w:bottom w:val="single" w:color="000000" w:sz="6" w:space="0"/>
              <w:right w:val="single" w:color="000000" w:sz="6" w:space="0"/>
            </w:tcBorders>
            <w:vAlign w:val="center"/>
          </w:tcPr>
          <w:p w14:paraId="3A898AD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top w:val="single" w:color="000000" w:sz="6" w:space="0"/>
              <w:left w:val="single" w:color="000000" w:sz="6" w:space="0"/>
              <w:bottom w:val="single" w:color="000000" w:sz="6" w:space="0"/>
              <w:right w:val="single" w:color="000000" w:sz="6" w:space="0"/>
            </w:tcBorders>
            <w:vAlign w:val="center"/>
          </w:tcPr>
          <w:p w14:paraId="62606FF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6" w:space="0"/>
              <w:right w:val="single" w:color="000000" w:sz="6" w:space="0"/>
            </w:tcBorders>
            <w:vAlign w:val="center"/>
          </w:tcPr>
          <w:p w14:paraId="4E8171B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top w:val="single" w:color="000000" w:sz="6" w:space="0"/>
              <w:left w:val="single" w:color="000000" w:sz="6" w:space="0"/>
              <w:bottom w:val="single" w:color="000000" w:sz="6" w:space="0"/>
              <w:right w:val="single" w:color="000000" w:sz="6" w:space="0"/>
            </w:tcBorders>
            <w:vAlign w:val="center"/>
          </w:tcPr>
          <w:p w14:paraId="517AD73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6" w:space="0"/>
              <w:right w:val="single" w:color="000000" w:sz="6" w:space="0"/>
            </w:tcBorders>
            <w:vAlign w:val="center"/>
          </w:tcPr>
          <w:p w14:paraId="07A8719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top w:val="single" w:color="000000" w:sz="6" w:space="0"/>
              <w:left w:val="single" w:color="000000" w:sz="6" w:space="0"/>
              <w:bottom w:val="single" w:color="000000" w:sz="6" w:space="0"/>
              <w:right w:val="single" w:color="000000" w:sz="6" w:space="0"/>
            </w:tcBorders>
            <w:vAlign w:val="center"/>
          </w:tcPr>
          <w:p w14:paraId="0586A1A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top w:val="single" w:color="000000" w:sz="6" w:space="0"/>
              <w:left w:val="single" w:color="000000" w:sz="6" w:space="0"/>
              <w:bottom w:val="single" w:color="000000" w:sz="6" w:space="0"/>
              <w:right w:val="single" w:color="000000" w:sz="6" w:space="0"/>
            </w:tcBorders>
            <w:vAlign w:val="center"/>
          </w:tcPr>
          <w:p w14:paraId="115DD7C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6" w:space="0"/>
              <w:right w:val="single" w:color="000000" w:sz="6" w:space="0"/>
            </w:tcBorders>
            <w:vAlign w:val="center"/>
          </w:tcPr>
          <w:p w14:paraId="73920F6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top w:val="single" w:color="000000" w:sz="6" w:space="0"/>
              <w:left w:val="single" w:color="000000" w:sz="6" w:space="0"/>
              <w:bottom w:val="single" w:color="000000" w:sz="6" w:space="0"/>
              <w:right w:val="single" w:color="000000" w:sz="6" w:space="0"/>
            </w:tcBorders>
            <w:vAlign w:val="center"/>
          </w:tcPr>
          <w:p w14:paraId="030D125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6" w:space="0"/>
              <w:right w:val="single" w:color="000000" w:sz="12" w:space="0"/>
            </w:tcBorders>
            <w:vAlign w:val="center"/>
          </w:tcPr>
          <w:p w14:paraId="6CB0A0CC">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C875AEA">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59FC7AE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2FC5173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4921158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437C8CE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43F76E9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6C593A1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0E9B7F9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2E64887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3790EED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6E2B15F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449D156">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446D277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7517B3A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0EDBC8D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07E370E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56BDD00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5430C1D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580F077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1127DEA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1BB8B2F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0E494343">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EE3BD59">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1162F85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492ED89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2777933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7DAC070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5814426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7261021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5B368C1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52395B0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71D836A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7D37620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0D85E73">
        <w:tblPrEx>
          <w:tblCellMar>
            <w:top w:w="0" w:type="dxa"/>
            <w:left w:w="28" w:type="dxa"/>
            <w:bottom w:w="0" w:type="dxa"/>
            <w:right w:w="28" w:type="dxa"/>
          </w:tblCellMar>
        </w:tblPrEx>
        <w:trPr>
          <w:trHeight w:val="584" w:hRule="atLeast"/>
        </w:trPr>
        <w:tc>
          <w:tcPr>
            <w:tcW w:w="1229" w:type="dxa"/>
            <w:tcBorders>
              <w:top w:val="single" w:color="000000" w:sz="6" w:space="0"/>
              <w:left w:val="single" w:color="000000" w:sz="12" w:space="0"/>
              <w:bottom w:val="single" w:color="000000" w:sz="12" w:space="0"/>
              <w:right w:val="single" w:color="000000" w:sz="6" w:space="0"/>
            </w:tcBorders>
            <w:vAlign w:val="center"/>
          </w:tcPr>
          <w:p w14:paraId="1A382FC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top w:val="single" w:color="000000" w:sz="6" w:space="0"/>
              <w:left w:val="single" w:color="000000" w:sz="6" w:space="0"/>
              <w:bottom w:val="single" w:color="000000" w:sz="12" w:space="0"/>
              <w:right w:val="single" w:color="000000" w:sz="6" w:space="0"/>
            </w:tcBorders>
            <w:vAlign w:val="center"/>
          </w:tcPr>
          <w:p w14:paraId="517938E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12" w:space="0"/>
              <w:right w:val="single" w:color="000000" w:sz="6" w:space="0"/>
            </w:tcBorders>
            <w:vAlign w:val="center"/>
          </w:tcPr>
          <w:p w14:paraId="7D3D177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top w:val="single" w:color="000000" w:sz="6" w:space="0"/>
              <w:left w:val="single" w:color="000000" w:sz="6" w:space="0"/>
              <w:bottom w:val="single" w:color="000000" w:sz="12" w:space="0"/>
              <w:right w:val="single" w:color="000000" w:sz="6" w:space="0"/>
            </w:tcBorders>
            <w:vAlign w:val="center"/>
          </w:tcPr>
          <w:p w14:paraId="225BEFA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12" w:space="0"/>
              <w:right w:val="single" w:color="000000" w:sz="6" w:space="0"/>
            </w:tcBorders>
            <w:vAlign w:val="center"/>
          </w:tcPr>
          <w:p w14:paraId="2F8F85E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top w:val="single" w:color="000000" w:sz="6" w:space="0"/>
              <w:left w:val="single" w:color="000000" w:sz="6" w:space="0"/>
              <w:bottom w:val="single" w:color="000000" w:sz="12" w:space="0"/>
              <w:right w:val="single" w:color="000000" w:sz="6" w:space="0"/>
            </w:tcBorders>
            <w:vAlign w:val="center"/>
          </w:tcPr>
          <w:p w14:paraId="3219183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top w:val="single" w:color="000000" w:sz="6" w:space="0"/>
              <w:left w:val="single" w:color="000000" w:sz="6" w:space="0"/>
              <w:bottom w:val="single" w:color="000000" w:sz="12" w:space="0"/>
              <w:right w:val="single" w:color="000000" w:sz="6" w:space="0"/>
            </w:tcBorders>
            <w:vAlign w:val="center"/>
          </w:tcPr>
          <w:p w14:paraId="6A86E77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12" w:space="0"/>
              <w:right w:val="single" w:color="000000" w:sz="6" w:space="0"/>
            </w:tcBorders>
            <w:vAlign w:val="center"/>
          </w:tcPr>
          <w:p w14:paraId="1E2D3B4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top w:val="single" w:color="000000" w:sz="6" w:space="0"/>
              <w:left w:val="single" w:color="000000" w:sz="6" w:space="0"/>
              <w:bottom w:val="single" w:color="000000" w:sz="12" w:space="0"/>
              <w:right w:val="single" w:color="000000" w:sz="6" w:space="0"/>
            </w:tcBorders>
            <w:vAlign w:val="center"/>
          </w:tcPr>
          <w:p w14:paraId="53566EB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12" w:space="0"/>
              <w:right w:val="single" w:color="000000" w:sz="12" w:space="0"/>
            </w:tcBorders>
            <w:vAlign w:val="center"/>
          </w:tcPr>
          <w:p w14:paraId="0618BA9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bl>
    <w:p w14:paraId="018E76DE">
      <w:pPr>
        <w:sectPr>
          <w:headerReference r:id="rId20" w:type="first"/>
          <w:footerReference r:id="rId22" w:type="first"/>
          <w:headerReference r:id="rId19" w:type="default"/>
          <w:footerReference r:id="rId21" w:type="default"/>
          <w:pgSz w:w="16838" w:h="11906" w:orient="landscape"/>
          <w:pgMar w:top="1554" w:right="1418" w:bottom="1531" w:left="1418" w:header="851" w:footer="992" w:gutter="0"/>
          <w:pgNumType w:fmt="decimal"/>
          <w:cols w:space="720" w:num="1"/>
          <w:formProt w:val="0"/>
          <w:titlePg/>
          <w:docGrid w:type="linesAndChars" w:linePitch="312" w:charSpace="0"/>
        </w:sectPr>
      </w:pPr>
    </w:p>
    <w:p w14:paraId="74E5E471">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w:t>
      </w:r>
    </w:p>
    <w:p w14:paraId="5F8524B1">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发包人供应材料设备一览表</w:t>
      </w:r>
    </w:p>
    <w:tbl>
      <w:tblPr>
        <w:tblStyle w:val="20"/>
        <w:tblW w:w="10702" w:type="dxa"/>
        <w:jc w:val="center"/>
        <w:tblLayout w:type="fixed"/>
        <w:tblCellMar>
          <w:top w:w="0" w:type="dxa"/>
          <w:left w:w="28" w:type="dxa"/>
          <w:bottom w:w="0" w:type="dxa"/>
          <w:right w:w="28" w:type="dxa"/>
        </w:tblCellMar>
      </w:tblPr>
      <w:tblGrid>
        <w:gridCol w:w="851"/>
        <w:gridCol w:w="1276"/>
        <w:gridCol w:w="1418"/>
        <w:gridCol w:w="940"/>
        <w:gridCol w:w="851"/>
        <w:gridCol w:w="1044"/>
        <w:gridCol w:w="992"/>
        <w:gridCol w:w="851"/>
        <w:gridCol w:w="1487"/>
        <w:gridCol w:w="992"/>
      </w:tblGrid>
      <w:tr w14:paraId="4C10221F">
        <w:tblPrEx>
          <w:tblCellMar>
            <w:top w:w="0" w:type="dxa"/>
            <w:left w:w="28" w:type="dxa"/>
            <w:bottom w:w="0" w:type="dxa"/>
            <w:right w:w="28" w:type="dxa"/>
          </w:tblCellMar>
        </w:tblPrEx>
        <w:trPr>
          <w:jc w:val="center"/>
        </w:trPr>
        <w:tc>
          <w:tcPr>
            <w:tcW w:w="851" w:type="dxa"/>
            <w:tcBorders>
              <w:top w:val="single" w:color="000000" w:sz="12" w:space="0"/>
              <w:left w:val="single" w:color="000000" w:sz="12" w:space="0"/>
              <w:bottom w:val="double" w:color="000000" w:sz="6" w:space="0"/>
              <w:right w:val="single" w:color="000000" w:sz="6" w:space="0"/>
            </w:tcBorders>
            <w:vAlign w:val="center"/>
          </w:tcPr>
          <w:p w14:paraId="7468FFF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276" w:type="dxa"/>
            <w:tcBorders>
              <w:top w:val="single" w:color="000000" w:sz="12" w:space="0"/>
              <w:left w:val="single" w:color="000000" w:sz="6" w:space="0"/>
              <w:bottom w:val="double" w:color="000000" w:sz="6" w:space="0"/>
              <w:right w:val="single" w:color="000000" w:sz="6" w:space="0"/>
            </w:tcBorders>
            <w:vAlign w:val="center"/>
          </w:tcPr>
          <w:p w14:paraId="6D1FDC1C">
            <w:pPr>
              <w:pStyle w:val="8"/>
              <w:keepNext/>
              <w:spacing w:before="0" w:after="0" w:line="440" w:lineRule="exact"/>
              <w:ind w:left="63" w:right="63" w:firstLine="0"/>
              <w:rPr>
                <w:rFonts w:eastAsia="仿宋_GB2312;仿宋"/>
                <w:color w:val="000000"/>
                <w:kern w:val="2"/>
                <w:sz w:val="22"/>
                <w:szCs w:val="24"/>
                <w:lang w:val="en-US" w:eastAsia="zh-CN"/>
              </w:rPr>
            </w:pPr>
            <w:r>
              <w:rPr>
                <w:rFonts w:eastAsia="Times New Roman"/>
                <w:color w:val="000000"/>
                <w:kern w:val="2"/>
                <w:sz w:val="22"/>
                <w:szCs w:val="24"/>
                <w:lang w:val="en-US" w:eastAsia="zh-CN"/>
              </w:rPr>
              <w:t xml:space="preserve">  </w:t>
            </w:r>
            <w:r>
              <w:rPr>
                <w:rFonts w:eastAsia="仿宋_GB2312;仿宋"/>
                <w:color w:val="000000"/>
                <w:kern w:val="2"/>
                <w:sz w:val="22"/>
                <w:szCs w:val="24"/>
                <w:lang w:val="en-US" w:eastAsia="zh-CN"/>
              </w:rPr>
              <w:t>材料、</w:t>
            </w:r>
          </w:p>
          <w:p w14:paraId="5BCD9215">
            <w:pPr>
              <w:pStyle w:val="8"/>
              <w:keepNext/>
              <w:spacing w:before="0" w:after="0" w:line="440" w:lineRule="exact"/>
              <w:ind w:left="0" w:right="63" w:firstLine="0"/>
              <w:jc w:val="both"/>
              <w:rPr>
                <w:rFonts w:eastAsia="仿宋_GB2312;仿宋"/>
                <w:color w:val="000000"/>
                <w:kern w:val="2"/>
                <w:sz w:val="22"/>
                <w:szCs w:val="24"/>
                <w:lang w:val="en-US" w:eastAsia="zh-CN"/>
              </w:rPr>
            </w:pPr>
            <w:r>
              <w:rPr>
                <w:rFonts w:eastAsia="仿宋_GB2312;仿宋"/>
                <w:color w:val="000000"/>
                <w:kern w:val="2"/>
                <w:sz w:val="22"/>
                <w:szCs w:val="24"/>
                <w:lang w:val="en-US" w:eastAsia="zh-CN"/>
              </w:rPr>
              <w:t>设备品种</w:t>
            </w:r>
          </w:p>
        </w:tc>
        <w:tc>
          <w:tcPr>
            <w:tcW w:w="1418" w:type="dxa"/>
            <w:tcBorders>
              <w:top w:val="single" w:color="000000" w:sz="12" w:space="0"/>
              <w:left w:val="single" w:color="000000" w:sz="6" w:space="0"/>
              <w:bottom w:val="double" w:color="000000" w:sz="6" w:space="0"/>
              <w:right w:val="single" w:color="000000" w:sz="6" w:space="0"/>
            </w:tcBorders>
            <w:vAlign w:val="center"/>
          </w:tcPr>
          <w:p w14:paraId="0E4153A0">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规格型号</w:t>
            </w:r>
          </w:p>
        </w:tc>
        <w:tc>
          <w:tcPr>
            <w:tcW w:w="940" w:type="dxa"/>
            <w:tcBorders>
              <w:top w:val="single" w:color="000000" w:sz="12" w:space="0"/>
              <w:left w:val="single" w:color="000000" w:sz="6" w:space="0"/>
              <w:bottom w:val="double" w:color="000000" w:sz="6" w:space="0"/>
              <w:right w:val="single" w:color="000000" w:sz="6" w:space="0"/>
            </w:tcBorders>
            <w:vAlign w:val="center"/>
          </w:tcPr>
          <w:p w14:paraId="5B9316DE">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单位</w:t>
            </w:r>
          </w:p>
        </w:tc>
        <w:tc>
          <w:tcPr>
            <w:tcW w:w="851" w:type="dxa"/>
            <w:tcBorders>
              <w:top w:val="single" w:color="000000" w:sz="12" w:space="0"/>
              <w:left w:val="single" w:color="000000" w:sz="6" w:space="0"/>
              <w:bottom w:val="double" w:color="000000" w:sz="6" w:space="0"/>
              <w:right w:val="single" w:color="000000" w:sz="6" w:space="0"/>
            </w:tcBorders>
            <w:vAlign w:val="center"/>
          </w:tcPr>
          <w:p w14:paraId="695C1092">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数量</w:t>
            </w:r>
          </w:p>
        </w:tc>
        <w:tc>
          <w:tcPr>
            <w:tcW w:w="1044" w:type="dxa"/>
            <w:tcBorders>
              <w:top w:val="single" w:color="000000" w:sz="12" w:space="0"/>
              <w:left w:val="single" w:color="000000" w:sz="6" w:space="0"/>
              <w:bottom w:val="double" w:color="000000" w:sz="6" w:space="0"/>
              <w:right w:val="single" w:color="000000" w:sz="6" w:space="0"/>
            </w:tcBorders>
            <w:vAlign w:val="center"/>
          </w:tcPr>
          <w:p w14:paraId="4E52B96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单价（元）</w:t>
            </w:r>
          </w:p>
        </w:tc>
        <w:tc>
          <w:tcPr>
            <w:tcW w:w="992" w:type="dxa"/>
            <w:tcBorders>
              <w:top w:val="single" w:color="000000" w:sz="12" w:space="0"/>
              <w:left w:val="single" w:color="000000" w:sz="6" w:space="0"/>
              <w:bottom w:val="double" w:color="000000" w:sz="6" w:space="0"/>
              <w:right w:val="single" w:color="000000" w:sz="6" w:space="0"/>
            </w:tcBorders>
            <w:vAlign w:val="center"/>
          </w:tcPr>
          <w:p w14:paraId="056B0C6A">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质量等级</w:t>
            </w:r>
          </w:p>
        </w:tc>
        <w:tc>
          <w:tcPr>
            <w:tcW w:w="851" w:type="dxa"/>
            <w:tcBorders>
              <w:top w:val="single" w:color="000000" w:sz="12" w:space="0"/>
              <w:left w:val="single" w:color="000000" w:sz="6" w:space="0"/>
              <w:bottom w:val="double" w:color="000000" w:sz="6" w:space="0"/>
              <w:right w:val="single" w:color="000000" w:sz="6" w:space="0"/>
            </w:tcBorders>
            <w:vAlign w:val="center"/>
          </w:tcPr>
          <w:p w14:paraId="3C23F73C">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供应时间</w:t>
            </w:r>
          </w:p>
        </w:tc>
        <w:tc>
          <w:tcPr>
            <w:tcW w:w="1487" w:type="dxa"/>
            <w:tcBorders>
              <w:top w:val="single" w:color="000000" w:sz="12" w:space="0"/>
              <w:left w:val="single" w:color="000000" w:sz="6" w:space="0"/>
              <w:bottom w:val="double" w:color="000000" w:sz="6" w:space="0"/>
              <w:right w:val="single" w:color="000000" w:sz="6" w:space="0"/>
            </w:tcBorders>
            <w:vAlign w:val="center"/>
          </w:tcPr>
          <w:p w14:paraId="2C407C5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送达地点</w:t>
            </w:r>
          </w:p>
        </w:tc>
        <w:tc>
          <w:tcPr>
            <w:tcW w:w="992" w:type="dxa"/>
            <w:tcBorders>
              <w:top w:val="single" w:color="000000" w:sz="12" w:space="0"/>
              <w:left w:val="single" w:color="000000" w:sz="6" w:space="0"/>
              <w:bottom w:val="double" w:color="000000" w:sz="6" w:space="0"/>
              <w:right w:val="single" w:color="000000" w:sz="12" w:space="0"/>
            </w:tcBorders>
            <w:vAlign w:val="center"/>
          </w:tcPr>
          <w:p w14:paraId="442B6474">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备注</w:t>
            </w:r>
          </w:p>
        </w:tc>
      </w:tr>
      <w:tr w14:paraId="426FACF8">
        <w:tblPrEx>
          <w:tblCellMar>
            <w:top w:w="0" w:type="dxa"/>
            <w:left w:w="28" w:type="dxa"/>
            <w:bottom w:w="0" w:type="dxa"/>
            <w:right w:w="28" w:type="dxa"/>
          </w:tblCellMar>
        </w:tblPrEx>
        <w:trPr>
          <w:trHeight w:val="567" w:hRule="atLeast"/>
          <w:jc w:val="center"/>
        </w:trPr>
        <w:tc>
          <w:tcPr>
            <w:tcW w:w="851" w:type="dxa"/>
            <w:tcBorders>
              <w:top w:val="double" w:color="000000" w:sz="6" w:space="0"/>
              <w:left w:val="single" w:color="000000" w:sz="12" w:space="0"/>
              <w:bottom w:val="single" w:color="000000" w:sz="6" w:space="0"/>
              <w:right w:val="single" w:color="000000" w:sz="6" w:space="0"/>
            </w:tcBorders>
            <w:vAlign w:val="center"/>
          </w:tcPr>
          <w:p w14:paraId="502369A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double" w:color="000000" w:sz="6" w:space="0"/>
              <w:left w:val="single" w:color="000000" w:sz="6" w:space="0"/>
              <w:bottom w:val="single" w:color="000000" w:sz="6" w:space="0"/>
              <w:right w:val="single" w:color="000000" w:sz="6" w:space="0"/>
            </w:tcBorders>
            <w:vAlign w:val="center"/>
          </w:tcPr>
          <w:p w14:paraId="1B3CADC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double" w:color="000000" w:sz="6" w:space="0"/>
              <w:left w:val="single" w:color="000000" w:sz="6" w:space="0"/>
              <w:bottom w:val="single" w:color="000000" w:sz="6" w:space="0"/>
              <w:right w:val="single" w:color="000000" w:sz="6" w:space="0"/>
            </w:tcBorders>
            <w:vAlign w:val="center"/>
          </w:tcPr>
          <w:p w14:paraId="2E57824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double" w:color="000000" w:sz="6" w:space="0"/>
              <w:left w:val="single" w:color="000000" w:sz="6" w:space="0"/>
              <w:bottom w:val="single" w:color="000000" w:sz="6" w:space="0"/>
              <w:right w:val="single" w:color="000000" w:sz="6" w:space="0"/>
            </w:tcBorders>
            <w:vAlign w:val="center"/>
          </w:tcPr>
          <w:p w14:paraId="2301D04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double" w:color="000000" w:sz="6" w:space="0"/>
              <w:left w:val="single" w:color="000000" w:sz="6" w:space="0"/>
              <w:bottom w:val="single" w:color="000000" w:sz="6" w:space="0"/>
              <w:right w:val="single" w:color="000000" w:sz="6" w:space="0"/>
            </w:tcBorders>
            <w:vAlign w:val="center"/>
          </w:tcPr>
          <w:p w14:paraId="2C3EB2B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double" w:color="000000" w:sz="6" w:space="0"/>
              <w:left w:val="single" w:color="000000" w:sz="6" w:space="0"/>
              <w:bottom w:val="single" w:color="000000" w:sz="6" w:space="0"/>
              <w:right w:val="single" w:color="000000" w:sz="6" w:space="0"/>
            </w:tcBorders>
            <w:vAlign w:val="center"/>
          </w:tcPr>
          <w:p w14:paraId="119F784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double" w:color="000000" w:sz="6" w:space="0"/>
              <w:left w:val="single" w:color="000000" w:sz="6" w:space="0"/>
              <w:bottom w:val="single" w:color="000000" w:sz="6" w:space="0"/>
              <w:right w:val="single" w:color="000000" w:sz="6" w:space="0"/>
            </w:tcBorders>
            <w:vAlign w:val="center"/>
          </w:tcPr>
          <w:p w14:paraId="4019C83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double" w:color="000000" w:sz="6" w:space="0"/>
              <w:left w:val="single" w:color="000000" w:sz="6" w:space="0"/>
              <w:bottom w:val="single" w:color="000000" w:sz="6" w:space="0"/>
              <w:right w:val="single" w:color="000000" w:sz="6" w:space="0"/>
            </w:tcBorders>
            <w:vAlign w:val="center"/>
          </w:tcPr>
          <w:p w14:paraId="602710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double" w:color="000000" w:sz="6" w:space="0"/>
              <w:left w:val="single" w:color="000000" w:sz="6" w:space="0"/>
              <w:bottom w:val="single" w:color="000000" w:sz="6" w:space="0"/>
              <w:right w:val="single" w:color="000000" w:sz="6" w:space="0"/>
            </w:tcBorders>
            <w:vAlign w:val="center"/>
          </w:tcPr>
          <w:p w14:paraId="59B6B6A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double" w:color="000000" w:sz="6" w:space="0"/>
              <w:left w:val="single" w:color="000000" w:sz="6" w:space="0"/>
              <w:bottom w:val="single" w:color="000000" w:sz="6" w:space="0"/>
              <w:right w:val="single" w:color="000000" w:sz="12" w:space="0"/>
            </w:tcBorders>
            <w:vAlign w:val="center"/>
          </w:tcPr>
          <w:p w14:paraId="7BD29C2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FE6B925">
        <w:tblPrEx>
          <w:tblCellMar>
            <w:top w:w="0" w:type="dxa"/>
            <w:left w:w="28" w:type="dxa"/>
            <w:bottom w:w="0" w:type="dxa"/>
            <w:right w:w="28" w:type="dxa"/>
          </w:tblCellMar>
        </w:tblPrEx>
        <w:trPr>
          <w:trHeight w:val="567" w:hRule="atLeast"/>
          <w:jc w:val="center"/>
        </w:trPr>
        <w:tc>
          <w:tcPr>
            <w:tcW w:w="851" w:type="dxa"/>
            <w:tcBorders>
              <w:left w:val="single" w:color="000000" w:sz="12" w:space="0"/>
              <w:bottom w:val="single" w:color="000000" w:sz="6" w:space="0"/>
              <w:right w:val="single" w:color="000000" w:sz="6" w:space="0"/>
            </w:tcBorders>
            <w:vAlign w:val="center"/>
          </w:tcPr>
          <w:p w14:paraId="5E79EC4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left w:val="single" w:color="000000" w:sz="6" w:space="0"/>
              <w:bottom w:val="single" w:color="000000" w:sz="6" w:space="0"/>
              <w:right w:val="single" w:color="000000" w:sz="6" w:space="0"/>
            </w:tcBorders>
            <w:vAlign w:val="center"/>
          </w:tcPr>
          <w:p w14:paraId="47EC6B6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left w:val="single" w:color="000000" w:sz="6" w:space="0"/>
              <w:bottom w:val="single" w:color="000000" w:sz="6" w:space="0"/>
              <w:right w:val="single" w:color="000000" w:sz="6" w:space="0"/>
            </w:tcBorders>
            <w:vAlign w:val="center"/>
          </w:tcPr>
          <w:p w14:paraId="1007E45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left w:val="single" w:color="000000" w:sz="6" w:space="0"/>
              <w:bottom w:val="single" w:color="000000" w:sz="6" w:space="0"/>
              <w:right w:val="single" w:color="000000" w:sz="6" w:space="0"/>
            </w:tcBorders>
            <w:vAlign w:val="center"/>
          </w:tcPr>
          <w:p w14:paraId="66387BB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left w:val="single" w:color="000000" w:sz="6" w:space="0"/>
              <w:bottom w:val="single" w:color="000000" w:sz="6" w:space="0"/>
              <w:right w:val="single" w:color="000000" w:sz="6" w:space="0"/>
            </w:tcBorders>
            <w:vAlign w:val="center"/>
          </w:tcPr>
          <w:p w14:paraId="4BCF355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left w:val="single" w:color="000000" w:sz="6" w:space="0"/>
              <w:bottom w:val="single" w:color="000000" w:sz="6" w:space="0"/>
              <w:right w:val="single" w:color="000000" w:sz="6" w:space="0"/>
            </w:tcBorders>
            <w:vAlign w:val="center"/>
          </w:tcPr>
          <w:p w14:paraId="30EF722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left w:val="single" w:color="000000" w:sz="6" w:space="0"/>
              <w:bottom w:val="single" w:color="000000" w:sz="6" w:space="0"/>
              <w:right w:val="single" w:color="000000" w:sz="6" w:space="0"/>
            </w:tcBorders>
            <w:vAlign w:val="center"/>
          </w:tcPr>
          <w:p w14:paraId="078D3CA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left w:val="single" w:color="000000" w:sz="6" w:space="0"/>
              <w:bottom w:val="single" w:color="000000" w:sz="6" w:space="0"/>
              <w:right w:val="single" w:color="000000" w:sz="6" w:space="0"/>
            </w:tcBorders>
            <w:vAlign w:val="center"/>
          </w:tcPr>
          <w:p w14:paraId="272F749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left w:val="single" w:color="000000" w:sz="6" w:space="0"/>
              <w:bottom w:val="single" w:color="000000" w:sz="6" w:space="0"/>
              <w:right w:val="single" w:color="000000" w:sz="6" w:space="0"/>
            </w:tcBorders>
            <w:vAlign w:val="center"/>
          </w:tcPr>
          <w:p w14:paraId="27B2A4F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left w:val="single" w:color="000000" w:sz="6" w:space="0"/>
              <w:bottom w:val="single" w:color="000000" w:sz="6" w:space="0"/>
              <w:right w:val="single" w:color="000000" w:sz="12" w:space="0"/>
            </w:tcBorders>
            <w:vAlign w:val="center"/>
          </w:tcPr>
          <w:p w14:paraId="710FFC2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BC603B9">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6D92B12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826D62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7A68842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750E56A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18F7B9A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14A4B1A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4799AB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D73035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0BBC8AE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0E2F69CD">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54CC6E4">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7C9B023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18911B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78AB86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30B9B3D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43D161D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53FF6CC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2CC738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DE9D9F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6F6D490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40CABFD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8B9128C">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1482706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EB6804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CBA522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620A79F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214F960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5984D53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198BB5E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E69421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4A26B39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101D64C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F4E2991">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31CDA49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05EF6E7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611E275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04FE668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1B50E1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1C57D0C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077E97B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271E72A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3B84DCB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7E34A53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F86594D">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7F7955A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2C29D3C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2C83923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2F7A1C7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2E1F7FB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6B0274A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45BA110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33CF153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144FE3F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4DF39277">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8187E32">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5674EC4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1275FD9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C60825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4484633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38E35DD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8368A8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60B7C06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E93704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610F14E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6ECBE8D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89E67AA">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4B8C3E3F">
            <w:pPr>
              <w:snapToGrid w:val="0"/>
              <w:jc w:val="center"/>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7537226A">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27BF59BC">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4DD0EAE9">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080B71B9">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0A933B9A">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64DA88A">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03770C59">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602ED811">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0E7CE94F">
            <w:pPr>
              <w:snapToGrid w:val="0"/>
              <w:jc w:val="center"/>
              <w:rPr>
                <w:rFonts w:eastAsia="仿宋_GB2312;仿宋"/>
                <w:color w:val="000000"/>
                <w:sz w:val="24"/>
                <w:szCs w:val="24"/>
              </w:rPr>
            </w:pPr>
          </w:p>
        </w:tc>
      </w:tr>
      <w:tr w14:paraId="639BA7EB">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51D44F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58C5A70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18FD38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690918F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41978AC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3E9BB3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4C13F80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6D1261F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404D4DC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55BAB60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7637B3B">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63FEDBE1">
            <w:pPr>
              <w:snapToGrid w:val="0"/>
              <w:jc w:val="center"/>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518FE689">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1685E023">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36959A14">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11415378">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8E369E6">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2BA4011C">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41C92FE8">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06EB0779">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556D0DB8">
            <w:pPr>
              <w:snapToGrid w:val="0"/>
              <w:jc w:val="center"/>
              <w:rPr>
                <w:rFonts w:eastAsia="仿宋_GB2312;仿宋"/>
                <w:color w:val="000000"/>
                <w:sz w:val="24"/>
                <w:szCs w:val="24"/>
              </w:rPr>
            </w:pPr>
          </w:p>
        </w:tc>
      </w:tr>
      <w:tr w14:paraId="55ACD681">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4F72C86D">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69EEF860">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607FDC17">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4EF39F5F">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115F553D">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2CC8F27">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4D8AA9F0">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54D9D753">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3C19E855">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72AC653E">
            <w:pPr>
              <w:snapToGrid w:val="0"/>
              <w:jc w:val="center"/>
              <w:rPr>
                <w:rFonts w:eastAsia="仿宋_GB2312;仿宋"/>
                <w:color w:val="000000"/>
                <w:sz w:val="24"/>
                <w:szCs w:val="24"/>
              </w:rPr>
            </w:pPr>
          </w:p>
        </w:tc>
      </w:tr>
      <w:tr w14:paraId="19E77E2D">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43D87AE8">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10053150">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36BB4A85">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61054467">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50BA4DB8">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04CD54E">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D64A672">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6B81FD43">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37C3F843">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545802B3">
            <w:pPr>
              <w:snapToGrid w:val="0"/>
              <w:jc w:val="center"/>
              <w:rPr>
                <w:rFonts w:eastAsia="仿宋_GB2312;仿宋"/>
                <w:color w:val="000000"/>
                <w:sz w:val="24"/>
                <w:szCs w:val="24"/>
              </w:rPr>
            </w:pPr>
          </w:p>
        </w:tc>
      </w:tr>
      <w:tr w14:paraId="5C4F28F4">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2471716F">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239F3FD8">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7908F82E">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7FD8C693">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26C181C1">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5816F38C">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0DDE5C0">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6EC9FAB2">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2B8598D3">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06AD6451">
            <w:pPr>
              <w:snapToGrid w:val="0"/>
              <w:jc w:val="center"/>
              <w:rPr>
                <w:rFonts w:eastAsia="仿宋_GB2312;仿宋"/>
                <w:color w:val="000000"/>
                <w:sz w:val="24"/>
                <w:szCs w:val="24"/>
              </w:rPr>
            </w:pPr>
          </w:p>
        </w:tc>
      </w:tr>
      <w:tr w14:paraId="50DF2A2C">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0D24F4EA">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00F9CD4A">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B693ABB">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5C4810F0">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4F2E8E7F">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5CE577D0">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32DE6AC9">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624F5AA2">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3ABB2F5B">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7D4B7952">
            <w:pPr>
              <w:snapToGrid w:val="0"/>
              <w:jc w:val="center"/>
              <w:rPr>
                <w:rFonts w:eastAsia="仿宋_GB2312;仿宋"/>
                <w:color w:val="000000"/>
                <w:sz w:val="24"/>
                <w:szCs w:val="24"/>
              </w:rPr>
            </w:pPr>
          </w:p>
        </w:tc>
      </w:tr>
      <w:tr w14:paraId="552D5D8A">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612C887C">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2A2D0215">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65BD13B9">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6420BA13">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06E12728">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35152F4E">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66AA7E17">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58905AB0">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072C3113">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71AB5722">
            <w:pPr>
              <w:snapToGrid w:val="0"/>
              <w:jc w:val="center"/>
              <w:rPr>
                <w:rFonts w:eastAsia="仿宋_GB2312;仿宋"/>
                <w:color w:val="000000"/>
                <w:sz w:val="24"/>
                <w:szCs w:val="24"/>
              </w:rPr>
            </w:pPr>
          </w:p>
        </w:tc>
      </w:tr>
      <w:tr w14:paraId="3353827C">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53B9B6D1">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789D626D">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2FA52776">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4560C424">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13842BF4">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0FAE9C26">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3C82715A">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010E7596">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2025B609">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581E1C72">
            <w:pPr>
              <w:snapToGrid w:val="0"/>
              <w:jc w:val="center"/>
              <w:rPr>
                <w:rFonts w:eastAsia="仿宋_GB2312;仿宋"/>
                <w:color w:val="000000"/>
                <w:sz w:val="24"/>
                <w:szCs w:val="24"/>
              </w:rPr>
            </w:pPr>
          </w:p>
        </w:tc>
      </w:tr>
      <w:tr w14:paraId="136AF4F7">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12" w:space="0"/>
              <w:right w:val="single" w:color="000000" w:sz="6" w:space="0"/>
            </w:tcBorders>
            <w:vAlign w:val="center"/>
          </w:tcPr>
          <w:p w14:paraId="1F72771E">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12" w:space="0"/>
              <w:right w:val="single" w:color="000000" w:sz="6" w:space="0"/>
            </w:tcBorders>
            <w:vAlign w:val="center"/>
          </w:tcPr>
          <w:p w14:paraId="2D614804">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12" w:space="0"/>
              <w:right w:val="single" w:color="000000" w:sz="6" w:space="0"/>
            </w:tcBorders>
            <w:vAlign w:val="center"/>
          </w:tcPr>
          <w:p w14:paraId="2664FF68">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12" w:space="0"/>
              <w:right w:val="single" w:color="000000" w:sz="6" w:space="0"/>
            </w:tcBorders>
            <w:vAlign w:val="center"/>
          </w:tcPr>
          <w:p w14:paraId="55CD40C2">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12" w:space="0"/>
              <w:right w:val="single" w:color="000000" w:sz="6" w:space="0"/>
            </w:tcBorders>
            <w:vAlign w:val="center"/>
          </w:tcPr>
          <w:p w14:paraId="59B45587">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12" w:space="0"/>
              <w:right w:val="single" w:color="000000" w:sz="6" w:space="0"/>
            </w:tcBorders>
            <w:vAlign w:val="center"/>
          </w:tcPr>
          <w:p w14:paraId="4DD92018">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12" w:space="0"/>
              <w:right w:val="single" w:color="000000" w:sz="6" w:space="0"/>
            </w:tcBorders>
            <w:vAlign w:val="center"/>
          </w:tcPr>
          <w:p w14:paraId="6F7803DF">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12" w:space="0"/>
              <w:right w:val="single" w:color="000000" w:sz="6" w:space="0"/>
            </w:tcBorders>
            <w:vAlign w:val="center"/>
          </w:tcPr>
          <w:p w14:paraId="3D2949B1">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12" w:space="0"/>
              <w:right w:val="single" w:color="000000" w:sz="6" w:space="0"/>
            </w:tcBorders>
            <w:vAlign w:val="center"/>
          </w:tcPr>
          <w:p w14:paraId="15285BDF">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12" w:space="0"/>
              <w:right w:val="single" w:color="000000" w:sz="12" w:space="0"/>
            </w:tcBorders>
            <w:vAlign w:val="center"/>
          </w:tcPr>
          <w:p w14:paraId="1191D1C9">
            <w:pPr>
              <w:snapToGrid w:val="0"/>
              <w:jc w:val="center"/>
              <w:rPr>
                <w:rFonts w:eastAsia="仿宋_GB2312;仿宋"/>
                <w:color w:val="000000"/>
                <w:sz w:val="24"/>
                <w:szCs w:val="24"/>
              </w:rPr>
            </w:pPr>
          </w:p>
        </w:tc>
      </w:tr>
    </w:tbl>
    <w:p w14:paraId="2A8C5540">
      <w:pPr>
        <w:spacing w:line="440" w:lineRule="exact"/>
        <w:rPr>
          <w:rFonts w:ascii="Times New Roman" w:hAnsi="Times New Roman" w:eastAsia="仿宋_GB2312;仿宋" w:cs="Times New Roman"/>
          <w:color w:val="000000"/>
          <w:sz w:val="24"/>
          <w:szCs w:val="24"/>
        </w:rPr>
      </w:pPr>
    </w:p>
    <w:p w14:paraId="6EC0C306">
      <w:pPr>
        <w:spacing w:line="440" w:lineRule="exact"/>
        <w:rPr>
          <w:rFonts w:ascii="Times New Roman" w:hAnsi="Times New Roman" w:eastAsia="仿宋_GB2312;仿宋" w:cs="Times New Roman"/>
          <w:color w:val="000000"/>
          <w:sz w:val="24"/>
          <w:szCs w:val="24"/>
        </w:rPr>
      </w:pPr>
    </w:p>
    <w:p w14:paraId="5C2927A4">
      <w:pPr>
        <w:spacing w:line="440" w:lineRule="exact"/>
        <w:rPr>
          <w:rFonts w:ascii="Times New Roman" w:hAnsi="Times New Roman" w:eastAsia="仿宋_GB2312;仿宋" w:cs="Times New Roman"/>
          <w:color w:val="000000"/>
          <w:sz w:val="24"/>
          <w:szCs w:val="24"/>
        </w:rPr>
      </w:pPr>
    </w:p>
    <w:p w14:paraId="1C50AB09">
      <w:pPr>
        <w:spacing w:line="440" w:lineRule="exact"/>
        <w:rPr>
          <w:rFonts w:ascii="Times New Roman" w:hAnsi="Times New Roman" w:eastAsia="仿宋_GB2312;仿宋" w:cs="Times New Roman"/>
          <w:color w:val="000000"/>
          <w:sz w:val="24"/>
          <w:szCs w:val="24"/>
        </w:rPr>
      </w:pPr>
    </w:p>
    <w:p w14:paraId="3F998B64">
      <w:pPr>
        <w:spacing w:line="440" w:lineRule="exact"/>
        <w:rPr>
          <w:rFonts w:ascii="Times New Roman" w:hAnsi="Times New Roman" w:eastAsia="仿宋_GB2312;仿宋" w:cs="Times New Roman"/>
          <w:color w:val="000000"/>
          <w:sz w:val="24"/>
          <w:szCs w:val="24"/>
        </w:rPr>
      </w:pPr>
    </w:p>
    <w:p w14:paraId="6FAAEE9E">
      <w:pPr>
        <w:spacing w:line="440" w:lineRule="exact"/>
        <w:rPr>
          <w:rFonts w:ascii="Times New Roman" w:hAnsi="Times New Roman" w:eastAsia="仿宋_GB2312;仿宋" w:cs="Times New Roman"/>
          <w:color w:val="000000"/>
          <w:sz w:val="24"/>
          <w:szCs w:val="24"/>
        </w:rPr>
      </w:pPr>
    </w:p>
    <w:p w14:paraId="028D988F">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79296F5D">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工程质量保修书</w:t>
      </w:r>
    </w:p>
    <w:p w14:paraId="382A6B78">
      <w:pPr>
        <w:spacing w:line="440" w:lineRule="exact"/>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发包人（全称）：</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p>
    <w:p w14:paraId="66775798">
      <w:pPr>
        <w:spacing w:line="440" w:lineRule="exac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承包人（全称）：</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p>
    <w:p w14:paraId="132B8083">
      <w:pPr>
        <w:spacing w:line="440" w:lineRule="exact"/>
        <w:rPr>
          <w:rFonts w:ascii="Times New Roman" w:hAnsi="Times New Roman" w:eastAsia="仿宋_GB2312;仿宋" w:cs="Times New Roman"/>
          <w:color w:val="000000"/>
          <w:sz w:val="24"/>
          <w:szCs w:val="24"/>
        </w:rPr>
      </w:pPr>
    </w:p>
    <w:p w14:paraId="653E7703">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发包人和承包人根据《中华人民共和国建筑法》和《建设工程质量管理条例》，经协商一致就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（工程全称）签订工程质量保修书。</w:t>
      </w:r>
    </w:p>
    <w:p w14:paraId="483D2079">
      <w:pPr>
        <w:numPr>
          <w:ilvl w:val="0"/>
          <w:numId w:val="0"/>
        </w:numPr>
        <w:spacing w:line="360" w:lineRule="auto"/>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　　一、工程质量保修范围和内容</w:t>
      </w:r>
    </w:p>
    <w:p w14:paraId="6EA2B3A7">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承包人在质量保修期内，按照有关法律规定和合同约定，承担工程质量保修责任。</w:t>
      </w:r>
    </w:p>
    <w:p w14:paraId="27D611B0">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104791F0">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32DAE4E">
      <w:pPr>
        <w:numPr>
          <w:ilvl w:val="0"/>
          <w:numId w:val="0"/>
        </w:numPr>
        <w:spacing w:line="360" w:lineRule="auto"/>
        <w:outlineLvl w:val="0"/>
        <w:rPr>
          <w:rFonts w:ascii="Times New Roman" w:hAnsi="Times New Roman" w:eastAsia="黑体" w:cs="Times New Roman"/>
          <w:color w:val="000000"/>
          <w:sz w:val="24"/>
          <w:szCs w:val="24"/>
        </w:rPr>
      </w:pPr>
      <w:r>
        <w:rPr>
          <w:rFonts w:ascii="Times New Roman" w:hAnsi="Times New Roman" w:eastAsia="仿宋_GB2312;仿宋" w:cs="Times New Roman"/>
          <w:b/>
          <w:color w:val="000000"/>
          <w:sz w:val="24"/>
          <w:szCs w:val="24"/>
        </w:rPr>
        <w:t>　　</w:t>
      </w:r>
      <w:r>
        <w:rPr>
          <w:rFonts w:ascii="Times New Roman" w:hAnsi="Times New Roman" w:eastAsia="黑体" w:cs="Times New Roman"/>
          <w:color w:val="000000"/>
          <w:sz w:val="24"/>
          <w:szCs w:val="24"/>
        </w:rPr>
        <w:t>二、质量保修期</w:t>
      </w:r>
    </w:p>
    <w:p w14:paraId="2668E0E0">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根据《建设工程质量管理条例》及有关规定，工程的质量保修期如下：</w:t>
      </w:r>
    </w:p>
    <w:p w14:paraId="2F71BF4F">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1</w:t>
      </w:r>
      <w:r>
        <w:rPr>
          <w:rFonts w:ascii="Times New Roman" w:hAnsi="Times New Roman" w:eastAsia="仿宋_GB2312;仿宋" w:cs="Times New Roman"/>
          <w:color w:val="000000"/>
          <w:sz w:val="24"/>
          <w:szCs w:val="24"/>
        </w:rPr>
        <w:t>．</w:t>
      </w:r>
      <w:r>
        <w:rPr>
          <w:rFonts w:ascii="仿宋_GB2312;仿宋" w:hAnsi="仿宋_GB2312;仿宋" w:eastAsia="仿宋_GB2312;仿宋"/>
          <w:sz w:val="24"/>
          <w:szCs w:val="24"/>
        </w:rPr>
        <w:t>地基基础工程和主体结构工程为设计文件规定的工程合理使用年限；</w:t>
      </w:r>
    </w:p>
    <w:p w14:paraId="2568E237">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2</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屋面防水工程、有防水要求的卫生间、房间和外墙面的防渗</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p>
    <w:p w14:paraId="1834E336">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3</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装修工程为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p>
    <w:p w14:paraId="0DEC4C8E">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4</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电气管线、给排水管道、设备安装工程为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p>
    <w:p w14:paraId="265AEC0E">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5</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供热与供冷系统为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个采暖期、供冷期；</w:t>
      </w:r>
    </w:p>
    <w:p w14:paraId="598D607B">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6</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住宅小区内的给排水设施、道路等配套工程为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p>
    <w:p w14:paraId="21B7649A">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7</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其他项目保修期限约定如下：</w:t>
      </w:r>
    </w:p>
    <w:p w14:paraId="39DFB1F2">
      <w:pPr>
        <w:spacing w:line="360" w:lineRule="auto"/>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3D528DB">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质量保修期自工程竣工验收合格之日起计算。</w:t>
      </w:r>
    </w:p>
    <w:p w14:paraId="62D5D47A">
      <w:pPr>
        <w:numPr>
          <w:ilvl w:val="0"/>
          <w:numId w:val="0"/>
        </w:numPr>
        <w:spacing w:line="360" w:lineRule="auto"/>
        <w:ind w:firstLine="480"/>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三、缺陷责任期</w:t>
      </w:r>
    </w:p>
    <w:p w14:paraId="3A0D0D9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工程缺陷责任期为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个月，缺陷责任期自工程通过竣工验收之日起计算。单位工程先于全部工程进行验收，单位工程缺陷责任期自单位工程验收合格之日起算。</w:t>
      </w:r>
    </w:p>
    <w:p w14:paraId="2C69D54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缺陷责任期终止后，发包人应退还剩余的质量保证金。</w:t>
      </w:r>
    </w:p>
    <w:p w14:paraId="51EDA1C0">
      <w:pPr>
        <w:numPr>
          <w:ilvl w:val="0"/>
          <w:numId w:val="0"/>
        </w:numPr>
        <w:spacing w:line="360" w:lineRule="auto"/>
        <w:outlineLvl w:val="0"/>
        <w:rPr>
          <w:rFonts w:ascii="Times New Roman" w:hAnsi="Times New Roman" w:eastAsia="黑体" w:cs="Times New Roman"/>
          <w:color w:val="000000"/>
          <w:sz w:val="24"/>
          <w:szCs w:val="24"/>
        </w:rPr>
      </w:pPr>
      <w:r>
        <w:rPr>
          <w:rFonts w:eastAsia="Times New Roman" w:cs="Times New Roman"/>
          <w:color w:val="000000"/>
          <w:sz w:val="24"/>
          <w:szCs w:val="24"/>
        </w:rPr>
        <w:t xml:space="preserve">    </w:t>
      </w:r>
      <w:r>
        <w:rPr>
          <w:rFonts w:ascii="Times New Roman" w:hAnsi="Times New Roman" w:eastAsia="黑体" w:cs="Times New Roman"/>
          <w:color w:val="000000"/>
          <w:sz w:val="24"/>
          <w:szCs w:val="24"/>
        </w:rPr>
        <w:t>四、质量保修责任</w:t>
      </w:r>
    </w:p>
    <w:p w14:paraId="1781D530">
      <w:pPr>
        <w:spacing w:line="360" w:lineRule="auto"/>
        <w:ind w:left="105" w:firstLine="491"/>
        <w:rPr>
          <w:rFonts w:ascii="Times New Roman" w:hAnsi="Times New Roman" w:eastAsia="仿宋_GB2312;仿宋" w:cs="Times New Roman"/>
          <w:color w:val="000000"/>
          <w:sz w:val="24"/>
          <w:szCs w:val="24"/>
        </w:rPr>
      </w:pPr>
      <w:r>
        <w:rPr>
          <w:rFonts w:eastAsia="仿宋_GB2312;仿宋" w:cs="Times New Roman"/>
          <w:color w:val="000000"/>
          <w:sz w:val="24"/>
          <w:szCs w:val="24"/>
        </w:rPr>
        <w:t>1</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属于保修范围、内容的项目，承包人应当在接到保修通知之日起</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天内派人保修。承包人不在约定期限内派人保修的，发包人可以委托他人修理。</w:t>
      </w:r>
    </w:p>
    <w:p w14:paraId="5C38F836">
      <w:pPr>
        <w:spacing w:line="360" w:lineRule="auto"/>
        <w:ind w:left="105" w:firstLine="491"/>
        <w:rPr>
          <w:rFonts w:ascii="Times New Roman" w:hAnsi="Times New Roman" w:eastAsia="仿宋_GB2312;仿宋" w:cs="Times New Roman"/>
          <w:color w:val="000000"/>
          <w:sz w:val="24"/>
          <w:szCs w:val="24"/>
        </w:rPr>
      </w:pPr>
      <w:r>
        <w:rPr>
          <w:rFonts w:eastAsia="仿宋_GB2312;仿宋" w:cs="Times New Roman"/>
          <w:color w:val="000000"/>
          <w:sz w:val="24"/>
          <w:szCs w:val="24"/>
        </w:rPr>
        <w:t>2</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发生紧急事故需抢修的，承包人在接到事故通知后，应当立即到达事故现场抢修。</w:t>
      </w:r>
    </w:p>
    <w:p w14:paraId="7B3F261C">
      <w:pPr>
        <w:spacing w:line="360" w:lineRule="auto"/>
        <w:ind w:left="105" w:firstLine="491"/>
        <w:rPr>
          <w:rFonts w:ascii="Times New Roman" w:hAnsi="Times New Roman" w:eastAsia="仿宋_GB2312;仿宋" w:cs="Times New Roman"/>
          <w:color w:val="000000"/>
          <w:sz w:val="24"/>
          <w:szCs w:val="24"/>
        </w:rPr>
      </w:pPr>
      <w:r>
        <w:rPr>
          <w:rFonts w:eastAsia="仿宋_GB2312;仿宋" w:cs="Times New Roman"/>
          <w:color w:val="000000"/>
          <w:sz w:val="24"/>
          <w:szCs w:val="24"/>
        </w:rPr>
        <w:t>3</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1BB80807">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4</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质量保修完成后，由发包人组织验收。</w:t>
      </w:r>
    </w:p>
    <w:p w14:paraId="0A380284">
      <w:pPr>
        <w:numPr>
          <w:ilvl w:val="0"/>
          <w:numId w:val="0"/>
        </w:numPr>
        <w:spacing w:line="360" w:lineRule="auto"/>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　　五、保修费用</w:t>
      </w:r>
    </w:p>
    <w:p w14:paraId="4737E12B">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保修费用由造成质量缺陷的责任方承担。</w:t>
      </w:r>
    </w:p>
    <w:p w14:paraId="49304BDD">
      <w:pPr>
        <w:numPr>
          <w:ilvl w:val="0"/>
          <w:numId w:val="0"/>
        </w:numPr>
        <w:spacing w:line="360" w:lineRule="auto"/>
        <w:ind w:firstLine="600"/>
        <w:jc w:val="left"/>
        <w:outlineLvl w:val="0"/>
        <w:rPr>
          <w:rFonts w:ascii="Times New Roman" w:hAnsi="Times New Roman" w:eastAsia="仿宋_GB2312;仿宋" w:cs="Times New Roman"/>
          <w:color w:val="000000"/>
          <w:sz w:val="24"/>
          <w:szCs w:val="24"/>
          <w:u w:val="single"/>
        </w:rPr>
      </w:pPr>
      <w:r>
        <w:rPr>
          <w:rFonts w:ascii="Times New Roman" w:hAnsi="Times New Roman" w:eastAsia="黑体" w:cs="Times New Roman"/>
          <w:b/>
          <w:color w:val="000000"/>
          <w:sz w:val="24"/>
          <w:szCs w:val="24"/>
        </w:rPr>
        <w:t>六</w:t>
      </w:r>
      <w:r>
        <w:rPr>
          <w:rFonts w:ascii="Times New Roman" w:hAnsi="Times New Roman" w:eastAsia="黑体" w:cs="Times New Roman"/>
          <w:color w:val="000000"/>
          <w:sz w:val="24"/>
          <w:szCs w:val="24"/>
        </w:rPr>
        <w:t>、双方约定的其他工程质量保修事项</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u w:val="single"/>
        </w:rPr>
        <w:t xml:space="preserve">                  </w:t>
      </w:r>
    </w:p>
    <w:p w14:paraId="448B6E3A">
      <w:pPr>
        <w:spacing w:line="360" w:lineRule="auto"/>
        <w:jc w:val="left"/>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9410301">
      <w:pPr>
        <w:spacing w:line="360" w:lineRule="auto"/>
        <w:ind w:firstLine="456"/>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工程质量保修书由发包人、承包人在工程竣工验收前共同签署，作为施工合同附件，其有效期限至保修期满。</w:t>
      </w:r>
    </w:p>
    <w:p w14:paraId="7702B204">
      <w:pPr>
        <w:spacing w:line="360" w:lineRule="auto"/>
        <w:ind w:firstLine="456"/>
        <w:rPr>
          <w:rFonts w:ascii="Times New Roman" w:hAnsi="Times New Roman" w:eastAsia="仿宋_GB2312;仿宋" w:cs="Times New Roman"/>
          <w:color w:val="000000"/>
          <w:sz w:val="24"/>
          <w:szCs w:val="24"/>
        </w:rPr>
      </w:pPr>
    </w:p>
    <w:p w14:paraId="37C8BDB5">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公章</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承包人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公章</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5E3C7EBC">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28A2DC72">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签字</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法定代表人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签字</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76D3CCE5">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委托代理人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签字</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委托代理人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签字</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50C1FB29">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57B66C43">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6B7FB997">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开户银行：</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开户银行：</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21AE0FD6">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账</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账</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6639C88E">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邮政编码：</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邮政编码：</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br w:type="page"/>
      </w:r>
    </w:p>
    <w:p w14:paraId="1EA31FD2">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w:t>
      </w:r>
    </w:p>
    <w:p w14:paraId="5C10AD41">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主要建设工程文件目录</w:t>
      </w:r>
    </w:p>
    <w:tbl>
      <w:tblPr>
        <w:tblStyle w:val="20"/>
        <w:tblW w:w="9039" w:type="dxa"/>
        <w:jc w:val="center"/>
        <w:tblLayout w:type="fixed"/>
        <w:tblCellMar>
          <w:top w:w="0" w:type="dxa"/>
          <w:left w:w="28" w:type="dxa"/>
          <w:bottom w:w="0" w:type="dxa"/>
          <w:right w:w="28" w:type="dxa"/>
        </w:tblCellMar>
      </w:tblPr>
      <w:tblGrid>
        <w:gridCol w:w="1953"/>
        <w:gridCol w:w="1276"/>
        <w:gridCol w:w="1450"/>
        <w:gridCol w:w="1243"/>
        <w:gridCol w:w="1450"/>
        <w:gridCol w:w="1667"/>
      </w:tblGrid>
      <w:tr w14:paraId="3C206B96">
        <w:tblPrEx>
          <w:tblCellMar>
            <w:top w:w="0" w:type="dxa"/>
            <w:left w:w="28" w:type="dxa"/>
            <w:bottom w:w="0" w:type="dxa"/>
            <w:right w:w="28" w:type="dxa"/>
          </w:tblCellMar>
        </w:tblPrEx>
        <w:trPr>
          <w:jc w:val="center"/>
        </w:trPr>
        <w:tc>
          <w:tcPr>
            <w:tcW w:w="1953" w:type="dxa"/>
            <w:tcBorders>
              <w:top w:val="single" w:color="000000" w:sz="12" w:space="0"/>
              <w:left w:val="single" w:color="000000" w:sz="12" w:space="0"/>
              <w:bottom w:val="double" w:color="000000" w:sz="6" w:space="0"/>
              <w:right w:val="single" w:color="000000" w:sz="6" w:space="0"/>
            </w:tcBorders>
            <w:vAlign w:val="center"/>
          </w:tcPr>
          <w:p w14:paraId="5C96DD14">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文件名称</w:t>
            </w:r>
          </w:p>
        </w:tc>
        <w:tc>
          <w:tcPr>
            <w:tcW w:w="1276" w:type="dxa"/>
            <w:tcBorders>
              <w:top w:val="single" w:color="000000" w:sz="12" w:space="0"/>
              <w:left w:val="single" w:color="000000" w:sz="6" w:space="0"/>
              <w:bottom w:val="double" w:color="000000" w:sz="6" w:space="0"/>
              <w:right w:val="single" w:color="000000" w:sz="6" w:space="0"/>
            </w:tcBorders>
            <w:vAlign w:val="center"/>
          </w:tcPr>
          <w:p w14:paraId="7117628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套数</w:t>
            </w:r>
          </w:p>
        </w:tc>
        <w:tc>
          <w:tcPr>
            <w:tcW w:w="1450" w:type="dxa"/>
            <w:tcBorders>
              <w:top w:val="single" w:color="000000" w:sz="12" w:space="0"/>
              <w:left w:val="single" w:color="000000" w:sz="6" w:space="0"/>
              <w:bottom w:val="double" w:color="000000" w:sz="6" w:space="0"/>
              <w:right w:val="single" w:color="000000" w:sz="6" w:space="0"/>
            </w:tcBorders>
            <w:vAlign w:val="center"/>
          </w:tcPr>
          <w:p w14:paraId="0CCAA940">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费用（元）</w:t>
            </w:r>
          </w:p>
        </w:tc>
        <w:tc>
          <w:tcPr>
            <w:tcW w:w="1243" w:type="dxa"/>
            <w:tcBorders>
              <w:top w:val="single" w:color="000000" w:sz="12" w:space="0"/>
              <w:left w:val="single" w:color="000000" w:sz="6" w:space="0"/>
              <w:bottom w:val="double" w:color="000000" w:sz="6" w:space="0"/>
              <w:right w:val="single" w:color="000000" w:sz="6" w:space="0"/>
            </w:tcBorders>
            <w:vAlign w:val="center"/>
          </w:tcPr>
          <w:p w14:paraId="51610F58">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质量</w:t>
            </w:r>
          </w:p>
        </w:tc>
        <w:tc>
          <w:tcPr>
            <w:tcW w:w="1450" w:type="dxa"/>
            <w:tcBorders>
              <w:top w:val="single" w:color="000000" w:sz="12" w:space="0"/>
              <w:left w:val="single" w:color="000000" w:sz="6" w:space="0"/>
              <w:bottom w:val="double" w:color="000000" w:sz="6" w:space="0"/>
              <w:right w:val="single" w:color="000000" w:sz="6" w:space="0"/>
            </w:tcBorders>
          </w:tcPr>
          <w:p w14:paraId="0D7D5E3D">
            <w:pPr>
              <w:spacing w:line="440" w:lineRule="exact"/>
              <w:jc w:val="center"/>
              <w:rPr>
                <w:rFonts w:ascii="Times New Roman" w:hAnsi="Times New Roman" w:eastAsia="仿宋_GB2312;仿宋" w:cs="Times New Roman"/>
                <w:color w:val="000000"/>
                <w:sz w:val="22"/>
                <w:szCs w:val="24"/>
              </w:rPr>
            </w:pPr>
            <w:r>
              <w:rPr>
                <w:rFonts w:ascii="Times New Roman" w:hAnsi="Times New Roman" w:eastAsia="仿宋_GB2312;仿宋" w:cs="Times New Roman"/>
                <w:color w:val="000000"/>
                <w:sz w:val="22"/>
                <w:szCs w:val="24"/>
              </w:rPr>
              <w:t>移交时间</w:t>
            </w:r>
          </w:p>
        </w:tc>
        <w:tc>
          <w:tcPr>
            <w:tcW w:w="1667" w:type="dxa"/>
            <w:tcBorders>
              <w:top w:val="single" w:color="000000" w:sz="12" w:space="0"/>
              <w:left w:val="single" w:color="000000" w:sz="6" w:space="0"/>
              <w:bottom w:val="double" w:color="000000" w:sz="6" w:space="0"/>
              <w:right w:val="single" w:color="000000" w:sz="12" w:space="0"/>
            </w:tcBorders>
          </w:tcPr>
          <w:p w14:paraId="6CC87B0C">
            <w:pPr>
              <w:spacing w:line="440" w:lineRule="exact"/>
              <w:jc w:val="center"/>
              <w:rPr>
                <w:rFonts w:ascii="Times New Roman" w:hAnsi="Times New Roman" w:eastAsia="仿宋_GB2312;仿宋" w:cs="Times New Roman"/>
                <w:color w:val="000000"/>
                <w:sz w:val="22"/>
                <w:szCs w:val="24"/>
              </w:rPr>
            </w:pPr>
            <w:r>
              <w:rPr>
                <w:rFonts w:ascii="Times New Roman" w:hAnsi="Times New Roman" w:eastAsia="仿宋_GB2312;仿宋" w:cs="Times New Roman"/>
                <w:color w:val="000000"/>
                <w:sz w:val="22"/>
                <w:szCs w:val="24"/>
              </w:rPr>
              <w:t>责任人</w:t>
            </w:r>
          </w:p>
        </w:tc>
      </w:tr>
      <w:tr w14:paraId="781B310C">
        <w:tblPrEx>
          <w:tblCellMar>
            <w:top w:w="0" w:type="dxa"/>
            <w:left w:w="28" w:type="dxa"/>
            <w:bottom w:w="0" w:type="dxa"/>
            <w:right w:w="28" w:type="dxa"/>
          </w:tblCellMar>
        </w:tblPrEx>
        <w:trPr>
          <w:trHeight w:val="567" w:hRule="atLeast"/>
          <w:jc w:val="center"/>
        </w:trPr>
        <w:tc>
          <w:tcPr>
            <w:tcW w:w="1953" w:type="dxa"/>
            <w:tcBorders>
              <w:top w:val="double" w:color="000000" w:sz="6" w:space="0"/>
              <w:left w:val="single" w:color="000000" w:sz="12" w:space="0"/>
              <w:bottom w:val="single" w:color="000000" w:sz="6" w:space="0"/>
              <w:right w:val="single" w:color="000000" w:sz="6" w:space="0"/>
            </w:tcBorders>
            <w:vAlign w:val="center"/>
          </w:tcPr>
          <w:p w14:paraId="1B8C9463">
            <w:pPr>
              <w:pStyle w:val="8"/>
              <w:keepNext/>
              <w:snapToGrid w:val="0"/>
              <w:spacing w:before="0" w:after="0" w:line="440" w:lineRule="exact"/>
              <w:ind w:left="63" w:right="63" w:firstLine="0"/>
              <w:rPr>
                <w:rFonts w:ascii="Times New Roman" w:hAnsi="Times New Roman" w:eastAsia="仿宋_GB2312;仿宋" w:cs="Times New Roman"/>
                <w:color w:val="000000"/>
                <w:kern w:val="2"/>
                <w:sz w:val="24"/>
                <w:szCs w:val="24"/>
                <w:lang w:val="en-US" w:eastAsia="zh-CN"/>
              </w:rPr>
            </w:pPr>
          </w:p>
        </w:tc>
        <w:tc>
          <w:tcPr>
            <w:tcW w:w="1276" w:type="dxa"/>
            <w:tcBorders>
              <w:top w:val="double" w:color="000000" w:sz="6" w:space="0"/>
              <w:left w:val="single" w:color="000000" w:sz="6" w:space="0"/>
              <w:bottom w:val="single" w:color="000000" w:sz="6" w:space="0"/>
              <w:right w:val="single" w:color="000000" w:sz="6" w:space="0"/>
            </w:tcBorders>
            <w:vAlign w:val="center"/>
          </w:tcPr>
          <w:p w14:paraId="74C5B9E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double" w:color="000000" w:sz="6" w:space="0"/>
              <w:left w:val="single" w:color="000000" w:sz="6" w:space="0"/>
              <w:bottom w:val="single" w:color="000000" w:sz="6" w:space="0"/>
              <w:right w:val="single" w:color="000000" w:sz="6" w:space="0"/>
            </w:tcBorders>
            <w:vAlign w:val="center"/>
          </w:tcPr>
          <w:p w14:paraId="494339B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double" w:color="000000" w:sz="6" w:space="0"/>
              <w:left w:val="single" w:color="000000" w:sz="6" w:space="0"/>
              <w:bottom w:val="single" w:color="000000" w:sz="6" w:space="0"/>
              <w:right w:val="single" w:color="000000" w:sz="6" w:space="0"/>
            </w:tcBorders>
            <w:vAlign w:val="center"/>
          </w:tcPr>
          <w:p w14:paraId="2A0F5A6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double" w:color="000000" w:sz="6" w:space="0"/>
              <w:left w:val="single" w:color="000000" w:sz="6" w:space="0"/>
              <w:bottom w:val="single" w:color="000000" w:sz="6" w:space="0"/>
              <w:right w:val="single" w:color="000000" w:sz="6" w:space="0"/>
            </w:tcBorders>
            <w:vAlign w:val="center"/>
          </w:tcPr>
          <w:p w14:paraId="36663A3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double" w:color="000000" w:sz="6" w:space="0"/>
              <w:left w:val="single" w:color="000000" w:sz="6" w:space="0"/>
              <w:bottom w:val="single" w:color="000000" w:sz="6" w:space="0"/>
              <w:right w:val="single" w:color="000000" w:sz="12" w:space="0"/>
            </w:tcBorders>
            <w:vAlign w:val="center"/>
          </w:tcPr>
          <w:p w14:paraId="1B3E632A">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CDD476F">
        <w:tblPrEx>
          <w:tblCellMar>
            <w:top w:w="0" w:type="dxa"/>
            <w:left w:w="28" w:type="dxa"/>
            <w:bottom w:w="0" w:type="dxa"/>
            <w:right w:w="28" w:type="dxa"/>
          </w:tblCellMar>
        </w:tblPrEx>
        <w:trPr>
          <w:trHeight w:val="567" w:hRule="atLeast"/>
          <w:jc w:val="center"/>
        </w:trPr>
        <w:tc>
          <w:tcPr>
            <w:tcW w:w="1953" w:type="dxa"/>
            <w:tcBorders>
              <w:left w:val="single" w:color="000000" w:sz="12" w:space="0"/>
              <w:bottom w:val="single" w:color="000000" w:sz="6" w:space="0"/>
              <w:right w:val="single" w:color="000000" w:sz="6" w:space="0"/>
            </w:tcBorders>
            <w:vAlign w:val="center"/>
          </w:tcPr>
          <w:p w14:paraId="0327BB3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left w:val="single" w:color="000000" w:sz="6" w:space="0"/>
              <w:bottom w:val="single" w:color="000000" w:sz="6" w:space="0"/>
              <w:right w:val="single" w:color="000000" w:sz="6" w:space="0"/>
            </w:tcBorders>
            <w:vAlign w:val="center"/>
          </w:tcPr>
          <w:p w14:paraId="3E29429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left w:val="single" w:color="000000" w:sz="6" w:space="0"/>
              <w:bottom w:val="single" w:color="000000" w:sz="6" w:space="0"/>
              <w:right w:val="single" w:color="000000" w:sz="6" w:space="0"/>
            </w:tcBorders>
            <w:vAlign w:val="center"/>
          </w:tcPr>
          <w:p w14:paraId="106404A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left w:val="single" w:color="000000" w:sz="6" w:space="0"/>
              <w:bottom w:val="single" w:color="000000" w:sz="6" w:space="0"/>
              <w:right w:val="single" w:color="000000" w:sz="6" w:space="0"/>
            </w:tcBorders>
            <w:vAlign w:val="center"/>
          </w:tcPr>
          <w:p w14:paraId="4EF31C8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left w:val="single" w:color="000000" w:sz="6" w:space="0"/>
              <w:bottom w:val="single" w:color="000000" w:sz="6" w:space="0"/>
              <w:right w:val="single" w:color="000000" w:sz="6" w:space="0"/>
            </w:tcBorders>
            <w:vAlign w:val="center"/>
          </w:tcPr>
          <w:p w14:paraId="261CE1B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left w:val="single" w:color="000000" w:sz="6" w:space="0"/>
              <w:bottom w:val="single" w:color="000000" w:sz="6" w:space="0"/>
              <w:right w:val="single" w:color="000000" w:sz="12" w:space="0"/>
            </w:tcBorders>
            <w:vAlign w:val="center"/>
          </w:tcPr>
          <w:p w14:paraId="0E8647B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9E9C704">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6F52D29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57DAAE1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5DFF2AF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69C080C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42B2604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1874E15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800952B">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6882ECE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1C1C896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5EF7456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56E684F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7AB17E3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51682184">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0C3EB68">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3B1F613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604092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4C0E488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1510613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2184922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1DEC09A2">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EFFED89">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6C7BF0B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6D938F9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3D9C1AC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5ADFFB8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24B70B7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2A7A72C3">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0892E3E">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2D61070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2EF84D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18F5CA0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3E8EC76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7B1C891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3890D0B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4A01DBC">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4DEB614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17D252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4C9702B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667ECC0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5AA7F06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1AD2F38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C84DD66">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48AD0922">
            <w:pPr>
              <w:snapToGrid w:val="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tcPr>
          <w:p w14:paraId="57ACD5B1">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06124949">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433388D7">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2C9A6761">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58086D5F">
            <w:pPr>
              <w:snapToGrid w:val="0"/>
              <w:rPr>
                <w:rFonts w:eastAsia="仿宋_GB2312;仿宋"/>
                <w:color w:val="000000"/>
                <w:sz w:val="24"/>
                <w:szCs w:val="24"/>
              </w:rPr>
            </w:pPr>
          </w:p>
        </w:tc>
      </w:tr>
      <w:tr w14:paraId="45017916">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7D822DF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60EB2A3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2738D4F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7A37B5D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4B8E44D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0454471C">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9EB03D3">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6C367F1C">
            <w:pPr>
              <w:snapToGrid w:val="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tcPr>
          <w:p w14:paraId="0A6E7D9A">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417CD6A2">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6CCDA0FE">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175E1A7C">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0860183E">
            <w:pPr>
              <w:snapToGrid w:val="0"/>
              <w:rPr>
                <w:rFonts w:eastAsia="仿宋_GB2312;仿宋"/>
                <w:color w:val="000000"/>
                <w:sz w:val="24"/>
                <w:szCs w:val="24"/>
              </w:rPr>
            </w:pPr>
          </w:p>
        </w:tc>
      </w:tr>
      <w:tr w14:paraId="395D322A">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2D2E7180">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2B09001F">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6248660C">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2DACF489">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4F88588F">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65E09B66">
            <w:pPr>
              <w:snapToGrid w:val="0"/>
              <w:rPr>
                <w:rFonts w:eastAsia="仿宋_GB2312;仿宋"/>
                <w:color w:val="000000"/>
                <w:sz w:val="24"/>
                <w:szCs w:val="24"/>
              </w:rPr>
            </w:pPr>
          </w:p>
        </w:tc>
      </w:tr>
      <w:tr w14:paraId="118AB250">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12878F1A">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0A41425F">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597B12BC">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161D5BFB">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372AB538">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33DC26CD">
            <w:pPr>
              <w:snapToGrid w:val="0"/>
              <w:rPr>
                <w:rFonts w:eastAsia="仿宋_GB2312;仿宋"/>
                <w:color w:val="000000"/>
                <w:sz w:val="24"/>
                <w:szCs w:val="24"/>
              </w:rPr>
            </w:pPr>
          </w:p>
        </w:tc>
      </w:tr>
      <w:tr w14:paraId="24E4DF4B">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3494458E">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545C9B70">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072E31FD">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35762479">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578F9C02">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4B2B7CE2">
            <w:pPr>
              <w:snapToGrid w:val="0"/>
              <w:rPr>
                <w:rFonts w:eastAsia="仿宋_GB2312;仿宋"/>
                <w:color w:val="000000"/>
                <w:sz w:val="24"/>
                <w:szCs w:val="24"/>
              </w:rPr>
            </w:pPr>
          </w:p>
        </w:tc>
      </w:tr>
      <w:tr w14:paraId="6B1645D6">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64DBCB04">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05E06831">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29E61B6B">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4031601E">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670FE887">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7BE44F65">
            <w:pPr>
              <w:snapToGrid w:val="0"/>
              <w:rPr>
                <w:rFonts w:eastAsia="仿宋_GB2312;仿宋"/>
                <w:color w:val="000000"/>
                <w:sz w:val="24"/>
                <w:szCs w:val="24"/>
              </w:rPr>
            </w:pPr>
          </w:p>
        </w:tc>
      </w:tr>
      <w:tr w14:paraId="2B74518F">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0CF07595">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7CBD7630">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04EFA73E">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190772F3">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66E19B50">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312563DB">
            <w:pPr>
              <w:snapToGrid w:val="0"/>
              <w:rPr>
                <w:rFonts w:eastAsia="仿宋_GB2312;仿宋"/>
                <w:color w:val="000000"/>
                <w:sz w:val="24"/>
                <w:szCs w:val="24"/>
              </w:rPr>
            </w:pPr>
          </w:p>
        </w:tc>
      </w:tr>
      <w:tr w14:paraId="416528A4">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7526758F">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775B6AD9">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39441C2D">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64BA7C1A">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62C440A0">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0545BEE2">
            <w:pPr>
              <w:snapToGrid w:val="0"/>
              <w:rPr>
                <w:rFonts w:eastAsia="仿宋_GB2312;仿宋"/>
                <w:color w:val="000000"/>
                <w:sz w:val="24"/>
                <w:szCs w:val="24"/>
              </w:rPr>
            </w:pPr>
          </w:p>
        </w:tc>
      </w:tr>
      <w:tr w14:paraId="3DC75D3A">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19F1925E">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1BC6E10B">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2B542FB6">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2237F912">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084E3509">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055F2CFB">
            <w:pPr>
              <w:snapToGrid w:val="0"/>
              <w:rPr>
                <w:rFonts w:eastAsia="仿宋_GB2312;仿宋"/>
                <w:color w:val="000000"/>
                <w:sz w:val="24"/>
                <w:szCs w:val="24"/>
              </w:rPr>
            </w:pPr>
          </w:p>
        </w:tc>
      </w:tr>
      <w:tr w14:paraId="6CA80117">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12" w:space="0"/>
              <w:right w:val="single" w:color="000000" w:sz="6" w:space="0"/>
            </w:tcBorders>
          </w:tcPr>
          <w:p w14:paraId="0339F40A">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12" w:space="0"/>
              <w:right w:val="single" w:color="000000" w:sz="6" w:space="0"/>
            </w:tcBorders>
          </w:tcPr>
          <w:p w14:paraId="2926EDA4">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12" w:space="0"/>
              <w:right w:val="single" w:color="000000" w:sz="6" w:space="0"/>
            </w:tcBorders>
          </w:tcPr>
          <w:p w14:paraId="317DBE88">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12" w:space="0"/>
              <w:right w:val="single" w:color="000000" w:sz="6" w:space="0"/>
            </w:tcBorders>
          </w:tcPr>
          <w:p w14:paraId="66FF6D06">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12" w:space="0"/>
              <w:right w:val="single" w:color="000000" w:sz="6" w:space="0"/>
            </w:tcBorders>
          </w:tcPr>
          <w:p w14:paraId="3A2D2ECA">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12" w:space="0"/>
              <w:right w:val="single" w:color="000000" w:sz="12" w:space="0"/>
            </w:tcBorders>
          </w:tcPr>
          <w:p w14:paraId="26F978A3">
            <w:pPr>
              <w:snapToGrid w:val="0"/>
              <w:rPr>
                <w:rFonts w:eastAsia="仿宋_GB2312;仿宋"/>
                <w:color w:val="000000"/>
                <w:sz w:val="24"/>
                <w:szCs w:val="24"/>
              </w:rPr>
            </w:pPr>
          </w:p>
        </w:tc>
      </w:tr>
    </w:tbl>
    <w:p w14:paraId="50DCE6D1">
      <w:pPr>
        <w:spacing w:line="440" w:lineRule="exact"/>
        <w:rPr>
          <w:rFonts w:ascii="Times New Roman" w:hAnsi="Times New Roman" w:eastAsia="仿宋_GB2312;仿宋" w:cs="Times New Roman"/>
          <w:color w:val="000000"/>
          <w:sz w:val="24"/>
          <w:szCs w:val="24"/>
        </w:rPr>
      </w:pPr>
      <w:r>
        <w:br w:type="page"/>
      </w:r>
    </w:p>
    <w:p w14:paraId="28674168">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w:t>
      </w:r>
    </w:p>
    <w:p w14:paraId="31A79A96">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承包人用于本工程施工的机械设备表</w:t>
      </w:r>
    </w:p>
    <w:tbl>
      <w:tblPr>
        <w:tblStyle w:val="20"/>
        <w:tblW w:w="9809" w:type="dxa"/>
        <w:jc w:val="center"/>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33DCBF15">
        <w:tblPrEx>
          <w:tblCellMar>
            <w:top w:w="0" w:type="dxa"/>
            <w:left w:w="28" w:type="dxa"/>
            <w:bottom w:w="0" w:type="dxa"/>
            <w:right w:w="28" w:type="dxa"/>
          </w:tblCellMar>
        </w:tblPrEx>
        <w:trPr>
          <w:jc w:val="center"/>
        </w:trPr>
        <w:tc>
          <w:tcPr>
            <w:tcW w:w="1162" w:type="dxa"/>
            <w:tcBorders>
              <w:top w:val="single" w:color="000000" w:sz="12" w:space="0"/>
              <w:left w:val="single" w:color="000000" w:sz="12" w:space="0"/>
              <w:bottom w:val="double" w:color="000000" w:sz="6" w:space="0"/>
              <w:right w:val="single" w:color="000000" w:sz="6" w:space="0"/>
            </w:tcBorders>
            <w:vAlign w:val="center"/>
          </w:tcPr>
          <w:p w14:paraId="2AE2233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418" w:type="dxa"/>
            <w:tcBorders>
              <w:top w:val="single" w:color="000000" w:sz="12" w:space="0"/>
              <w:left w:val="single" w:color="000000" w:sz="6" w:space="0"/>
              <w:bottom w:val="double" w:color="000000" w:sz="6" w:space="0"/>
              <w:right w:val="single" w:color="000000" w:sz="6" w:space="0"/>
            </w:tcBorders>
            <w:vAlign w:val="center"/>
          </w:tcPr>
          <w:p w14:paraId="356DBD01">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机械或设备名称</w:t>
            </w:r>
          </w:p>
        </w:tc>
        <w:tc>
          <w:tcPr>
            <w:tcW w:w="850" w:type="dxa"/>
            <w:tcBorders>
              <w:top w:val="single" w:color="000000" w:sz="12" w:space="0"/>
              <w:left w:val="single" w:color="000000" w:sz="6" w:space="0"/>
              <w:bottom w:val="double" w:color="000000" w:sz="6" w:space="0"/>
              <w:right w:val="single" w:color="000000" w:sz="6" w:space="0"/>
            </w:tcBorders>
            <w:vAlign w:val="center"/>
          </w:tcPr>
          <w:p w14:paraId="698C801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规格型号</w:t>
            </w:r>
          </w:p>
        </w:tc>
        <w:tc>
          <w:tcPr>
            <w:tcW w:w="1058" w:type="dxa"/>
            <w:tcBorders>
              <w:top w:val="single" w:color="000000" w:sz="12" w:space="0"/>
              <w:left w:val="single" w:color="000000" w:sz="6" w:space="0"/>
              <w:bottom w:val="double" w:color="000000" w:sz="6" w:space="0"/>
              <w:right w:val="single" w:color="000000" w:sz="6" w:space="0"/>
            </w:tcBorders>
            <w:vAlign w:val="center"/>
          </w:tcPr>
          <w:p w14:paraId="0FAE59BE">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数量</w:t>
            </w:r>
          </w:p>
        </w:tc>
        <w:tc>
          <w:tcPr>
            <w:tcW w:w="880" w:type="dxa"/>
            <w:tcBorders>
              <w:top w:val="single" w:color="000000" w:sz="12" w:space="0"/>
              <w:left w:val="single" w:color="000000" w:sz="6" w:space="0"/>
              <w:bottom w:val="double" w:color="000000" w:sz="6" w:space="0"/>
              <w:right w:val="single" w:color="000000" w:sz="6" w:space="0"/>
            </w:tcBorders>
            <w:vAlign w:val="center"/>
          </w:tcPr>
          <w:p w14:paraId="44CF08BA">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产地</w:t>
            </w:r>
          </w:p>
        </w:tc>
        <w:tc>
          <w:tcPr>
            <w:tcW w:w="1020" w:type="dxa"/>
            <w:tcBorders>
              <w:top w:val="single" w:color="000000" w:sz="12" w:space="0"/>
              <w:left w:val="single" w:color="000000" w:sz="6" w:space="0"/>
              <w:bottom w:val="double" w:color="000000" w:sz="6" w:space="0"/>
              <w:right w:val="single" w:color="000000" w:sz="6" w:space="0"/>
            </w:tcBorders>
            <w:vAlign w:val="center"/>
          </w:tcPr>
          <w:p w14:paraId="5A61EF2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制造年份</w:t>
            </w:r>
          </w:p>
        </w:tc>
        <w:tc>
          <w:tcPr>
            <w:tcW w:w="1480" w:type="dxa"/>
            <w:tcBorders>
              <w:top w:val="single" w:color="000000" w:sz="12" w:space="0"/>
              <w:left w:val="single" w:color="000000" w:sz="6" w:space="0"/>
              <w:bottom w:val="double" w:color="000000" w:sz="6" w:space="0"/>
              <w:right w:val="single" w:color="000000" w:sz="6" w:space="0"/>
            </w:tcBorders>
            <w:vAlign w:val="center"/>
          </w:tcPr>
          <w:p w14:paraId="52D092D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额定功率(kW)</w:t>
            </w:r>
          </w:p>
        </w:tc>
        <w:tc>
          <w:tcPr>
            <w:tcW w:w="1020" w:type="dxa"/>
            <w:tcBorders>
              <w:top w:val="single" w:color="000000" w:sz="12" w:space="0"/>
              <w:left w:val="single" w:color="000000" w:sz="6" w:space="0"/>
              <w:bottom w:val="double" w:color="000000" w:sz="6" w:space="0"/>
              <w:right w:val="single" w:color="000000" w:sz="6" w:space="0"/>
            </w:tcBorders>
            <w:vAlign w:val="center"/>
          </w:tcPr>
          <w:p w14:paraId="1295D457">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生产能力</w:t>
            </w:r>
          </w:p>
        </w:tc>
        <w:tc>
          <w:tcPr>
            <w:tcW w:w="921" w:type="dxa"/>
            <w:tcBorders>
              <w:top w:val="single" w:color="000000" w:sz="12" w:space="0"/>
              <w:left w:val="single" w:color="000000" w:sz="6" w:space="0"/>
              <w:bottom w:val="double" w:color="000000" w:sz="6" w:space="0"/>
              <w:right w:val="single" w:color="000000" w:sz="12" w:space="0"/>
            </w:tcBorders>
            <w:vAlign w:val="center"/>
          </w:tcPr>
          <w:p w14:paraId="7A1E4078">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备注</w:t>
            </w:r>
          </w:p>
        </w:tc>
      </w:tr>
      <w:tr w14:paraId="3B91C8FD">
        <w:tblPrEx>
          <w:tblCellMar>
            <w:top w:w="0" w:type="dxa"/>
            <w:left w:w="28" w:type="dxa"/>
            <w:bottom w:w="0" w:type="dxa"/>
            <w:right w:w="28" w:type="dxa"/>
          </w:tblCellMar>
        </w:tblPrEx>
        <w:trPr>
          <w:trHeight w:val="567" w:hRule="atLeast"/>
          <w:jc w:val="center"/>
        </w:trPr>
        <w:tc>
          <w:tcPr>
            <w:tcW w:w="1162" w:type="dxa"/>
            <w:tcBorders>
              <w:top w:val="double" w:color="000000" w:sz="6" w:space="0"/>
              <w:left w:val="single" w:color="000000" w:sz="12" w:space="0"/>
              <w:bottom w:val="single" w:color="000000" w:sz="6" w:space="0"/>
              <w:right w:val="single" w:color="000000" w:sz="6" w:space="0"/>
            </w:tcBorders>
            <w:vAlign w:val="center"/>
          </w:tcPr>
          <w:p w14:paraId="43E66B6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double" w:color="000000" w:sz="6" w:space="0"/>
              <w:left w:val="single" w:color="000000" w:sz="6" w:space="0"/>
              <w:bottom w:val="single" w:color="000000" w:sz="6" w:space="0"/>
              <w:right w:val="single" w:color="000000" w:sz="6" w:space="0"/>
            </w:tcBorders>
            <w:vAlign w:val="center"/>
          </w:tcPr>
          <w:p w14:paraId="197FF8C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double" w:color="000000" w:sz="6" w:space="0"/>
              <w:left w:val="single" w:color="000000" w:sz="6" w:space="0"/>
              <w:bottom w:val="single" w:color="000000" w:sz="6" w:space="0"/>
              <w:right w:val="single" w:color="000000" w:sz="6" w:space="0"/>
            </w:tcBorders>
            <w:vAlign w:val="center"/>
          </w:tcPr>
          <w:p w14:paraId="7A2BC4F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double" w:color="000000" w:sz="6" w:space="0"/>
              <w:left w:val="single" w:color="000000" w:sz="6" w:space="0"/>
              <w:bottom w:val="single" w:color="000000" w:sz="6" w:space="0"/>
              <w:right w:val="single" w:color="000000" w:sz="6" w:space="0"/>
            </w:tcBorders>
            <w:vAlign w:val="center"/>
          </w:tcPr>
          <w:p w14:paraId="082F50F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double" w:color="000000" w:sz="6" w:space="0"/>
              <w:left w:val="single" w:color="000000" w:sz="6" w:space="0"/>
              <w:bottom w:val="single" w:color="000000" w:sz="6" w:space="0"/>
              <w:right w:val="single" w:color="000000" w:sz="6" w:space="0"/>
            </w:tcBorders>
            <w:vAlign w:val="center"/>
          </w:tcPr>
          <w:p w14:paraId="554DD8E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double" w:color="000000" w:sz="6" w:space="0"/>
              <w:left w:val="single" w:color="000000" w:sz="6" w:space="0"/>
              <w:bottom w:val="single" w:color="000000" w:sz="6" w:space="0"/>
              <w:right w:val="single" w:color="000000" w:sz="6" w:space="0"/>
            </w:tcBorders>
            <w:vAlign w:val="center"/>
          </w:tcPr>
          <w:p w14:paraId="0C91078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double" w:color="000000" w:sz="6" w:space="0"/>
              <w:left w:val="single" w:color="000000" w:sz="6" w:space="0"/>
              <w:bottom w:val="single" w:color="000000" w:sz="6" w:space="0"/>
              <w:right w:val="single" w:color="000000" w:sz="6" w:space="0"/>
            </w:tcBorders>
            <w:vAlign w:val="center"/>
          </w:tcPr>
          <w:p w14:paraId="0898D86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double" w:color="000000" w:sz="6" w:space="0"/>
              <w:left w:val="single" w:color="000000" w:sz="6" w:space="0"/>
              <w:bottom w:val="single" w:color="000000" w:sz="6" w:space="0"/>
              <w:right w:val="single" w:color="000000" w:sz="6" w:space="0"/>
            </w:tcBorders>
            <w:vAlign w:val="center"/>
          </w:tcPr>
          <w:p w14:paraId="0F843C3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double" w:color="000000" w:sz="6" w:space="0"/>
              <w:left w:val="single" w:color="000000" w:sz="6" w:space="0"/>
              <w:bottom w:val="single" w:color="000000" w:sz="6" w:space="0"/>
              <w:right w:val="single" w:color="000000" w:sz="12" w:space="0"/>
            </w:tcBorders>
            <w:vAlign w:val="center"/>
          </w:tcPr>
          <w:p w14:paraId="6B3C047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A53CF30">
        <w:tblPrEx>
          <w:tblCellMar>
            <w:top w:w="0" w:type="dxa"/>
            <w:left w:w="28" w:type="dxa"/>
            <w:bottom w:w="0" w:type="dxa"/>
            <w:right w:w="28" w:type="dxa"/>
          </w:tblCellMar>
        </w:tblPrEx>
        <w:trPr>
          <w:trHeight w:val="567" w:hRule="atLeast"/>
          <w:jc w:val="center"/>
        </w:trPr>
        <w:tc>
          <w:tcPr>
            <w:tcW w:w="1162" w:type="dxa"/>
            <w:tcBorders>
              <w:left w:val="single" w:color="000000" w:sz="12" w:space="0"/>
              <w:bottom w:val="single" w:color="000000" w:sz="6" w:space="0"/>
              <w:right w:val="single" w:color="000000" w:sz="6" w:space="0"/>
            </w:tcBorders>
            <w:vAlign w:val="center"/>
          </w:tcPr>
          <w:p w14:paraId="59FE9AC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left w:val="single" w:color="000000" w:sz="6" w:space="0"/>
              <w:bottom w:val="single" w:color="000000" w:sz="6" w:space="0"/>
              <w:right w:val="single" w:color="000000" w:sz="6" w:space="0"/>
            </w:tcBorders>
            <w:vAlign w:val="center"/>
          </w:tcPr>
          <w:p w14:paraId="214B0D0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left w:val="single" w:color="000000" w:sz="6" w:space="0"/>
              <w:bottom w:val="single" w:color="000000" w:sz="6" w:space="0"/>
              <w:right w:val="single" w:color="000000" w:sz="6" w:space="0"/>
            </w:tcBorders>
            <w:vAlign w:val="center"/>
          </w:tcPr>
          <w:p w14:paraId="5C40D7D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left w:val="single" w:color="000000" w:sz="6" w:space="0"/>
              <w:bottom w:val="single" w:color="000000" w:sz="6" w:space="0"/>
              <w:right w:val="single" w:color="000000" w:sz="6" w:space="0"/>
            </w:tcBorders>
            <w:vAlign w:val="center"/>
          </w:tcPr>
          <w:p w14:paraId="0514279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left w:val="single" w:color="000000" w:sz="6" w:space="0"/>
              <w:bottom w:val="single" w:color="000000" w:sz="6" w:space="0"/>
              <w:right w:val="single" w:color="000000" w:sz="6" w:space="0"/>
            </w:tcBorders>
            <w:vAlign w:val="center"/>
          </w:tcPr>
          <w:p w14:paraId="62840B0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left w:val="single" w:color="000000" w:sz="6" w:space="0"/>
              <w:bottom w:val="single" w:color="000000" w:sz="6" w:space="0"/>
              <w:right w:val="single" w:color="000000" w:sz="6" w:space="0"/>
            </w:tcBorders>
            <w:vAlign w:val="center"/>
          </w:tcPr>
          <w:p w14:paraId="528C900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left w:val="single" w:color="000000" w:sz="6" w:space="0"/>
              <w:bottom w:val="single" w:color="000000" w:sz="6" w:space="0"/>
              <w:right w:val="single" w:color="000000" w:sz="6" w:space="0"/>
            </w:tcBorders>
            <w:vAlign w:val="center"/>
          </w:tcPr>
          <w:p w14:paraId="4DFF5E1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left w:val="single" w:color="000000" w:sz="6" w:space="0"/>
              <w:bottom w:val="single" w:color="000000" w:sz="6" w:space="0"/>
              <w:right w:val="single" w:color="000000" w:sz="6" w:space="0"/>
            </w:tcBorders>
            <w:vAlign w:val="center"/>
          </w:tcPr>
          <w:p w14:paraId="2A1A642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left w:val="single" w:color="000000" w:sz="6" w:space="0"/>
              <w:bottom w:val="single" w:color="000000" w:sz="6" w:space="0"/>
              <w:right w:val="single" w:color="000000" w:sz="12" w:space="0"/>
            </w:tcBorders>
            <w:vAlign w:val="center"/>
          </w:tcPr>
          <w:p w14:paraId="4F1D8C01">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5ABBA4C">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2A08ECE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1D2DC9A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5F7E26E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5820DD1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77BB6AC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325A83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6A6EF6E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0725BF5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18374EAC">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2D7B926">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58924E1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DAFD2F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6010AF5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3F15701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6C0FCD6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26C34F0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3EBDE62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E16EB4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7BBCF67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0990BFA">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21371E2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FD206C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3D3F604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146E23E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7329418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611224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53ABDF0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0811FCB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110E721D">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29C90AD">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4731545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D883B3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73E3DB9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64360FE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6E6FC7B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28BDF9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2CA2AE0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7476F16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004ADEF7">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26FB61B">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61937DF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3F3090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544DF64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733D61B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313CF01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00E6848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60BF740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F11B50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1893F192">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F316770">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68B01F8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415B26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0492756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2DF8339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09DD815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EE9868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625FC9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2B10DD8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6A47AC63">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9C1D4E1">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06818354">
            <w:pPr>
              <w:snapToGrid w:val="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7DE5B39">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28DEE4FE">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789C1DD1">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0483498B">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06F8B850">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5D7AC721">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2C87F294">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418F410B">
            <w:pPr>
              <w:snapToGrid w:val="0"/>
              <w:rPr>
                <w:rFonts w:eastAsia="仿宋_GB2312;仿宋"/>
                <w:color w:val="000000"/>
                <w:sz w:val="24"/>
                <w:szCs w:val="24"/>
              </w:rPr>
            </w:pPr>
          </w:p>
        </w:tc>
      </w:tr>
      <w:tr w14:paraId="41181BD3">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7459745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1850725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5E881EB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53D8C58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2E1956E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EA8241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354EEB3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036DA4A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7D2B5EBD">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7B5E974">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7AB841F4">
            <w:pPr>
              <w:snapToGrid w:val="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F8F0CFC">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7F6FC75E">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0068E3D2">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183C6718">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2B5F7445">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342B3431">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AB253AD">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50EE65B7">
            <w:pPr>
              <w:snapToGrid w:val="0"/>
              <w:rPr>
                <w:rFonts w:eastAsia="仿宋_GB2312;仿宋"/>
                <w:color w:val="000000"/>
                <w:sz w:val="24"/>
                <w:szCs w:val="24"/>
              </w:rPr>
            </w:pPr>
          </w:p>
        </w:tc>
      </w:tr>
      <w:tr w14:paraId="3056EF5D">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46BFE977">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048866AF">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55247D27">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05F1A662">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3C808477">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0EF92CB3">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6C0F0C9B">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46FEB9BA">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196644B">
            <w:pPr>
              <w:snapToGrid w:val="0"/>
              <w:rPr>
                <w:rFonts w:eastAsia="仿宋_GB2312;仿宋"/>
                <w:color w:val="000000"/>
                <w:sz w:val="24"/>
                <w:szCs w:val="24"/>
              </w:rPr>
            </w:pPr>
          </w:p>
        </w:tc>
      </w:tr>
      <w:tr w14:paraId="05799D97">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5A13D890">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0395C183">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42196D2D">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7DC4F625">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1F325987">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607130A2">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27EF101B">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3AAB9D92">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3F72D54">
            <w:pPr>
              <w:snapToGrid w:val="0"/>
              <w:rPr>
                <w:rFonts w:eastAsia="仿宋_GB2312;仿宋"/>
                <w:color w:val="000000"/>
                <w:sz w:val="24"/>
                <w:szCs w:val="24"/>
              </w:rPr>
            </w:pPr>
          </w:p>
        </w:tc>
      </w:tr>
      <w:tr w14:paraId="67B18FA2">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06A15DDF">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38D967C9">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5D3791F2">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656AEC49">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10C07F3B">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D69671A">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69509F90">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6557D11E">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6109B5F">
            <w:pPr>
              <w:snapToGrid w:val="0"/>
              <w:rPr>
                <w:rFonts w:eastAsia="仿宋_GB2312;仿宋"/>
                <w:color w:val="000000"/>
                <w:sz w:val="24"/>
                <w:szCs w:val="24"/>
              </w:rPr>
            </w:pPr>
          </w:p>
        </w:tc>
      </w:tr>
      <w:tr w14:paraId="0861574A">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331D2A26">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0ADB60EC">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5B39B86D">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7E6FD23D">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66ACAB3A">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74E2D08B">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4B5EDF70">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8CF8B12">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842E48F">
            <w:pPr>
              <w:snapToGrid w:val="0"/>
              <w:rPr>
                <w:rFonts w:eastAsia="仿宋_GB2312;仿宋"/>
                <w:color w:val="000000"/>
                <w:sz w:val="24"/>
                <w:szCs w:val="24"/>
              </w:rPr>
            </w:pPr>
          </w:p>
        </w:tc>
      </w:tr>
      <w:tr w14:paraId="7CE5119F">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76427493">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169C85E3">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0532FE1E">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35463778">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6265F91D">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3BE8516B">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2DB227D8">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73C40E3C">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6AB8F944">
            <w:pPr>
              <w:snapToGrid w:val="0"/>
              <w:rPr>
                <w:rFonts w:eastAsia="仿宋_GB2312;仿宋"/>
                <w:color w:val="000000"/>
                <w:sz w:val="24"/>
                <w:szCs w:val="24"/>
              </w:rPr>
            </w:pPr>
          </w:p>
        </w:tc>
      </w:tr>
      <w:tr w14:paraId="6DDF7259">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4B0F5D59">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7B443C22">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4BE1104E">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7AB0298B">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533B7D15">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6284E0D">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0A3DF280">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5DA73846">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CBD6C28">
            <w:pPr>
              <w:snapToGrid w:val="0"/>
              <w:rPr>
                <w:rFonts w:eastAsia="仿宋_GB2312;仿宋"/>
                <w:color w:val="000000"/>
                <w:sz w:val="24"/>
                <w:szCs w:val="24"/>
              </w:rPr>
            </w:pPr>
          </w:p>
        </w:tc>
      </w:tr>
      <w:tr w14:paraId="74EA66FD">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07ED2E74">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0CB94397">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4346CC4D">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2FFE1FAD">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2FB54EF7">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4C4F8F91">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026C7C76">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B91EC2B">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55448485">
            <w:pPr>
              <w:snapToGrid w:val="0"/>
              <w:rPr>
                <w:rFonts w:eastAsia="仿宋_GB2312;仿宋"/>
                <w:color w:val="000000"/>
                <w:sz w:val="24"/>
                <w:szCs w:val="24"/>
              </w:rPr>
            </w:pPr>
          </w:p>
        </w:tc>
      </w:tr>
      <w:tr w14:paraId="58F0DD0B">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12" w:space="0"/>
              <w:right w:val="single" w:color="000000" w:sz="6" w:space="0"/>
            </w:tcBorders>
          </w:tcPr>
          <w:p w14:paraId="488079E5">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12" w:space="0"/>
              <w:right w:val="single" w:color="000000" w:sz="6" w:space="0"/>
            </w:tcBorders>
          </w:tcPr>
          <w:p w14:paraId="59613A6C">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12" w:space="0"/>
              <w:right w:val="single" w:color="000000" w:sz="6" w:space="0"/>
            </w:tcBorders>
          </w:tcPr>
          <w:p w14:paraId="05D31CCF">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12" w:space="0"/>
              <w:right w:val="single" w:color="000000" w:sz="6" w:space="0"/>
            </w:tcBorders>
          </w:tcPr>
          <w:p w14:paraId="00978DA5">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12" w:space="0"/>
              <w:right w:val="single" w:color="000000" w:sz="6" w:space="0"/>
            </w:tcBorders>
          </w:tcPr>
          <w:p w14:paraId="383DD9B0">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12" w:space="0"/>
              <w:right w:val="single" w:color="000000" w:sz="6" w:space="0"/>
            </w:tcBorders>
          </w:tcPr>
          <w:p w14:paraId="3BB634EE">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12" w:space="0"/>
              <w:right w:val="single" w:color="000000" w:sz="6" w:space="0"/>
            </w:tcBorders>
          </w:tcPr>
          <w:p w14:paraId="1DB480EC">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12" w:space="0"/>
              <w:right w:val="single" w:color="000000" w:sz="6" w:space="0"/>
            </w:tcBorders>
          </w:tcPr>
          <w:p w14:paraId="6BC8D7D1">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12" w:space="0"/>
              <w:right w:val="single" w:color="000000" w:sz="12" w:space="0"/>
            </w:tcBorders>
          </w:tcPr>
          <w:p w14:paraId="12552E55">
            <w:pPr>
              <w:snapToGrid w:val="0"/>
              <w:rPr>
                <w:rFonts w:eastAsia="仿宋_GB2312;仿宋"/>
                <w:color w:val="000000"/>
                <w:sz w:val="24"/>
                <w:szCs w:val="24"/>
              </w:rPr>
            </w:pPr>
          </w:p>
        </w:tc>
      </w:tr>
    </w:tbl>
    <w:p w14:paraId="0F4D7328">
      <w:pPr>
        <w:spacing w:line="440" w:lineRule="exact"/>
        <w:rPr>
          <w:rFonts w:ascii="Times New Roman" w:hAnsi="Times New Roman" w:eastAsia="仿宋_GB2312;仿宋" w:cs="Times New Roman"/>
          <w:color w:val="000000"/>
          <w:sz w:val="24"/>
          <w:szCs w:val="24"/>
        </w:rPr>
      </w:pPr>
    </w:p>
    <w:p w14:paraId="161F3EF9">
      <w:pPr>
        <w:spacing w:line="440" w:lineRule="exact"/>
        <w:rPr>
          <w:rFonts w:ascii="Times New Roman" w:hAnsi="Times New Roman" w:eastAsia="仿宋_GB2312;仿宋" w:cs="Times New Roman"/>
          <w:color w:val="000000"/>
          <w:sz w:val="24"/>
          <w:szCs w:val="24"/>
        </w:rPr>
      </w:pPr>
    </w:p>
    <w:p w14:paraId="07A24616">
      <w:pPr>
        <w:spacing w:line="440" w:lineRule="exact"/>
        <w:rPr>
          <w:rFonts w:ascii="Times New Roman" w:hAnsi="Times New Roman" w:eastAsia="仿宋_GB2312;仿宋" w:cs="Times New Roman"/>
          <w:color w:val="000000"/>
          <w:sz w:val="24"/>
          <w:szCs w:val="24"/>
        </w:rPr>
      </w:pPr>
    </w:p>
    <w:p w14:paraId="12DECEE4">
      <w:pPr>
        <w:spacing w:line="440" w:lineRule="exact"/>
        <w:rPr>
          <w:rFonts w:ascii="Times New Roman" w:hAnsi="Times New Roman" w:eastAsia="仿宋_GB2312;仿宋" w:cs="Times New Roman"/>
          <w:color w:val="000000"/>
          <w:sz w:val="24"/>
          <w:szCs w:val="24"/>
        </w:rPr>
      </w:pPr>
    </w:p>
    <w:p w14:paraId="4886CF36">
      <w:pPr>
        <w:spacing w:line="440" w:lineRule="exact"/>
        <w:rPr>
          <w:rFonts w:ascii="Times New Roman" w:hAnsi="Times New Roman" w:eastAsia="仿宋_GB2312;仿宋" w:cs="Times New Roman"/>
          <w:color w:val="000000"/>
          <w:sz w:val="24"/>
          <w:szCs w:val="24"/>
        </w:rPr>
      </w:pPr>
    </w:p>
    <w:p w14:paraId="401BEA74">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6</w:t>
      </w:r>
      <w:r>
        <w:rPr>
          <w:rFonts w:ascii="Times New Roman" w:hAnsi="Times New Roman" w:eastAsia="仿宋_GB2312;仿宋" w:cs="Times New Roman"/>
          <w:color w:val="000000"/>
          <w:sz w:val="24"/>
          <w:szCs w:val="24"/>
        </w:rPr>
        <w:t>：</w:t>
      </w:r>
    </w:p>
    <w:p w14:paraId="1F6123B6">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承包人主要施工管理人员表</w:t>
      </w:r>
    </w:p>
    <w:tbl>
      <w:tblPr>
        <w:tblStyle w:val="20"/>
        <w:tblW w:w="9809" w:type="dxa"/>
        <w:jc w:val="center"/>
        <w:tblLayout w:type="fixed"/>
        <w:tblCellMar>
          <w:top w:w="0" w:type="dxa"/>
          <w:left w:w="28" w:type="dxa"/>
          <w:bottom w:w="0" w:type="dxa"/>
          <w:right w:w="28" w:type="dxa"/>
        </w:tblCellMar>
      </w:tblPr>
      <w:tblGrid>
        <w:gridCol w:w="1871"/>
        <w:gridCol w:w="1418"/>
        <w:gridCol w:w="1134"/>
        <w:gridCol w:w="1134"/>
        <w:gridCol w:w="4252"/>
      </w:tblGrid>
      <w:tr w14:paraId="505B821C">
        <w:tblPrEx>
          <w:tblCellMar>
            <w:top w:w="0" w:type="dxa"/>
            <w:left w:w="28" w:type="dxa"/>
            <w:bottom w:w="0" w:type="dxa"/>
            <w:right w:w="28" w:type="dxa"/>
          </w:tblCellMar>
        </w:tblPrEx>
        <w:trPr>
          <w:jc w:val="center"/>
        </w:trPr>
        <w:tc>
          <w:tcPr>
            <w:tcW w:w="1871" w:type="dxa"/>
            <w:tcBorders>
              <w:top w:val="single" w:color="000000" w:sz="12" w:space="0"/>
              <w:left w:val="single" w:color="000000" w:sz="12" w:space="0"/>
              <w:bottom w:val="double" w:color="000000" w:sz="6" w:space="0"/>
              <w:right w:val="single" w:color="000000" w:sz="6" w:space="0"/>
            </w:tcBorders>
            <w:vAlign w:val="center"/>
          </w:tcPr>
          <w:p w14:paraId="0BB5660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名</w:t>
            </w:r>
            <w:r>
              <w:rPr>
                <w:rFonts w:eastAsia="Times New Roman"/>
                <w:color w:val="000000"/>
                <w:kern w:val="2"/>
                <w:sz w:val="22"/>
                <w:szCs w:val="24"/>
                <w:lang w:val="en-US" w:eastAsia="zh-CN"/>
              </w:rPr>
              <w:t xml:space="preserve">    </w:t>
            </w:r>
            <w:r>
              <w:rPr>
                <w:rFonts w:eastAsia="仿宋_GB2312;仿宋"/>
                <w:color w:val="000000"/>
                <w:kern w:val="2"/>
                <w:sz w:val="22"/>
                <w:szCs w:val="24"/>
                <w:lang w:val="en-US" w:eastAsia="zh-CN"/>
              </w:rPr>
              <w:t>称</w:t>
            </w:r>
          </w:p>
        </w:tc>
        <w:tc>
          <w:tcPr>
            <w:tcW w:w="1418" w:type="dxa"/>
            <w:tcBorders>
              <w:top w:val="single" w:color="000000" w:sz="12" w:space="0"/>
              <w:left w:val="single" w:color="000000" w:sz="6" w:space="0"/>
              <w:bottom w:val="double" w:color="000000" w:sz="6" w:space="0"/>
              <w:right w:val="single" w:color="000000" w:sz="6" w:space="0"/>
            </w:tcBorders>
            <w:vAlign w:val="center"/>
          </w:tcPr>
          <w:p w14:paraId="258EE9B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姓名</w:t>
            </w:r>
          </w:p>
        </w:tc>
        <w:tc>
          <w:tcPr>
            <w:tcW w:w="1134" w:type="dxa"/>
            <w:tcBorders>
              <w:top w:val="single" w:color="000000" w:sz="12" w:space="0"/>
              <w:left w:val="single" w:color="000000" w:sz="6" w:space="0"/>
              <w:bottom w:val="double" w:color="000000" w:sz="6" w:space="0"/>
              <w:right w:val="single" w:color="000000" w:sz="6" w:space="0"/>
            </w:tcBorders>
            <w:vAlign w:val="center"/>
          </w:tcPr>
          <w:p w14:paraId="1DE42C91">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职务</w:t>
            </w:r>
          </w:p>
        </w:tc>
        <w:tc>
          <w:tcPr>
            <w:tcW w:w="1134" w:type="dxa"/>
            <w:tcBorders>
              <w:top w:val="single" w:color="000000" w:sz="12" w:space="0"/>
              <w:left w:val="single" w:color="000000" w:sz="6" w:space="0"/>
              <w:bottom w:val="double" w:color="000000" w:sz="6" w:space="0"/>
              <w:right w:val="single" w:color="000000" w:sz="6" w:space="0"/>
            </w:tcBorders>
            <w:vAlign w:val="center"/>
          </w:tcPr>
          <w:p w14:paraId="496EB5F7">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职称</w:t>
            </w:r>
          </w:p>
        </w:tc>
        <w:tc>
          <w:tcPr>
            <w:tcW w:w="4252" w:type="dxa"/>
            <w:tcBorders>
              <w:top w:val="single" w:color="000000" w:sz="12" w:space="0"/>
              <w:left w:val="single" w:color="000000" w:sz="6" w:space="0"/>
              <w:bottom w:val="double" w:color="000000" w:sz="6" w:space="0"/>
              <w:right w:val="single" w:color="000000" w:sz="12" w:space="0"/>
            </w:tcBorders>
            <w:vAlign w:val="center"/>
          </w:tcPr>
          <w:p w14:paraId="615CE61D">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主要资历、经验及承担过的项目</w:t>
            </w:r>
          </w:p>
        </w:tc>
      </w:tr>
      <w:tr w14:paraId="2D3CDA9E">
        <w:tblPrEx>
          <w:tblCellMar>
            <w:top w:w="0" w:type="dxa"/>
            <w:left w:w="28" w:type="dxa"/>
            <w:bottom w:w="0" w:type="dxa"/>
            <w:right w:w="28" w:type="dxa"/>
          </w:tblCellMar>
        </w:tblPrEx>
        <w:trPr>
          <w:jc w:val="center"/>
        </w:trPr>
        <w:tc>
          <w:tcPr>
            <w:tcW w:w="9809" w:type="dxa"/>
            <w:gridSpan w:val="5"/>
            <w:tcBorders>
              <w:top w:val="double" w:color="000000" w:sz="6" w:space="0"/>
              <w:left w:val="single" w:color="000000" w:sz="12" w:space="0"/>
              <w:bottom w:val="single" w:color="000000" w:sz="6" w:space="0"/>
              <w:right w:val="single" w:color="000000" w:sz="12" w:space="0"/>
            </w:tcBorders>
            <w:vAlign w:val="center"/>
          </w:tcPr>
          <w:p w14:paraId="24BF580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一、总部人员</w:t>
            </w:r>
          </w:p>
        </w:tc>
      </w:tr>
      <w:tr w14:paraId="13F6E5D5">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662B7B22">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项目主管</w:t>
            </w:r>
          </w:p>
        </w:tc>
        <w:tc>
          <w:tcPr>
            <w:tcW w:w="1418" w:type="dxa"/>
            <w:tcBorders>
              <w:left w:val="single" w:color="000000" w:sz="6" w:space="0"/>
              <w:bottom w:val="single" w:color="000000" w:sz="6" w:space="0"/>
              <w:right w:val="single" w:color="000000" w:sz="6" w:space="0"/>
            </w:tcBorders>
            <w:vAlign w:val="center"/>
          </w:tcPr>
          <w:p w14:paraId="6E94375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left w:val="single" w:color="000000" w:sz="6" w:space="0"/>
              <w:bottom w:val="single" w:color="000000" w:sz="6" w:space="0"/>
              <w:right w:val="single" w:color="000000" w:sz="6" w:space="0"/>
            </w:tcBorders>
            <w:vAlign w:val="center"/>
          </w:tcPr>
          <w:p w14:paraId="394850A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left w:val="single" w:color="000000" w:sz="6" w:space="0"/>
              <w:bottom w:val="single" w:color="000000" w:sz="6" w:space="0"/>
              <w:right w:val="single" w:color="000000" w:sz="6" w:space="0"/>
            </w:tcBorders>
            <w:vAlign w:val="center"/>
          </w:tcPr>
          <w:p w14:paraId="5B6F1BC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left w:val="single" w:color="000000" w:sz="6" w:space="0"/>
              <w:bottom w:val="single" w:color="000000" w:sz="6" w:space="0"/>
              <w:right w:val="single" w:color="000000" w:sz="12" w:space="0"/>
            </w:tcBorders>
            <w:vAlign w:val="center"/>
          </w:tcPr>
          <w:p w14:paraId="4FFB896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FB74BB3">
        <w:tblPrEx>
          <w:tblCellMar>
            <w:top w:w="0" w:type="dxa"/>
            <w:left w:w="28" w:type="dxa"/>
            <w:bottom w:w="0" w:type="dxa"/>
            <w:right w:w="28" w:type="dxa"/>
          </w:tblCellMar>
        </w:tblPrEx>
        <w:trPr>
          <w:jc w:val="center"/>
        </w:trPr>
        <w:tc>
          <w:tcPr>
            <w:tcW w:w="1871" w:type="dxa"/>
            <w:tcBorders>
              <w:top w:val="single" w:color="000000" w:sz="6" w:space="0"/>
              <w:left w:val="single" w:color="000000" w:sz="12" w:space="0"/>
              <w:right w:val="single" w:color="000000" w:sz="6" w:space="0"/>
            </w:tcBorders>
            <w:vAlign w:val="center"/>
          </w:tcPr>
          <w:p w14:paraId="56DA288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EECBCF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6FF015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9EE8D6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759CEB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0AD8324">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432F969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其他人员</w:t>
            </w:r>
          </w:p>
        </w:tc>
        <w:tc>
          <w:tcPr>
            <w:tcW w:w="1418" w:type="dxa"/>
            <w:tcBorders>
              <w:top w:val="single" w:color="000000" w:sz="6" w:space="0"/>
              <w:left w:val="single" w:color="000000" w:sz="6" w:space="0"/>
              <w:bottom w:val="single" w:color="000000" w:sz="6" w:space="0"/>
              <w:right w:val="single" w:color="000000" w:sz="6" w:space="0"/>
            </w:tcBorders>
            <w:vAlign w:val="center"/>
          </w:tcPr>
          <w:p w14:paraId="2378306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262737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F17D0A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7E390E0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1B1CFA7">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34B5860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D27B9C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57757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527834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0469F48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451825F">
        <w:tblPrEx>
          <w:tblCellMar>
            <w:top w:w="0" w:type="dxa"/>
            <w:left w:w="28" w:type="dxa"/>
            <w:bottom w:w="0" w:type="dxa"/>
            <w:right w:w="28" w:type="dxa"/>
          </w:tblCellMar>
        </w:tblPrEx>
        <w:trPr>
          <w:jc w:val="center"/>
        </w:trPr>
        <w:tc>
          <w:tcPr>
            <w:tcW w:w="9809" w:type="dxa"/>
            <w:gridSpan w:val="5"/>
            <w:tcBorders>
              <w:top w:val="single" w:color="000000" w:sz="6" w:space="0"/>
              <w:left w:val="single" w:color="000000" w:sz="12" w:space="0"/>
              <w:bottom w:val="single" w:color="000000" w:sz="6" w:space="0"/>
              <w:right w:val="single" w:color="000000" w:sz="12" w:space="0"/>
            </w:tcBorders>
            <w:vAlign w:val="center"/>
          </w:tcPr>
          <w:p w14:paraId="0952BC3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二、现场人员</w:t>
            </w:r>
          </w:p>
        </w:tc>
      </w:tr>
      <w:tr w14:paraId="03B0BB8C">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12445E3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项目经理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1FEFAB1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39DC7F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F59A9E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0B3BB4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746322D">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23561BE8">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项目副经理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47CE5AA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9A21E3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CFF853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5CB2B4E">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02C2873">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2258DA30">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技术负责人</w:t>
            </w:r>
          </w:p>
        </w:tc>
        <w:tc>
          <w:tcPr>
            <w:tcW w:w="1418" w:type="dxa"/>
            <w:tcBorders>
              <w:top w:val="single" w:color="000000" w:sz="6" w:space="0"/>
              <w:left w:val="single" w:color="000000" w:sz="6" w:space="0"/>
              <w:bottom w:val="single" w:color="000000" w:sz="6" w:space="0"/>
              <w:right w:val="single" w:color="000000" w:sz="6" w:space="0"/>
            </w:tcBorders>
            <w:vAlign w:val="center"/>
          </w:tcPr>
          <w:p w14:paraId="058358C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84BD65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657CE3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3818D477">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740CF24">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1FC4B8B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造价管理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1C525DC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205BD0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297F47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C49A94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3D16422">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5120973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质量管理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0874DCF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5C5377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D7CCB1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7BD5523D">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930B5A5">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7BB2839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材料管理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280E381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004EBD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4C3FAC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3AED6B7">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29FABB0">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6D80E622">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计划管理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53BF344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B96D2A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40CADA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0B2D103">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D744E0D">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2C5BCE98">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安全管理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7792AF3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3DBEAD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11212A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F892DA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A36C576">
        <w:tblPrEx>
          <w:tblCellMar>
            <w:top w:w="0" w:type="dxa"/>
            <w:left w:w="28" w:type="dxa"/>
            <w:bottom w:w="0" w:type="dxa"/>
            <w:right w:w="28" w:type="dxa"/>
          </w:tblCellMar>
        </w:tblPrEx>
        <w:trPr>
          <w:jc w:val="center"/>
        </w:trPr>
        <w:tc>
          <w:tcPr>
            <w:tcW w:w="1871" w:type="dxa"/>
            <w:vMerge w:val="restart"/>
            <w:tcBorders>
              <w:top w:val="single" w:color="000000" w:sz="6" w:space="0"/>
              <w:left w:val="single" w:color="000000" w:sz="12" w:space="0"/>
              <w:bottom w:val="single" w:color="000000" w:sz="6" w:space="0"/>
              <w:right w:val="single" w:color="000000" w:sz="6" w:space="0"/>
            </w:tcBorders>
            <w:vAlign w:val="center"/>
          </w:tcPr>
          <w:p w14:paraId="5ECC8E8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其他人员</w:t>
            </w:r>
          </w:p>
        </w:tc>
        <w:tc>
          <w:tcPr>
            <w:tcW w:w="1418" w:type="dxa"/>
            <w:tcBorders>
              <w:top w:val="single" w:color="000000" w:sz="6" w:space="0"/>
              <w:left w:val="single" w:color="000000" w:sz="6" w:space="0"/>
              <w:bottom w:val="single" w:color="000000" w:sz="6" w:space="0"/>
              <w:right w:val="single" w:color="000000" w:sz="6" w:space="0"/>
            </w:tcBorders>
            <w:vAlign w:val="center"/>
          </w:tcPr>
          <w:p w14:paraId="3E74443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814018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E5227C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9E00E11">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469B81B">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06B80D2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right w:val="single" w:color="000000" w:sz="6" w:space="0"/>
            </w:tcBorders>
            <w:vAlign w:val="center"/>
          </w:tcPr>
          <w:p w14:paraId="4BD1029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right w:val="single" w:color="000000" w:sz="6" w:space="0"/>
            </w:tcBorders>
            <w:vAlign w:val="center"/>
          </w:tcPr>
          <w:p w14:paraId="1028DB5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right w:val="single" w:color="000000" w:sz="6" w:space="0"/>
            </w:tcBorders>
            <w:vAlign w:val="center"/>
          </w:tcPr>
          <w:p w14:paraId="1F8D5A8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right w:val="single" w:color="000000" w:sz="12" w:space="0"/>
            </w:tcBorders>
            <w:vAlign w:val="center"/>
          </w:tcPr>
          <w:p w14:paraId="55F87F4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916C1BB">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7F4CFE0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63A263F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4768A9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B65F5D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EE978A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46F1E91">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00B0739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D8F196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642177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00482D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3CF1F61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DD5D32E">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6A6F2DA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A24748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77A8CE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08A467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37ADDD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4AE85E1">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00107D6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12" w:space="0"/>
              <w:right w:val="single" w:color="000000" w:sz="6" w:space="0"/>
            </w:tcBorders>
            <w:vAlign w:val="center"/>
          </w:tcPr>
          <w:p w14:paraId="5007EEA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12" w:space="0"/>
              <w:right w:val="single" w:color="000000" w:sz="6" w:space="0"/>
            </w:tcBorders>
            <w:vAlign w:val="center"/>
          </w:tcPr>
          <w:p w14:paraId="39C2004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12" w:space="0"/>
              <w:right w:val="single" w:color="000000" w:sz="6" w:space="0"/>
            </w:tcBorders>
            <w:vAlign w:val="center"/>
          </w:tcPr>
          <w:p w14:paraId="6C0B096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12" w:space="0"/>
              <w:right w:val="single" w:color="000000" w:sz="12" w:space="0"/>
            </w:tcBorders>
            <w:vAlign w:val="center"/>
          </w:tcPr>
          <w:p w14:paraId="3010504C">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bl>
    <w:p w14:paraId="3A415C28">
      <w:pPr>
        <w:spacing w:line="440" w:lineRule="exact"/>
        <w:rPr>
          <w:rFonts w:ascii="Times New Roman" w:hAnsi="Times New Roman" w:eastAsia="黑体" w:cs="Times New Roman"/>
          <w:color w:val="000000"/>
          <w:sz w:val="24"/>
          <w:szCs w:val="24"/>
        </w:rPr>
      </w:pPr>
      <w:r>
        <w:br w:type="page"/>
      </w: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w:t>
      </w:r>
    </w:p>
    <w:p w14:paraId="08F9FA72">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分包人主要施工管理人员表</w:t>
      </w:r>
    </w:p>
    <w:tbl>
      <w:tblPr>
        <w:tblStyle w:val="20"/>
        <w:tblW w:w="9809" w:type="dxa"/>
        <w:jc w:val="center"/>
        <w:tblLayout w:type="fixed"/>
        <w:tblCellMar>
          <w:top w:w="0" w:type="dxa"/>
          <w:left w:w="28" w:type="dxa"/>
          <w:bottom w:w="0" w:type="dxa"/>
          <w:right w:w="28" w:type="dxa"/>
        </w:tblCellMar>
      </w:tblPr>
      <w:tblGrid>
        <w:gridCol w:w="1871"/>
        <w:gridCol w:w="1418"/>
        <w:gridCol w:w="1134"/>
        <w:gridCol w:w="1134"/>
        <w:gridCol w:w="4252"/>
      </w:tblGrid>
      <w:tr w14:paraId="2DB1CB52">
        <w:tblPrEx>
          <w:tblCellMar>
            <w:top w:w="0" w:type="dxa"/>
            <w:left w:w="28" w:type="dxa"/>
            <w:bottom w:w="0" w:type="dxa"/>
            <w:right w:w="28" w:type="dxa"/>
          </w:tblCellMar>
        </w:tblPrEx>
        <w:trPr>
          <w:jc w:val="center"/>
        </w:trPr>
        <w:tc>
          <w:tcPr>
            <w:tcW w:w="1871" w:type="dxa"/>
            <w:tcBorders>
              <w:top w:val="single" w:color="000000" w:sz="12" w:space="0"/>
              <w:left w:val="single" w:color="000000" w:sz="12" w:space="0"/>
              <w:bottom w:val="double" w:color="000000" w:sz="6" w:space="0"/>
              <w:right w:val="single" w:color="000000" w:sz="6" w:space="0"/>
            </w:tcBorders>
            <w:vAlign w:val="center"/>
          </w:tcPr>
          <w:p w14:paraId="06978EF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名</w:t>
            </w:r>
            <w:r>
              <w:rPr>
                <w:rFonts w:eastAsia="Times New Roman"/>
                <w:color w:val="000000"/>
                <w:kern w:val="2"/>
                <w:sz w:val="22"/>
                <w:szCs w:val="24"/>
                <w:lang w:val="en-US" w:eastAsia="zh-CN"/>
              </w:rPr>
              <w:t xml:space="preserve">    </w:t>
            </w:r>
            <w:r>
              <w:rPr>
                <w:rFonts w:eastAsia="仿宋_GB2312;仿宋"/>
                <w:color w:val="000000"/>
                <w:kern w:val="2"/>
                <w:sz w:val="22"/>
                <w:szCs w:val="24"/>
                <w:lang w:val="en-US" w:eastAsia="zh-CN"/>
              </w:rPr>
              <w:t>称</w:t>
            </w:r>
          </w:p>
        </w:tc>
        <w:tc>
          <w:tcPr>
            <w:tcW w:w="1418" w:type="dxa"/>
            <w:tcBorders>
              <w:top w:val="single" w:color="000000" w:sz="12" w:space="0"/>
              <w:left w:val="single" w:color="000000" w:sz="6" w:space="0"/>
              <w:bottom w:val="double" w:color="000000" w:sz="6" w:space="0"/>
              <w:right w:val="single" w:color="000000" w:sz="6" w:space="0"/>
            </w:tcBorders>
            <w:vAlign w:val="center"/>
          </w:tcPr>
          <w:p w14:paraId="3473950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姓名</w:t>
            </w:r>
          </w:p>
        </w:tc>
        <w:tc>
          <w:tcPr>
            <w:tcW w:w="1134" w:type="dxa"/>
            <w:tcBorders>
              <w:top w:val="single" w:color="000000" w:sz="12" w:space="0"/>
              <w:left w:val="single" w:color="000000" w:sz="6" w:space="0"/>
              <w:bottom w:val="double" w:color="000000" w:sz="6" w:space="0"/>
              <w:right w:val="single" w:color="000000" w:sz="6" w:space="0"/>
            </w:tcBorders>
            <w:vAlign w:val="center"/>
          </w:tcPr>
          <w:p w14:paraId="407BCD6C">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职务</w:t>
            </w:r>
          </w:p>
        </w:tc>
        <w:tc>
          <w:tcPr>
            <w:tcW w:w="1134" w:type="dxa"/>
            <w:tcBorders>
              <w:top w:val="single" w:color="000000" w:sz="12" w:space="0"/>
              <w:left w:val="single" w:color="000000" w:sz="6" w:space="0"/>
              <w:bottom w:val="double" w:color="000000" w:sz="6" w:space="0"/>
              <w:right w:val="single" w:color="000000" w:sz="6" w:space="0"/>
            </w:tcBorders>
            <w:vAlign w:val="center"/>
          </w:tcPr>
          <w:p w14:paraId="3C408A74">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职称</w:t>
            </w:r>
          </w:p>
        </w:tc>
        <w:tc>
          <w:tcPr>
            <w:tcW w:w="4252" w:type="dxa"/>
            <w:tcBorders>
              <w:top w:val="single" w:color="000000" w:sz="12" w:space="0"/>
              <w:left w:val="single" w:color="000000" w:sz="6" w:space="0"/>
              <w:bottom w:val="double" w:color="000000" w:sz="6" w:space="0"/>
              <w:right w:val="single" w:color="000000" w:sz="12" w:space="0"/>
            </w:tcBorders>
            <w:vAlign w:val="center"/>
          </w:tcPr>
          <w:p w14:paraId="4EF8FCE6">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主要资历、经验及承担过的项目</w:t>
            </w:r>
          </w:p>
        </w:tc>
      </w:tr>
      <w:tr w14:paraId="129CBA09">
        <w:tblPrEx>
          <w:tblCellMar>
            <w:top w:w="0" w:type="dxa"/>
            <w:left w:w="28" w:type="dxa"/>
            <w:bottom w:w="0" w:type="dxa"/>
            <w:right w:w="28" w:type="dxa"/>
          </w:tblCellMar>
        </w:tblPrEx>
        <w:trPr>
          <w:jc w:val="center"/>
        </w:trPr>
        <w:tc>
          <w:tcPr>
            <w:tcW w:w="9809" w:type="dxa"/>
            <w:gridSpan w:val="5"/>
            <w:tcBorders>
              <w:top w:val="double" w:color="000000" w:sz="6" w:space="0"/>
              <w:left w:val="single" w:color="000000" w:sz="12" w:space="0"/>
              <w:bottom w:val="single" w:color="000000" w:sz="6" w:space="0"/>
              <w:right w:val="single" w:color="000000" w:sz="12" w:space="0"/>
            </w:tcBorders>
            <w:vAlign w:val="center"/>
          </w:tcPr>
          <w:p w14:paraId="33ECCA87">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一、总部人员</w:t>
            </w:r>
          </w:p>
        </w:tc>
      </w:tr>
      <w:tr w14:paraId="35045A9E">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27B50A21">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项目主管</w:t>
            </w:r>
          </w:p>
        </w:tc>
        <w:tc>
          <w:tcPr>
            <w:tcW w:w="1418" w:type="dxa"/>
            <w:tcBorders>
              <w:left w:val="single" w:color="000000" w:sz="6" w:space="0"/>
              <w:bottom w:val="single" w:color="000000" w:sz="6" w:space="0"/>
              <w:right w:val="single" w:color="000000" w:sz="6" w:space="0"/>
            </w:tcBorders>
            <w:vAlign w:val="center"/>
          </w:tcPr>
          <w:p w14:paraId="6CEB12B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left w:val="single" w:color="000000" w:sz="6" w:space="0"/>
              <w:bottom w:val="single" w:color="000000" w:sz="6" w:space="0"/>
              <w:right w:val="single" w:color="000000" w:sz="6" w:space="0"/>
            </w:tcBorders>
            <w:vAlign w:val="center"/>
          </w:tcPr>
          <w:p w14:paraId="1F186DF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left w:val="single" w:color="000000" w:sz="6" w:space="0"/>
              <w:bottom w:val="single" w:color="000000" w:sz="6" w:space="0"/>
              <w:right w:val="single" w:color="000000" w:sz="6" w:space="0"/>
            </w:tcBorders>
            <w:vAlign w:val="center"/>
          </w:tcPr>
          <w:p w14:paraId="55791E5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left w:val="single" w:color="000000" w:sz="6" w:space="0"/>
              <w:bottom w:val="single" w:color="000000" w:sz="6" w:space="0"/>
              <w:right w:val="single" w:color="000000" w:sz="12" w:space="0"/>
            </w:tcBorders>
            <w:vAlign w:val="center"/>
          </w:tcPr>
          <w:p w14:paraId="626DEBB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6DF6C05">
        <w:tblPrEx>
          <w:tblCellMar>
            <w:top w:w="0" w:type="dxa"/>
            <w:left w:w="28" w:type="dxa"/>
            <w:bottom w:w="0" w:type="dxa"/>
            <w:right w:w="28" w:type="dxa"/>
          </w:tblCellMar>
        </w:tblPrEx>
        <w:trPr>
          <w:jc w:val="center"/>
        </w:trPr>
        <w:tc>
          <w:tcPr>
            <w:tcW w:w="1871" w:type="dxa"/>
            <w:tcBorders>
              <w:top w:val="single" w:color="000000" w:sz="6" w:space="0"/>
              <w:left w:val="single" w:color="000000" w:sz="12" w:space="0"/>
              <w:right w:val="single" w:color="000000" w:sz="6" w:space="0"/>
            </w:tcBorders>
            <w:vAlign w:val="center"/>
          </w:tcPr>
          <w:p w14:paraId="7D782CB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34650A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7EA226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22E1F1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A11ACC2">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662E179">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46628180">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其他人员</w:t>
            </w:r>
          </w:p>
        </w:tc>
        <w:tc>
          <w:tcPr>
            <w:tcW w:w="1418" w:type="dxa"/>
            <w:tcBorders>
              <w:top w:val="single" w:color="000000" w:sz="6" w:space="0"/>
              <w:left w:val="single" w:color="000000" w:sz="6" w:space="0"/>
              <w:bottom w:val="single" w:color="000000" w:sz="6" w:space="0"/>
              <w:right w:val="single" w:color="000000" w:sz="6" w:space="0"/>
            </w:tcBorders>
            <w:vAlign w:val="center"/>
          </w:tcPr>
          <w:p w14:paraId="39BC850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6EAD5D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D2481F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013D3EE4">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C4673C4">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7937CD9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74A33D9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493A82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D9E2EE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2CD3E9F">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9C78D0D">
        <w:tblPrEx>
          <w:tblCellMar>
            <w:top w:w="0" w:type="dxa"/>
            <w:left w:w="28" w:type="dxa"/>
            <w:bottom w:w="0" w:type="dxa"/>
            <w:right w:w="28" w:type="dxa"/>
          </w:tblCellMar>
        </w:tblPrEx>
        <w:trPr>
          <w:jc w:val="center"/>
        </w:trPr>
        <w:tc>
          <w:tcPr>
            <w:tcW w:w="9809" w:type="dxa"/>
            <w:gridSpan w:val="5"/>
            <w:tcBorders>
              <w:top w:val="single" w:color="000000" w:sz="6" w:space="0"/>
              <w:left w:val="single" w:color="000000" w:sz="12" w:space="0"/>
              <w:bottom w:val="single" w:color="000000" w:sz="6" w:space="0"/>
              <w:right w:val="single" w:color="000000" w:sz="12" w:space="0"/>
            </w:tcBorders>
            <w:vAlign w:val="center"/>
          </w:tcPr>
          <w:p w14:paraId="2FCAF61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二、现场人员</w:t>
            </w:r>
          </w:p>
        </w:tc>
      </w:tr>
      <w:tr w14:paraId="5818B869">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54D862D4">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项目经理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04C9693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27E36C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1B968A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3730EDD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D8CAD31">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6645663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项目副经理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592ECA2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1AAC5F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30D5AC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2227151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951E695">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6DA5C8B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技术负责人</w:t>
            </w:r>
          </w:p>
        </w:tc>
        <w:tc>
          <w:tcPr>
            <w:tcW w:w="1418" w:type="dxa"/>
            <w:tcBorders>
              <w:top w:val="single" w:color="000000" w:sz="6" w:space="0"/>
              <w:left w:val="single" w:color="000000" w:sz="6" w:space="0"/>
              <w:bottom w:val="single" w:color="000000" w:sz="6" w:space="0"/>
              <w:right w:val="single" w:color="000000" w:sz="6" w:space="0"/>
            </w:tcBorders>
            <w:vAlign w:val="center"/>
          </w:tcPr>
          <w:p w14:paraId="52E2DFB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67CE2F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86CFA8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1E8B1311">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764D1EF">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02AD853A">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造价管理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2BE4294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E701F1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EF123A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525392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EB99B57">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7823B892">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质量管理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1BC490F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80ADC5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8FEA66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4AC44E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7005163">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6406A12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材料管理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460DAB0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6467D5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2694F5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75A1334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72DD73A">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39A9D60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计划管理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656AFD4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85FC2D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72FA89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E06460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CC3E889">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7D125D7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安全管理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35B1898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3CB3D2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3DAEE8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31D2B64">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B6D0AB4">
        <w:tblPrEx>
          <w:tblCellMar>
            <w:top w:w="0" w:type="dxa"/>
            <w:left w:w="28" w:type="dxa"/>
            <w:bottom w:w="0" w:type="dxa"/>
            <w:right w:w="28" w:type="dxa"/>
          </w:tblCellMar>
        </w:tblPrEx>
        <w:trPr>
          <w:jc w:val="center"/>
        </w:trPr>
        <w:tc>
          <w:tcPr>
            <w:tcW w:w="1871" w:type="dxa"/>
            <w:vMerge w:val="restart"/>
            <w:tcBorders>
              <w:top w:val="single" w:color="000000" w:sz="6" w:space="0"/>
              <w:left w:val="single" w:color="000000" w:sz="12" w:space="0"/>
              <w:bottom w:val="single" w:color="000000" w:sz="6" w:space="0"/>
              <w:right w:val="single" w:color="000000" w:sz="6" w:space="0"/>
            </w:tcBorders>
            <w:vAlign w:val="center"/>
          </w:tcPr>
          <w:p w14:paraId="7DBB8ACE">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其他人员</w:t>
            </w:r>
          </w:p>
        </w:tc>
        <w:tc>
          <w:tcPr>
            <w:tcW w:w="1418" w:type="dxa"/>
            <w:tcBorders>
              <w:top w:val="single" w:color="000000" w:sz="6" w:space="0"/>
              <w:left w:val="single" w:color="000000" w:sz="6" w:space="0"/>
              <w:bottom w:val="single" w:color="000000" w:sz="6" w:space="0"/>
              <w:right w:val="single" w:color="000000" w:sz="6" w:space="0"/>
            </w:tcBorders>
            <w:vAlign w:val="center"/>
          </w:tcPr>
          <w:p w14:paraId="56D94C3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EEB819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BE04CE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7A9393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80FF74A">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06C9433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right w:val="single" w:color="000000" w:sz="6" w:space="0"/>
            </w:tcBorders>
            <w:vAlign w:val="center"/>
          </w:tcPr>
          <w:p w14:paraId="53163AE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right w:val="single" w:color="000000" w:sz="6" w:space="0"/>
            </w:tcBorders>
            <w:vAlign w:val="center"/>
          </w:tcPr>
          <w:p w14:paraId="1D6458A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right w:val="single" w:color="000000" w:sz="6" w:space="0"/>
            </w:tcBorders>
            <w:vAlign w:val="center"/>
          </w:tcPr>
          <w:p w14:paraId="75B0E43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right w:val="single" w:color="000000" w:sz="12" w:space="0"/>
            </w:tcBorders>
            <w:vAlign w:val="center"/>
          </w:tcPr>
          <w:p w14:paraId="401D6C2C">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033E4E5">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7C992C9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F0A4C6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835CCC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C9A784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EE3EFC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8FA4511">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4008626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20251C1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6A0858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BAE52C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61ADCE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674CD00">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41E5DBB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3BBAA8B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3F7992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1CE6F9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34C441B2">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2546DAF">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4B4F49B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12" w:space="0"/>
              <w:right w:val="single" w:color="000000" w:sz="6" w:space="0"/>
            </w:tcBorders>
            <w:vAlign w:val="center"/>
          </w:tcPr>
          <w:p w14:paraId="7DC0BD9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12" w:space="0"/>
              <w:right w:val="single" w:color="000000" w:sz="6" w:space="0"/>
            </w:tcBorders>
            <w:vAlign w:val="center"/>
          </w:tcPr>
          <w:p w14:paraId="45AA318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12" w:space="0"/>
              <w:right w:val="single" w:color="000000" w:sz="6" w:space="0"/>
            </w:tcBorders>
            <w:vAlign w:val="center"/>
          </w:tcPr>
          <w:p w14:paraId="3A342E2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12" w:space="0"/>
              <w:right w:val="single" w:color="000000" w:sz="12" w:space="0"/>
            </w:tcBorders>
            <w:vAlign w:val="center"/>
          </w:tcPr>
          <w:p w14:paraId="1C5810C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bl>
    <w:p w14:paraId="1CE39CC8">
      <w:pPr>
        <w:spacing w:line="440" w:lineRule="exact"/>
        <w:rPr>
          <w:rFonts w:ascii="Times New Roman" w:hAnsi="Times New Roman" w:eastAsia="仿宋_GB2312;仿宋" w:cs="Times New Roman"/>
          <w:color w:val="000000"/>
          <w:sz w:val="24"/>
          <w:szCs w:val="24"/>
        </w:rPr>
      </w:pPr>
      <w:r>
        <w:br w:type="page"/>
      </w:r>
    </w:p>
    <w:p w14:paraId="74FC5573">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8</w:t>
      </w:r>
      <w:r>
        <w:rPr>
          <w:rFonts w:ascii="Times New Roman" w:hAnsi="Times New Roman" w:eastAsia="仿宋_GB2312;仿宋" w:cs="Times New Roman"/>
          <w:color w:val="000000"/>
          <w:sz w:val="24"/>
          <w:szCs w:val="24"/>
        </w:rPr>
        <w:t>：</w:t>
      </w:r>
    </w:p>
    <w:p w14:paraId="541AD7D3">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履约担保</w:t>
      </w:r>
    </w:p>
    <w:p w14:paraId="73122D9B">
      <w:pPr>
        <w:spacing w:line="440" w:lineRule="exact"/>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eastAsia="仿宋_GB2312;仿宋" w:cs="Times New Roman"/>
          <w:color w:val="000000"/>
          <w:sz w:val="24"/>
          <w:szCs w:val="24"/>
          <w:u w:val="single"/>
        </w:rPr>
        <w:tab/>
      </w:r>
      <w:r>
        <w:rPr>
          <w:rFonts w:ascii="Times New Roman" w:hAnsi="Times New Roman" w:eastAsia="仿宋_GB2312;仿宋" w:cs="Times New Roman"/>
          <w:color w:val="000000"/>
          <w:sz w:val="24"/>
          <w:szCs w:val="24"/>
        </w:rPr>
        <w:t>（发包人名称）：</w:t>
      </w:r>
    </w:p>
    <w:p w14:paraId="1AC25182">
      <w:pPr>
        <w:spacing w:line="440" w:lineRule="exact"/>
        <w:rPr>
          <w:rFonts w:ascii="Times New Roman" w:hAnsi="Times New Roman" w:eastAsia="仿宋_GB2312;仿宋" w:cs="Times New Roman"/>
          <w:color w:val="000000"/>
          <w:sz w:val="24"/>
          <w:szCs w:val="24"/>
        </w:rPr>
      </w:pPr>
    </w:p>
    <w:p w14:paraId="374FFDB7">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鉴于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（发包人名称，以下简称“发包人”）与</w:t>
      </w:r>
    </w:p>
    <w:p w14:paraId="2B6E66D3">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（承包人名称）（以下称“承包人”）于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（工程名称）施工及有关事项协商一致共同签订《建设工程施工合同》。我方愿意无条件地、不可撤销地就承包人履行与你方签订的合同，向你方提供连带责任担保。</w:t>
      </w:r>
      <w:r>
        <w:rPr>
          <w:rFonts w:ascii="Times New Roman" w:hAnsi="Times New Roman" w:eastAsia="Times New Roman" w:cs="Times New Roman"/>
          <w:color w:val="000000"/>
          <w:sz w:val="24"/>
          <w:szCs w:val="24"/>
        </w:rPr>
        <w:t xml:space="preserve"> </w:t>
      </w:r>
    </w:p>
    <w:p w14:paraId="13B4D980">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担保金额人民币（大写）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BCB084A">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担保有效期自你方与承包人签订的合同生效之日起至你方签发或应签发工程接收证书之日止。</w:t>
      </w:r>
    </w:p>
    <w:p w14:paraId="62FA1DF6">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在本担保有效期内，因承包人违反合同约定的义务给你方造成经济损失时，我方在收到你方以书面形式提出的在担保金额内的赔偿要求后，在</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天内无条件支付。</w:t>
      </w:r>
    </w:p>
    <w:p w14:paraId="40A7DCFA">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4. </w:t>
      </w:r>
      <w:r>
        <w:rPr>
          <w:rFonts w:ascii="Times New Roman" w:hAnsi="Times New Roman" w:eastAsia="仿宋_GB2312;仿宋" w:cs="Times New Roman"/>
          <w:color w:val="000000"/>
          <w:sz w:val="24"/>
          <w:szCs w:val="24"/>
        </w:rPr>
        <w:t>你方和承包人按合同约定变更合同时，我方承担本担保规定的义务不变。</w:t>
      </w:r>
    </w:p>
    <w:p w14:paraId="223F232E">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5. </w:t>
      </w:r>
      <w:r>
        <w:rPr>
          <w:rFonts w:ascii="Times New Roman" w:hAnsi="Times New Roman" w:eastAsia="仿宋_GB2312;仿宋" w:cs="Times New Roman"/>
          <w:color w:val="000000"/>
          <w:sz w:val="24"/>
          <w:szCs w:val="24"/>
        </w:rPr>
        <w:t>因本保函发生的纠纷，可由双方协商解决，协商不成的，任何一方均可提请</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仲裁委员会仲裁。</w:t>
      </w:r>
    </w:p>
    <w:p w14:paraId="4DEBCF91">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 </w:t>
      </w:r>
      <w:r>
        <w:rPr>
          <w:rFonts w:ascii="Times New Roman" w:hAnsi="Times New Roman" w:eastAsia="仿宋_GB2312;仿宋" w:cs="Times New Roman"/>
          <w:color w:val="000000"/>
          <w:sz w:val="24"/>
          <w:szCs w:val="24"/>
        </w:rPr>
        <w:t>本保函自我方法定代表人（或其授权代理人）签字并加盖公章之日起生效。</w:t>
      </w:r>
    </w:p>
    <w:p w14:paraId="7EB00411">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担</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保</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（盖单位章）</w:t>
      </w:r>
    </w:p>
    <w:p w14:paraId="069CB781">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法定代表人或其委托代理人：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（签字）</w:t>
      </w:r>
    </w:p>
    <w:p w14:paraId="4E68CD13">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Times New Roman" w:cs="Times New Roman"/>
          <w:color w:val="000000"/>
          <w:sz w:val="24"/>
          <w:szCs w:val="24"/>
          <w:u w:val="single"/>
        </w:rPr>
        <w:t xml:space="preserve">                                      </w:t>
      </w:r>
    </w:p>
    <w:p w14:paraId="65F016ED">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邮政编码：</w:t>
      </w:r>
      <w:r>
        <w:rPr>
          <w:rFonts w:ascii="Times New Roman" w:hAnsi="Times New Roman" w:eastAsia="Times New Roman" w:cs="Times New Roman"/>
          <w:color w:val="000000"/>
          <w:sz w:val="24"/>
          <w:szCs w:val="24"/>
          <w:u w:val="single"/>
        </w:rPr>
        <w:t xml:space="preserve">                                      </w:t>
      </w:r>
    </w:p>
    <w:p w14:paraId="33C156FC">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Times New Roman" w:cs="Times New Roman"/>
          <w:color w:val="000000"/>
          <w:sz w:val="24"/>
          <w:szCs w:val="24"/>
          <w:u w:val="single"/>
        </w:rPr>
        <w:t xml:space="preserve">                                      </w:t>
      </w:r>
    </w:p>
    <w:p w14:paraId="7073FA5F">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Times New Roman" w:cs="Times New Roman"/>
          <w:color w:val="000000"/>
          <w:sz w:val="24"/>
          <w:szCs w:val="24"/>
          <w:u w:val="single"/>
        </w:rPr>
        <w:t xml:space="preserve">                                      </w:t>
      </w:r>
    </w:p>
    <w:p w14:paraId="2B64FDC1">
      <w:pPr>
        <w:keepNext w:val="0"/>
        <w:keepLines w:val="0"/>
        <w:pageBreakBefore w:val="0"/>
        <w:widowControl w:val="0"/>
        <w:kinsoku/>
        <w:overflowPunct/>
        <w:autoSpaceDE/>
        <w:bidi w:val="0"/>
        <w:snapToGrid/>
        <w:spacing w:line="440" w:lineRule="exact"/>
        <w:jc w:val="left"/>
        <w:textAlignment w:val="auto"/>
        <w:rPr>
          <w:rFonts w:ascii="Times New Roman" w:hAnsi="Times New Roman" w:eastAsia="仿宋_GB2312;仿宋" w:cs="Times New Roman"/>
          <w:color w:val="000000"/>
          <w:sz w:val="24"/>
          <w:szCs w:val="24"/>
          <w:u w:val="single"/>
        </w:rPr>
      </w:pPr>
    </w:p>
    <w:p w14:paraId="16A5E4AB">
      <w:pPr>
        <w:keepNext w:val="0"/>
        <w:keepLines w:val="0"/>
        <w:pageBreakBefore w:val="0"/>
        <w:widowControl w:val="0"/>
        <w:kinsoku/>
        <w:overflowPunct/>
        <w:autoSpaceDE/>
        <w:bidi w:val="0"/>
        <w:snapToGrid/>
        <w:spacing w:line="440" w:lineRule="exact"/>
        <w:ind w:left="1899" w:hanging="1519"/>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w:t>
      </w:r>
    </w:p>
    <w:p w14:paraId="12C0A870">
      <w:pPr>
        <w:spacing w:line="360" w:lineRule="auto"/>
        <w:ind w:left="1899" w:hanging="1519"/>
        <w:rPr>
          <w:rFonts w:ascii="Times New Roman" w:hAnsi="Times New Roman" w:eastAsia="仿宋_GB2312;仿宋" w:cs="Times New Roman"/>
          <w:color w:val="000000"/>
          <w:sz w:val="24"/>
          <w:szCs w:val="24"/>
        </w:rPr>
      </w:pPr>
    </w:p>
    <w:p w14:paraId="49F21A0E">
      <w:pPr>
        <w:spacing w:line="360" w:lineRule="auto"/>
        <w:ind w:left="1899" w:hanging="1519"/>
        <w:rPr>
          <w:rFonts w:ascii="Times New Roman" w:hAnsi="Times New Roman" w:eastAsia="仿宋_GB2312;仿宋" w:cs="Times New Roman"/>
          <w:color w:val="000000"/>
          <w:sz w:val="24"/>
          <w:szCs w:val="24"/>
        </w:rPr>
      </w:pPr>
    </w:p>
    <w:p w14:paraId="30B7EB71">
      <w:pPr>
        <w:pStyle w:val="69"/>
        <w:rPr>
          <w:rFonts w:ascii="Times New Roman" w:hAnsi="Times New Roman" w:eastAsia="仿宋_GB2312;仿宋" w:cs="Times New Roman"/>
          <w:color w:val="000000"/>
          <w:sz w:val="24"/>
          <w:szCs w:val="24"/>
        </w:rPr>
      </w:pPr>
    </w:p>
    <w:p w14:paraId="276FB805">
      <w:pPr>
        <w:pStyle w:val="69"/>
        <w:rPr>
          <w:rFonts w:ascii="Times New Roman" w:hAnsi="Times New Roman" w:eastAsia="仿宋_GB2312;仿宋" w:cs="Times New Roman"/>
          <w:color w:val="000000"/>
          <w:sz w:val="24"/>
          <w:szCs w:val="24"/>
        </w:rPr>
      </w:pPr>
    </w:p>
    <w:p w14:paraId="33EDE8AB">
      <w:pPr>
        <w:pStyle w:val="69"/>
        <w:rPr>
          <w:rFonts w:ascii="Times New Roman" w:hAnsi="Times New Roman" w:eastAsia="仿宋_GB2312;仿宋" w:cs="Times New Roman"/>
          <w:color w:val="000000"/>
          <w:sz w:val="24"/>
          <w:szCs w:val="24"/>
        </w:rPr>
      </w:pPr>
    </w:p>
    <w:p w14:paraId="0F367253">
      <w:pPr>
        <w:pStyle w:val="69"/>
        <w:rPr>
          <w:rFonts w:ascii="Times New Roman" w:hAnsi="Times New Roman" w:eastAsia="仿宋_GB2312;仿宋" w:cs="Times New Roman"/>
          <w:color w:val="000000"/>
          <w:sz w:val="24"/>
          <w:szCs w:val="24"/>
        </w:rPr>
      </w:pPr>
    </w:p>
    <w:p w14:paraId="714C9498">
      <w:pPr>
        <w:pStyle w:val="69"/>
        <w:rPr>
          <w:rFonts w:ascii="Times New Roman" w:hAnsi="Times New Roman" w:eastAsia="仿宋_GB2312;仿宋" w:cs="Times New Roman"/>
          <w:color w:val="000000"/>
          <w:sz w:val="24"/>
          <w:szCs w:val="24"/>
        </w:rPr>
      </w:pPr>
    </w:p>
    <w:p w14:paraId="2BD7D320">
      <w:pPr>
        <w:pStyle w:val="69"/>
        <w:rPr>
          <w:rFonts w:ascii="Times New Roman" w:hAnsi="Times New Roman" w:eastAsia="仿宋_GB2312;仿宋" w:cs="Times New Roman"/>
          <w:color w:val="000000"/>
          <w:sz w:val="24"/>
          <w:szCs w:val="24"/>
        </w:rPr>
      </w:pPr>
    </w:p>
    <w:p w14:paraId="1E985264">
      <w:pPr>
        <w:pStyle w:val="69"/>
        <w:rPr>
          <w:rFonts w:ascii="Times New Roman" w:hAnsi="Times New Roman" w:eastAsia="仿宋_GB2312;仿宋" w:cs="Times New Roman"/>
          <w:color w:val="000000"/>
          <w:sz w:val="24"/>
          <w:szCs w:val="24"/>
        </w:rPr>
      </w:pPr>
    </w:p>
    <w:p w14:paraId="5D382E7B">
      <w:pPr>
        <w:pStyle w:val="69"/>
        <w:rPr>
          <w:rFonts w:ascii="Times New Roman" w:hAnsi="Times New Roman" w:eastAsia="仿宋_GB2312;仿宋" w:cs="Times New Roman"/>
          <w:color w:val="000000"/>
          <w:sz w:val="24"/>
          <w:szCs w:val="24"/>
        </w:rPr>
      </w:pPr>
    </w:p>
    <w:p w14:paraId="73193EA5">
      <w:pPr>
        <w:pStyle w:val="69"/>
        <w:rPr>
          <w:rFonts w:ascii="Times New Roman" w:hAnsi="Times New Roman" w:eastAsia="仿宋_GB2312;仿宋" w:cs="Times New Roman"/>
          <w:color w:val="000000"/>
          <w:sz w:val="24"/>
          <w:szCs w:val="24"/>
        </w:rPr>
      </w:pPr>
    </w:p>
    <w:p w14:paraId="362CE951">
      <w:pPr>
        <w:pStyle w:val="69"/>
        <w:rPr>
          <w:rFonts w:ascii="Times New Roman" w:hAnsi="Times New Roman" w:eastAsia="仿宋_GB2312;仿宋" w:cs="Times New Roman"/>
          <w:color w:val="000000"/>
          <w:sz w:val="24"/>
          <w:szCs w:val="24"/>
        </w:rPr>
      </w:pPr>
    </w:p>
    <w:p w14:paraId="640DE993">
      <w:pPr>
        <w:pStyle w:val="69"/>
        <w:rPr>
          <w:rFonts w:ascii="Times New Roman" w:hAnsi="Times New Roman" w:eastAsia="仿宋_GB2312;仿宋" w:cs="Times New Roman"/>
          <w:color w:val="000000"/>
          <w:sz w:val="24"/>
          <w:szCs w:val="24"/>
        </w:rPr>
      </w:pPr>
    </w:p>
    <w:p w14:paraId="3B8C993E">
      <w:pPr>
        <w:keepNext w:val="0"/>
        <w:keepLines w:val="0"/>
        <w:pageBreakBefore w:val="0"/>
        <w:widowControl w:val="0"/>
        <w:kinsoku/>
        <w:overflowPunct/>
        <w:autoSpaceDE/>
        <w:bidi w:val="0"/>
        <w:snapToGrid/>
        <w:spacing w:line="400" w:lineRule="exact"/>
        <w:textAlignment w:val="auto"/>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 xml:space="preserve">9 </w:t>
      </w:r>
      <w:r>
        <w:rPr>
          <w:rFonts w:ascii="Times New Roman" w:hAnsi="Times New Roman" w:eastAsia="仿宋_GB2312;仿宋" w:cs="Times New Roman"/>
          <w:color w:val="000000"/>
          <w:sz w:val="24"/>
          <w:szCs w:val="24"/>
        </w:rPr>
        <w:t>：</w:t>
      </w:r>
    </w:p>
    <w:p w14:paraId="16DB6153">
      <w:pPr>
        <w:keepNext w:val="0"/>
        <w:keepLines w:val="0"/>
        <w:pageBreakBefore w:val="0"/>
        <w:widowControl w:val="0"/>
        <w:kinsoku/>
        <w:overflowPunct/>
        <w:autoSpaceDE/>
        <w:bidi w:val="0"/>
        <w:snapToGrid/>
        <w:spacing w:before="156" w:after="156" w:line="400" w:lineRule="exact"/>
        <w:jc w:val="center"/>
        <w:textAlignment w:val="auto"/>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预付款担保</w:t>
      </w:r>
    </w:p>
    <w:p w14:paraId="4E22B763">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rPr>
        <w:t xml:space="preserve"> </w:t>
      </w:r>
      <w:r>
        <w:rPr>
          <w:rFonts w:ascii="Times New Roman" w:hAnsi="Times New Roman" w:eastAsia="仿宋_GB2312;仿宋" w:cs="Times New Roman"/>
          <w:color w:val="000000"/>
          <w:sz w:val="24"/>
          <w:szCs w:val="24"/>
        </w:rPr>
        <w:t>（发包人名称）：</w:t>
      </w:r>
    </w:p>
    <w:p w14:paraId="0EC91954">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p>
    <w:p w14:paraId="125A9D55">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根据</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（承包人名称）（以下称“承包人”）与</w:t>
      </w:r>
    </w:p>
    <w:p w14:paraId="7DD8C361">
      <w:pPr>
        <w:keepNext w:val="0"/>
        <w:keepLines w:val="0"/>
        <w:pageBreakBefore w:val="0"/>
        <w:widowControl w:val="0"/>
        <w:numPr>
          <w:ilvl w:val="0"/>
          <w:numId w:val="0"/>
        </w:numPr>
        <w:kinsoku/>
        <w:overflowPunct/>
        <w:autoSpaceDE/>
        <w:bidi w:val="0"/>
        <w:snapToGrid/>
        <w:spacing w:line="400" w:lineRule="exact"/>
        <w:textAlignment w:val="auto"/>
        <w:outlineLvl w:val="0"/>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（发包人名称）（以下简称“发包人”）</w:t>
      </w:r>
    </w:p>
    <w:p w14:paraId="5B496650">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日签订的</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（工程名称）《建设工程施工合同》，承包人按约定的金额向你方提交一份预付款担保，即有权得到你方支付相等金额的预付款。我方愿意就你方提供给承包人的预付款为承包人提供连带责任担保。</w:t>
      </w:r>
    </w:p>
    <w:p w14:paraId="74C458E1">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担保金额人民币（大写）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29F57C3">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担保有效期自预付款支付给承包人起生效，至你方签发的进度款支付证书说明已完全扣清止。</w:t>
      </w:r>
    </w:p>
    <w:p w14:paraId="17A8C40F">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14:paraId="4F9A6E4B">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4. </w:t>
      </w:r>
      <w:r>
        <w:rPr>
          <w:rFonts w:ascii="Times New Roman" w:hAnsi="Times New Roman" w:eastAsia="仿宋_GB2312;仿宋" w:cs="Times New Roman"/>
          <w:color w:val="000000"/>
          <w:sz w:val="24"/>
          <w:szCs w:val="24"/>
        </w:rPr>
        <w:t>你方和承包人按合同约定变更合同时，我方承担本保函规定的义务不变。</w:t>
      </w:r>
    </w:p>
    <w:p w14:paraId="38971064">
      <w:pPr>
        <w:keepNext w:val="0"/>
        <w:keepLines w:val="0"/>
        <w:pageBreakBefore w:val="0"/>
        <w:widowControl w:val="0"/>
        <w:kinsoku/>
        <w:overflowPunct/>
        <w:autoSpaceDE/>
        <w:bidi w:val="0"/>
        <w:snapToGrid/>
        <w:spacing w:line="400" w:lineRule="exact"/>
        <w:ind w:firstLine="480"/>
        <w:jc w:val="left"/>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5. </w:t>
      </w:r>
      <w:r>
        <w:rPr>
          <w:rFonts w:ascii="Times New Roman" w:hAnsi="Times New Roman" w:eastAsia="仿宋_GB2312;仿宋" w:cs="Times New Roman"/>
          <w:color w:val="000000"/>
          <w:sz w:val="24"/>
          <w:szCs w:val="24"/>
        </w:rPr>
        <w:t>因本保函发生的纠纷，可由双方协商解决，协商不成的，任何一方均可提请</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仲裁委员会仲裁。</w:t>
      </w:r>
    </w:p>
    <w:p w14:paraId="34E77938">
      <w:pPr>
        <w:keepNext w:val="0"/>
        <w:keepLines w:val="0"/>
        <w:pageBreakBefore w:val="0"/>
        <w:widowControl w:val="0"/>
        <w:kinsoku/>
        <w:overflowPunct/>
        <w:autoSpaceDE/>
        <w:bidi w:val="0"/>
        <w:snapToGrid/>
        <w:spacing w:line="400" w:lineRule="exact"/>
        <w:ind w:firstLine="480"/>
        <w:jc w:val="left"/>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 </w:t>
      </w:r>
      <w:r>
        <w:rPr>
          <w:rFonts w:ascii="Times New Roman" w:hAnsi="Times New Roman" w:eastAsia="仿宋_GB2312;仿宋" w:cs="Times New Roman"/>
          <w:color w:val="000000"/>
          <w:sz w:val="24"/>
          <w:szCs w:val="24"/>
        </w:rPr>
        <w:t>本保函自我方法定代表人（或其授权代理人）签字并加盖公章之日起生效。</w:t>
      </w:r>
    </w:p>
    <w:p w14:paraId="55A4D938">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p>
    <w:p w14:paraId="27A83459">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p>
    <w:p w14:paraId="471CA3A7">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担保人：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（盖单位章）</w:t>
      </w:r>
    </w:p>
    <w:p w14:paraId="274A5673">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法定代表人或其委托代理人：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（签字）</w:t>
      </w:r>
    </w:p>
    <w:p w14:paraId="4ED83B25">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ab/>
      </w:r>
    </w:p>
    <w:p w14:paraId="746D0171">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邮政编码：</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ab/>
      </w:r>
    </w:p>
    <w:p w14:paraId="4F349221">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ab/>
      </w:r>
    </w:p>
    <w:p w14:paraId="1B640416">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ab/>
      </w:r>
    </w:p>
    <w:p w14:paraId="414E7AD8">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p>
    <w:p w14:paraId="11320E19">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u w:val="single"/>
        </w:rPr>
      </w:pPr>
    </w:p>
    <w:p w14:paraId="15FF64BC">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w:t>
      </w:r>
      <w:r>
        <w:br w:type="page"/>
      </w:r>
    </w:p>
    <w:p w14:paraId="26DDB9A1">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 xml:space="preserve">10: </w:t>
      </w:r>
      <w:r>
        <w:rPr>
          <w:rFonts w:eastAsia="黑体" w:cs="Times New Roman"/>
          <w:color w:val="000000"/>
          <w:sz w:val="24"/>
          <w:szCs w:val="24"/>
        </w:rPr>
        <w:t xml:space="preserve"> </w:t>
      </w:r>
    </w:p>
    <w:p w14:paraId="13153CF6">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支付担保</w:t>
      </w:r>
    </w:p>
    <w:p w14:paraId="63048C4F">
      <w:pPr>
        <w:spacing w:line="440" w:lineRule="exact"/>
        <w:jc w:val="left"/>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（承包人）：</w:t>
      </w:r>
    </w:p>
    <w:p w14:paraId="3DA891FE">
      <w:pPr>
        <w:spacing w:line="440" w:lineRule="exact"/>
        <w:jc w:val="left"/>
        <w:rPr>
          <w:rFonts w:ascii="Times New Roman" w:hAnsi="Times New Roman" w:eastAsia="仿宋_GB2312;仿宋" w:cs="Times New Roman"/>
          <w:color w:val="000000"/>
          <w:sz w:val="24"/>
          <w:szCs w:val="24"/>
        </w:rPr>
      </w:pPr>
    </w:p>
    <w:p w14:paraId="121A08F4">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鉴于你方作为承包人已经与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（发包人名称）（以下称“发包人”）于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日签订了</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（工程名称）《建设工程施工合同》（以下称“主合同”），应发包人的申请，我方愿就发包人履行主合同约定的工程款支付义务以保证的方式向你方提供如下担保：</w:t>
      </w:r>
    </w:p>
    <w:p w14:paraId="1DE6B4CC">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一、保证的范围及保证金额</w:t>
      </w:r>
    </w:p>
    <w:p w14:paraId="40C33EB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我方的保证范围是主合同约定的工程款。</w:t>
      </w:r>
    </w:p>
    <w:p w14:paraId="3A34AC0E">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本保函所称主合同约定的工程款是指主合同约定的除工程质量保证金以外的合同价款。</w:t>
      </w:r>
    </w:p>
    <w:p w14:paraId="6D20B9F4">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我方保证的金额是主合同约定的工程款的</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，数额最高不超过人民币元（大写：</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A9E0E55">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二、保证的方式及保证期间</w:t>
      </w:r>
    </w:p>
    <w:p w14:paraId="3DBC34CE">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我方保证的方式为：连带责任保证。</w:t>
      </w:r>
    </w:p>
    <w:p w14:paraId="4CBC1DFB">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我方保证的期间为：自本合同生效之日起至主合同约定的工程款支付完毕之日后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日内。</w:t>
      </w:r>
    </w:p>
    <w:p w14:paraId="0E325311">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你方与发包人协议变更工程款支付日期的，经我方书面同意后，保证期间按照变更后的支付日期做相应调整。</w:t>
      </w:r>
    </w:p>
    <w:p w14:paraId="52357EE8">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三、承担保证责任的形式</w:t>
      </w:r>
    </w:p>
    <w:p w14:paraId="10FB73E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我方承担保证责任的形式是代为支付。发包人未按主合同约定向你方支付工程款的，由我方在保证金额内代为支付。</w:t>
      </w:r>
    </w:p>
    <w:p w14:paraId="7776DE68">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四、代偿的安排</w:t>
      </w:r>
    </w:p>
    <w:p w14:paraId="432E0737">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你方要求我方承担保证责任的，应向我方发出书面索赔通知及发包人未支付主合同约定工程款的证明材料。索赔通知应写明要求索赔的金额，支付款项应到达的账号。</w:t>
      </w:r>
    </w:p>
    <w:p w14:paraId="07EB852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在出现你方与发包人因工程质量发生争议，发包人拒绝向你方支付工程款的情形时，你方要求我方履行保证责任代为支付的，需提供符合相应条件要求的工程质量检测机构出具的质量说明材料。</w:t>
      </w:r>
    </w:p>
    <w:p w14:paraId="7FF6711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我方收到你方的书面索赔通知及相应的证明材料后７天内无条件支付。</w:t>
      </w:r>
    </w:p>
    <w:p w14:paraId="65F063FA">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五、保证责任的解除</w:t>
      </w:r>
    </w:p>
    <w:p w14:paraId="18F646D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在本保函承诺的保证期间内，你方未书面向我方主张保证责任的，自保证期间届满次日起，我方保证责任解除。</w:t>
      </w:r>
    </w:p>
    <w:p w14:paraId="5689BEBC">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发包人按主合同约定履行了工程款的全部支付义务的，自本保函承诺的保证期间届满次日起，我方保证责任解除。</w:t>
      </w:r>
    </w:p>
    <w:p w14:paraId="15B6072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我方按照本保函向你方履行保证责任所支付金额达到本保函保证金额时，自我方向你方支付（支付款项从我方账户划出）之日起，保证责任即解除。</w:t>
      </w:r>
    </w:p>
    <w:p w14:paraId="6AF4ABE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4. </w:t>
      </w:r>
      <w:r>
        <w:rPr>
          <w:rFonts w:ascii="Times New Roman" w:hAnsi="Times New Roman" w:eastAsia="仿宋_GB2312;仿宋" w:cs="Times New Roman"/>
          <w:color w:val="000000"/>
          <w:sz w:val="24"/>
          <w:szCs w:val="24"/>
        </w:rPr>
        <w:t>按照法律法规的规定或出现应解除我方保证责任的其他情形的，我方在本保函项下的保证责任亦解除。</w:t>
      </w:r>
    </w:p>
    <w:p w14:paraId="3AF246BE">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5. </w:t>
      </w:r>
      <w:r>
        <w:rPr>
          <w:rFonts w:ascii="Times New Roman" w:hAnsi="Times New Roman" w:eastAsia="仿宋_GB2312;仿宋" w:cs="Times New Roman"/>
          <w:color w:val="000000"/>
          <w:sz w:val="24"/>
          <w:szCs w:val="24"/>
        </w:rPr>
        <w:t>我方解除保证责任后，你方应自我方保证责任解除之日起</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个工作日内，将本保函原件返还我方。</w:t>
      </w:r>
    </w:p>
    <w:p w14:paraId="41BB67FE">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六、免责条款</w:t>
      </w:r>
    </w:p>
    <w:p w14:paraId="6FFB7096">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因你方违约致使发包人不能履行义务的，我方不承担保证责任。</w:t>
      </w:r>
    </w:p>
    <w:p w14:paraId="7766209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依照法律法规的规定或你方与发包人的另行约定，免除发包人部分或全部义务的，我方亦免除其相应的保证责任。</w:t>
      </w:r>
    </w:p>
    <w:p w14:paraId="529A80F2">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你方与发包人协议变更主合同的，如加重发包人责任致使我方保证责任加重的，需征得我方书面同意，否则我方不再承担因此而加重部分的保证责任，但主合同第</w:t>
      </w:r>
      <w:r>
        <w:rPr>
          <w:rFonts w:eastAsia="仿宋_GB2312;仿宋" w:cs="Times New Roman"/>
          <w:color w:val="000000"/>
          <w:sz w:val="24"/>
          <w:szCs w:val="24"/>
        </w:rPr>
        <w:t>10</w:t>
      </w:r>
      <w:r>
        <w:rPr>
          <w:rFonts w:ascii="Times New Roman" w:hAnsi="Times New Roman" w:eastAsia="仿宋_GB2312;仿宋" w:cs="Times New Roman"/>
          <w:color w:val="000000"/>
          <w:sz w:val="24"/>
          <w:szCs w:val="24"/>
        </w:rPr>
        <w:t>条〔变更〕约定的变更不受本款限制。</w:t>
      </w:r>
    </w:p>
    <w:p w14:paraId="78852724">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4. </w:t>
      </w:r>
      <w:r>
        <w:rPr>
          <w:rFonts w:ascii="Times New Roman" w:hAnsi="Times New Roman" w:eastAsia="仿宋_GB2312;仿宋" w:cs="Times New Roman"/>
          <w:color w:val="000000"/>
          <w:sz w:val="24"/>
          <w:szCs w:val="24"/>
        </w:rPr>
        <w:t>因不可抗力造成发包人不能履行义务的，我方不承担保证责任。</w:t>
      </w:r>
    </w:p>
    <w:p w14:paraId="3F6D434A">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七、争议解决</w:t>
      </w:r>
    </w:p>
    <w:p w14:paraId="18F146E9">
      <w:pPr>
        <w:spacing w:before="0" w:after="120" w:line="360" w:lineRule="auto"/>
        <w:ind w:firstLine="480"/>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因本保函或本保函相关事项发生的纠纷，可由双方协商解决，协商不成的，按下列第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种方式解决：</w:t>
      </w:r>
    </w:p>
    <w:p w14:paraId="7E84D27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）向</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仲裁委员会申请仲裁；</w:t>
      </w:r>
    </w:p>
    <w:p w14:paraId="48940F9F">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）向</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人民法院起诉。</w:t>
      </w:r>
    </w:p>
    <w:p w14:paraId="10378B42">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八、保函的生效</w:t>
      </w:r>
    </w:p>
    <w:p w14:paraId="3973A360">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本保函自我方法定代表人（或其授权代理人）签字并加盖公章之日起生效。</w:t>
      </w:r>
    </w:p>
    <w:p w14:paraId="3EAFB208">
      <w:pPr>
        <w:spacing w:line="360" w:lineRule="auto"/>
        <w:ind w:firstLine="480"/>
        <w:jc w:val="left"/>
        <w:rPr>
          <w:rFonts w:ascii="Times New Roman" w:hAnsi="Times New Roman" w:eastAsia="仿宋_GB2312;仿宋" w:cs="Times New Roman"/>
          <w:color w:val="000000"/>
          <w:sz w:val="24"/>
          <w:szCs w:val="24"/>
        </w:rPr>
      </w:pPr>
    </w:p>
    <w:p w14:paraId="1B11B361">
      <w:pPr>
        <w:spacing w:line="360" w:lineRule="auto"/>
        <w:ind w:right="600" w:firstLine="0"/>
        <w:jc w:val="left"/>
        <w:rPr>
          <w:rFonts w:ascii="Times New Roman" w:hAnsi="Times New Roman" w:eastAsia="仿宋_GB2312;仿宋" w:cs="Times New Roman"/>
          <w:color w:val="000000"/>
          <w:sz w:val="24"/>
          <w:szCs w:val="24"/>
        </w:rPr>
      </w:pPr>
    </w:p>
    <w:p w14:paraId="5288DC8C">
      <w:pPr>
        <w:spacing w:line="360" w:lineRule="auto"/>
        <w:ind w:right="600"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担保人：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（盖章）</w:t>
      </w:r>
    </w:p>
    <w:p w14:paraId="0C927AF7">
      <w:pPr>
        <w:spacing w:line="360" w:lineRule="auto"/>
        <w:ind w:right="1200" w:firstLine="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法定代表人或委托代理人：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（签字）</w:t>
      </w:r>
    </w:p>
    <w:p w14:paraId="078702D0">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Times New Roman" w:cs="Times New Roman"/>
          <w:color w:val="000000"/>
          <w:sz w:val="24"/>
          <w:szCs w:val="24"/>
          <w:u w:val="single"/>
        </w:rPr>
        <w:t xml:space="preserve">                                        </w:t>
      </w:r>
    </w:p>
    <w:p w14:paraId="024A08D7">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邮政编码：</w:t>
      </w:r>
      <w:r>
        <w:rPr>
          <w:rFonts w:ascii="Times New Roman" w:hAnsi="Times New Roman" w:eastAsia="Times New Roman" w:cs="Times New Roman"/>
          <w:color w:val="000000"/>
          <w:sz w:val="24"/>
          <w:szCs w:val="24"/>
          <w:u w:val="single"/>
        </w:rPr>
        <w:t xml:space="preserve">                                        </w:t>
      </w:r>
    </w:p>
    <w:p w14:paraId="3CD97692">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Times New Roman" w:cs="Times New Roman"/>
          <w:color w:val="000000"/>
          <w:sz w:val="24"/>
          <w:szCs w:val="24"/>
          <w:u w:val="single"/>
        </w:rPr>
        <w:t xml:space="preserve">                                        </w:t>
      </w:r>
    </w:p>
    <w:p w14:paraId="31C50A75">
      <w:pPr>
        <w:spacing w:line="360" w:lineRule="auto"/>
        <w:ind w:right="150" w:firstLine="480"/>
        <w:jc w:val="left"/>
        <w:rPr>
          <w:rFonts w:ascii="Times New Roman" w:hAnsi="Times New Roman" w:eastAsia="仿宋_GB2312;仿宋" w:cs="Times New Roman"/>
          <w:color w:val="000000"/>
          <w:sz w:val="24"/>
          <w:szCs w:val="24"/>
          <w:u w:val="single"/>
        </w:rPr>
      </w:pPr>
    </w:p>
    <w:p w14:paraId="428FFA91">
      <w:pPr>
        <w:spacing w:line="360" w:lineRule="auto"/>
        <w:ind w:right="150" w:firstLine="480"/>
        <w:jc w:val="left"/>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w:t>
      </w:r>
      <w:r>
        <w:br w:type="page"/>
      </w:r>
    </w:p>
    <w:p w14:paraId="399156E9">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11</w:t>
      </w:r>
      <w:r>
        <w:rPr>
          <w:rFonts w:ascii="Times New Roman" w:hAnsi="Times New Roman" w:eastAsia="仿宋_GB2312;仿宋" w:cs="Times New Roman"/>
          <w:color w:val="000000"/>
          <w:sz w:val="24"/>
          <w:szCs w:val="24"/>
        </w:rPr>
        <w:t>：</w:t>
      </w:r>
    </w:p>
    <w:p w14:paraId="0ECBE795">
      <w:pPr>
        <w:numPr>
          <w:ilvl w:val="0"/>
          <w:numId w:val="0"/>
        </w:numPr>
        <w:spacing w:before="156" w:after="156" w:line="440" w:lineRule="exact"/>
        <w:jc w:val="center"/>
        <w:outlineLvl w:val="0"/>
        <w:rPr>
          <w:rFonts w:ascii="Times New Roman" w:hAnsi="Times New Roman" w:eastAsia="黑体" w:cs="Times New Roman"/>
          <w:color w:val="000000"/>
          <w:sz w:val="24"/>
          <w:szCs w:val="24"/>
        </w:rPr>
      </w:pPr>
      <w:r>
        <w:rPr>
          <w:rFonts w:eastAsia="黑体" w:cs="Times New Roman"/>
          <w:color w:val="000000"/>
          <w:sz w:val="24"/>
          <w:szCs w:val="24"/>
        </w:rPr>
        <w:t>11-1</w:t>
      </w:r>
      <w:r>
        <w:rPr>
          <w:rFonts w:ascii="Times New Roman" w:hAnsi="Times New Roman" w:eastAsia="黑体" w:cs="Times New Roman"/>
          <w:color w:val="000000"/>
          <w:sz w:val="24"/>
          <w:szCs w:val="24"/>
        </w:rPr>
        <w:t>：材料暂估价表</w:t>
      </w:r>
    </w:p>
    <w:tbl>
      <w:tblPr>
        <w:tblStyle w:val="20"/>
        <w:tblW w:w="9073" w:type="dxa"/>
        <w:tblInd w:w="-114" w:type="dxa"/>
        <w:tblLayout w:type="fixed"/>
        <w:tblCellMar>
          <w:top w:w="0" w:type="dxa"/>
          <w:left w:w="28" w:type="dxa"/>
          <w:bottom w:w="0" w:type="dxa"/>
          <w:right w:w="28" w:type="dxa"/>
        </w:tblCellMar>
      </w:tblPr>
      <w:tblGrid>
        <w:gridCol w:w="993"/>
        <w:gridCol w:w="1984"/>
        <w:gridCol w:w="851"/>
        <w:gridCol w:w="774"/>
        <w:gridCol w:w="1352"/>
        <w:gridCol w:w="1418"/>
        <w:gridCol w:w="1701"/>
      </w:tblGrid>
      <w:tr w14:paraId="6079840F">
        <w:tblPrEx>
          <w:tblCellMar>
            <w:top w:w="0" w:type="dxa"/>
            <w:left w:w="28" w:type="dxa"/>
            <w:bottom w:w="0" w:type="dxa"/>
            <w:right w:w="28" w:type="dxa"/>
          </w:tblCellMar>
        </w:tblPrEx>
        <w:tc>
          <w:tcPr>
            <w:tcW w:w="993" w:type="dxa"/>
            <w:tcBorders>
              <w:top w:val="single" w:color="000000" w:sz="12" w:space="0"/>
              <w:left w:val="single" w:color="000000" w:sz="12" w:space="0"/>
              <w:bottom w:val="double" w:color="000000" w:sz="6" w:space="0"/>
              <w:right w:val="single" w:color="000000" w:sz="6" w:space="0"/>
            </w:tcBorders>
          </w:tcPr>
          <w:p w14:paraId="0112EF9C">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984" w:type="dxa"/>
            <w:tcBorders>
              <w:top w:val="single" w:color="000000" w:sz="12" w:space="0"/>
              <w:left w:val="single" w:color="000000" w:sz="6" w:space="0"/>
              <w:bottom w:val="double" w:color="000000" w:sz="6" w:space="0"/>
              <w:right w:val="single" w:color="000000" w:sz="6" w:space="0"/>
            </w:tcBorders>
          </w:tcPr>
          <w:p w14:paraId="247076F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名称</w:t>
            </w:r>
          </w:p>
        </w:tc>
        <w:tc>
          <w:tcPr>
            <w:tcW w:w="851" w:type="dxa"/>
            <w:tcBorders>
              <w:top w:val="single" w:color="000000" w:sz="12" w:space="0"/>
              <w:left w:val="single" w:color="000000" w:sz="6" w:space="0"/>
              <w:bottom w:val="double" w:color="000000" w:sz="6" w:space="0"/>
              <w:right w:val="single" w:color="000000" w:sz="6" w:space="0"/>
            </w:tcBorders>
          </w:tcPr>
          <w:p w14:paraId="38D49BF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单位</w:t>
            </w:r>
          </w:p>
        </w:tc>
        <w:tc>
          <w:tcPr>
            <w:tcW w:w="774" w:type="dxa"/>
            <w:tcBorders>
              <w:top w:val="single" w:color="000000" w:sz="12" w:space="0"/>
              <w:left w:val="single" w:color="000000" w:sz="6" w:space="0"/>
              <w:bottom w:val="double" w:color="000000" w:sz="6" w:space="0"/>
              <w:right w:val="single" w:color="000000" w:sz="6" w:space="0"/>
            </w:tcBorders>
          </w:tcPr>
          <w:p w14:paraId="7C7961FE">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数量</w:t>
            </w:r>
          </w:p>
        </w:tc>
        <w:tc>
          <w:tcPr>
            <w:tcW w:w="1352" w:type="dxa"/>
            <w:tcBorders>
              <w:top w:val="single" w:color="000000" w:sz="12" w:space="0"/>
              <w:left w:val="single" w:color="000000" w:sz="6" w:space="0"/>
              <w:bottom w:val="double" w:color="000000" w:sz="6" w:space="0"/>
              <w:right w:val="single" w:color="000000" w:sz="6" w:space="0"/>
            </w:tcBorders>
          </w:tcPr>
          <w:p w14:paraId="02EB170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单价（元）</w:t>
            </w:r>
          </w:p>
        </w:tc>
        <w:tc>
          <w:tcPr>
            <w:tcW w:w="1418" w:type="dxa"/>
            <w:tcBorders>
              <w:top w:val="single" w:color="000000" w:sz="12" w:space="0"/>
              <w:left w:val="single" w:color="000000" w:sz="6" w:space="0"/>
              <w:bottom w:val="double" w:color="000000" w:sz="6" w:space="0"/>
              <w:right w:val="single" w:color="000000" w:sz="6" w:space="0"/>
            </w:tcBorders>
          </w:tcPr>
          <w:p w14:paraId="2976928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合价（元）</w:t>
            </w:r>
          </w:p>
        </w:tc>
        <w:tc>
          <w:tcPr>
            <w:tcW w:w="1701" w:type="dxa"/>
            <w:tcBorders>
              <w:top w:val="single" w:color="000000" w:sz="12" w:space="0"/>
              <w:left w:val="single" w:color="000000" w:sz="6" w:space="0"/>
              <w:bottom w:val="double" w:color="000000" w:sz="6" w:space="0"/>
              <w:right w:val="single" w:color="000000" w:sz="12" w:space="0"/>
            </w:tcBorders>
          </w:tcPr>
          <w:p w14:paraId="4ABEB412">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备注</w:t>
            </w:r>
          </w:p>
        </w:tc>
      </w:tr>
      <w:tr w14:paraId="6A399A59">
        <w:tblPrEx>
          <w:tblCellMar>
            <w:top w:w="0" w:type="dxa"/>
            <w:left w:w="28" w:type="dxa"/>
            <w:bottom w:w="0" w:type="dxa"/>
            <w:right w:w="28" w:type="dxa"/>
          </w:tblCellMar>
        </w:tblPrEx>
        <w:tc>
          <w:tcPr>
            <w:tcW w:w="993" w:type="dxa"/>
            <w:tcBorders>
              <w:top w:val="double" w:color="000000" w:sz="6" w:space="0"/>
              <w:left w:val="single" w:color="000000" w:sz="12" w:space="0"/>
              <w:bottom w:val="single" w:color="000000" w:sz="6" w:space="0"/>
              <w:right w:val="single" w:color="000000" w:sz="6" w:space="0"/>
            </w:tcBorders>
          </w:tcPr>
          <w:p w14:paraId="5B7E5A3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double" w:color="000000" w:sz="6" w:space="0"/>
              <w:left w:val="single" w:color="000000" w:sz="6" w:space="0"/>
              <w:bottom w:val="single" w:color="000000" w:sz="6" w:space="0"/>
              <w:right w:val="single" w:color="000000" w:sz="6" w:space="0"/>
            </w:tcBorders>
          </w:tcPr>
          <w:p w14:paraId="76C1E70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double" w:color="000000" w:sz="6" w:space="0"/>
              <w:left w:val="single" w:color="000000" w:sz="6" w:space="0"/>
              <w:bottom w:val="single" w:color="000000" w:sz="6" w:space="0"/>
              <w:right w:val="single" w:color="000000" w:sz="6" w:space="0"/>
            </w:tcBorders>
          </w:tcPr>
          <w:p w14:paraId="7839255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double" w:color="000000" w:sz="6" w:space="0"/>
              <w:left w:val="single" w:color="000000" w:sz="6" w:space="0"/>
              <w:bottom w:val="single" w:color="000000" w:sz="6" w:space="0"/>
              <w:right w:val="single" w:color="000000" w:sz="6" w:space="0"/>
            </w:tcBorders>
          </w:tcPr>
          <w:p w14:paraId="3ECA1AA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double" w:color="000000" w:sz="6" w:space="0"/>
              <w:left w:val="single" w:color="000000" w:sz="6" w:space="0"/>
              <w:bottom w:val="single" w:color="000000" w:sz="6" w:space="0"/>
              <w:right w:val="single" w:color="000000" w:sz="6" w:space="0"/>
            </w:tcBorders>
          </w:tcPr>
          <w:p w14:paraId="0012075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double" w:color="000000" w:sz="6" w:space="0"/>
              <w:left w:val="single" w:color="000000" w:sz="6" w:space="0"/>
              <w:bottom w:val="single" w:color="000000" w:sz="6" w:space="0"/>
              <w:right w:val="single" w:color="000000" w:sz="6" w:space="0"/>
            </w:tcBorders>
          </w:tcPr>
          <w:p w14:paraId="0DC7C93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double" w:color="000000" w:sz="6" w:space="0"/>
              <w:left w:val="single" w:color="000000" w:sz="6" w:space="0"/>
              <w:bottom w:val="single" w:color="000000" w:sz="6" w:space="0"/>
              <w:right w:val="single" w:color="000000" w:sz="12" w:space="0"/>
            </w:tcBorders>
          </w:tcPr>
          <w:p w14:paraId="215C41A6">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5ADA0356">
        <w:tblPrEx>
          <w:tblCellMar>
            <w:top w:w="0" w:type="dxa"/>
            <w:left w:w="28" w:type="dxa"/>
            <w:bottom w:w="0" w:type="dxa"/>
            <w:right w:w="28" w:type="dxa"/>
          </w:tblCellMar>
        </w:tblPrEx>
        <w:tc>
          <w:tcPr>
            <w:tcW w:w="993" w:type="dxa"/>
            <w:tcBorders>
              <w:left w:val="single" w:color="000000" w:sz="12" w:space="0"/>
              <w:bottom w:val="single" w:color="000000" w:sz="6" w:space="0"/>
              <w:right w:val="single" w:color="000000" w:sz="6" w:space="0"/>
            </w:tcBorders>
          </w:tcPr>
          <w:p w14:paraId="551AD8F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left w:val="single" w:color="000000" w:sz="6" w:space="0"/>
              <w:bottom w:val="single" w:color="000000" w:sz="6" w:space="0"/>
              <w:right w:val="single" w:color="000000" w:sz="6" w:space="0"/>
            </w:tcBorders>
          </w:tcPr>
          <w:p w14:paraId="266E23E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left w:val="single" w:color="000000" w:sz="6" w:space="0"/>
              <w:bottom w:val="single" w:color="000000" w:sz="6" w:space="0"/>
              <w:right w:val="single" w:color="000000" w:sz="6" w:space="0"/>
            </w:tcBorders>
          </w:tcPr>
          <w:p w14:paraId="28BB5FF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left w:val="single" w:color="000000" w:sz="6" w:space="0"/>
              <w:bottom w:val="single" w:color="000000" w:sz="6" w:space="0"/>
              <w:right w:val="single" w:color="000000" w:sz="6" w:space="0"/>
            </w:tcBorders>
          </w:tcPr>
          <w:p w14:paraId="12F4841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left w:val="single" w:color="000000" w:sz="6" w:space="0"/>
              <w:bottom w:val="single" w:color="000000" w:sz="6" w:space="0"/>
              <w:right w:val="single" w:color="000000" w:sz="6" w:space="0"/>
            </w:tcBorders>
          </w:tcPr>
          <w:p w14:paraId="2B4ACA5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left w:val="single" w:color="000000" w:sz="6" w:space="0"/>
              <w:bottom w:val="single" w:color="000000" w:sz="6" w:space="0"/>
              <w:right w:val="single" w:color="000000" w:sz="6" w:space="0"/>
            </w:tcBorders>
          </w:tcPr>
          <w:p w14:paraId="019BB4C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left w:val="single" w:color="000000" w:sz="6" w:space="0"/>
              <w:bottom w:val="single" w:color="000000" w:sz="6" w:space="0"/>
              <w:right w:val="single" w:color="000000" w:sz="12" w:space="0"/>
            </w:tcBorders>
          </w:tcPr>
          <w:p w14:paraId="22F96596">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858C4ED">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409FC2C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9DE649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550A17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46726A1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31FF51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DB8BC7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7174BB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46399070">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71C67F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69FFFA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522471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4D7CB7D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784B23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5C5970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0F62122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35F7381">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4E7F228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F23DAE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7968DDC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C7F2D0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42100AF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4E02C5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6D76CA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FA9C00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87D020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E0C56F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7574434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A824C6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410DCA7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AD9970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665166F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9C6932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53E44D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0814A0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D9BAE7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A0747A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0312CA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5A5E921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346E3C9">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5739640">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E646E4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7A1643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73548EA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A90783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086D586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8CD395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C23DDF8">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550AA316">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0413C8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A60D3D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F79ED5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41A513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4B49D3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35A365A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F48AF94">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7ECDC98">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60CDE6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388468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55F061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486B7DD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5206C2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3C94F0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79EA83DC">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A165ACD">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2DC9019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F1EDBB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CDDC38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DA75C2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0EFD3A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520A49C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0396C8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47FCF3AE">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8DCDDD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503D91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24154D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262403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0EF579D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3BD870E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9D109C3">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7514E9E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21166D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D8866F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DCA426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9D2EED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A25CC4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6F57986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163ABD87">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6946EDC">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9CD489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58E200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BE6C7B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FD31FA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0F6AD3F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3F6FC6D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02F1F200">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07D22A65">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100598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ED15B2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2BF7AD0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0F4B10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603E52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BC183A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4FA057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01833B4">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F30BB2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328C71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94766B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91D5E9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E264DF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6DF279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C5C63E9">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0DF50DC">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F4ADB6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483078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F80514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321EA5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233FDC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E32B1A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282B8AE">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5AD46851">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87DAF0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D7EEE8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5D326E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1A369B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A48D26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3AC3FE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A061B3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47CE90B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4692E33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40F2BB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4FAC92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006E657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347B881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2D24008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FB9AD53">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D6F9AB3">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DDD765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D049B1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7EA1810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ABF983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3BC3EA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F09240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8BA9B06">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F8CA6AE">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2267EF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C68B13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774346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2CBDCB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B7155A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A508B7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8A74FD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208EBD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C390DB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55CDB4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AFA33A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A3C6CF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C9A48C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9BBBF8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FEC0701">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7FD77FDC">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28AA983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D1D326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95E0A5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835A66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D792CE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5ED4BFB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E17396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56FC3909">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36E4DB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2B9301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C52AE3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AFDE8A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F16EDD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308190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E2F4774">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4DE0C366">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12" w:space="0"/>
              <w:right w:val="single" w:color="000000" w:sz="6" w:space="0"/>
            </w:tcBorders>
          </w:tcPr>
          <w:p w14:paraId="3C64170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12" w:space="0"/>
              <w:right w:val="single" w:color="000000" w:sz="6" w:space="0"/>
            </w:tcBorders>
          </w:tcPr>
          <w:p w14:paraId="2E90107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12" w:space="0"/>
              <w:right w:val="single" w:color="000000" w:sz="6" w:space="0"/>
            </w:tcBorders>
          </w:tcPr>
          <w:p w14:paraId="5014927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12" w:space="0"/>
              <w:right w:val="single" w:color="000000" w:sz="6" w:space="0"/>
            </w:tcBorders>
          </w:tcPr>
          <w:p w14:paraId="3F67516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12" w:space="0"/>
              <w:right w:val="single" w:color="000000" w:sz="6" w:space="0"/>
            </w:tcBorders>
          </w:tcPr>
          <w:p w14:paraId="43373BD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12" w:space="0"/>
              <w:right w:val="single" w:color="000000" w:sz="6" w:space="0"/>
            </w:tcBorders>
          </w:tcPr>
          <w:p w14:paraId="5F99979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12" w:space="0"/>
              <w:right w:val="single" w:color="000000" w:sz="12" w:space="0"/>
            </w:tcBorders>
          </w:tcPr>
          <w:p w14:paraId="52DE132E">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bl>
    <w:p w14:paraId="7A778598">
      <w:pPr>
        <w:spacing w:before="156" w:after="156" w:line="440" w:lineRule="exact"/>
        <w:rPr>
          <w:rFonts w:ascii="Times New Roman" w:hAnsi="Times New Roman" w:eastAsia="黑体" w:cs="Times New Roman"/>
          <w:color w:val="000000"/>
          <w:sz w:val="24"/>
          <w:szCs w:val="24"/>
        </w:rPr>
      </w:pPr>
    </w:p>
    <w:p w14:paraId="29ED9E8B">
      <w:pPr>
        <w:spacing w:before="156" w:after="156" w:line="440" w:lineRule="exact"/>
        <w:jc w:val="center"/>
        <w:rPr>
          <w:rFonts w:ascii="Times New Roman" w:hAnsi="Times New Roman" w:eastAsia="黑体" w:cs="Times New Roman"/>
          <w:color w:val="000000"/>
          <w:sz w:val="24"/>
          <w:szCs w:val="24"/>
        </w:rPr>
      </w:pPr>
    </w:p>
    <w:p w14:paraId="5CD79007">
      <w:pPr>
        <w:spacing w:before="156" w:after="156" w:line="440" w:lineRule="exact"/>
        <w:jc w:val="center"/>
        <w:rPr>
          <w:rFonts w:ascii="Times New Roman" w:hAnsi="Times New Roman" w:eastAsia="黑体" w:cs="Times New Roman"/>
          <w:color w:val="000000"/>
          <w:sz w:val="24"/>
          <w:szCs w:val="24"/>
        </w:rPr>
      </w:pPr>
    </w:p>
    <w:p w14:paraId="54778E0D">
      <w:pPr>
        <w:spacing w:before="156" w:after="156" w:line="440" w:lineRule="exact"/>
        <w:jc w:val="center"/>
        <w:rPr>
          <w:rFonts w:ascii="Times New Roman" w:hAnsi="Times New Roman" w:eastAsia="黑体" w:cs="Times New Roman"/>
          <w:color w:val="000000"/>
          <w:sz w:val="24"/>
          <w:szCs w:val="24"/>
        </w:rPr>
      </w:pPr>
    </w:p>
    <w:p w14:paraId="4FED1C9D">
      <w:pPr>
        <w:spacing w:before="156" w:after="156" w:line="440" w:lineRule="exact"/>
        <w:jc w:val="center"/>
        <w:rPr>
          <w:rFonts w:ascii="Times New Roman" w:hAnsi="Times New Roman" w:eastAsia="黑体" w:cs="Times New Roman"/>
          <w:color w:val="000000"/>
          <w:sz w:val="24"/>
          <w:szCs w:val="24"/>
        </w:rPr>
      </w:pPr>
    </w:p>
    <w:p w14:paraId="1B9B028B">
      <w:pPr>
        <w:spacing w:before="156" w:after="156" w:line="440" w:lineRule="exact"/>
        <w:jc w:val="center"/>
        <w:rPr>
          <w:rFonts w:ascii="Times New Roman" w:hAnsi="Times New Roman" w:eastAsia="黑体" w:cs="Times New Roman"/>
          <w:color w:val="000000"/>
          <w:sz w:val="24"/>
          <w:szCs w:val="24"/>
        </w:rPr>
      </w:pPr>
      <w:r>
        <w:rPr>
          <w:rFonts w:eastAsia="黑体" w:cs="Times New Roman"/>
          <w:color w:val="000000"/>
          <w:sz w:val="24"/>
          <w:szCs w:val="24"/>
        </w:rPr>
        <w:t>11-2</w:t>
      </w:r>
      <w:r>
        <w:rPr>
          <w:rFonts w:ascii="Times New Roman" w:hAnsi="Times New Roman" w:eastAsia="黑体" w:cs="Times New Roman"/>
          <w:color w:val="000000"/>
          <w:sz w:val="24"/>
          <w:szCs w:val="24"/>
        </w:rPr>
        <w:t>：工程设备暂估价表</w:t>
      </w:r>
    </w:p>
    <w:tbl>
      <w:tblPr>
        <w:tblStyle w:val="20"/>
        <w:tblW w:w="9073" w:type="dxa"/>
        <w:tblInd w:w="-114" w:type="dxa"/>
        <w:tblLayout w:type="fixed"/>
        <w:tblCellMar>
          <w:top w:w="0" w:type="dxa"/>
          <w:left w:w="28" w:type="dxa"/>
          <w:bottom w:w="0" w:type="dxa"/>
          <w:right w:w="28" w:type="dxa"/>
        </w:tblCellMar>
      </w:tblPr>
      <w:tblGrid>
        <w:gridCol w:w="993"/>
        <w:gridCol w:w="1984"/>
        <w:gridCol w:w="851"/>
        <w:gridCol w:w="774"/>
        <w:gridCol w:w="1352"/>
        <w:gridCol w:w="1418"/>
        <w:gridCol w:w="1701"/>
      </w:tblGrid>
      <w:tr w14:paraId="556A2203">
        <w:tblPrEx>
          <w:tblCellMar>
            <w:top w:w="0" w:type="dxa"/>
            <w:left w:w="28" w:type="dxa"/>
            <w:bottom w:w="0" w:type="dxa"/>
            <w:right w:w="28" w:type="dxa"/>
          </w:tblCellMar>
        </w:tblPrEx>
        <w:tc>
          <w:tcPr>
            <w:tcW w:w="993" w:type="dxa"/>
            <w:tcBorders>
              <w:top w:val="single" w:color="000000" w:sz="12" w:space="0"/>
              <w:left w:val="single" w:color="000000" w:sz="12" w:space="0"/>
              <w:bottom w:val="double" w:color="000000" w:sz="6" w:space="0"/>
              <w:right w:val="single" w:color="000000" w:sz="6" w:space="0"/>
            </w:tcBorders>
          </w:tcPr>
          <w:p w14:paraId="3A1E51A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984" w:type="dxa"/>
            <w:tcBorders>
              <w:top w:val="single" w:color="000000" w:sz="12" w:space="0"/>
              <w:left w:val="single" w:color="000000" w:sz="6" w:space="0"/>
              <w:bottom w:val="double" w:color="000000" w:sz="6" w:space="0"/>
              <w:right w:val="single" w:color="000000" w:sz="6" w:space="0"/>
            </w:tcBorders>
          </w:tcPr>
          <w:p w14:paraId="5F721A57">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名称</w:t>
            </w:r>
          </w:p>
        </w:tc>
        <w:tc>
          <w:tcPr>
            <w:tcW w:w="851" w:type="dxa"/>
            <w:tcBorders>
              <w:top w:val="single" w:color="000000" w:sz="12" w:space="0"/>
              <w:left w:val="single" w:color="000000" w:sz="6" w:space="0"/>
              <w:bottom w:val="double" w:color="000000" w:sz="6" w:space="0"/>
              <w:right w:val="single" w:color="000000" w:sz="6" w:space="0"/>
            </w:tcBorders>
          </w:tcPr>
          <w:p w14:paraId="54F5274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单位</w:t>
            </w:r>
          </w:p>
        </w:tc>
        <w:tc>
          <w:tcPr>
            <w:tcW w:w="774" w:type="dxa"/>
            <w:tcBorders>
              <w:top w:val="single" w:color="000000" w:sz="12" w:space="0"/>
              <w:left w:val="single" w:color="000000" w:sz="6" w:space="0"/>
              <w:bottom w:val="double" w:color="000000" w:sz="6" w:space="0"/>
              <w:right w:val="single" w:color="000000" w:sz="6" w:space="0"/>
            </w:tcBorders>
          </w:tcPr>
          <w:p w14:paraId="4270A34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数量</w:t>
            </w:r>
          </w:p>
        </w:tc>
        <w:tc>
          <w:tcPr>
            <w:tcW w:w="1352" w:type="dxa"/>
            <w:tcBorders>
              <w:top w:val="single" w:color="000000" w:sz="12" w:space="0"/>
              <w:left w:val="single" w:color="000000" w:sz="6" w:space="0"/>
              <w:bottom w:val="double" w:color="000000" w:sz="6" w:space="0"/>
              <w:right w:val="single" w:color="000000" w:sz="6" w:space="0"/>
            </w:tcBorders>
          </w:tcPr>
          <w:p w14:paraId="1857B74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单价（元）</w:t>
            </w:r>
          </w:p>
        </w:tc>
        <w:tc>
          <w:tcPr>
            <w:tcW w:w="1418" w:type="dxa"/>
            <w:tcBorders>
              <w:top w:val="single" w:color="000000" w:sz="12" w:space="0"/>
              <w:left w:val="single" w:color="000000" w:sz="6" w:space="0"/>
              <w:bottom w:val="double" w:color="000000" w:sz="6" w:space="0"/>
              <w:right w:val="single" w:color="000000" w:sz="6" w:space="0"/>
            </w:tcBorders>
          </w:tcPr>
          <w:p w14:paraId="45C4A1D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合价（元）</w:t>
            </w:r>
          </w:p>
        </w:tc>
        <w:tc>
          <w:tcPr>
            <w:tcW w:w="1701" w:type="dxa"/>
            <w:tcBorders>
              <w:top w:val="single" w:color="000000" w:sz="12" w:space="0"/>
              <w:left w:val="single" w:color="000000" w:sz="6" w:space="0"/>
              <w:bottom w:val="double" w:color="000000" w:sz="6" w:space="0"/>
              <w:right w:val="single" w:color="000000" w:sz="12" w:space="0"/>
            </w:tcBorders>
          </w:tcPr>
          <w:p w14:paraId="7D94997A">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备注</w:t>
            </w:r>
          </w:p>
        </w:tc>
      </w:tr>
      <w:tr w14:paraId="257E34D9">
        <w:tblPrEx>
          <w:tblCellMar>
            <w:top w:w="0" w:type="dxa"/>
            <w:left w:w="28" w:type="dxa"/>
            <w:bottom w:w="0" w:type="dxa"/>
            <w:right w:w="28" w:type="dxa"/>
          </w:tblCellMar>
        </w:tblPrEx>
        <w:tc>
          <w:tcPr>
            <w:tcW w:w="993" w:type="dxa"/>
            <w:tcBorders>
              <w:top w:val="double" w:color="000000" w:sz="6" w:space="0"/>
              <w:left w:val="single" w:color="000000" w:sz="12" w:space="0"/>
              <w:bottom w:val="single" w:color="000000" w:sz="6" w:space="0"/>
              <w:right w:val="single" w:color="000000" w:sz="6" w:space="0"/>
            </w:tcBorders>
          </w:tcPr>
          <w:p w14:paraId="15FDBBB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double" w:color="000000" w:sz="6" w:space="0"/>
              <w:left w:val="single" w:color="000000" w:sz="6" w:space="0"/>
              <w:bottom w:val="single" w:color="000000" w:sz="6" w:space="0"/>
              <w:right w:val="single" w:color="000000" w:sz="6" w:space="0"/>
            </w:tcBorders>
          </w:tcPr>
          <w:p w14:paraId="6184592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double" w:color="000000" w:sz="6" w:space="0"/>
              <w:left w:val="single" w:color="000000" w:sz="6" w:space="0"/>
              <w:bottom w:val="single" w:color="000000" w:sz="6" w:space="0"/>
              <w:right w:val="single" w:color="000000" w:sz="6" w:space="0"/>
            </w:tcBorders>
          </w:tcPr>
          <w:p w14:paraId="07DDDA1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double" w:color="000000" w:sz="6" w:space="0"/>
              <w:left w:val="single" w:color="000000" w:sz="6" w:space="0"/>
              <w:bottom w:val="single" w:color="000000" w:sz="6" w:space="0"/>
              <w:right w:val="single" w:color="000000" w:sz="6" w:space="0"/>
            </w:tcBorders>
          </w:tcPr>
          <w:p w14:paraId="4B8B93D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double" w:color="000000" w:sz="6" w:space="0"/>
              <w:left w:val="single" w:color="000000" w:sz="6" w:space="0"/>
              <w:bottom w:val="single" w:color="000000" w:sz="6" w:space="0"/>
              <w:right w:val="single" w:color="000000" w:sz="6" w:space="0"/>
            </w:tcBorders>
          </w:tcPr>
          <w:p w14:paraId="683B6D4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double" w:color="000000" w:sz="6" w:space="0"/>
              <w:left w:val="single" w:color="000000" w:sz="6" w:space="0"/>
              <w:bottom w:val="single" w:color="000000" w:sz="6" w:space="0"/>
              <w:right w:val="single" w:color="000000" w:sz="6" w:space="0"/>
            </w:tcBorders>
          </w:tcPr>
          <w:p w14:paraId="0365F24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double" w:color="000000" w:sz="6" w:space="0"/>
              <w:left w:val="single" w:color="000000" w:sz="6" w:space="0"/>
              <w:bottom w:val="single" w:color="000000" w:sz="6" w:space="0"/>
              <w:right w:val="single" w:color="000000" w:sz="12" w:space="0"/>
            </w:tcBorders>
          </w:tcPr>
          <w:p w14:paraId="78747A2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70D7D05">
        <w:tblPrEx>
          <w:tblCellMar>
            <w:top w:w="0" w:type="dxa"/>
            <w:left w:w="28" w:type="dxa"/>
            <w:bottom w:w="0" w:type="dxa"/>
            <w:right w:w="28" w:type="dxa"/>
          </w:tblCellMar>
        </w:tblPrEx>
        <w:tc>
          <w:tcPr>
            <w:tcW w:w="993" w:type="dxa"/>
            <w:tcBorders>
              <w:left w:val="single" w:color="000000" w:sz="12" w:space="0"/>
              <w:bottom w:val="single" w:color="000000" w:sz="6" w:space="0"/>
              <w:right w:val="single" w:color="000000" w:sz="6" w:space="0"/>
            </w:tcBorders>
          </w:tcPr>
          <w:p w14:paraId="69C603F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left w:val="single" w:color="000000" w:sz="6" w:space="0"/>
              <w:bottom w:val="single" w:color="000000" w:sz="6" w:space="0"/>
              <w:right w:val="single" w:color="000000" w:sz="6" w:space="0"/>
            </w:tcBorders>
          </w:tcPr>
          <w:p w14:paraId="1AE06EA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left w:val="single" w:color="000000" w:sz="6" w:space="0"/>
              <w:bottom w:val="single" w:color="000000" w:sz="6" w:space="0"/>
              <w:right w:val="single" w:color="000000" w:sz="6" w:space="0"/>
            </w:tcBorders>
          </w:tcPr>
          <w:p w14:paraId="5B49039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left w:val="single" w:color="000000" w:sz="6" w:space="0"/>
              <w:bottom w:val="single" w:color="000000" w:sz="6" w:space="0"/>
              <w:right w:val="single" w:color="000000" w:sz="6" w:space="0"/>
            </w:tcBorders>
          </w:tcPr>
          <w:p w14:paraId="38BDB52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left w:val="single" w:color="000000" w:sz="6" w:space="0"/>
              <w:bottom w:val="single" w:color="000000" w:sz="6" w:space="0"/>
              <w:right w:val="single" w:color="000000" w:sz="6" w:space="0"/>
            </w:tcBorders>
          </w:tcPr>
          <w:p w14:paraId="1FCECB0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left w:val="single" w:color="000000" w:sz="6" w:space="0"/>
              <w:bottom w:val="single" w:color="000000" w:sz="6" w:space="0"/>
              <w:right w:val="single" w:color="000000" w:sz="6" w:space="0"/>
            </w:tcBorders>
          </w:tcPr>
          <w:p w14:paraId="2BA11CE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left w:val="single" w:color="000000" w:sz="6" w:space="0"/>
              <w:bottom w:val="single" w:color="000000" w:sz="6" w:space="0"/>
              <w:right w:val="single" w:color="000000" w:sz="12" w:space="0"/>
            </w:tcBorders>
          </w:tcPr>
          <w:p w14:paraId="6C85E0EE">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0C5696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B2FB0F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E29EEC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5307B6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BE24A1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379E845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9B8CFD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79ACA4A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18D0D74">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98D5EF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83ECB9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C703A2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40A2D95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E4CF44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345E387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FDC10AD">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4CB5A43">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8CBF6E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CEB006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5EFB79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DFA380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C3C651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BE4D68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35028FA">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9D5B7C8">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9F87FD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F30798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19AF73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C33366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066E60F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6C84003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BEAB53B">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58D366FB">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589399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D1C5C2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A214D4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234421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13AA47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6D4D7A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A7D046D">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B2582FF">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4FCE04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4593F1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6929FE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DAB519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879B7E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D342B3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91D750A">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8DD8048">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2992BD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AD6369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C197B4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7E1A72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E2641F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F85F33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0328901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037BEFE">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C3E87E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2425C95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F4AC43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18B5F5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5ED534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BF434E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778EC88F">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F288A13">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31003F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1A8591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7EFBFD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9122DA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C96010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691EDC6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CB67C07">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19EF67B">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4092C50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EDDCF2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966AA5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668B02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99FEF3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19B46E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1653AA9">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3F7624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493975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843EF7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C36BAB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CA4D6F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7CAFA6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E234E0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68B24396">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7B91ABC9">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F59891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131D60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F07C29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BE0FCA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597B92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C72F82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75E69C0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3A53E13">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B63E08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6DE335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DE73CB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F9468F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DFF72F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6BB9290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33BC718">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8BDAA7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0E1650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E0D2C5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AB311F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97F8D9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157F71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35122E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3CA9C9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70A534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508C8A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192BFE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9FA07B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6638DC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D03711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6384A7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0E56D7A">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901AEF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FE8E71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036BCA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835893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6524E1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E6E2FC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F7A32F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138056A9">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09D86FF">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0A8570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000B1C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D43823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0FF439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3DE0C32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BD967B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6928B02A">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73FA7BCD">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CBB6B4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BC4359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BD4617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214271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272228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24F6A68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CB3E39F">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38B355C">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7EF87A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57C460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C246ED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082E36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43AA152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8CD640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0805EA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B4F40BB">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E0E87D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B1B75A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C21CA1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F82F63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590C1B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50D3161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1D346350">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70B9231E">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23E18BC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417861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231A51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21D633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2A0B64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294AFD0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01C273A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8F6127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F68980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100E2B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9225DA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F52813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4E24093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ABCC11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DC9F694">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5404230">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12" w:space="0"/>
              <w:right w:val="single" w:color="000000" w:sz="6" w:space="0"/>
            </w:tcBorders>
          </w:tcPr>
          <w:p w14:paraId="7ACC143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12" w:space="0"/>
              <w:right w:val="single" w:color="000000" w:sz="6" w:space="0"/>
            </w:tcBorders>
          </w:tcPr>
          <w:p w14:paraId="38D69A5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12" w:space="0"/>
              <w:right w:val="single" w:color="000000" w:sz="6" w:space="0"/>
            </w:tcBorders>
          </w:tcPr>
          <w:p w14:paraId="28DF734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12" w:space="0"/>
              <w:right w:val="single" w:color="000000" w:sz="6" w:space="0"/>
            </w:tcBorders>
          </w:tcPr>
          <w:p w14:paraId="3EB2FF3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12" w:space="0"/>
              <w:right w:val="single" w:color="000000" w:sz="6" w:space="0"/>
            </w:tcBorders>
          </w:tcPr>
          <w:p w14:paraId="5B1D994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12" w:space="0"/>
              <w:right w:val="single" w:color="000000" w:sz="6" w:space="0"/>
            </w:tcBorders>
          </w:tcPr>
          <w:p w14:paraId="7DECED9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12" w:space="0"/>
              <w:right w:val="single" w:color="000000" w:sz="12" w:space="0"/>
            </w:tcBorders>
          </w:tcPr>
          <w:p w14:paraId="12D1C58F">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bl>
    <w:p w14:paraId="5DF003D1">
      <w:pPr>
        <w:spacing w:line="440" w:lineRule="exact"/>
        <w:rPr>
          <w:rFonts w:ascii="Times New Roman" w:hAnsi="Times New Roman" w:eastAsia="仿宋_GB2312;仿宋" w:cs="Times New Roman"/>
          <w:color w:val="000000"/>
          <w:sz w:val="24"/>
          <w:szCs w:val="24"/>
        </w:rPr>
      </w:pPr>
      <w:r>
        <w:br w:type="page"/>
      </w:r>
    </w:p>
    <w:p w14:paraId="6EBEAAEB">
      <w:pPr>
        <w:spacing w:before="156" w:after="156" w:line="440" w:lineRule="exact"/>
        <w:jc w:val="center"/>
        <w:rPr>
          <w:rFonts w:ascii="Times New Roman" w:hAnsi="Times New Roman" w:eastAsia="黑体" w:cs="Times New Roman"/>
          <w:color w:val="000000"/>
          <w:sz w:val="24"/>
          <w:szCs w:val="24"/>
        </w:rPr>
      </w:pPr>
      <w:r>
        <w:rPr>
          <w:rFonts w:eastAsia="黑体" w:cs="Times New Roman"/>
          <w:color w:val="000000"/>
          <w:sz w:val="24"/>
          <w:szCs w:val="24"/>
        </w:rPr>
        <w:t>11-3</w:t>
      </w:r>
      <w:r>
        <w:rPr>
          <w:rFonts w:ascii="Times New Roman" w:hAnsi="Times New Roman" w:eastAsia="黑体" w:cs="Times New Roman"/>
          <w:color w:val="000000"/>
          <w:sz w:val="24"/>
          <w:szCs w:val="24"/>
        </w:rPr>
        <w:t>：专业工程暂估价表</w:t>
      </w:r>
    </w:p>
    <w:tbl>
      <w:tblPr>
        <w:tblStyle w:val="20"/>
        <w:tblW w:w="8817" w:type="dxa"/>
        <w:tblInd w:w="0" w:type="dxa"/>
        <w:tblLayout w:type="fixed"/>
        <w:tblCellMar>
          <w:top w:w="0" w:type="dxa"/>
          <w:left w:w="28" w:type="dxa"/>
          <w:bottom w:w="0" w:type="dxa"/>
          <w:right w:w="28" w:type="dxa"/>
        </w:tblCellMar>
      </w:tblPr>
      <w:tblGrid>
        <w:gridCol w:w="879"/>
        <w:gridCol w:w="1984"/>
        <w:gridCol w:w="4678"/>
        <w:gridCol w:w="1276"/>
      </w:tblGrid>
      <w:tr w14:paraId="1A910548">
        <w:tblPrEx>
          <w:tblCellMar>
            <w:top w:w="0" w:type="dxa"/>
            <w:left w:w="28" w:type="dxa"/>
            <w:bottom w:w="0" w:type="dxa"/>
            <w:right w:w="28" w:type="dxa"/>
          </w:tblCellMar>
        </w:tblPrEx>
        <w:tc>
          <w:tcPr>
            <w:tcW w:w="879" w:type="dxa"/>
            <w:tcBorders>
              <w:top w:val="single" w:color="000000" w:sz="12" w:space="0"/>
              <w:left w:val="single" w:color="000000" w:sz="12" w:space="0"/>
              <w:bottom w:val="double" w:color="000000" w:sz="6" w:space="0"/>
              <w:right w:val="single" w:color="000000" w:sz="6" w:space="0"/>
            </w:tcBorders>
          </w:tcPr>
          <w:p w14:paraId="5AF77D7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984" w:type="dxa"/>
            <w:tcBorders>
              <w:top w:val="single" w:color="000000" w:sz="12" w:space="0"/>
              <w:left w:val="single" w:color="000000" w:sz="6" w:space="0"/>
              <w:bottom w:val="double" w:color="000000" w:sz="6" w:space="0"/>
              <w:right w:val="single" w:color="000000" w:sz="6" w:space="0"/>
            </w:tcBorders>
          </w:tcPr>
          <w:p w14:paraId="4F0B0461">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专业工程名称</w:t>
            </w:r>
          </w:p>
        </w:tc>
        <w:tc>
          <w:tcPr>
            <w:tcW w:w="4678" w:type="dxa"/>
            <w:tcBorders>
              <w:top w:val="single" w:color="000000" w:sz="12" w:space="0"/>
              <w:left w:val="single" w:color="000000" w:sz="6" w:space="0"/>
              <w:bottom w:val="double" w:color="000000" w:sz="6" w:space="0"/>
              <w:right w:val="single" w:color="000000" w:sz="6" w:space="0"/>
            </w:tcBorders>
          </w:tcPr>
          <w:p w14:paraId="6E9039E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工程内容</w:t>
            </w:r>
          </w:p>
        </w:tc>
        <w:tc>
          <w:tcPr>
            <w:tcW w:w="1276" w:type="dxa"/>
            <w:tcBorders>
              <w:top w:val="single" w:color="000000" w:sz="12" w:space="0"/>
              <w:left w:val="single" w:color="000000" w:sz="6" w:space="0"/>
              <w:bottom w:val="double" w:color="000000" w:sz="6" w:space="0"/>
              <w:right w:val="single" w:color="000000" w:sz="12" w:space="0"/>
            </w:tcBorders>
          </w:tcPr>
          <w:p w14:paraId="009639D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金额</w:t>
            </w:r>
          </w:p>
        </w:tc>
      </w:tr>
      <w:tr w14:paraId="572B9CBB">
        <w:tblPrEx>
          <w:tblCellMar>
            <w:top w:w="0" w:type="dxa"/>
            <w:left w:w="28" w:type="dxa"/>
            <w:bottom w:w="0" w:type="dxa"/>
            <w:right w:w="28" w:type="dxa"/>
          </w:tblCellMar>
        </w:tblPrEx>
        <w:tc>
          <w:tcPr>
            <w:tcW w:w="879" w:type="dxa"/>
            <w:tcBorders>
              <w:top w:val="double" w:color="000000" w:sz="6" w:space="0"/>
              <w:left w:val="single" w:color="000000" w:sz="12" w:space="0"/>
              <w:bottom w:val="single" w:color="000000" w:sz="6" w:space="0"/>
              <w:right w:val="single" w:color="000000" w:sz="6" w:space="0"/>
            </w:tcBorders>
          </w:tcPr>
          <w:p w14:paraId="1A895539">
            <w:pPr>
              <w:pStyle w:val="8"/>
              <w:keepNext/>
              <w:snapToGrid w:val="0"/>
              <w:spacing w:before="0" w:after="0" w:line="440" w:lineRule="exact"/>
              <w:ind w:left="63" w:right="63" w:firstLine="0"/>
              <w:rPr>
                <w:rFonts w:eastAsia="仿宋_GB2312;仿宋"/>
                <w:color w:val="000000"/>
                <w:kern w:val="2"/>
                <w:sz w:val="18"/>
                <w:szCs w:val="18"/>
                <w:lang w:val="en-US" w:eastAsia="zh-CN"/>
              </w:rPr>
            </w:pPr>
          </w:p>
        </w:tc>
        <w:tc>
          <w:tcPr>
            <w:tcW w:w="1984" w:type="dxa"/>
            <w:tcBorders>
              <w:top w:val="double" w:color="000000" w:sz="6" w:space="0"/>
              <w:left w:val="single" w:color="000000" w:sz="6" w:space="0"/>
              <w:bottom w:val="single" w:color="000000" w:sz="6" w:space="0"/>
              <w:right w:val="single" w:color="000000" w:sz="6" w:space="0"/>
            </w:tcBorders>
          </w:tcPr>
          <w:p w14:paraId="7E8517DC">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double" w:color="000000" w:sz="6" w:space="0"/>
              <w:left w:val="single" w:color="000000" w:sz="6" w:space="0"/>
              <w:bottom w:val="single" w:color="000000" w:sz="6" w:space="0"/>
              <w:right w:val="single" w:color="000000" w:sz="6" w:space="0"/>
            </w:tcBorders>
          </w:tcPr>
          <w:p w14:paraId="6D0F1FB6">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double" w:color="000000" w:sz="6" w:space="0"/>
              <w:left w:val="single" w:color="000000" w:sz="6" w:space="0"/>
              <w:bottom w:val="single" w:color="000000" w:sz="6" w:space="0"/>
              <w:right w:val="single" w:color="000000" w:sz="12" w:space="0"/>
            </w:tcBorders>
          </w:tcPr>
          <w:p w14:paraId="486393EE">
            <w:pPr>
              <w:pStyle w:val="8"/>
              <w:keepNext/>
              <w:snapToGrid w:val="0"/>
              <w:spacing w:before="0" w:after="0" w:line="440" w:lineRule="exact"/>
              <w:ind w:left="63" w:right="63" w:firstLine="0"/>
              <w:rPr>
                <w:color w:val="000000"/>
                <w:kern w:val="2"/>
                <w:sz w:val="18"/>
                <w:szCs w:val="18"/>
                <w:lang w:val="en-US" w:eastAsia="zh-CN"/>
              </w:rPr>
            </w:pPr>
          </w:p>
        </w:tc>
      </w:tr>
      <w:tr w14:paraId="3B4D7285">
        <w:tblPrEx>
          <w:tblCellMar>
            <w:top w:w="0" w:type="dxa"/>
            <w:left w:w="28" w:type="dxa"/>
            <w:bottom w:w="0" w:type="dxa"/>
            <w:right w:w="28" w:type="dxa"/>
          </w:tblCellMar>
        </w:tblPrEx>
        <w:tc>
          <w:tcPr>
            <w:tcW w:w="879" w:type="dxa"/>
            <w:tcBorders>
              <w:left w:val="single" w:color="000000" w:sz="12" w:space="0"/>
              <w:bottom w:val="single" w:color="000000" w:sz="6" w:space="0"/>
              <w:right w:val="single" w:color="000000" w:sz="6" w:space="0"/>
            </w:tcBorders>
          </w:tcPr>
          <w:p w14:paraId="06E98911">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left w:val="single" w:color="000000" w:sz="6" w:space="0"/>
              <w:bottom w:val="single" w:color="000000" w:sz="6" w:space="0"/>
              <w:right w:val="single" w:color="000000" w:sz="6" w:space="0"/>
            </w:tcBorders>
          </w:tcPr>
          <w:p w14:paraId="5F4A37FF">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left w:val="single" w:color="000000" w:sz="6" w:space="0"/>
              <w:bottom w:val="single" w:color="000000" w:sz="6" w:space="0"/>
              <w:right w:val="single" w:color="000000" w:sz="6" w:space="0"/>
            </w:tcBorders>
          </w:tcPr>
          <w:p w14:paraId="0F735508">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left w:val="single" w:color="000000" w:sz="6" w:space="0"/>
              <w:bottom w:val="single" w:color="000000" w:sz="6" w:space="0"/>
              <w:right w:val="single" w:color="000000" w:sz="12" w:space="0"/>
            </w:tcBorders>
          </w:tcPr>
          <w:p w14:paraId="1D7D6247">
            <w:pPr>
              <w:pStyle w:val="8"/>
              <w:keepNext/>
              <w:snapToGrid w:val="0"/>
              <w:spacing w:before="0" w:after="0" w:line="440" w:lineRule="exact"/>
              <w:ind w:left="63" w:right="63" w:firstLine="0"/>
              <w:rPr>
                <w:color w:val="000000"/>
                <w:kern w:val="2"/>
                <w:sz w:val="18"/>
                <w:szCs w:val="18"/>
                <w:lang w:val="en-US" w:eastAsia="zh-CN"/>
              </w:rPr>
            </w:pPr>
          </w:p>
        </w:tc>
      </w:tr>
      <w:tr w14:paraId="1A56C5AA">
        <w:tblPrEx>
          <w:tblCellMar>
            <w:top w:w="0" w:type="dxa"/>
            <w:left w:w="28" w:type="dxa"/>
            <w:bottom w:w="0" w:type="dxa"/>
            <w:right w:w="28" w:type="dxa"/>
          </w:tblCellMar>
        </w:tblPrEx>
        <w:tc>
          <w:tcPr>
            <w:tcW w:w="879" w:type="dxa"/>
            <w:tcBorders>
              <w:left w:val="single" w:color="000000" w:sz="12" w:space="0"/>
              <w:bottom w:val="single" w:color="000000" w:sz="6" w:space="0"/>
              <w:right w:val="single" w:color="000000" w:sz="6" w:space="0"/>
            </w:tcBorders>
          </w:tcPr>
          <w:p w14:paraId="19D1F224">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left w:val="single" w:color="000000" w:sz="6" w:space="0"/>
              <w:bottom w:val="single" w:color="000000" w:sz="6" w:space="0"/>
              <w:right w:val="single" w:color="000000" w:sz="6" w:space="0"/>
            </w:tcBorders>
          </w:tcPr>
          <w:p w14:paraId="5C7DDD13">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left w:val="single" w:color="000000" w:sz="6" w:space="0"/>
              <w:bottom w:val="single" w:color="000000" w:sz="6" w:space="0"/>
              <w:right w:val="single" w:color="000000" w:sz="6" w:space="0"/>
            </w:tcBorders>
          </w:tcPr>
          <w:p w14:paraId="7D24DFE7">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left w:val="single" w:color="000000" w:sz="6" w:space="0"/>
              <w:bottom w:val="single" w:color="000000" w:sz="6" w:space="0"/>
              <w:right w:val="single" w:color="000000" w:sz="12" w:space="0"/>
            </w:tcBorders>
          </w:tcPr>
          <w:p w14:paraId="173DB25B">
            <w:pPr>
              <w:pStyle w:val="8"/>
              <w:keepNext/>
              <w:snapToGrid w:val="0"/>
              <w:spacing w:before="0" w:after="0" w:line="440" w:lineRule="exact"/>
              <w:ind w:left="63" w:right="63" w:firstLine="0"/>
              <w:rPr>
                <w:color w:val="000000"/>
                <w:kern w:val="2"/>
                <w:sz w:val="18"/>
                <w:szCs w:val="18"/>
                <w:lang w:val="en-US" w:eastAsia="zh-CN"/>
              </w:rPr>
            </w:pPr>
          </w:p>
        </w:tc>
      </w:tr>
      <w:tr w14:paraId="726C42D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13BC21A">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C4CD40F">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6DDD532">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42881C50">
            <w:pPr>
              <w:pStyle w:val="8"/>
              <w:keepNext/>
              <w:snapToGrid w:val="0"/>
              <w:spacing w:before="0" w:after="0" w:line="440" w:lineRule="exact"/>
              <w:ind w:left="63" w:right="63" w:firstLine="0"/>
              <w:rPr>
                <w:color w:val="000000"/>
                <w:kern w:val="2"/>
                <w:sz w:val="18"/>
                <w:szCs w:val="18"/>
                <w:lang w:val="en-US" w:eastAsia="zh-CN"/>
              </w:rPr>
            </w:pPr>
          </w:p>
        </w:tc>
      </w:tr>
      <w:tr w14:paraId="54D8DDDE">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20CCD462">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585B655">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42156C2C">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47F677C9">
            <w:pPr>
              <w:pStyle w:val="8"/>
              <w:keepNext/>
              <w:snapToGrid w:val="0"/>
              <w:spacing w:before="0" w:after="0" w:line="440" w:lineRule="exact"/>
              <w:ind w:left="63" w:right="63" w:firstLine="0"/>
              <w:rPr>
                <w:color w:val="000000"/>
                <w:kern w:val="2"/>
                <w:sz w:val="18"/>
                <w:szCs w:val="18"/>
                <w:lang w:val="en-US" w:eastAsia="zh-CN"/>
              </w:rPr>
            </w:pPr>
          </w:p>
        </w:tc>
      </w:tr>
      <w:tr w14:paraId="0FBA6FD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6227B8C">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BAC7EFB">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5FDBCC47">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649C50F3">
            <w:pPr>
              <w:pStyle w:val="8"/>
              <w:keepNext/>
              <w:snapToGrid w:val="0"/>
              <w:spacing w:before="0" w:after="0" w:line="440" w:lineRule="exact"/>
              <w:ind w:left="63" w:right="63" w:firstLine="0"/>
              <w:rPr>
                <w:color w:val="000000"/>
                <w:kern w:val="2"/>
                <w:sz w:val="18"/>
                <w:szCs w:val="18"/>
                <w:lang w:val="en-US" w:eastAsia="zh-CN"/>
              </w:rPr>
            </w:pPr>
          </w:p>
        </w:tc>
      </w:tr>
      <w:tr w14:paraId="2DCF592D">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4344A693">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AA80FA2">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B6E0FE4">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3A800BBB">
            <w:pPr>
              <w:pStyle w:val="8"/>
              <w:keepNext/>
              <w:snapToGrid w:val="0"/>
              <w:spacing w:before="0" w:after="0" w:line="440" w:lineRule="exact"/>
              <w:ind w:left="63" w:right="63" w:firstLine="0"/>
              <w:rPr>
                <w:color w:val="000000"/>
                <w:kern w:val="2"/>
                <w:sz w:val="18"/>
                <w:szCs w:val="18"/>
                <w:lang w:val="en-US" w:eastAsia="zh-CN"/>
              </w:rPr>
            </w:pPr>
          </w:p>
        </w:tc>
      </w:tr>
      <w:tr w14:paraId="3C844A75">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638D9570">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BA6D7F7">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65B73A16">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320CDABD">
            <w:pPr>
              <w:pStyle w:val="8"/>
              <w:keepNext/>
              <w:snapToGrid w:val="0"/>
              <w:spacing w:before="0" w:after="0" w:line="440" w:lineRule="exact"/>
              <w:ind w:left="63" w:right="63" w:firstLine="0"/>
              <w:rPr>
                <w:color w:val="000000"/>
                <w:kern w:val="2"/>
                <w:sz w:val="18"/>
                <w:szCs w:val="18"/>
                <w:lang w:val="en-US" w:eastAsia="zh-CN"/>
              </w:rPr>
            </w:pPr>
          </w:p>
        </w:tc>
      </w:tr>
      <w:tr w14:paraId="609EE75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2C261DA6">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0124E87">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09AC1C25">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5C7467D6">
            <w:pPr>
              <w:pStyle w:val="8"/>
              <w:keepNext/>
              <w:snapToGrid w:val="0"/>
              <w:spacing w:before="0" w:after="0" w:line="440" w:lineRule="exact"/>
              <w:ind w:left="63" w:right="63" w:firstLine="0"/>
              <w:rPr>
                <w:color w:val="000000"/>
                <w:kern w:val="2"/>
                <w:sz w:val="18"/>
                <w:szCs w:val="18"/>
                <w:lang w:val="en-US" w:eastAsia="zh-CN"/>
              </w:rPr>
            </w:pPr>
          </w:p>
        </w:tc>
      </w:tr>
      <w:tr w14:paraId="444A3582">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56A834E1">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2F90192B">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41C2DFBC">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D831844">
            <w:pPr>
              <w:pStyle w:val="8"/>
              <w:keepNext/>
              <w:snapToGrid w:val="0"/>
              <w:spacing w:before="0" w:after="0" w:line="440" w:lineRule="exact"/>
              <w:ind w:left="63" w:right="63" w:firstLine="0"/>
              <w:rPr>
                <w:color w:val="000000"/>
                <w:kern w:val="2"/>
                <w:sz w:val="18"/>
                <w:szCs w:val="18"/>
                <w:lang w:val="en-US" w:eastAsia="zh-CN"/>
              </w:rPr>
            </w:pPr>
          </w:p>
        </w:tc>
      </w:tr>
      <w:tr w14:paraId="439C2D83">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79D37D34">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4E05D19">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11C1A9A7">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2D252DE">
            <w:pPr>
              <w:pStyle w:val="8"/>
              <w:keepNext/>
              <w:snapToGrid w:val="0"/>
              <w:spacing w:before="0" w:after="0" w:line="440" w:lineRule="exact"/>
              <w:ind w:left="63" w:right="63" w:firstLine="0"/>
              <w:rPr>
                <w:color w:val="000000"/>
                <w:kern w:val="2"/>
                <w:sz w:val="18"/>
                <w:szCs w:val="18"/>
                <w:lang w:val="en-US" w:eastAsia="zh-CN"/>
              </w:rPr>
            </w:pPr>
          </w:p>
        </w:tc>
      </w:tr>
      <w:tr w14:paraId="4867C8F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7A2AC802">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66F0A59">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1EA3BCBF">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3E4ED436">
            <w:pPr>
              <w:pStyle w:val="8"/>
              <w:keepNext/>
              <w:snapToGrid w:val="0"/>
              <w:spacing w:before="0" w:after="0" w:line="440" w:lineRule="exact"/>
              <w:ind w:left="63" w:right="63" w:firstLine="0"/>
              <w:rPr>
                <w:color w:val="000000"/>
                <w:kern w:val="2"/>
                <w:sz w:val="18"/>
                <w:szCs w:val="18"/>
                <w:lang w:val="en-US" w:eastAsia="zh-CN"/>
              </w:rPr>
            </w:pPr>
          </w:p>
        </w:tc>
      </w:tr>
      <w:tr w14:paraId="0168D09C">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ED2223B">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5623E72">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432EE40E">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4A459B3">
            <w:pPr>
              <w:pStyle w:val="8"/>
              <w:keepNext/>
              <w:snapToGrid w:val="0"/>
              <w:spacing w:before="0" w:after="0" w:line="440" w:lineRule="exact"/>
              <w:ind w:left="63" w:right="63" w:firstLine="0"/>
              <w:rPr>
                <w:color w:val="000000"/>
                <w:kern w:val="2"/>
                <w:sz w:val="18"/>
                <w:szCs w:val="18"/>
                <w:lang w:val="en-US" w:eastAsia="zh-CN"/>
              </w:rPr>
            </w:pPr>
          </w:p>
        </w:tc>
      </w:tr>
      <w:tr w14:paraId="7EC587EF">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6974F01B">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7B9E2D8">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08DBD654">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3D08A5E8">
            <w:pPr>
              <w:pStyle w:val="8"/>
              <w:keepNext/>
              <w:snapToGrid w:val="0"/>
              <w:spacing w:before="0" w:after="0" w:line="440" w:lineRule="exact"/>
              <w:ind w:left="63" w:right="63" w:firstLine="0"/>
              <w:rPr>
                <w:color w:val="000000"/>
                <w:kern w:val="2"/>
                <w:sz w:val="18"/>
                <w:szCs w:val="18"/>
                <w:lang w:val="en-US" w:eastAsia="zh-CN"/>
              </w:rPr>
            </w:pPr>
          </w:p>
        </w:tc>
      </w:tr>
      <w:tr w14:paraId="32582B8B">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F663D50">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B07BE3F">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681FF70B">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1B52F8C6">
            <w:pPr>
              <w:pStyle w:val="8"/>
              <w:keepNext/>
              <w:snapToGrid w:val="0"/>
              <w:spacing w:before="0" w:after="0" w:line="440" w:lineRule="exact"/>
              <w:ind w:left="63" w:right="63" w:firstLine="0"/>
              <w:rPr>
                <w:color w:val="000000"/>
                <w:kern w:val="2"/>
                <w:sz w:val="18"/>
                <w:szCs w:val="18"/>
                <w:lang w:val="en-US" w:eastAsia="zh-CN"/>
              </w:rPr>
            </w:pPr>
          </w:p>
        </w:tc>
      </w:tr>
      <w:tr w14:paraId="3E08EF69">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4235F544">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138363D">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66C36B6C">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EA50D14">
            <w:pPr>
              <w:pStyle w:val="8"/>
              <w:keepNext/>
              <w:snapToGrid w:val="0"/>
              <w:spacing w:before="0" w:after="0" w:line="440" w:lineRule="exact"/>
              <w:ind w:left="63" w:right="63" w:firstLine="0"/>
              <w:rPr>
                <w:color w:val="000000"/>
                <w:kern w:val="2"/>
                <w:sz w:val="18"/>
                <w:szCs w:val="18"/>
                <w:lang w:val="en-US" w:eastAsia="zh-CN"/>
              </w:rPr>
            </w:pPr>
          </w:p>
        </w:tc>
      </w:tr>
      <w:tr w14:paraId="13469CEC">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B2579FC">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5382789">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A425450">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4B1658CC">
            <w:pPr>
              <w:pStyle w:val="8"/>
              <w:keepNext/>
              <w:snapToGrid w:val="0"/>
              <w:spacing w:before="0" w:after="0" w:line="440" w:lineRule="exact"/>
              <w:ind w:left="63" w:right="63" w:firstLine="0"/>
              <w:rPr>
                <w:color w:val="000000"/>
                <w:kern w:val="2"/>
                <w:sz w:val="18"/>
                <w:szCs w:val="18"/>
                <w:lang w:val="en-US" w:eastAsia="zh-CN"/>
              </w:rPr>
            </w:pPr>
          </w:p>
        </w:tc>
      </w:tr>
      <w:tr w14:paraId="4D9504DF">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B159930">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C513539">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0BCF1474">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1B93D687">
            <w:pPr>
              <w:pStyle w:val="8"/>
              <w:keepNext/>
              <w:snapToGrid w:val="0"/>
              <w:spacing w:before="0" w:after="0" w:line="440" w:lineRule="exact"/>
              <w:ind w:left="63" w:right="63" w:firstLine="0"/>
              <w:rPr>
                <w:color w:val="000000"/>
                <w:kern w:val="2"/>
                <w:sz w:val="18"/>
                <w:szCs w:val="18"/>
                <w:lang w:val="en-US" w:eastAsia="zh-CN"/>
              </w:rPr>
            </w:pPr>
          </w:p>
        </w:tc>
      </w:tr>
      <w:tr w14:paraId="5D43F943">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6E720651">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7B53294">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4285A696">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E59CD0D">
            <w:pPr>
              <w:pStyle w:val="8"/>
              <w:keepNext/>
              <w:snapToGrid w:val="0"/>
              <w:spacing w:before="0" w:after="0" w:line="440" w:lineRule="exact"/>
              <w:ind w:left="63" w:right="63" w:firstLine="0"/>
              <w:rPr>
                <w:color w:val="000000"/>
                <w:kern w:val="2"/>
                <w:sz w:val="18"/>
                <w:szCs w:val="18"/>
                <w:lang w:val="en-US" w:eastAsia="zh-CN"/>
              </w:rPr>
            </w:pPr>
          </w:p>
        </w:tc>
      </w:tr>
      <w:tr w14:paraId="5CC52A14">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F285CE9">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1343B61">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6129435D">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4F13510">
            <w:pPr>
              <w:pStyle w:val="8"/>
              <w:keepNext/>
              <w:snapToGrid w:val="0"/>
              <w:spacing w:before="0" w:after="0" w:line="440" w:lineRule="exact"/>
              <w:ind w:left="63" w:right="63" w:firstLine="0"/>
              <w:rPr>
                <w:color w:val="000000"/>
                <w:kern w:val="2"/>
                <w:sz w:val="18"/>
                <w:szCs w:val="18"/>
                <w:lang w:val="en-US" w:eastAsia="zh-CN"/>
              </w:rPr>
            </w:pPr>
          </w:p>
        </w:tc>
      </w:tr>
      <w:tr w14:paraId="3A8678D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40684D73">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36E96EA">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B32CF31">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999A830">
            <w:pPr>
              <w:pStyle w:val="8"/>
              <w:keepNext/>
              <w:snapToGrid w:val="0"/>
              <w:spacing w:before="0" w:after="0" w:line="440" w:lineRule="exact"/>
              <w:ind w:left="63" w:right="63" w:firstLine="0"/>
              <w:rPr>
                <w:color w:val="000000"/>
                <w:kern w:val="2"/>
                <w:sz w:val="18"/>
                <w:szCs w:val="18"/>
                <w:lang w:val="en-US" w:eastAsia="zh-CN"/>
              </w:rPr>
            </w:pPr>
          </w:p>
        </w:tc>
      </w:tr>
      <w:tr w14:paraId="1B33934B">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07F6316">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761F5C1">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585438F5">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0700BDA">
            <w:pPr>
              <w:pStyle w:val="8"/>
              <w:keepNext/>
              <w:snapToGrid w:val="0"/>
              <w:spacing w:before="0" w:after="0" w:line="440" w:lineRule="exact"/>
              <w:ind w:left="63" w:right="63" w:firstLine="0"/>
              <w:rPr>
                <w:color w:val="000000"/>
                <w:kern w:val="2"/>
                <w:sz w:val="18"/>
                <w:szCs w:val="18"/>
                <w:lang w:val="en-US" w:eastAsia="zh-CN"/>
              </w:rPr>
            </w:pPr>
          </w:p>
        </w:tc>
      </w:tr>
      <w:tr w14:paraId="42084146">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8E705B2">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0A786D9">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7CA106DF">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EC5FDF5">
            <w:pPr>
              <w:pStyle w:val="8"/>
              <w:keepNext/>
              <w:snapToGrid w:val="0"/>
              <w:spacing w:before="0" w:after="0" w:line="440" w:lineRule="exact"/>
              <w:ind w:left="63" w:right="63" w:firstLine="0"/>
              <w:rPr>
                <w:color w:val="000000"/>
                <w:kern w:val="2"/>
                <w:sz w:val="18"/>
                <w:szCs w:val="18"/>
                <w:lang w:val="en-US" w:eastAsia="zh-CN"/>
              </w:rPr>
            </w:pPr>
          </w:p>
        </w:tc>
      </w:tr>
      <w:tr w14:paraId="07DB09BA">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FB706C9">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C59751B">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1FDECEF4">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F36DB5D">
            <w:pPr>
              <w:pStyle w:val="8"/>
              <w:keepNext/>
              <w:snapToGrid w:val="0"/>
              <w:spacing w:before="0" w:after="0" w:line="440" w:lineRule="exact"/>
              <w:ind w:left="63" w:right="63" w:firstLine="0"/>
              <w:rPr>
                <w:color w:val="000000"/>
                <w:kern w:val="2"/>
                <w:sz w:val="18"/>
                <w:szCs w:val="18"/>
                <w:lang w:val="en-US" w:eastAsia="zh-CN"/>
              </w:rPr>
            </w:pPr>
          </w:p>
        </w:tc>
      </w:tr>
      <w:tr w14:paraId="1F41849B">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6F9CF099">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FB7C47A">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1E4F3EC1">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6622FFBB">
            <w:pPr>
              <w:pStyle w:val="8"/>
              <w:keepNext/>
              <w:snapToGrid w:val="0"/>
              <w:spacing w:before="0" w:after="0" w:line="440" w:lineRule="exact"/>
              <w:ind w:left="63" w:right="63" w:firstLine="0"/>
              <w:rPr>
                <w:color w:val="000000"/>
                <w:kern w:val="2"/>
                <w:sz w:val="18"/>
                <w:szCs w:val="18"/>
                <w:lang w:val="en-US" w:eastAsia="zh-CN"/>
              </w:rPr>
            </w:pPr>
          </w:p>
        </w:tc>
      </w:tr>
      <w:tr w14:paraId="02AF9F3E">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5B0C1B5A">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0FB108E">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7D9F96D">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6B256F36">
            <w:pPr>
              <w:pStyle w:val="8"/>
              <w:keepNext/>
              <w:snapToGrid w:val="0"/>
              <w:spacing w:before="0" w:after="0" w:line="440" w:lineRule="exact"/>
              <w:ind w:left="63" w:right="63" w:firstLine="0"/>
              <w:rPr>
                <w:color w:val="000000"/>
                <w:kern w:val="2"/>
                <w:sz w:val="18"/>
                <w:szCs w:val="18"/>
                <w:lang w:val="en-US" w:eastAsia="zh-CN"/>
              </w:rPr>
            </w:pPr>
          </w:p>
        </w:tc>
      </w:tr>
      <w:tr w14:paraId="50638D97">
        <w:tblPrEx>
          <w:tblCellMar>
            <w:top w:w="0" w:type="dxa"/>
            <w:left w:w="28" w:type="dxa"/>
            <w:bottom w:w="0" w:type="dxa"/>
            <w:right w:w="28" w:type="dxa"/>
          </w:tblCellMar>
        </w:tblPrEx>
        <w:tc>
          <w:tcPr>
            <w:tcW w:w="8817" w:type="dxa"/>
            <w:gridSpan w:val="4"/>
            <w:tcBorders>
              <w:top w:val="single" w:color="000000" w:sz="6" w:space="0"/>
              <w:left w:val="single" w:color="000000" w:sz="12" w:space="0"/>
              <w:bottom w:val="single" w:color="000000" w:sz="12" w:space="0"/>
              <w:right w:val="single" w:color="000000" w:sz="12" w:space="0"/>
            </w:tcBorders>
          </w:tcPr>
          <w:p w14:paraId="057710AD">
            <w:pPr>
              <w:pStyle w:val="8"/>
              <w:keepNext/>
              <w:spacing w:before="0" w:after="0" w:line="440" w:lineRule="exact"/>
              <w:ind w:left="63" w:right="63" w:firstLine="0"/>
              <w:rPr>
                <w:color w:val="000000"/>
                <w:kern w:val="2"/>
                <w:sz w:val="18"/>
                <w:szCs w:val="18"/>
                <w:lang w:val="en-US" w:eastAsia="zh-CN"/>
              </w:rPr>
            </w:pPr>
            <w:r>
              <w:rPr>
                <w:rFonts w:eastAsia="仿宋_GB2312;仿宋"/>
                <w:color w:val="000000"/>
                <w:kern w:val="2"/>
                <w:sz w:val="22"/>
                <w:szCs w:val="24"/>
                <w:lang w:val="en-US" w:eastAsia="zh-CN"/>
              </w:rPr>
              <w:t>小计：</w:t>
            </w:r>
          </w:p>
        </w:tc>
      </w:tr>
    </w:tbl>
    <w:p w14:paraId="23104C02">
      <w:pPr>
        <w:rPr>
          <w:rFonts w:ascii="Times New Roman" w:hAnsi="Times New Roman" w:cs="Times New Roman"/>
          <w:sz w:val="18"/>
          <w:szCs w:val="21"/>
        </w:rPr>
      </w:pPr>
      <w:r>
        <w:br w:type="page"/>
      </w:r>
    </w:p>
    <w:p w14:paraId="78760962">
      <w:pPr>
        <w:numPr>
          <w:ilvl w:val="0"/>
          <w:numId w:val="0"/>
        </w:numPr>
        <w:jc w:val="center"/>
        <w:outlineLvl w:val="0"/>
        <w:rPr>
          <w:rFonts w:ascii="宋体" w:hAnsi="宋体"/>
          <w:b/>
          <w:color w:val="000000"/>
          <w:sz w:val="36"/>
          <w:szCs w:val="36"/>
          <w:highlight w:val="none"/>
        </w:rPr>
      </w:pPr>
      <w:bookmarkStart w:id="195" w:name="__RefHeading___Toc469495743"/>
      <w:bookmarkEnd w:id="195"/>
      <w:r>
        <w:rPr>
          <w:rFonts w:ascii="宋体" w:hAnsi="宋体"/>
          <w:b/>
          <w:color w:val="000000"/>
          <w:sz w:val="36"/>
          <w:szCs w:val="36"/>
        </w:rPr>
        <w:t>第六章  响应文件格式</w:t>
      </w:r>
    </w:p>
    <w:p w14:paraId="7186A343">
      <w:pPr>
        <w:spacing w:line="240" w:lineRule="atLeast"/>
        <w:ind w:left="735" w:firstLine="120"/>
        <w:rPr>
          <w:rFonts w:ascii="仿宋" w:hAnsi="仿宋" w:eastAsia="仿宋" w:cs="仿宋"/>
          <w:b/>
          <w:color w:val="000000"/>
          <w:sz w:val="24"/>
          <w:szCs w:val="36"/>
          <w:highlight w:val="none"/>
        </w:rPr>
      </w:pPr>
    </w:p>
    <w:p w14:paraId="19B4D637">
      <w:pPr>
        <w:spacing w:line="440" w:lineRule="exact"/>
        <w:ind w:firstLine="649"/>
        <w:jc w:val="center"/>
        <w:rPr>
          <w:rFonts w:ascii="宋体" w:hAnsi="宋体" w:eastAsia="宋体" w:cs="宋体"/>
          <w:b/>
          <w:bCs/>
          <w:color w:val="0000FF"/>
          <w:sz w:val="44"/>
          <w:szCs w:val="44"/>
          <w:highlight w:val="none"/>
        </w:rPr>
      </w:pPr>
      <w:r>
        <w:rPr>
          <w:rFonts w:ascii="宋体" w:hAnsi="宋体" w:cs="宋体"/>
          <w:b/>
          <w:bCs/>
          <w:color w:val="0000FF"/>
          <w:sz w:val="44"/>
          <w:szCs w:val="44"/>
        </w:rPr>
        <w:t>资格证明</w:t>
      </w:r>
      <w:r>
        <w:rPr>
          <w:rFonts w:ascii="宋体" w:hAnsi="宋体" w:cs="宋体"/>
          <w:b/>
          <w:bCs/>
          <w:color w:val="0000FF"/>
          <w:sz w:val="44"/>
          <w:szCs w:val="44"/>
          <w:lang w:eastAsia="zh-CN"/>
        </w:rPr>
        <w:t>文件</w:t>
      </w:r>
    </w:p>
    <w:p w14:paraId="5673FBE1">
      <w:pPr>
        <w:numPr>
          <w:ilvl w:val="0"/>
          <w:numId w:val="0"/>
        </w:numPr>
        <w:spacing w:line="440" w:lineRule="exact"/>
        <w:ind w:left="0" w:firstLine="0"/>
        <w:rPr>
          <w:rFonts w:ascii="宋体" w:hAnsi="宋体" w:eastAsia="宋体" w:cs="宋体"/>
          <w:b/>
          <w:bCs/>
          <w:color w:val="0000FF"/>
          <w:sz w:val="44"/>
          <w:szCs w:val="21"/>
          <w:highlight w:val="none"/>
          <w:lang w:val="en-US" w:eastAsia="zh-CN"/>
        </w:rPr>
      </w:pPr>
    </w:p>
    <w:p w14:paraId="0603847F">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w:t>
      </w:r>
      <w:r>
        <w:rPr>
          <w:rFonts w:ascii="宋体" w:hAnsi="宋体" w:eastAsia="宋体" w:cs="宋体"/>
          <w:b/>
          <w:bCs/>
          <w:i w:val="0"/>
          <w:iCs w:val="0"/>
          <w:color w:val="0000FF"/>
          <w:sz w:val="21"/>
          <w:szCs w:val="21"/>
          <w:lang w:val="en-US" w:eastAsia="zh-CN"/>
        </w:rPr>
        <w:t>1</w:t>
      </w:r>
      <w:r>
        <w:rPr>
          <w:rFonts w:ascii="宋体" w:hAnsi="宋体" w:cs="宋体"/>
          <w:b/>
          <w:bCs/>
          <w:i w:val="0"/>
          <w:iCs w:val="0"/>
          <w:color w:val="0000FF"/>
          <w:sz w:val="21"/>
          <w:szCs w:val="21"/>
          <w:lang w:val="en-US" w:eastAsia="zh-CN"/>
        </w:rPr>
        <w:t>）具备三证合一营业执照副本；</w:t>
      </w:r>
    </w:p>
    <w:p w14:paraId="61BBE43B">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w:t>
      </w:r>
      <w:r>
        <w:rPr>
          <w:rFonts w:ascii="宋体" w:hAnsi="宋体" w:eastAsia="宋体" w:cs="宋体"/>
          <w:b/>
          <w:bCs/>
          <w:i w:val="0"/>
          <w:iCs w:val="0"/>
          <w:color w:val="0000FF"/>
          <w:sz w:val="21"/>
          <w:szCs w:val="21"/>
          <w:lang w:val="en-US" w:eastAsia="zh-CN"/>
        </w:rPr>
        <w:t>2</w:t>
      </w:r>
      <w:r>
        <w:rPr>
          <w:rFonts w:ascii="宋体" w:hAnsi="宋体" w:cs="宋体"/>
          <w:b/>
          <w:bCs/>
          <w:i w:val="0"/>
          <w:iCs w:val="0"/>
          <w:color w:val="0000FF"/>
          <w:sz w:val="21"/>
          <w:szCs w:val="21"/>
          <w:lang w:val="en-US" w:eastAsia="zh-CN"/>
        </w:rPr>
        <w:t>）法定代表人响应需提供法定代表人资格证明书，委托代理人响应需提供法定代表人授权委托书；</w:t>
      </w:r>
    </w:p>
    <w:p w14:paraId="5F7BE60B">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w:t>
      </w:r>
      <w:r>
        <w:rPr>
          <w:rFonts w:ascii="宋体" w:hAnsi="宋体" w:eastAsia="宋体" w:cs="宋体"/>
          <w:b/>
          <w:bCs/>
          <w:i w:val="0"/>
          <w:iCs w:val="0"/>
          <w:color w:val="0000FF"/>
          <w:sz w:val="21"/>
          <w:szCs w:val="21"/>
          <w:lang w:val="en-US" w:eastAsia="zh-CN"/>
        </w:rPr>
        <w:t>3</w:t>
      </w:r>
      <w:r>
        <w:rPr>
          <w:rFonts w:ascii="宋体" w:hAnsi="宋体" w:cs="宋体"/>
          <w:b/>
          <w:bCs/>
          <w:i w:val="0"/>
          <w:iCs w:val="0"/>
          <w:color w:val="0000FF"/>
          <w:sz w:val="21"/>
          <w:szCs w:val="21"/>
          <w:lang w:val="en-US" w:eastAsia="zh-CN"/>
        </w:rPr>
        <w:t xml:space="preserve">）供应商须提供供应商（被授权在职人员）近 </w:t>
      </w:r>
      <w:r>
        <w:rPr>
          <w:rFonts w:ascii="宋体" w:hAnsi="宋体" w:eastAsia="宋体" w:cs="宋体"/>
          <w:b/>
          <w:bCs/>
          <w:i w:val="0"/>
          <w:iCs w:val="0"/>
          <w:color w:val="0000FF"/>
          <w:sz w:val="21"/>
          <w:szCs w:val="21"/>
          <w:lang w:val="en-US" w:eastAsia="zh-CN"/>
        </w:rPr>
        <w:t xml:space="preserve">6 </w:t>
      </w:r>
      <w:r>
        <w:rPr>
          <w:rFonts w:ascii="宋体" w:hAnsi="宋体" w:cs="宋体"/>
          <w:b/>
          <w:bCs/>
          <w:i w:val="0"/>
          <w:iCs w:val="0"/>
          <w:color w:val="0000FF"/>
          <w:sz w:val="21"/>
          <w:szCs w:val="21"/>
          <w:lang w:val="en-US" w:eastAsia="zh-CN"/>
        </w:rPr>
        <w:t>个月内任意一个月有效的社保证明；</w:t>
      </w:r>
    </w:p>
    <w:p w14:paraId="36487F47">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w:t>
      </w:r>
      <w:r>
        <w:rPr>
          <w:rFonts w:ascii="宋体" w:hAnsi="宋体" w:eastAsia="宋体" w:cs="宋体"/>
          <w:b/>
          <w:bCs/>
          <w:i w:val="0"/>
          <w:iCs w:val="0"/>
          <w:color w:val="0000FF"/>
          <w:sz w:val="21"/>
          <w:szCs w:val="21"/>
          <w:lang w:val="en-US" w:eastAsia="zh-CN"/>
        </w:rPr>
        <w:t>4</w:t>
      </w:r>
      <w:r>
        <w:rPr>
          <w:rFonts w:ascii="宋体" w:hAnsi="宋体" w:cs="宋体"/>
          <w:b/>
          <w:bCs/>
          <w:i w:val="0"/>
          <w:iCs w:val="0"/>
          <w:color w:val="0000FF"/>
          <w:sz w:val="21"/>
          <w:szCs w:val="21"/>
          <w:lang w:val="en-US" w:eastAsia="zh-CN"/>
        </w:rPr>
        <w:t>）未被“信用中国 ”（</w:t>
      </w:r>
      <w:r>
        <w:rPr>
          <w:rFonts w:ascii="宋体" w:hAnsi="宋体" w:eastAsia="宋体" w:cs="宋体"/>
          <w:b/>
          <w:bCs/>
          <w:i w:val="0"/>
          <w:iCs w:val="0"/>
          <w:color w:val="0000FF"/>
          <w:sz w:val="21"/>
          <w:szCs w:val="21"/>
          <w:lang w:val="en-US" w:eastAsia="zh-CN"/>
        </w:rPr>
        <w:t>www.creditchina.gov.cn</w:t>
      </w:r>
      <w:r>
        <w:rPr>
          <w:rFonts w:ascii="宋体" w:hAnsi="宋体" w:cs="宋体"/>
          <w:b/>
          <w:bCs/>
          <w:i w:val="0"/>
          <w:iCs w:val="0"/>
          <w:color w:val="0000FF"/>
          <w:sz w:val="21"/>
          <w:szCs w:val="21"/>
          <w:lang w:val="en-US" w:eastAsia="zh-CN"/>
        </w:rPr>
        <w:t>）、中国政府采购网（</w:t>
      </w:r>
      <w:r>
        <w:rPr>
          <w:rFonts w:ascii="宋体" w:hAnsi="宋体" w:eastAsia="宋体" w:cs="宋体"/>
          <w:b/>
          <w:bCs/>
          <w:i w:val="0"/>
          <w:iCs w:val="0"/>
          <w:color w:val="0000FF"/>
          <w:sz w:val="21"/>
          <w:szCs w:val="21"/>
          <w:lang w:val="en-US" w:eastAsia="zh-CN"/>
        </w:rPr>
        <w:t>www.ccgp.gov.cn</w:t>
      </w:r>
      <w:r>
        <w:rPr>
          <w:rFonts w:ascii="宋体" w:hAnsi="宋体" w:cs="宋体"/>
          <w:b/>
          <w:bCs/>
          <w:i w:val="0"/>
          <w:iCs w:val="0"/>
          <w:color w:val="0000FF"/>
          <w:sz w:val="21"/>
          <w:szCs w:val="21"/>
          <w:lang w:val="en-US" w:eastAsia="zh-CN"/>
        </w:rPr>
        <w:t>） 列入失信被执行人、重大税收违法案件当事人名单、政府采购严重违法失信行为记录名单（提供查询结果网页截图并加盖供应商公章）；</w:t>
      </w:r>
    </w:p>
    <w:p w14:paraId="05B4D27B">
      <w:pPr>
        <w:numPr>
          <w:ilvl w:val="0"/>
          <w:numId w:val="13"/>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供应商须具备</w:t>
      </w:r>
      <w:r>
        <w:rPr>
          <w:rFonts w:hint="eastAsia" w:ascii="宋体" w:hAnsi="宋体" w:cs="宋体"/>
          <w:b/>
          <w:bCs/>
          <w:i w:val="0"/>
          <w:iCs w:val="0"/>
          <w:color w:val="0000FF"/>
          <w:sz w:val="21"/>
          <w:szCs w:val="21"/>
          <w:lang w:val="en-US" w:eastAsia="zh-CN"/>
        </w:rPr>
        <w:t>建筑装修装饰工程专业承包二级及以上资质、有效的安全生产许可证；项目负责人具备建筑工程专业二级（含）以上注册建造师执业资格且具有有效的安全生产考核证；</w:t>
      </w:r>
    </w:p>
    <w:p w14:paraId="2C342036">
      <w:pPr>
        <w:numPr>
          <w:ilvl w:val="0"/>
          <w:numId w:val="13"/>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磋商保证金汇款凭证或响应担保函等保证金交纳证明材料；</w:t>
      </w:r>
    </w:p>
    <w:p w14:paraId="77F69A7D">
      <w:pPr>
        <w:numPr>
          <w:ilvl w:val="0"/>
          <w:numId w:val="13"/>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提供承建商为中小企业的《中小企业声明函》；</w:t>
      </w:r>
    </w:p>
    <w:p w14:paraId="6F6ED3F7">
      <w:pPr>
        <w:numPr>
          <w:ilvl w:val="0"/>
          <w:numId w:val="13"/>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 xml:space="preserve">供应商关联单位的说明； </w:t>
      </w:r>
    </w:p>
    <w:p w14:paraId="0DEB003C">
      <w:pPr>
        <w:numPr>
          <w:ilvl w:val="0"/>
          <w:numId w:val="13"/>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供应商须知资料表要求的其他资格证明文件。</w:t>
      </w:r>
    </w:p>
    <w:p w14:paraId="4E1B1878">
      <w:pPr>
        <w:pStyle w:val="69"/>
        <w:rPr>
          <w:rFonts w:ascii="宋体" w:hAnsi="宋体" w:eastAsia="宋体" w:cs="宋体"/>
          <w:b/>
          <w:bCs/>
          <w:i w:val="0"/>
          <w:iCs w:val="0"/>
          <w:color w:val="0000FF"/>
          <w:kern w:val="2"/>
          <w:sz w:val="21"/>
          <w:szCs w:val="21"/>
          <w:lang w:val="en-US" w:eastAsia="zh-CN" w:bidi="ar-SA"/>
        </w:rPr>
      </w:pPr>
    </w:p>
    <w:p w14:paraId="44AEDBBE">
      <w:pPr>
        <w:spacing w:line="440" w:lineRule="exact"/>
        <w:jc w:val="center"/>
        <w:rPr>
          <w:rFonts w:ascii="宋体" w:hAnsi="宋体" w:eastAsia="宋体" w:cs="宋体"/>
          <w:b/>
          <w:bCs/>
          <w:i w:val="0"/>
          <w:iCs w:val="0"/>
          <w:color w:val="0000FF"/>
          <w:kern w:val="2"/>
          <w:sz w:val="21"/>
          <w:szCs w:val="21"/>
          <w:highlight w:val="none"/>
          <w:lang w:val="en-US" w:eastAsia="zh-CN" w:bidi="ar-SA"/>
        </w:rPr>
      </w:pPr>
    </w:p>
    <w:p w14:paraId="2CFB5EF7">
      <w:pPr>
        <w:spacing w:line="440" w:lineRule="exact"/>
        <w:jc w:val="center"/>
        <w:rPr>
          <w:rFonts w:ascii="宋体" w:hAnsi="宋体" w:eastAsia="宋体" w:cs="宋体"/>
          <w:b/>
          <w:bCs/>
          <w:color w:val="0000FF"/>
          <w:sz w:val="21"/>
          <w:szCs w:val="21"/>
          <w:highlight w:val="none"/>
          <w:lang w:val="en-US" w:eastAsia="zh-CN"/>
        </w:rPr>
      </w:pPr>
    </w:p>
    <w:p w14:paraId="04C4C1AA">
      <w:pPr>
        <w:spacing w:line="440" w:lineRule="exact"/>
        <w:jc w:val="center"/>
        <w:rPr>
          <w:rFonts w:ascii="宋体" w:hAnsi="宋体" w:eastAsia="宋体" w:cs="宋体"/>
          <w:b/>
          <w:bCs/>
          <w:color w:val="0000FF"/>
          <w:sz w:val="21"/>
          <w:szCs w:val="21"/>
          <w:highlight w:val="none"/>
          <w:lang w:val="en-US" w:eastAsia="zh-CN"/>
        </w:rPr>
      </w:pPr>
    </w:p>
    <w:p w14:paraId="0886A46D">
      <w:pPr>
        <w:spacing w:line="440" w:lineRule="exact"/>
        <w:jc w:val="center"/>
        <w:rPr>
          <w:rFonts w:ascii="宋体" w:hAnsi="宋体" w:eastAsia="宋体" w:cs="宋体"/>
          <w:b/>
          <w:bCs/>
          <w:color w:val="0000FF"/>
          <w:sz w:val="21"/>
          <w:szCs w:val="21"/>
          <w:highlight w:val="none"/>
          <w:lang w:val="en-US" w:eastAsia="zh-CN"/>
        </w:rPr>
      </w:pPr>
    </w:p>
    <w:p w14:paraId="16051F4A">
      <w:pPr>
        <w:spacing w:line="440" w:lineRule="exact"/>
        <w:jc w:val="center"/>
        <w:rPr>
          <w:rFonts w:ascii="宋体" w:hAnsi="宋体" w:eastAsia="宋体" w:cs="宋体"/>
          <w:b/>
          <w:bCs/>
          <w:color w:val="0000FF"/>
          <w:sz w:val="21"/>
          <w:szCs w:val="21"/>
          <w:highlight w:val="none"/>
          <w:lang w:val="en-US" w:eastAsia="zh-CN"/>
        </w:rPr>
      </w:pPr>
    </w:p>
    <w:p w14:paraId="40FD5F0E">
      <w:pPr>
        <w:spacing w:line="440" w:lineRule="exact"/>
        <w:jc w:val="center"/>
        <w:rPr>
          <w:rFonts w:ascii="宋体" w:hAnsi="宋体" w:eastAsia="宋体" w:cs="宋体"/>
          <w:b/>
          <w:bCs/>
          <w:color w:val="0000FF"/>
          <w:sz w:val="21"/>
          <w:szCs w:val="21"/>
          <w:highlight w:val="none"/>
          <w:lang w:val="en-US" w:eastAsia="zh-CN"/>
        </w:rPr>
      </w:pPr>
    </w:p>
    <w:p w14:paraId="569F0004">
      <w:pPr>
        <w:spacing w:line="440" w:lineRule="exact"/>
        <w:jc w:val="center"/>
        <w:rPr>
          <w:rFonts w:ascii="宋体" w:hAnsi="宋体" w:eastAsia="宋体" w:cs="宋体"/>
          <w:b/>
          <w:bCs/>
          <w:color w:val="0000FF"/>
          <w:sz w:val="21"/>
          <w:szCs w:val="21"/>
          <w:highlight w:val="none"/>
          <w:lang w:val="en-US" w:eastAsia="zh-CN"/>
        </w:rPr>
      </w:pPr>
    </w:p>
    <w:p w14:paraId="5C60583B">
      <w:pPr>
        <w:pStyle w:val="69"/>
        <w:rPr>
          <w:rFonts w:ascii="宋体" w:hAnsi="宋体" w:eastAsia="宋体" w:cs="宋体"/>
          <w:b/>
          <w:bCs/>
          <w:color w:val="0000FF"/>
          <w:sz w:val="21"/>
          <w:szCs w:val="21"/>
          <w:highlight w:val="none"/>
          <w:lang w:val="en-US" w:eastAsia="zh-CN"/>
        </w:rPr>
      </w:pPr>
    </w:p>
    <w:p w14:paraId="6A21BEE8">
      <w:pPr>
        <w:pStyle w:val="69"/>
        <w:rPr>
          <w:lang w:val="en-US" w:eastAsia="zh-CN"/>
        </w:rPr>
      </w:pPr>
    </w:p>
    <w:p w14:paraId="552D504D">
      <w:pPr>
        <w:pStyle w:val="69"/>
        <w:rPr>
          <w:lang w:val="en-US" w:eastAsia="zh-CN"/>
        </w:rPr>
      </w:pPr>
    </w:p>
    <w:p w14:paraId="453D1E24">
      <w:pPr>
        <w:spacing w:line="440" w:lineRule="exact"/>
        <w:jc w:val="center"/>
        <w:rPr>
          <w:rFonts w:ascii="宋体" w:hAnsi="宋体" w:eastAsia="宋体" w:cs="宋体"/>
          <w:b/>
          <w:bCs/>
          <w:color w:val="0000FF"/>
          <w:sz w:val="21"/>
          <w:szCs w:val="21"/>
          <w:highlight w:val="none"/>
          <w:lang w:val="en-US" w:eastAsia="zh-CN"/>
        </w:rPr>
      </w:pPr>
    </w:p>
    <w:p w14:paraId="11972BFC">
      <w:pPr>
        <w:pStyle w:val="8"/>
        <w:rPr>
          <w:rFonts w:ascii="宋体" w:hAnsi="宋体" w:eastAsia="宋体" w:cs="宋体"/>
          <w:b/>
          <w:bCs/>
          <w:color w:val="0000FF"/>
          <w:sz w:val="21"/>
          <w:szCs w:val="21"/>
          <w:highlight w:val="none"/>
          <w:lang w:val="en-US" w:eastAsia="zh-CN"/>
        </w:rPr>
      </w:pPr>
    </w:p>
    <w:p w14:paraId="0E65530E">
      <w:pPr>
        <w:rPr>
          <w:rFonts w:ascii="宋体" w:hAnsi="宋体" w:eastAsia="宋体" w:cs="宋体"/>
          <w:b/>
          <w:bCs/>
          <w:color w:val="0000FF"/>
          <w:sz w:val="21"/>
          <w:szCs w:val="21"/>
          <w:highlight w:val="none"/>
          <w:lang w:val="en-US" w:eastAsia="zh-CN"/>
        </w:rPr>
      </w:pPr>
    </w:p>
    <w:p w14:paraId="2C9D4DCB">
      <w:pPr>
        <w:pStyle w:val="8"/>
        <w:rPr>
          <w:rFonts w:ascii="宋体" w:hAnsi="宋体" w:eastAsia="宋体" w:cs="宋体"/>
          <w:b/>
          <w:bCs/>
          <w:color w:val="0000FF"/>
          <w:sz w:val="21"/>
          <w:szCs w:val="21"/>
          <w:highlight w:val="none"/>
          <w:lang w:val="en-US" w:eastAsia="zh-CN"/>
        </w:rPr>
      </w:pPr>
    </w:p>
    <w:p w14:paraId="02787257">
      <w:pPr>
        <w:rPr>
          <w:rFonts w:ascii="宋体" w:hAnsi="宋体" w:eastAsia="宋体" w:cs="宋体"/>
          <w:b/>
          <w:bCs/>
          <w:color w:val="0000FF"/>
          <w:sz w:val="21"/>
          <w:szCs w:val="21"/>
          <w:highlight w:val="none"/>
          <w:lang w:val="en-US" w:eastAsia="zh-CN"/>
        </w:rPr>
      </w:pPr>
    </w:p>
    <w:p w14:paraId="422E6F3F">
      <w:pPr>
        <w:spacing w:line="440" w:lineRule="exact"/>
        <w:jc w:val="center"/>
        <w:rPr>
          <w:rFonts w:ascii="宋体" w:hAnsi="宋体" w:eastAsia="宋体" w:cs="宋体"/>
          <w:b/>
          <w:bCs/>
          <w:color w:val="0000FF"/>
          <w:sz w:val="21"/>
          <w:szCs w:val="21"/>
          <w:highlight w:val="none"/>
          <w:lang w:val="en-US" w:eastAsia="zh-CN"/>
        </w:rPr>
      </w:pPr>
    </w:p>
    <w:p w14:paraId="1D3A8D7D">
      <w:pPr>
        <w:spacing w:line="440" w:lineRule="exact"/>
        <w:jc w:val="center"/>
        <w:rPr>
          <w:rFonts w:ascii="宋体" w:hAnsi="宋体" w:eastAsia="宋体" w:cs="宋体"/>
          <w:b/>
          <w:bCs/>
          <w:color w:val="0000FF"/>
          <w:sz w:val="36"/>
          <w:szCs w:val="36"/>
          <w:highlight w:val="none"/>
        </w:rPr>
      </w:pPr>
      <w:r>
        <w:rPr>
          <w:rFonts w:ascii="宋体" w:hAnsi="宋体" w:cs="宋体"/>
          <w:b/>
          <w:bCs/>
          <w:color w:val="0000FF"/>
          <w:sz w:val="36"/>
          <w:szCs w:val="36"/>
          <w:lang w:val="en-US" w:eastAsia="zh-CN"/>
        </w:rPr>
        <w:t>商务及技术文件</w:t>
      </w:r>
    </w:p>
    <w:p w14:paraId="779043C7">
      <w:pPr>
        <w:spacing w:line="440" w:lineRule="exact"/>
        <w:ind w:firstLine="285"/>
        <w:rPr>
          <w:rFonts w:ascii="宋体" w:hAnsi="宋体" w:eastAsia="宋体" w:cs="宋体"/>
          <w:b/>
          <w:bCs/>
          <w:color w:val="0000FF"/>
          <w:sz w:val="36"/>
          <w:szCs w:val="21"/>
          <w:highlight w:val="none"/>
          <w:lang w:val="en-US" w:eastAsia="zh-CN"/>
        </w:rPr>
      </w:pPr>
    </w:p>
    <w:p w14:paraId="78F59E30">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1</w:t>
      </w:r>
      <w:r>
        <w:rPr>
          <w:rFonts w:ascii="宋体" w:hAnsi="宋体" w:cs="宋体"/>
          <w:b/>
          <w:bCs/>
          <w:color w:val="0000FF"/>
          <w:szCs w:val="21"/>
          <w:lang w:val="en-US" w:eastAsia="zh-CN"/>
        </w:rPr>
        <w:t>、响应函</w:t>
      </w:r>
    </w:p>
    <w:p w14:paraId="2962D0EA">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2</w:t>
      </w:r>
      <w:r>
        <w:rPr>
          <w:rFonts w:ascii="宋体" w:hAnsi="宋体" w:cs="宋体"/>
          <w:b/>
          <w:bCs/>
          <w:color w:val="0000FF"/>
          <w:szCs w:val="21"/>
          <w:lang w:val="en-US" w:eastAsia="zh-CN"/>
        </w:rPr>
        <w:t>、报价一览表</w:t>
      </w:r>
    </w:p>
    <w:p w14:paraId="2BE4B361">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3</w:t>
      </w:r>
      <w:r>
        <w:rPr>
          <w:rFonts w:ascii="宋体" w:hAnsi="宋体" w:cs="宋体"/>
          <w:b/>
          <w:bCs/>
          <w:color w:val="0000FF"/>
          <w:szCs w:val="21"/>
          <w:lang w:val="en-US" w:eastAsia="zh-CN"/>
        </w:rPr>
        <w:t>、响应分项报价表</w:t>
      </w:r>
    </w:p>
    <w:p w14:paraId="337362D8">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4</w:t>
      </w:r>
      <w:r>
        <w:rPr>
          <w:rFonts w:ascii="宋体" w:hAnsi="宋体" w:cs="宋体"/>
          <w:b/>
          <w:bCs/>
          <w:color w:val="0000FF"/>
          <w:szCs w:val="21"/>
          <w:lang w:val="en-US" w:eastAsia="zh-CN"/>
        </w:rPr>
        <w:t>、技术规格偏离表</w:t>
      </w:r>
    </w:p>
    <w:p w14:paraId="59ACF367">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5</w:t>
      </w:r>
      <w:r>
        <w:rPr>
          <w:rFonts w:ascii="宋体" w:hAnsi="宋体" w:cs="宋体"/>
          <w:b/>
          <w:bCs/>
          <w:color w:val="0000FF"/>
          <w:szCs w:val="21"/>
          <w:lang w:val="en-US" w:eastAsia="zh-CN"/>
        </w:rPr>
        <w:t>、商务条款偏离表</w:t>
      </w:r>
    </w:p>
    <w:p w14:paraId="07F97836">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6</w:t>
      </w:r>
      <w:r>
        <w:rPr>
          <w:rFonts w:ascii="宋体" w:hAnsi="宋体" w:cs="宋体"/>
          <w:b/>
          <w:bCs/>
          <w:color w:val="0000FF"/>
          <w:szCs w:val="21"/>
          <w:lang w:val="en-US" w:eastAsia="zh-CN"/>
        </w:rPr>
        <w:t>、供应商基本情况表</w:t>
      </w:r>
    </w:p>
    <w:p w14:paraId="13396455">
      <w:pPr>
        <w:spacing w:line="600" w:lineRule="auto"/>
        <w:ind w:firstLine="285"/>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7、评分标准和细则中商务部分证明材料</w:t>
      </w:r>
    </w:p>
    <w:p w14:paraId="5CA6E6BF">
      <w:pPr>
        <w:spacing w:line="600" w:lineRule="auto"/>
        <w:ind w:firstLine="285"/>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8、评分标准和细则中技术部分证明材料</w:t>
      </w:r>
    </w:p>
    <w:p w14:paraId="418FA296">
      <w:pPr>
        <w:spacing w:line="600" w:lineRule="auto"/>
        <w:ind w:firstLine="285"/>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9、供应商认为有必要提供的其他证明材料</w:t>
      </w:r>
    </w:p>
    <w:p w14:paraId="4FD45DE2">
      <w:pPr>
        <w:spacing w:line="600" w:lineRule="auto"/>
        <w:ind w:firstLine="420"/>
        <w:rPr>
          <w:rFonts w:ascii="宋体" w:hAnsi="宋体" w:eastAsia="宋体" w:cs="宋体"/>
          <w:b/>
          <w:bCs/>
          <w:color w:val="0000FF"/>
          <w:szCs w:val="21"/>
          <w:highlight w:val="none"/>
          <w:lang w:eastAsia="zh-CN"/>
        </w:rPr>
      </w:pPr>
      <w:r>
        <w:rPr>
          <w:rFonts w:ascii="宋体" w:hAnsi="宋体" w:cs="宋体"/>
          <w:b/>
          <w:bCs/>
          <w:color w:val="0000FF"/>
          <w:kern w:val="0"/>
          <w:szCs w:val="21"/>
          <w:u w:val="single"/>
        </w:rPr>
        <w:t>注：以上材料须</w:t>
      </w:r>
      <w:r>
        <w:rPr>
          <w:rFonts w:ascii="宋体" w:hAnsi="宋体" w:cs="宋体"/>
          <w:b/>
          <w:bCs/>
          <w:color w:val="0000FF"/>
          <w:kern w:val="0"/>
          <w:szCs w:val="21"/>
          <w:u w:val="single"/>
          <w:lang w:eastAsia="zh-CN"/>
        </w:rPr>
        <w:t>逐页</w:t>
      </w:r>
      <w:r>
        <w:rPr>
          <w:rFonts w:ascii="宋体" w:hAnsi="宋体" w:cs="宋体"/>
          <w:b/>
          <w:bCs/>
          <w:color w:val="0000FF"/>
          <w:kern w:val="0"/>
          <w:szCs w:val="21"/>
          <w:u w:val="single"/>
        </w:rPr>
        <w:t>加盖单位公章</w:t>
      </w:r>
      <w:r>
        <w:rPr>
          <w:rFonts w:ascii="宋体" w:hAnsi="宋体" w:cs="宋体"/>
          <w:b/>
          <w:bCs/>
          <w:color w:val="0000FF"/>
          <w:kern w:val="0"/>
          <w:szCs w:val="21"/>
          <w:u w:val="single"/>
          <w:lang w:eastAsia="zh-CN"/>
        </w:rPr>
        <w:t>。</w:t>
      </w:r>
    </w:p>
    <w:p w14:paraId="4A8DB78E">
      <w:pPr>
        <w:numPr>
          <w:ilvl w:val="0"/>
          <w:numId w:val="0"/>
        </w:numPr>
        <w:spacing w:line="360" w:lineRule="auto"/>
        <w:ind w:left="0" w:firstLine="0"/>
        <w:jc w:val="both"/>
        <w:rPr>
          <w:rFonts w:ascii="宋体" w:hAnsi="宋体" w:eastAsia="宋体" w:cs="宋体"/>
          <w:b/>
          <w:bCs/>
          <w:color w:val="000000"/>
          <w:sz w:val="24"/>
          <w:szCs w:val="24"/>
          <w:highlight w:val="none"/>
          <w:lang w:val="en-US" w:eastAsia="zh-CN"/>
        </w:rPr>
      </w:pPr>
    </w:p>
    <w:p w14:paraId="59D63392">
      <w:pPr>
        <w:numPr>
          <w:ilvl w:val="0"/>
          <w:numId w:val="0"/>
        </w:numPr>
        <w:spacing w:line="360" w:lineRule="auto"/>
        <w:ind w:left="0" w:firstLine="0"/>
        <w:jc w:val="both"/>
        <w:rPr>
          <w:rFonts w:ascii="宋体" w:hAnsi="宋体" w:eastAsia="宋体" w:cs="宋体"/>
          <w:b/>
          <w:bCs/>
          <w:color w:val="000000"/>
          <w:sz w:val="24"/>
          <w:szCs w:val="24"/>
          <w:highlight w:val="none"/>
          <w:lang w:val="en-US" w:eastAsia="zh-CN"/>
        </w:rPr>
      </w:pPr>
      <w:r>
        <w:rPr>
          <w:rFonts w:ascii="宋体" w:hAnsi="宋体" w:cs="宋体"/>
          <w:b/>
          <w:bCs/>
          <w:color w:val="000000"/>
          <w:sz w:val="24"/>
          <w:szCs w:val="24"/>
          <w:lang w:val="en-US" w:eastAsia="zh-CN"/>
        </w:rPr>
        <w:t>注：</w:t>
      </w:r>
    </w:p>
    <w:p w14:paraId="4E2E5CA9">
      <w:pPr>
        <w:numPr>
          <w:ilvl w:val="0"/>
          <w:numId w:val="0"/>
        </w:numPr>
        <w:spacing w:line="480" w:lineRule="auto"/>
        <w:ind w:left="0" w:firstLine="0"/>
        <w:jc w:val="both"/>
        <w:rPr>
          <w:rFonts w:ascii="宋体" w:hAnsi="宋体" w:eastAsia="宋体" w:cs="宋体"/>
          <w:b/>
          <w:bCs/>
          <w:color w:val="000000"/>
          <w:sz w:val="24"/>
          <w:szCs w:val="24"/>
          <w:highlight w:val="none"/>
          <w:lang w:val="en-US" w:eastAsia="zh-CN"/>
        </w:rPr>
      </w:pPr>
      <w:r>
        <w:rPr>
          <w:rFonts w:ascii="宋体" w:hAnsi="宋体" w:eastAsia="宋体" w:cs="宋体"/>
          <w:b/>
          <w:bCs/>
          <w:color w:val="0000FF"/>
          <w:sz w:val="21"/>
          <w:szCs w:val="21"/>
          <w:lang w:val="en-US" w:eastAsia="zh-CN"/>
        </w:rPr>
        <w:t>1</w:t>
      </w:r>
      <w:r>
        <w:rPr>
          <w:rFonts w:ascii="宋体" w:hAnsi="宋体" w:cs="宋体"/>
          <w:b/>
          <w:bCs/>
          <w:color w:val="0000FF"/>
          <w:sz w:val="21"/>
          <w:szCs w:val="21"/>
          <w:lang w:val="en-US" w:eastAsia="zh-CN"/>
        </w:rPr>
        <w:t>、为方便专家评审建议供应商编制目录对应页码。</w:t>
      </w:r>
    </w:p>
    <w:p w14:paraId="4D4C29FD">
      <w:pPr>
        <w:spacing w:line="480" w:lineRule="auto"/>
        <w:rPr>
          <w:rFonts w:ascii="宋体" w:hAnsi="宋体" w:eastAsia="宋体" w:cs="宋体"/>
          <w:b/>
          <w:bCs/>
          <w:color w:val="0000FF"/>
          <w:sz w:val="21"/>
          <w:szCs w:val="21"/>
          <w:highlight w:val="none"/>
          <w:lang w:val="en-US" w:eastAsia="zh-CN"/>
        </w:rPr>
      </w:pPr>
      <w:r>
        <w:rPr>
          <w:rFonts w:ascii="宋体" w:hAnsi="宋体" w:eastAsia="宋体" w:cs="宋体"/>
          <w:b/>
          <w:bCs/>
          <w:color w:val="0000FF"/>
          <w:sz w:val="21"/>
          <w:szCs w:val="21"/>
          <w:lang w:val="en-US" w:eastAsia="zh-CN"/>
        </w:rPr>
        <w:t>2</w:t>
      </w:r>
      <w:r>
        <w:rPr>
          <w:rFonts w:ascii="宋体" w:hAnsi="宋体" w:cs="宋体"/>
          <w:b/>
          <w:bCs/>
          <w:color w:val="0000FF"/>
          <w:sz w:val="21"/>
          <w:szCs w:val="21"/>
          <w:lang w:val="en-US" w:eastAsia="zh-CN"/>
        </w:rPr>
        <w:t>、磋商文件提供格式的请严格按照格式要求填写，未提供格式的请供应商自行编辑提供。</w:t>
      </w:r>
    </w:p>
    <w:p w14:paraId="447A75A3">
      <w:pPr>
        <w:spacing w:line="480" w:lineRule="auto"/>
        <w:rPr>
          <w:rFonts w:ascii="宋体" w:hAnsi="宋体" w:eastAsia="宋体" w:cs="宋体"/>
          <w:b/>
          <w:bCs/>
          <w:color w:val="0000FF"/>
          <w:sz w:val="21"/>
          <w:szCs w:val="21"/>
          <w:highlight w:val="none"/>
          <w:lang w:val="en-US" w:eastAsia="zh-CN"/>
        </w:rPr>
      </w:pPr>
      <w:r>
        <w:rPr>
          <w:rFonts w:ascii="宋体" w:hAnsi="宋体" w:eastAsia="宋体" w:cs="宋体"/>
          <w:b/>
          <w:bCs/>
          <w:color w:val="0000FF"/>
          <w:sz w:val="21"/>
          <w:szCs w:val="21"/>
          <w:lang w:val="en-US" w:eastAsia="zh-CN"/>
        </w:rPr>
        <w:t>3</w:t>
      </w:r>
      <w:r>
        <w:rPr>
          <w:rFonts w:ascii="宋体" w:hAnsi="宋体" w:cs="宋体"/>
          <w:b/>
          <w:bCs/>
          <w:color w:val="0000FF"/>
          <w:sz w:val="21"/>
          <w:szCs w:val="21"/>
          <w:lang w:val="en-US" w:eastAsia="zh-CN"/>
        </w:rPr>
        <w:t>、响应文件须逐页加盖供应商公章。</w:t>
      </w:r>
    </w:p>
    <w:p w14:paraId="2CA8C5FC">
      <w:pPr>
        <w:tabs>
          <w:tab w:val="left" w:pos="5580"/>
        </w:tabs>
        <w:spacing w:line="240" w:lineRule="atLeast"/>
        <w:ind w:left="1" w:firstLine="564"/>
        <w:rPr>
          <w:rFonts w:ascii="宋体" w:hAnsi="宋体" w:eastAsia="宋体" w:cs="宋体"/>
          <w:b/>
          <w:bCs/>
          <w:color w:val="000000"/>
          <w:sz w:val="24"/>
          <w:szCs w:val="21"/>
          <w:highlight w:val="none"/>
          <w:lang w:val="en-US" w:eastAsia="zh-CN"/>
        </w:rPr>
      </w:pPr>
    </w:p>
    <w:p w14:paraId="0613E8AF">
      <w:pPr>
        <w:tabs>
          <w:tab w:val="left" w:pos="5580"/>
        </w:tabs>
        <w:spacing w:line="240" w:lineRule="atLeast"/>
        <w:ind w:left="1" w:firstLine="564"/>
        <w:rPr>
          <w:rFonts w:ascii="宋体" w:hAnsi="宋体" w:eastAsia="宋体" w:cs="宋体"/>
          <w:color w:val="000000"/>
          <w:sz w:val="24"/>
          <w:highlight w:val="none"/>
        </w:rPr>
      </w:pPr>
    </w:p>
    <w:p w14:paraId="1E1BE429">
      <w:pPr>
        <w:tabs>
          <w:tab w:val="left" w:pos="5580"/>
        </w:tabs>
        <w:spacing w:line="240" w:lineRule="atLeast"/>
        <w:ind w:left="1" w:firstLine="564"/>
        <w:rPr>
          <w:rFonts w:ascii="宋体" w:hAnsi="宋体" w:eastAsia="宋体" w:cs="宋体"/>
          <w:color w:val="000000"/>
          <w:sz w:val="24"/>
          <w:highlight w:val="none"/>
        </w:rPr>
      </w:pPr>
    </w:p>
    <w:p w14:paraId="3CE39202">
      <w:pPr>
        <w:tabs>
          <w:tab w:val="left" w:pos="5580"/>
        </w:tabs>
        <w:spacing w:line="240" w:lineRule="atLeast"/>
        <w:ind w:left="1" w:firstLine="564"/>
        <w:rPr>
          <w:rFonts w:ascii="宋体" w:hAnsi="宋体" w:eastAsia="宋体" w:cs="宋体"/>
          <w:color w:val="000000"/>
          <w:sz w:val="24"/>
          <w:highlight w:val="none"/>
        </w:rPr>
      </w:pPr>
    </w:p>
    <w:p w14:paraId="24BAA92E">
      <w:pPr>
        <w:tabs>
          <w:tab w:val="left" w:pos="5580"/>
        </w:tabs>
        <w:spacing w:line="240" w:lineRule="atLeast"/>
        <w:ind w:left="1" w:firstLine="564"/>
        <w:rPr>
          <w:rFonts w:ascii="宋体" w:hAnsi="宋体" w:eastAsia="宋体" w:cs="宋体"/>
          <w:color w:val="000000"/>
          <w:sz w:val="24"/>
          <w:highlight w:val="none"/>
        </w:rPr>
      </w:pPr>
    </w:p>
    <w:p w14:paraId="62F1182C">
      <w:pPr>
        <w:tabs>
          <w:tab w:val="left" w:pos="5580"/>
        </w:tabs>
        <w:spacing w:line="240" w:lineRule="atLeast"/>
        <w:ind w:left="1" w:firstLine="564"/>
        <w:rPr>
          <w:rFonts w:ascii="宋体" w:hAnsi="宋体" w:eastAsia="宋体" w:cs="宋体"/>
          <w:color w:val="000000"/>
          <w:sz w:val="24"/>
          <w:highlight w:val="none"/>
        </w:rPr>
      </w:pPr>
    </w:p>
    <w:p w14:paraId="4BFABE37">
      <w:pPr>
        <w:tabs>
          <w:tab w:val="left" w:pos="5580"/>
        </w:tabs>
        <w:spacing w:line="240" w:lineRule="atLeast"/>
        <w:ind w:left="1" w:firstLine="564"/>
        <w:rPr>
          <w:rFonts w:ascii="宋体" w:hAnsi="宋体" w:eastAsia="宋体" w:cs="宋体"/>
          <w:color w:val="000000"/>
          <w:sz w:val="24"/>
          <w:highlight w:val="none"/>
        </w:rPr>
      </w:pPr>
    </w:p>
    <w:p w14:paraId="294C4CA9">
      <w:pPr>
        <w:tabs>
          <w:tab w:val="left" w:pos="5580"/>
        </w:tabs>
        <w:spacing w:line="240" w:lineRule="atLeast"/>
        <w:ind w:left="1" w:firstLine="564"/>
        <w:rPr>
          <w:rFonts w:ascii="宋体" w:hAnsi="宋体" w:eastAsia="宋体" w:cs="宋体"/>
          <w:color w:val="000000"/>
          <w:sz w:val="24"/>
          <w:highlight w:val="none"/>
        </w:rPr>
      </w:pPr>
    </w:p>
    <w:p w14:paraId="51958600">
      <w:pPr>
        <w:tabs>
          <w:tab w:val="left" w:pos="5580"/>
        </w:tabs>
        <w:spacing w:line="240" w:lineRule="atLeast"/>
        <w:ind w:left="1" w:firstLine="564"/>
        <w:rPr>
          <w:rFonts w:ascii="宋体" w:hAnsi="宋体" w:eastAsia="宋体" w:cs="宋体"/>
          <w:color w:val="000000"/>
          <w:sz w:val="24"/>
          <w:highlight w:val="none"/>
        </w:rPr>
      </w:pPr>
    </w:p>
    <w:p w14:paraId="38B992FE">
      <w:pPr>
        <w:tabs>
          <w:tab w:val="left" w:pos="5580"/>
        </w:tabs>
        <w:spacing w:line="240" w:lineRule="atLeast"/>
        <w:ind w:left="1" w:firstLine="564"/>
        <w:rPr>
          <w:rFonts w:ascii="宋体" w:hAnsi="宋体" w:eastAsia="宋体" w:cs="宋体"/>
          <w:color w:val="000000"/>
          <w:sz w:val="24"/>
          <w:highlight w:val="none"/>
        </w:rPr>
      </w:pPr>
    </w:p>
    <w:p w14:paraId="1311FF4A">
      <w:pPr>
        <w:tabs>
          <w:tab w:val="left" w:pos="5580"/>
        </w:tabs>
        <w:spacing w:line="240" w:lineRule="atLeast"/>
        <w:ind w:left="1" w:firstLine="564"/>
        <w:rPr>
          <w:rFonts w:ascii="宋体" w:hAnsi="宋体" w:eastAsia="宋体" w:cs="宋体"/>
          <w:color w:val="000000"/>
          <w:sz w:val="24"/>
          <w:highlight w:val="none"/>
        </w:rPr>
      </w:pPr>
    </w:p>
    <w:p w14:paraId="20D4B2CB">
      <w:pPr>
        <w:tabs>
          <w:tab w:val="left" w:pos="5580"/>
        </w:tabs>
        <w:spacing w:line="240" w:lineRule="atLeast"/>
        <w:ind w:left="1" w:firstLine="564"/>
        <w:rPr>
          <w:rFonts w:ascii="宋体" w:hAnsi="宋体" w:eastAsia="宋体" w:cs="宋体"/>
          <w:color w:val="000000"/>
          <w:sz w:val="24"/>
          <w:highlight w:val="none"/>
        </w:rPr>
      </w:pPr>
    </w:p>
    <w:p w14:paraId="0DCF594D">
      <w:pPr>
        <w:tabs>
          <w:tab w:val="left" w:pos="5580"/>
        </w:tabs>
        <w:spacing w:line="240" w:lineRule="atLeast"/>
        <w:ind w:left="1" w:firstLine="564"/>
        <w:rPr>
          <w:rFonts w:ascii="宋体" w:hAnsi="宋体" w:eastAsia="宋体" w:cs="宋体"/>
          <w:color w:val="000000"/>
          <w:sz w:val="24"/>
          <w:highlight w:val="none"/>
        </w:rPr>
      </w:pPr>
    </w:p>
    <w:p w14:paraId="6F79A689">
      <w:pPr>
        <w:pStyle w:val="8"/>
        <w:rPr>
          <w:rFonts w:ascii="宋体" w:hAnsi="宋体" w:eastAsia="宋体" w:cs="宋体"/>
          <w:color w:val="000000"/>
          <w:sz w:val="24"/>
          <w:highlight w:val="none"/>
        </w:rPr>
      </w:pPr>
    </w:p>
    <w:p w14:paraId="432A116A"/>
    <w:p w14:paraId="63FFD7CE">
      <w:pPr>
        <w:pStyle w:val="3"/>
        <w:numPr>
          <w:ilvl w:val="0"/>
          <w:numId w:val="0"/>
        </w:numPr>
        <w:spacing w:before="0" w:after="0" w:line="240" w:lineRule="atLeast"/>
        <w:ind w:left="0" w:firstLine="0"/>
        <w:rPr>
          <w:rFonts w:ascii="宋体" w:hAnsi="宋体" w:eastAsia="宋体" w:cs="宋体"/>
          <w:b/>
          <w:bCs/>
          <w:color w:val="000000"/>
          <w:sz w:val="24"/>
          <w:highlight w:val="none"/>
        </w:rPr>
      </w:pPr>
    </w:p>
    <w:p w14:paraId="6CD8100C">
      <w:pPr>
        <w:pStyle w:val="3"/>
        <w:numPr>
          <w:ilvl w:val="0"/>
          <w:numId w:val="0"/>
        </w:numPr>
        <w:spacing w:before="0" w:after="0" w:line="240" w:lineRule="atLeast"/>
        <w:ind w:left="0" w:firstLine="0"/>
        <w:rPr>
          <w:rFonts w:ascii="宋体" w:hAnsi="宋体" w:eastAsia="宋体" w:cs="宋体"/>
          <w:b/>
          <w:bCs/>
          <w:color w:val="000000"/>
          <w:sz w:val="24"/>
          <w:highlight w:val="none"/>
          <w:lang w:val="en-US" w:eastAsia="zh-CN"/>
        </w:rPr>
      </w:pPr>
      <w:r>
        <w:rPr>
          <w:rFonts w:ascii="宋体" w:hAnsi="宋体" w:cs="宋体"/>
          <w:b/>
          <w:bCs/>
          <w:color w:val="000000"/>
          <w:sz w:val="24"/>
        </w:rPr>
        <w:t>响应文件格式</w:t>
      </w:r>
      <w:r>
        <w:rPr>
          <w:rFonts w:ascii="宋体" w:hAnsi="宋体" w:eastAsia="宋体" w:cs="宋体"/>
          <w:b/>
          <w:bCs/>
          <w:color w:val="000000"/>
          <w:sz w:val="24"/>
          <w:lang w:val="en-US" w:eastAsia="zh-CN"/>
        </w:rPr>
        <w:t>1</w:t>
      </w:r>
    </w:p>
    <w:p w14:paraId="2178E42A">
      <w:pPr>
        <w:rPr>
          <w:rFonts w:ascii="宋体" w:hAnsi="宋体" w:eastAsia="宋体" w:cs="宋体"/>
          <w:b/>
          <w:bCs/>
          <w:color w:val="000000"/>
          <w:sz w:val="24"/>
          <w:highlight w:val="none"/>
          <w:lang w:val="en-US" w:eastAsia="zh-CN"/>
        </w:rPr>
      </w:pPr>
    </w:p>
    <w:p w14:paraId="28C7F780">
      <w:pPr>
        <w:pStyle w:val="3"/>
        <w:numPr>
          <w:ilvl w:val="0"/>
          <w:numId w:val="0"/>
        </w:numPr>
        <w:spacing w:before="0" w:after="0" w:line="360" w:lineRule="auto"/>
        <w:ind w:left="0" w:firstLine="0"/>
        <w:jc w:val="center"/>
        <w:rPr>
          <w:rFonts w:ascii="宋体" w:hAnsi="宋体" w:eastAsia="宋体" w:cs="宋体"/>
          <w:b w:val="0"/>
          <w:color w:val="000000"/>
          <w:sz w:val="24"/>
          <w:highlight w:val="none"/>
          <w:u w:val="single"/>
        </w:rPr>
      </w:pPr>
      <w:r>
        <w:rPr>
          <w:rFonts w:ascii="宋体" w:hAnsi="宋体" w:cs="宋体"/>
          <w:b/>
          <w:bCs/>
          <w:color w:val="000000"/>
          <w:sz w:val="24"/>
        </w:rPr>
        <w:t>法定代表人资格证明书</w:t>
      </w:r>
      <w:r>
        <w:rPr>
          <w:rFonts w:ascii="宋体" w:hAnsi="宋体" w:cs="宋体"/>
          <w:b/>
          <w:bCs/>
          <w:color w:val="000000"/>
          <w:sz w:val="24"/>
          <w:lang w:eastAsia="zh-CN"/>
        </w:rPr>
        <w:t>（</w:t>
      </w:r>
      <w:r>
        <w:rPr>
          <w:rFonts w:ascii="宋体" w:hAnsi="宋体" w:cs="宋体"/>
          <w:b/>
          <w:bCs/>
          <w:color w:val="000000"/>
          <w:sz w:val="24"/>
        </w:rPr>
        <w:t>自然人响应的无需提供</w:t>
      </w:r>
      <w:r>
        <w:rPr>
          <w:rFonts w:ascii="宋体" w:hAnsi="宋体" w:cs="宋体"/>
          <w:b/>
          <w:bCs/>
          <w:color w:val="000000"/>
          <w:sz w:val="24"/>
          <w:lang w:eastAsia="zh-CN"/>
        </w:rPr>
        <w:t>）</w:t>
      </w:r>
    </w:p>
    <w:p w14:paraId="42564CE8">
      <w:pPr>
        <w:snapToGrid w:val="0"/>
        <w:spacing w:before="240" w:after="240" w:line="360" w:lineRule="auto"/>
        <w:rPr>
          <w:rFonts w:ascii="宋体" w:hAnsi="宋体" w:eastAsia="宋体" w:cs="宋体"/>
          <w:color w:val="000000"/>
          <w:sz w:val="21"/>
          <w:szCs w:val="21"/>
          <w:highlight w:val="none"/>
        </w:rPr>
      </w:pPr>
      <w:r>
        <w:rPr>
          <w:rFonts w:ascii="宋体" w:hAnsi="宋体" w:cs="宋体"/>
          <w:color w:val="000000"/>
          <w:sz w:val="21"/>
          <w:szCs w:val="21"/>
        </w:rPr>
        <w:t>致：</w:t>
      </w:r>
    </w:p>
    <w:p w14:paraId="3213DF4B">
      <w:pPr>
        <w:spacing w:line="360" w:lineRule="auto"/>
        <w:rPr>
          <w:rFonts w:ascii="宋体" w:hAnsi="宋体" w:eastAsia="宋体" w:cs="宋体"/>
          <w:color w:val="000000"/>
          <w:sz w:val="21"/>
          <w:szCs w:val="21"/>
          <w:highlight w:val="none"/>
        </w:rPr>
      </w:pPr>
      <w:r>
        <w:rPr>
          <w:rFonts w:ascii="宋体" w:hAnsi="宋体" w:eastAsia="宋体" w:cs="宋体"/>
          <w:color w:val="000000"/>
          <w:sz w:val="21"/>
          <w:szCs w:val="21"/>
        </w:rPr>
        <w:t xml:space="preserve">     </w:t>
      </w:r>
      <w:r>
        <w:rPr>
          <w:rFonts w:ascii="宋体" w:hAnsi="宋体" w:eastAsia="宋体" w:cs="宋体"/>
          <w:color w:val="000000"/>
          <w:sz w:val="21"/>
          <w:szCs w:val="21"/>
          <w:u w:val="single"/>
        </w:rPr>
        <w:t xml:space="preserve">          </w:t>
      </w:r>
      <w:r>
        <w:rPr>
          <w:rFonts w:ascii="宋体" w:hAnsi="宋体" w:cs="宋体"/>
          <w:color w:val="000000"/>
          <w:sz w:val="21"/>
          <w:szCs w:val="21"/>
        </w:rPr>
        <w:t>同志，现任我单位</w:t>
      </w:r>
      <w:r>
        <w:rPr>
          <w:rFonts w:ascii="宋体" w:hAnsi="宋体" w:cs="宋体"/>
          <w:color w:val="000000"/>
          <w:sz w:val="21"/>
          <w:szCs w:val="21"/>
          <w:u w:val="single"/>
        </w:rPr>
        <w:t xml:space="preserve">          </w:t>
      </w:r>
      <w:r>
        <w:rPr>
          <w:rFonts w:ascii="宋体" w:hAnsi="宋体" w:cs="宋体"/>
          <w:color w:val="000000"/>
          <w:sz w:val="21"/>
          <w:szCs w:val="21"/>
        </w:rPr>
        <w:t>职务，为法定代表人，特此证明。</w:t>
      </w:r>
    </w:p>
    <w:p w14:paraId="39611A58">
      <w:pPr>
        <w:spacing w:line="360" w:lineRule="auto"/>
        <w:ind w:firstLine="210"/>
        <w:rPr>
          <w:rFonts w:ascii="宋体" w:hAnsi="宋体" w:eastAsia="宋体" w:cs="宋体"/>
          <w:color w:val="000000"/>
          <w:sz w:val="21"/>
          <w:szCs w:val="21"/>
          <w:highlight w:val="none"/>
        </w:rPr>
      </w:pPr>
      <w:r>
        <w:rPr>
          <w:rFonts w:ascii="宋体" w:hAnsi="宋体" w:cs="宋体"/>
          <w:color w:val="000000"/>
          <w:sz w:val="21"/>
          <w:szCs w:val="21"/>
          <w:lang w:val="en-US" w:eastAsia="zh-CN"/>
        </w:rPr>
        <w:t>营业执照成立日期</w:t>
      </w:r>
      <w:r>
        <w:rPr>
          <w:rFonts w:ascii="宋体" w:hAnsi="宋体" w:cs="宋体"/>
          <w:color w:val="000000"/>
          <w:sz w:val="21"/>
          <w:szCs w:val="21"/>
        </w:rPr>
        <w:t xml:space="preserve">：          单位：          </w:t>
      </w:r>
    </w:p>
    <w:p w14:paraId="4F55C355">
      <w:pPr>
        <w:spacing w:line="360" w:lineRule="auto"/>
        <w:ind w:firstLine="210"/>
        <w:rPr>
          <w:rFonts w:ascii="宋体" w:hAnsi="宋体" w:eastAsia="宋体" w:cs="宋体"/>
          <w:color w:val="000000"/>
          <w:sz w:val="21"/>
          <w:szCs w:val="21"/>
          <w:highlight w:val="none"/>
        </w:rPr>
      </w:pPr>
      <w:r>
        <w:rPr>
          <w:rFonts w:ascii="宋体" w:hAnsi="宋体" w:cs="宋体"/>
          <w:color w:val="000000"/>
          <w:sz w:val="21"/>
          <w:szCs w:val="21"/>
        </w:rPr>
        <w:t>附：代表人性别：            年龄：           身份证号码：</w:t>
      </w:r>
    </w:p>
    <w:p w14:paraId="097EED38">
      <w:pPr>
        <w:spacing w:line="360" w:lineRule="auto"/>
        <w:ind w:firstLine="210"/>
        <w:rPr>
          <w:rFonts w:ascii="宋体" w:hAnsi="宋体" w:eastAsia="宋体" w:cs="宋体"/>
          <w:color w:val="000000"/>
          <w:sz w:val="21"/>
          <w:szCs w:val="21"/>
          <w:highlight w:val="none"/>
        </w:rPr>
      </w:pPr>
      <w:r>
        <w:rPr>
          <w:rFonts w:ascii="宋体" w:hAnsi="宋体" w:cs="宋体"/>
          <w:color w:val="000000"/>
          <w:sz w:val="21"/>
          <w:szCs w:val="21"/>
        </w:rPr>
        <w:t>联系电话：</w:t>
      </w:r>
    </w:p>
    <w:p w14:paraId="4EAEA046">
      <w:pPr>
        <w:spacing w:line="360" w:lineRule="auto"/>
        <w:ind w:firstLine="210"/>
        <w:rPr>
          <w:rFonts w:ascii="宋体" w:hAnsi="宋体" w:eastAsia="宋体" w:cs="宋体"/>
          <w:color w:val="000000"/>
          <w:sz w:val="21"/>
          <w:szCs w:val="21"/>
          <w:highlight w:val="none"/>
        </w:rPr>
      </w:pPr>
      <w:r>
        <w:rPr>
          <w:rFonts w:ascii="宋体" w:hAnsi="宋体" w:cs="宋体"/>
          <w:color w:val="000000"/>
          <w:sz w:val="21"/>
          <w:szCs w:val="21"/>
        </w:rPr>
        <w:t>营业执照号码：              经济性质：</w:t>
      </w:r>
    </w:p>
    <w:p w14:paraId="6EE7A8A3">
      <w:pPr>
        <w:spacing w:line="360" w:lineRule="auto"/>
        <w:rPr>
          <w:rFonts w:ascii="宋体" w:hAnsi="宋体" w:eastAsia="宋体" w:cs="宋体"/>
          <w:color w:val="000000"/>
          <w:sz w:val="21"/>
          <w:szCs w:val="21"/>
          <w:highlight w:val="none"/>
        </w:rPr>
      </w:pPr>
      <w:r>
        <w:rPr>
          <w:rFonts w:ascii="宋体" w:hAnsi="宋体" w:cs="宋体"/>
          <w:color w:val="000000"/>
          <w:sz w:val="21"/>
          <w:szCs w:val="21"/>
        </w:rPr>
        <w:t>说明：</w:t>
      </w:r>
    </w:p>
    <w:p w14:paraId="14500F5D">
      <w:pPr>
        <w:spacing w:line="360" w:lineRule="auto"/>
        <w:ind w:firstLine="210"/>
        <w:rPr>
          <w:rFonts w:ascii="宋体" w:hAnsi="宋体" w:eastAsia="宋体" w:cs="宋体"/>
          <w:color w:val="000000"/>
          <w:sz w:val="21"/>
          <w:szCs w:val="21"/>
          <w:highlight w:val="none"/>
        </w:rPr>
      </w:pPr>
      <w:r>
        <w:rPr>
          <w:rFonts w:ascii="宋体" w:hAnsi="宋体" w:eastAsia="宋体" w:cs="宋体"/>
          <w:color w:val="000000"/>
          <w:sz w:val="21"/>
          <w:szCs w:val="21"/>
        </w:rPr>
        <w:t>1</w:t>
      </w:r>
      <w:r>
        <w:rPr>
          <w:rFonts w:ascii="宋体" w:hAnsi="宋体" w:cs="宋体"/>
          <w:color w:val="000000"/>
          <w:sz w:val="21"/>
          <w:szCs w:val="21"/>
        </w:rPr>
        <w:t>、法定代表人为企业事业单位、国家机关、社会团体的主要行政负责人。</w:t>
      </w:r>
    </w:p>
    <w:p w14:paraId="212C9CA7">
      <w:pPr>
        <w:spacing w:line="360" w:lineRule="auto"/>
        <w:rPr>
          <w:rFonts w:ascii="宋体" w:hAnsi="宋体" w:eastAsia="宋体" w:cs="宋体"/>
          <w:color w:val="000000"/>
          <w:sz w:val="21"/>
          <w:szCs w:val="21"/>
          <w:highlight w:val="none"/>
        </w:rPr>
      </w:pPr>
      <w:r>
        <w:rPr>
          <w:rFonts w:ascii="宋体" w:hAnsi="宋体" w:eastAsia="宋体" w:cs="宋体"/>
          <w:color w:val="000000"/>
          <w:sz w:val="21"/>
          <w:szCs w:val="21"/>
        </w:rPr>
        <w:t xml:space="preserve">  2</w:t>
      </w:r>
      <w:r>
        <w:rPr>
          <w:rFonts w:ascii="宋体" w:hAnsi="宋体" w:cs="宋体"/>
          <w:color w:val="000000"/>
          <w:sz w:val="21"/>
          <w:szCs w:val="21"/>
        </w:rPr>
        <w:t>、内容必须填写真实、清楚、涂改无效，不得转让。</w:t>
      </w:r>
    </w:p>
    <w:p w14:paraId="31189711">
      <w:pPr>
        <w:spacing w:line="360" w:lineRule="auto"/>
        <w:ind w:firstLine="210"/>
        <w:rPr>
          <w:rFonts w:ascii="宋体" w:hAnsi="宋体" w:eastAsia="宋体" w:cs="宋体"/>
          <w:color w:val="000000"/>
          <w:sz w:val="21"/>
          <w:szCs w:val="21"/>
          <w:highlight w:val="none"/>
        </w:rPr>
      </w:pPr>
      <w:r>
        <w:rPr>
          <w:rFonts w:ascii="宋体" w:hAnsi="宋体" w:eastAsia="宋体" w:cs="宋体"/>
          <w:color w:val="000000"/>
          <w:sz w:val="21"/>
          <w:szCs w:val="21"/>
        </w:rPr>
        <w:t>3</w:t>
      </w:r>
      <w:r>
        <w:rPr>
          <w:rFonts w:ascii="宋体" w:hAnsi="宋体" w:cs="宋体"/>
          <w:color w:val="000000"/>
          <w:sz w:val="21"/>
          <w:szCs w:val="21"/>
        </w:rPr>
        <w:t>、将此证明书原件提交采购代理机构作为响应文件附件。</w:t>
      </w:r>
    </w:p>
    <w:p w14:paraId="7BB7DC68">
      <w:pPr>
        <w:spacing w:line="360" w:lineRule="auto"/>
        <w:rPr>
          <w:rFonts w:ascii="宋体" w:hAnsi="宋体" w:eastAsia="宋体" w:cs="宋体"/>
          <w:color w:val="000000"/>
          <w:sz w:val="21"/>
          <w:szCs w:val="21"/>
          <w:highlight w:val="none"/>
        </w:rPr>
      </w:pPr>
      <w:r>
        <w:rPr>
          <w:rFonts w:ascii="宋体" w:hAnsi="宋体" w:eastAsia="宋体" w:cs="宋体"/>
          <w:color w:val="000000"/>
          <w:sz w:val="21"/>
          <w:szCs w:val="21"/>
        </w:rPr>
        <w:t xml:space="preserve">  (</w:t>
      </w:r>
      <w:r>
        <w:rPr>
          <w:rFonts w:ascii="宋体" w:hAnsi="宋体" w:cs="宋体"/>
          <w:color w:val="000000"/>
          <w:sz w:val="21"/>
          <w:szCs w:val="21"/>
        </w:rPr>
        <w:t>为避免无效响应，请供应商务必提供本附件</w:t>
      </w:r>
      <w:r>
        <w:rPr>
          <w:rFonts w:ascii="宋体" w:hAnsi="宋体" w:eastAsia="宋体" w:cs="宋体"/>
          <w:color w:val="000000"/>
          <w:sz w:val="21"/>
          <w:szCs w:val="21"/>
        </w:rPr>
        <w:t>)</w:t>
      </w:r>
    </w:p>
    <w:p w14:paraId="4B581EA2">
      <w:pPr>
        <w:spacing w:line="360" w:lineRule="auto"/>
        <w:rPr>
          <w:rFonts w:ascii="宋体" w:hAnsi="宋体" w:eastAsia="宋体" w:cs="宋体"/>
          <w:color w:val="000000"/>
          <w:sz w:val="24"/>
          <w:szCs w:val="24"/>
          <w:highlight w:val="none"/>
        </w:rPr>
      </w:pPr>
    </w:p>
    <w:p w14:paraId="10CD6046">
      <w:pPr>
        <w:spacing w:line="360" w:lineRule="auto"/>
        <w:rPr>
          <w:rFonts w:ascii="宋体" w:hAnsi="宋体" w:eastAsia="宋体" w:cs="宋体"/>
          <w:color w:val="000000"/>
          <w:sz w:val="24"/>
          <w:szCs w:val="24"/>
          <w:highlight w:val="none"/>
        </w:rPr>
      </w:pPr>
      <w:r>
        <w:rPr>
          <w:rFonts w:ascii="宋体" w:hAnsi="宋体" w:eastAsia="宋体" w:cs="宋体"/>
          <w:color w:val="000000"/>
          <w:sz w:val="24"/>
          <w:szCs w:val="24"/>
        </w:rPr>
        <mc:AlternateContent>
          <mc:Choice Requires="wps">
            <w:drawing>
              <wp:anchor distT="0" distB="0" distL="114935" distR="114935" simplePos="0" relativeHeight="251660288" behindDoc="0" locked="0" layoutInCell="0" allowOverlap="1">
                <wp:simplePos x="0" y="0"/>
                <wp:positionH relativeFrom="column">
                  <wp:posOffset>398780</wp:posOffset>
                </wp:positionH>
                <wp:positionV relativeFrom="paragraph">
                  <wp:posOffset>38100</wp:posOffset>
                </wp:positionV>
                <wp:extent cx="2333625" cy="1584325"/>
                <wp:effectExtent l="5715" t="5715" r="5080" b="5080"/>
                <wp:wrapNone/>
                <wp:docPr id="11" name="流程图: 可选过程 10"/>
                <wp:cNvGraphicFramePr/>
                <a:graphic xmlns:a="http://schemas.openxmlformats.org/drawingml/2006/main">
                  <a:graphicData uri="http://schemas.microsoft.com/office/word/2010/wordprocessingShape">
                    <wps:wsp>
                      <wps:cNvSpPr/>
                      <wps:spPr>
                        <a:xfrm>
                          <a:off x="0" y="0"/>
                          <a:ext cx="2333520" cy="158436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6042BF71">
                            <w:pPr>
                              <w:overflowPunct w:val="0"/>
                              <w:bidi w:val="0"/>
                              <w:jc w:val="center"/>
                            </w:pPr>
                          </w:p>
                          <w:p w14:paraId="3C0DD2E8">
                            <w:pPr>
                              <w:overflowPunct w:val="0"/>
                              <w:bidi w:val="0"/>
                              <w:jc w:val="center"/>
                            </w:pPr>
                          </w:p>
                          <w:p w14:paraId="57E4CB7D">
                            <w:pPr>
                              <w:overflowPunct w:val="0"/>
                              <w:bidi w:val="0"/>
                              <w:jc w:val="center"/>
                            </w:pPr>
                          </w:p>
                          <w:p w14:paraId="36C7DCC2">
                            <w:pPr>
                              <w:overflowPunct w:val="0"/>
                              <w:bidi w:val="0"/>
                              <w:jc w:val="center"/>
                            </w:pPr>
                            <w:r>
                              <w:rPr>
                                <w:rFonts w:ascii="Times New Roman" w:hAnsi="Times New Roman" w:eastAsia="宋体" w:cs="宋体"/>
                                <w:color w:val="auto"/>
                                <w:kern w:val="2"/>
                                <w:sz w:val="21"/>
                                <w:szCs w:val="21"/>
                                <w:lang w:val="en-US" w:eastAsia="zh-CN" w:bidi="ar-SA"/>
                              </w:rPr>
                              <w:t>法定代表人身份证复印件正面</w:t>
                            </w:r>
                          </w:p>
                        </w:txbxContent>
                      </wps:txbx>
                      <wps:bodyPr anchor="t">
                        <a:noAutofit/>
                      </wps:bodyPr>
                    </wps:wsp>
                  </a:graphicData>
                </a:graphic>
              </wp:anchor>
            </w:drawing>
          </mc:Choice>
          <mc:Fallback>
            <w:pict>
              <v:shape id="流程图: 可选过程 10" o:spid="_x0000_s1026" o:spt="176" type="#_x0000_t176" style="position:absolute;left:0pt;margin-left:31.4pt;margin-top:3pt;height:124.75pt;width:183.75pt;z-index:251660288;mso-width-relative:page;mso-height-relative:page;" fillcolor="#FFFFFF" filled="t" stroked="t" coordsize="21600,21600" o:allowincell="f" o:gfxdata="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avUxgdgAAAAIAQAADwAAAAAAAAABACAAAAAiAAAAZHJzL2Rvd25yZXYueG1s&#10;UEsBAhQAFAAAAAgAh07iQL8JBMn4AQAA6AMAAA4AAAAAAAAAAQAgAAAAJwEAAGRycy9lMm9Eb2Mu&#10;eG1sUEsFBgAAAAAGAAYAWQEAAJEFAAAAAA==&#10;">
                <v:fill on="t" focussize="0,0"/>
                <v:stroke weight="0.737007874015748pt" color="#000000" joinstyle="miter"/>
                <v:imagedata o:title=""/>
                <o:lock v:ext="edit" aspectratio="f"/>
                <v:textbox>
                  <w:txbxContent>
                    <w:p w14:paraId="6042BF71">
                      <w:pPr>
                        <w:overflowPunct w:val="0"/>
                        <w:bidi w:val="0"/>
                        <w:jc w:val="center"/>
                      </w:pPr>
                    </w:p>
                    <w:p w14:paraId="3C0DD2E8">
                      <w:pPr>
                        <w:overflowPunct w:val="0"/>
                        <w:bidi w:val="0"/>
                        <w:jc w:val="center"/>
                      </w:pPr>
                    </w:p>
                    <w:p w14:paraId="57E4CB7D">
                      <w:pPr>
                        <w:overflowPunct w:val="0"/>
                        <w:bidi w:val="0"/>
                        <w:jc w:val="center"/>
                      </w:pPr>
                    </w:p>
                    <w:p w14:paraId="36C7DCC2">
                      <w:pPr>
                        <w:overflowPunct w:val="0"/>
                        <w:bidi w:val="0"/>
                        <w:jc w:val="center"/>
                      </w:pPr>
                      <w:r>
                        <w:rPr>
                          <w:rFonts w:ascii="Times New Roman" w:hAnsi="Times New Roman" w:eastAsia="宋体" w:cs="宋体"/>
                          <w:color w:val="auto"/>
                          <w:kern w:val="2"/>
                          <w:sz w:val="21"/>
                          <w:szCs w:val="21"/>
                          <w:lang w:val="en-US" w:eastAsia="zh-CN" w:bidi="ar-SA"/>
                        </w:rPr>
                        <w:t>法定代表人身份证复印件正面</w:t>
                      </w:r>
                    </w:p>
                  </w:txbxContent>
                </v:textbox>
              </v:shape>
            </w:pict>
          </mc:Fallback>
        </mc:AlternateContent>
      </w:r>
      <w:r>
        <w:rPr>
          <w:rFonts w:ascii="宋体" w:hAnsi="宋体" w:eastAsia="宋体" w:cs="宋体"/>
          <w:color w:val="000000"/>
          <w:sz w:val="24"/>
          <w:szCs w:val="24"/>
        </w:rPr>
        <mc:AlternateContent>
          <mc:Choice Requires="wps">
            <w:drawing>
              <wp:anchor distT="0" distB="0" distL="114935" distR="114935" simplePos="0" relativeHeight="251660288" behindDoc="0" locked="0" layoutInCell="0" allowOverlap="1">
                <wp:simplePos x="0" y="0"/>
                <wp:positionH relativeFrom="column">
                  <wp:posOffset>3226435</wp:posOffset>
                </wp:positionH>
                <wp:positionV relativeFrom="paragraph">
                  <wp:posOffset>34290</wp:posOffset>
                </wp:positionV>
                <wp:extent cx="2333625" cy="1584325"/>
                <wp:effectExtent l="5715" t="5715" r="5080" b="5080"/>
                <wp:wrapNone/>
                <wp:docPr id="12" name="流程图: 可选过程 11"/>
                <wp:cNvGraphicFramePr/>
                <a:graphic xmlns:a="http://schemas.openxmlformats.org/drawingml/2006/main">
                  <a:graphicData uri="http://schemas.microsoft.com/office/word/2010/wordprocessingShape">
                    <wps:wsp>
                      <wps:cNvSpPr/>
                      <wps:spPr>
                        <a:xfrm>
                          <a:off x="0" y="0"/>
                          <a:ext cx="2333520" cy="158436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5EF39F70">
                            <w:pPr>
                              <w:overflowPunct w:val="0"/>
                              <w:bidi w:val="0"/>
                              <w:jc w:val="center"/>
                            </w:pPr>
                          </w:p>
                          <w:p w14:paraId="69DFC2CF">
                            <w:pPr>
                              <w:overflowPunct w:val="0"/>
                              <w:bidi w:val="0"/>
                              <w:jc w:val="center"/>
                            </w:pPr>
                          </w:p>
                          <w:p w14:paraId="060467A5">
                            <w:pPr>
                              <w:overflowPunct w:val="0"/>
                              <w:bidi w:val="0"/>
                              <w:jc w:val="center"/>
                            </w:pPr>
                          </w:p>
                          <w:p w14:paraId="181EA1C5">
                            <w:pPr>
                              <w:overflowPunct w:val="0"/>
                              <w:bidi w:val="0"/>
                              <w:jc w:val="center"/>
                            </w:pPr>
                            <w:r>
                              <w:rPr>
                                <w:rFonts w:ascii="Times New Roman" w:hAnsi="Times New Roman" w:eastAsia="宋体" w:cs="宋体"/>
                                <w:color w:val="auto"/>
                                <w:kern w:val="2"/>
                                <w:sz w:val="21"/>
                                <w:szCs w:val="21"/>
                                <w:lang w:val="en-US" w:eastAsia="zh-CN" w:bidi="ar-SA"/>
                              </w:rPr>
                              <w:t>法定代表人身份证复印件反面</w:t>
                            </w:r>
                          </w:p>
                        </w:txbxContent>
                      </wps:txbx>
                      <wps:bodyPr anchor="t">
                        <a:noAutofit/>
                      </wps:bodyPr>
                    </wps:wsp>
                  </a:graphicData>
                </a:graphic>
              </wp:anchor>
            </w:drawing>
          </mc:Choice>
          <mc:Fallback>
            <w:pict>
              <v:shape id="流程图: 可选过程 11" o:spid="_x0000_s1026" o:spt="176" type="#_x0000_t176" style="position:absolute;left:0pt;margin-left:254.05pt;margin-top:2.7pt;height:124.75pt;width:183.75pt;z-index:251660288;mso-width-relative:page;mso-height-relative:page;" fillcolor="#FFFFFF" filled="t" stroked="t" coordsize="21600,21600" o:allowincell="f" o:gfxdata="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HoYhR2QAAAAkBAAAPAAAAAAAAAAEAIAAAACIAAABkcnMvZG93bnJldi54&#10;bWxQSwECFAAUAAAACACHTuJAizyRtPkBAADoAwAADgAAAAAAAAABACAAAAAoAQAAZHJzL2Uyb0Rv&#10;Yy54bWxQSwUGAAAAAAYABgBZAQAAkwUAAAAA&#10;">
                <v:fill on="t" focussize="0,0"/>
                <v:stroke weight="0.737007874015748pt" color="#000000" joinstyle="miter"/>
                <v:imagedata o:title=""/>
                <o:lock v:ext="edit" aspectratio="f"/>
                <v:textbox>
                  <w:txbxContent>
                    <w:p w14:paraId="5EF39F70">
                      <w:pPr>
                        <w:overflowPunct w:val="0"/>
                        <w:bidi w:val="0"/>
                        <w:jc w:val="center"/>
                      </w:pPr>
                    </w:p>
                    <w:p w14:paraId="69DFC2CF">
                      <w:pPr>
                        <w:overflowPunct w:val="0"/>
                        <w:bidi w:val="0"/>
                        <w:jc w:val="center"/>
                      </w:pPr>
                    </w:p>
                    <w:p w14:paraId="060467A5">
                      <w:pPr>
                        <w:overflowPunct w:val="0"/>
                        <w:bidi w:val="0"/>
                        <w:jc w:val="center"/>
                      </w:pPr>
                    </w:p>
                    <w:p w14:paraId="181EA1C5">
                      <w:pPr>
                        <w:overflowPunct w:val="0"/>
                        <w:bidi w:val="0"/>
                        <w:jc w:val="center"/>
                      </w:pPr>
                      <w:r>
                        <w:rPr>
                          <w:rFonts w:ascii="Times New Roman" w:hAnsi="Times New Roman" w:eastAsia="宋体" w:cs="宋体"/>
                          <w:color w:val="auto"/>
                          <w:kern w:val="2"/>
                          <w:sz w:val="21"/>
                          <w:szCs w:val="21"/>
                          <w:lang w:val="en-US" w:eastAsia="zh-CN" w:bidi="ar-SA"/>
                        </w:rPr>
                        <w:t>法定代表人身份证复印件反面</w:t>
                      </w:r>
                    </w:p>
                  </w:txbxContent>
                </v:textbox>
              </v:shape>
            </w:pict>
          </mc:Fallback>
        </mc:AlternateContent>
      </w:r>
    </w:p>
    <w:p w14:paraId="1B970393">
      <w:pPr>
        <w:spacing w:line="360" w:lineRule="auto"/>
        <w:rPr>
          <w:rFonts w:ascii="宋体" w:hAnsi="宋体" w:eastAsia="宋体" w:cs="宋体"/>
          <w:color w:val="000000"/>
          <w:sz w:val="24"/>
          <w:szCs w:val="24"/>
          <w:highlight w:val="none"/>
        </w:rPr>
      </w:pPr>
    </w:p>
    <w:p w14:paraId="18F43790">
      <w:pPr>
        <w:spacing w:line="360" w:lineRule="auto"/>
        <w:rPr>
          <w:rFonts w:ascii="宋体" w:hAnsi="宋体" w:eastAsia="宋体" w:cs="宋体"/>
          <w:color w:val="000000"/>
          <w:sz w:val="24"/>
          <w:szCs w:val="24"/>
          <w:highlight w:val="none"/>
        </w:rPr>
      </w:pPr>
    </w:p>
    <w:p w14:paraId="613FA880">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eastAsia="宋体" w:cs="宋体"/>
          <w:color w:val="000000"/>
          <w:sz w:val="24"/>
          <w:szCs w:val="24"/>
          <w:highlight w:val="none"/>
        </w:rPr>
      </w:pPr>
    </w:p>
    <w:p w14:paraId="63AC9830">
      <w:pPr>
        <w:spacing w:line="360" w:lineRule="auto"/>
        <w:jc w:val="center"/>
        <w:rPr>
          <w:rFonts w:ascii="宋体" w:hAnsi="宋体" w:eastAsia="宋体" w:cs="宋体"/>
          <w:color w:val="000000"/>
          <w:sz w:val="24"/>
          <w:szCs w:val="24"/>
          <w:highlight w:val="none"/>
        </w:rPr>
      </w:pPr>
    </w:p>
    <w:p w14:paraId="227BBEA6">
      <w:pPr>
        <w:autoSpaceDE w:val="0"/>
        <w:spacing w:line="360" w:lineRule="auto"/>
        <w:ind w:right="246" w:firstLine="784"/>
        <w:rPr>
          <w:rFonts w:ascii="宋体" w:hAnsi="宋体" w:eastAsia="宋体" w:cs="宋体"/>
          <w:color w:val="000000"/>
          <w:kern w:val="0"/>
          <w:sz w:val="24"/>
          <w:szCs w:val="24"/>
          <w:highlight w:val="none"/>
        </w:rPr>
      </w:pPr>
    </w:p>
    <w:p w14:paraId="5573F48D">
      <w:pPr>
        <w:pStyle w:val="52"/>
        <w:tabs>
          <w:tab w:val="left" w:pos="5580"/>
        </w:tabs>
        <w:spacing w:line="360" w:lineRule="auto"/>
        <w:ind w:firstLine="420"/>
        <w:rPr>
          <w:rFonts w:ascii="宋体" w:hAnsi="宋体" w:eastAsia="宋体" w:cs="宋体"/>
          <w:color w:val="000000"/>
          <w:kern w:val="2"/>
          <w:sz w:val="21"/>
          <w:szCs w:val="21"/>
          <w:highlight w:val="none"/>
          <w:u w:val="none"/>
          <w:lang w:val="en-US" w:eastAsia="zh-CN" w:bidi="ar-SA"/>
        </w:rPr>
      </w:pPr>
      <w:r>
        <w:rPr>
          <w:rFonts w:ascii="宋体" w:hAnsi="宋体" w:cs="宋体"/>
          <w:color w:val="000000"/>
          <w:kern w:val="2"/>
          <w:sz w:val="21"/>
          <w:szCs w:val="21"/>
          <w:u w:val="none"/>
          <w:lang w:val="en-US" w:eastAsia="zh-CN" w:bidi="ar-SA"/>
        </w:rPr>
        <w:t xml:space="preserve">供应商（盖单位章）：                           </w:t>
      </w:r>
    </w:p>
    <w:p w14:paraId="6110CFF7">
      <w:pPr>
        <w:pStyle w:val="52"/>
        <w:tabs>
          <w:tab w:val="left" w:pos="5580"/>
        </w:tabs>
        <w:spacing w:line="360" w:lineRule="auto"/>
        <w:ind w:firstLine="420"/>
        <w:rPr>
          <w:rFonts w:ascii="宋体" w:hAnsi="宋体" w:eastAsia="宋体" w:cs="宋体"/>
          <w:color w:val="000000"/>
          <w:kern w:val="2"/>
          <w:sz w:val="21"/>
          <w:szCs w:val="21"/>
          <w:highlight w:val="none"/>
          <w:u w:val="none"/>
          <w:lang w:val="en-US" w:eastAsia="zh-CN" w:bidi="ar-SA"/>
        </w:rPr>
      </w:pPr>
      <w:r>
        <w:rPr>
          <w:rFonts w:ascii="宋体" w:hAnsi="宋体" w:cs="宋体"/>
          <w:color w:val="000000"/>
          <w:kern w:val="2"/>
          <w:sz w:val="21"/>
          <w:szCs w:val="21"/>
          <w:u w:val="none"/>
          <w:lang w:val="en-US" w:eastAsia="zh-CN" w:bidi="ar-SA"/>
        </w:rPr>
        <w:t xml:space="preserve">法定代表人（签字或盖章）：                     </w:t>
      </w:r>
    </w:p>
    <w:p w14:paraId="0DDC55FB">
      <w:pPr>
        <w:spacing w:line="360" w:lineRule="auto"/>
        <w:ind w:firstLine="420"/>
        <w:jc w:val="left"/>
        <w:rPr>
          <w:rFonts w:ascii="宋体" w:hAnsi="宋体" w:eastAsia="宋体" w:cs="宋体"/>
          <w:color w:val="000000"/>
          <w:kern w:val="2"/>
          <w:sz w:val="21"/>
          <w:szCs w:val="21"/>
          <w:highlight w:val="none"/>
          <w:u w:val="none"/>
          <w:lang w:val="en-US" w:eastAsia="zh-CN" w:bidi="ar-SA"/>
        </w:rPr>
      </w:pPr>
      <w:r>
        <w:rPr>
          <w:rFonts w:ascii="宋体" w:hAnsi="宋体" w:cs="宋体"/>
          <w:color w:val="000000"/>
          <w:kern w:val="2"/>
          <w:sz w:val="21"/>
          <w:szCs w:val="21"/>
          <w:u w:val="none"/>
          <w:lang w:val="en-US" w:eastAsia="zh-CN" w:bidi="ar-SA"/>
        </w:rPr>
        <w:t xml:space="preserve">年   月   日 </w:t>
      </w:r>
    </w:p>
    <w:p w14:paraId="0FA9BB12">
      <w:pPr>
        <w:pStyle w:val="89"/>
        <w:spacing w:line="360" w:lineRule="auto"/>
        <w:ind w:left="0" w:firstLine="0"/>
        <w:rPr>
          <w:rFonts w:ascii="宋体" w:hAnsi="宋体" w:eastAsia="宋体" w:cs="宋体"/>
          <w:b/>
          <w:color w:val="000000"/>
          <w:kern w:val="2"/>
          <w:sz w:val="28"/>
          <w:szCs w:val="28"/>
          <w:highlight w:val="none"/>
          <w:u w:val="none"/>
          <w:lang w:val="en-US" w:eastAsia="zh-CN" w:bidi="ar-SA"/>
        </w:rPr>
      </w:pPr>
    </w:p>
    <w:p w14:paraId="449EE0F7">
      <w:pPr>
        <w:pStyle w:val="52"/>
        <w:tabs>
          <w:tab w:val="left" w:pos="5580"/>
        </w:tabs>
        <w:spacing w:line="360" w:lineRule="auto"/>
        <w:rPr>
          <w:rFonts w:ascii="宋体" w:hAnsi="宋体" w:eastAsia="宋体" w:cs="宋体"/>
          <w:b/>
          <w:bCs/>
          <w:color w:val="000000"/>
          <w:sz w:val="24"/>
          <w:szCs w:val="28"/>
          <w:highlight w:val="none"/>
          <w:lang w:val="en-US" w:eastAsia="zh-CN"/>
        </w:rPr>
      </w:pPr>
    </w:p>
    <w:p w14:paraId="16819191">
      <w:pPr>
        <w:pStyle w:val="52"/>
        <w:tabs>
          <w:tab w:val="left" w:pos="5580"/>
        </w:tabs>
        <w:spacing w:line="360" w:lineRule="auto"/>
        <w:rPr>
          <w:rFonts w:ascii="宋体" w:hAnsi="宋体" w:eastAsia="宋体" w:cs="宋体"/>
          <w:b/>
          <w:bCs/>
          <w:color w:val="000000"/>
          <w:sz w:val="24"/>
          <w:highlight w:val="none"/>
          <w:lang w:val="en-US" w:eastAsia="zh-CN"/>
        </w:rPr>
      </w:pPr>
    </w:p>
    <w:p w14:paraId="70967A04">
      <w:pPr>
        <w:pStyle w:val="52"/>
        <w:tabs>
          <w:tab w:val="left" w:pos="5580"/>
        </w:tabs>
        <w:spacing w:line="360" w:lineRule="auto"/>
        <w:rPr>
          <w:rFonts w:ascii="宋体" w:hAnsi="宋体" w:eastAsia="宋体" w:cs="宋体"/>
          <w:b/>
          <w:bCs/>
          <w:color w:val="000000"/>
          <w:sz w:val="24"/>
          <w:highlight w:val="none"/>
          <w:lang w:val="en-US" w:eastAsia="zh-CN"/>
        </w:rPr>
      </w:pPr>
    </w:p>
    <w:p w14:paraId="1090B803">
      <w:pPr>
        <w:pStyle w:val="52"/>
        <w:tabs>
          <w:tab w:val="left" w:pos="5580"/>
        </w:tabs>
        <w:spacing w:line="360" w:lineRule="auto"/>
        <w:rPr>
          <w:rFonts w:ascii="宋体" w:hAnsi="宋体" w:eastAsia="宋体" w:cs="宋体"/>
          <w:b/>
          <w:bCs/>
          <w:color w:val="000000"/>
          <w:sz w:val="24"/>
          <w:highlight w:val="none"/>
          <w:lang w:val="en-US" w:eastAsia="zh-CN"/>
        </w:rPr>
      </w:pPr>
    </w:p>
    <w:p w14:paraId="1FD78AC1">
      <w:pPr>
        <w:pStyle w:val="52"/>
        <w:tabs>
          <w:tab w:val="left" w:pos="5580"/>
        </w:tabs>
        <w:spacing w:line="360" w:lineRule="auto"/>
        <w:rPr>
          <w:rFonts w:ascii="宋体" w:hAnsi="宋体" w:eastAsia="宋体" w:cs="宋体"/>
          <w:b/>
          <w:bCs/>
          <w:color w:val="000000"/>
          <w:sz w:val="24"/>
          <w:highlight w:val="none"/>
          <w:lang w:val="en-US" w:eastAsia="zh-CN"/>
        </w:rPr>
      </w:pPr>
    </w:p>
    <w:p w14:paraId="3D63C01E">
      <w:pPr>
        <w:pStyle w:val="52"/>
        <w:tabs>
          <w:tab w:val="left" w:pos="5580"/>
        </w:tabs>
        <w:spacing w:line="360" w:lineRule="auto"/>
        <w:rPr>
          <w:rFonts w:ascii="宋体" w:hAnsi="宋体" w:eastAsia="宋体" w:cs="宋体"/>
          <w:b/>
          <w:bCs/>
          <w:color w:val="000000"/>
          <w:sz w:val="24"/>
          <w:highlight w:val="none"/>
          <w:lang w:val="en-US" w:eastAsia="zh-CN"/>
        </w:rPr>
      </w:pPr>
    </w:p>
    <w:p w14:paraId="3F2ED0C4">
      <w:pPr>
        <w:pStyle w:val="52"/>
        <w:tabs>
          <w:tab w:val="left" w:pos="5580"/>
        </w:tabs>
        <w:spacing w:line="360" w:lineRule="auto"/>
        <w:rPr>
          <w:rFonts w:ascii="宋体" w:hAnsi="宋体" w:eastAsia="宋体" w:cs="宋体"/>
          <w:b/>
          <w:bCs/>
          <w:color w:val="000000"/>
          <w:sz w:val="24"/>
          <w:highlight w:val="none"/>
          <w:lang w:val="en-US" w:eastAsia="zh-CN"/>
        </w:rPr>
      </w:pPr>
    </w:p>
    <w:p w14:paraId="3690E679">
      <w:pPr>
        <w:rPr>
          <w:rFonts w:ascii="宋体" w:hAnsi="宋体" w:eastAsia="宋体" w:cs="宋体"/>
          <w:b/>
          <w:bCs/>
          <w:color w:val="000000"/>
          <w:sz w:val="24"/>
          <w:highlight w:val="none"/>
          <w:lang w:val="en-US" w:eastAsia="zh-CN"/>
        </w:rPr>
      </w:pPr>
    </w:p>
    <w:p w14:paraId="01797D77">
      <w:pPr>
        <w:rPr>
          <w:rFonts w:ascii="宋体" w:hAnsi="宋体" w:eastAsia="宋体" w:cs="宋体"/>
          <w:b/>
          <w:bCs/>
          <w:color w:val="000000"/>
          <w:sz w:val="24"/>
          <w:highlight w:val="none"/>
          <w:lang w:val="en-US" w:eastAsia="zh-CN"/>
        </w:rPr>
      </w:pPr>
    </w:p>
    <w:p w14:paraId="63218E9D">
      <w:pPr>
        <w:pStyle w:val="52"/>
        <w:tabs>
          <w:tab w:val="left" w:pos="5580"/>
        </w:tabs>
        <w:spacing w:line="360" w:lineRule="auto"/>
        <w:ind w:left="269"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eastAsia="宋体" w:cs="宋体"/>
          <w:b/>
          <w:bCs/>
          <w:color w:val="000000"/>
          <w:sz w:val="24"/>
          <w:lang w:val="en-US" w:eastAsia="zh-CN"/>
        </w:rPr>
        <w:t>2</w:t>
      </w:r>
      <w:r>
        <w:rPr>
          <w:rFonts w:ascii="宋体" w:hAnsi="宋体" w:cs="宋体"/>
          <w:color w:val="000000"/>
          <w:sz w:val="24"/>
          <w:lang w:val="en-US" w:eastAsia="zh-CN"/>
        </w:rPr>
        <w:t>：</w:t>
      </w:r>
    </w:p>
    <w:p w14:paraId="10D49319">
      <w:pPr>
        <w:pStyle w:val="3"/>
        <w:numPr>
          <w:ilvl w:val="0"/>
          <w:numId w:val="0"/>
        </w:numPr>
        <w:spacing w:before="0" w:after="0" w:line="360" w:lineRule="auto"/>
        <w:ind w:left="0" w:firstLine="0"/>
        <w:jc w:val="center"/>
        <w:rPr>
          <w:rFonts w:ascii="宋体" w:hAnsi="宋体" w:eastAsia="宋体" w:cs="宋体"/>
          <w:b/>
          <w:bCs/>
          <w:color w:val="000000"/>
          <w:sz w:val="24"/>
          <w:highlight w:val="none"/>
          <w:u w:val="single"/>
          <w:lang w:eastAsia="zh-CN"/>
        </w:rPr>
      </w:pPr>
      <w:r>
        <w:rPr>
          <w:rFonts w:ascii="宋体" w:hAnsi="宋体" w:cs="宋体"/>
          <w:b/>
          <w:bCs/>
          <w:color w:val="000000"/>
          <w:sz w:val="24"/>
        </w:rPr>
        <w:t>法定代表人授权委托书</w:t>
      </w:r>
      <w:r>
        <w:rPr>
          <w:rFonts w:ascii="宋体" w:hAnsi="宋体" w:cs="宋体"/>
          <w:b/>
          <w:bCs/>
          <w:color w:val="000000"/>
          <w:sz w:val="24"/>
          <w:lang w:eastAsia="zh-CN"/>
        </w:rPr>
        <w:t>（</w:t>
      </w:r>
      <w:r>
        <w:rPr>
          <w:rFonts w:ascii="宋体" w:hAnsi="宋体" w:cs="宋体"/>
          <w:b/>
          <w:bCs/>
          <w:color w:val="000000"/>
          <w:sz w:val="24"/>
        </w:rPr>
        <w:t>自然人响应的无需提供</w:t>
      </w:r>
      <w:r>
        <w:rPr>
          <w:rFonts w:ascii="宋体" w:hAnsi="宋体" w:cs="宋体"/>
          <w:b/>
          <w:bCs/>
          <w:color w:val="000000"/>
          <w:sz w:val="24"/>
          <w:lang w:eastAsia="zh-CN"/>
        </w:rPr>
        <w:t>）</w:t>
      </w:r>
    </w:p>
    <w:p w14:paraId="1ECE7F2B">
      <w:pPr>
        <w:pStyle w:val="52"/>
        <w:spacing w:line="360" w:lineRule="auto"/>
        <w:ind w:left="1080" w:hanging="540"/>
        <w:rPr>
          <w:rFonts w:ascii="宋体" w:hAnsi="宋体" w:eastAsia="宋体" w:cs="宋体"/>
          <w:b/>
          <w:bCs/>
          <w:color w:val="000000"/>
          <w:sz w:val="24"/>
          <w:highlight w:val="none"/>
          <w:u w:val="single"/>
          <w:lang w:eastAsia="zh-CN"/>
        </w:rPr>
      </w:pPr>
    </w:p>
    <w:p w14:paraId="23853E5D">
      <w:pPr>
        <w:pStyle w:val="52"/>
        <w:tabs>
          <w:tab w:val="left" w:pos="5580"/>
        </w:tabs>
        <w:spacing w:line="360" w:lineRule="auto"/>
        <w:rPr>
          <w:rFonts w:ascii="宋体" w:hAnsi="宋体" w:eastAsia="宋体" w:cs="宋体"/>
          <w:color w:val="000000"/>
          <w:sz w:val="21"/>
          <w:szCs w:val="16"/>
          <w:highlight w:val="none"/>
        </w:rPr>
      </w:pPr>
      <w:r>
        <w:rPr>
          <w:rFonts w:eastAsia="宋体" w:cs="宋体"/>
          <w:color w:val="000000"/>
          <w:sz w:val="24"/>
        </w:rPr>
        <w:t xml:space="preserve"> </w:t>
      </w:r>
      <w:r>
        <w:rPr>
          <w:rFonts w:eastAsia="宋体" w:cs="宋体"/>
          <w:color w:val="000000"/>
          <w:sz w:val="24"/>
          <w:szCs w:val="20"/>
        </w:rPr>
        <w:t xml:space="preserve">  </w:t>
      </w:r>
      <w:r>
        <w:rPr>
          <w:rFonts w:eastAsia="宋体" w:cs="宋体"/>
          <w:color w:val="000000"/>
          <w:sz w:val="22"/>
          <w:szCs w:val="18"/>
        </w:rPr>
        <w:t xml:space="preserve"> </w:t>
      </w:r>
      <w:r>
        <w:rPr>
          <w:rFonts w:ascii="宋体" w:hAnsi="宋体" w:cs="宋体"/>
          <w:color w:val="000000"/>
          <w:sz w:val="21"/>
          <w:szCs w:val="16"/>
        </w:rPr>
        <w:t>本授权书声明</w:t>
      </w:r>
      <w:r>
        <w:rPr>
          <w:rFonts w:ascii="宋体" w:hAnsi="宋体" w:cs="宋体"/>
          <w:i w:val="0"/>
          <w:iCs w:val="0"/>
          <w:color w:val="000000"/>
          <w:sz w:val="21"/>
          <w:szCs w:val="16"/>
        </w:rPr>
        <w:t>：注册于</w:t>
      </w:r>
      <w:r>
        <w:rPr>
          <w:rFonts w:ascii="宋体" w:hAnsi="宋体" w:cs="宋体"/>
          <w:i w:val="0"/>
          <w:iCs w:val="0"/>
          <w:color w:val="000000"/>
          <w:sz w:val="21"/>
          <w:szCs w:val="16"/>
          <w:u w:val="single"/>
        </w:rPr>
        <w:t>（国家或地区的名称）</w:t>
      </w:r>
      <w:r>
        <w:rPr>
          <w:rFonts w:ascii="宋体" w:hAnsi="宋体" w:cs="宋体"/>
          <w:i w:val="0"/>
          <w:iCs w:val="0"/>
          <w:color w:val="000000"/>
          <w:sz w:val="21"/>
          <w:szCs w:val="16"/>
        </w:rPr>
        <w:t>的（</w:t>
      </w:r>
      <w:r>
        <w:rPr>
          <w:rFonts w:ascii="宋体" w:hAnsi="宋体" w:cs="宋体"/>
          <w:i w:val="0"/>
          <w:iCs w:val="0"/>
          <w:color w:val="000000"/>
          <w:sz w:val="21"/>
          <w:szCs w:val="16"/>
          <w:u w:val="single"/>
        </w:rPr>
        <w:t>供应商</w:t>
      </w:r>
      <w:r>
        <w:rPr>
          <w:rFonts w:ascii="宋体" w:hAnsi="宋体" w:cs="宋体"/>
          <w:i w:val="0"/>
          <w:iCs w:val="0"/>
          <w:color w:val="000000"/>
          <w:sz w:val="21"/>
          <w:szCs w:val="16"/>
        </w:rPr>
        <w:t>）的在下面签字的（</w:t>
      </w:r>
      <w:r>
        <w:rPr>
          <w:rFonts w:ascii="宋体" w:hAnsi="宋体" w:cs="宋体"/>
          <w:i w:val="0"/>
          <w:iCs w:val="0"/>
          <w:color w:val="000000"/>
          <w:sz w:val="21"/>
          <w:szCs w:val="16"/>
          <w:u w:val="single"/>
        </w:rPr>
        <w:t>法人代表姓名、职务</w:t>
      </w:r>
      <w:r>
        <w:rPr>
          <w:rFonts w:ascii="宋体" w:hAnsi="宋体" w:cs="宋体"/>
          <w:i w:val="0"/>
          <w:iCs w:val="0"/>
          <w:color w:val="000000"/>
          <w:sz w:val="21"/>
          <w:szCs w:val="16"/>
        </w:rPr>
        <w:t>）代表我单位授权（</w:t>
      </w:r>
      <w:r>
        <w:rPr>
          <w:rFonts w:ascii="宋体" w:hAnsi="宋体" w:cs="宋体"/>
          <w:i w:val="0"/>
          <w:iCs w:val="0"/>
          <w:color w:val="000000"/>
          <w:sz w:val="21"/>
          <w:szCs w:val="16"/>
          <w:u w:val="single"/>
        </w:rPr>
        <w:t>单位名称</w:t>
      </w:r>
      <w:r>
        <w:rPr>
          <w:rFonts w:ascii="宋体" w:hAnsi="宋体" w:cs="宋体"/>
          <w:i w:val="0"/>
          <w:iCs w:val="0"/>
          <w:color w:val="000000"/>
          <w:sz w:val="21"/>
          <w:szCs w:val="16"/>
        </w:rPr>
        <w:t>）的在下面签字的（</w:t>
      </w:r>
      <w:r>
        <w:rPr>
          <w:rFonts w:ascii="宋体" w:hAnsi="宋体" w:cs="宋体"/>
          <w:i w:val="0"/>
          <w:iCs w:val="0"/>
          <w:color w:val="000000"/>
          <w:sz w:val="21"/>
          <w:szCs w:val="16"/>
          <w:u w:val="single"/>
        </w:rPr>
        <w:t>被授权人的姓名、职务</w:t>
      </w:r>
      <w:r>
        <w:rPr>
          <w:rFonts w:ascii="宋体" w:hAnsi="宋体" w:cs="宋体"/>
          <w:i w:val="0"/>
          <w:iCs w:val="0"/>
          <w:color w:val="000000"/>
          <w:sz w:val="21"/>
          <w:szCs w:val="16"/>
        </w:rPr>
        <w:t>）</w:t>
      </w:r>
      <w:r>
        <w:rPr>
          <w:rFonts w:ascii="宋体" w:hAnsi="宋体" w:cs="宋体"/>
          <w:color w:val="000000"/>
          <w:sz w:val="21"/>
          <w:szCs w:val="16"/>
        </w:rPr>
        <w:t>为我单位的合法代理人，</w:t>
      </w:r>
      <w:r>
        <w:rPr>
          <w:rFonts w:ascii="宋体" w:hAnsi="宋体" w:cs="宋体"/>
          <w:i w:val="0"/>
          <w:iCs w:val="0"/>
          <w:color w:val="000000"/>
          <w:sz w:val="21"/>
          <w:szCs w:val="16"/>
        </w:rPr>
        <w:t>就（</w:t>
      </w:r>
      <w:r>
        <w:rPr>
          <w:rFonts w:ascii="宋体" w:hAnsi="宋体" w:cs="宋体"/>
          <w:i w:val="0"/>
          <w:iCs w:val="0"/>
          <w:color w:val="000000"/>
          <w:sz w:val="21"/>
          <w:szCs w:val="16"/>
          <w:u w:val="single"/>
        </w:rPr>
        <w:t>项目名称</w:t>
      </w:r>
      <w:r>
        <w:rPr>
          <w:rFonts w:ascii="宋体" w:hAnsi="宋体" w:cs="宋体"/>
          <w:color w:val="000000"/>
          <w:sz w:val="21"/>
          <w:szCs w:val="16"/>
        </w:rPr>
        <w:t>）响应，以我单位名义处理一切与之有关的事务。</w:t>
      </w:r>
    </w:p>
    <w:p w14:paraId="42C8F83E">
      <w:pPr>
        <w:pStyle w:val="52"/>
        <w:tabs>
          <w:tab w:val="left" w:pos="5580"/>
        </w:tabs>
        <w:spacing w:line="360" w:lineRule="auto"/>
        <w:rPr>
          <w:rFonts w:ascii="宋体" w:hAnsi="宋体" w:eastAsia="宋体" w:cs="宋体"/>
          <w:color w:val="000000"/>
          <w:sz w:val="22"/>
          <w:szCs w:val="18"/>
          <w:highlight w:val="none"/>
        </w:rPr>
      </w:pPr>
      <w:r>
        <w:rPr>
          <w:rFonts w:ascii="宋体" w:hAnsi="宋体" w:cs="宋体"/>
          <w:color w:val="000000"/>
          <w:sz w:val="21"/>
          <w:szCs w:val="16"/>
        </w:rPr>
        <w:t>　　本授权书于</w:t>
      </w:r>
      <w:r>
        <w:rPr>
          <w:rFonts w:ascii="宋体" w:hAnsi="宋体" w:cs="宋体"/>
          <w:color w:val="000000"/>
          <w:sz w:val="21"/>
          <w:szCs w:val="16"/>
          <w:u w:val="single"/>
        </w:rPr>
        <w:t xml:space="preserve">           </w:t>
      </w:r>
      <w:r>
        <w:rPr>
          <w:rFonts w:ascii="宋体" w:hAnsi="宋体" w:cs="宋体"/>
          <w:color w:val="000000"/>
          <w:sz w:val="21"/>
          <w:szCs w:val="16"/>
        </w:rPr>
        <w:t>年</w:t>
      </w:r>
      <w:r>
        <w:rPr>
          <w:rFonts w:ascii="宋体" w:hAnsi="宋体" w:cs="宋体"/>
          <w:color w:val="000000"/>
          <w:sz w:val="21"/>
          <w:szCs w:val="16"/>
          <w:u w:val="single"/>
        </w:rPr>
        <w:t xml:space="preserve">     </w:t>
      </w:r>
      <w:r>
        <w:rPr>
          <w:rFonts w:ascii="宋体" w:hAnsi="宋体" w:cs="宋体"/>
          <w:color w:val="000000"/>
          <w:sz w:val="21"/>
          <w:szCs w:val="16"/>
        </w:rPr>
        <w:t>月</w:t>
      </w:r>
      <w:r>
        <w:rPr>
          <w:rFonts w:ascii="宋体" w:hAnsi="宋体" w:cs="宋体"/>
          <w:color w:val="000000"/>
          <w:sz w:val="21"/>
          <w:szCs w:val="16"/>
          <w:u w:val="single"/>
        </w:rPr>
        <w:t xml:space="preserve">     </w:t>
      </w:r>
      <w:r>
        <w:rPr>
          <w:rFonts w:ascii="宋体" w:hAnsi="宋体" w:cs="宋体"/>
          <w:color w:val="000000"/>
          <w:sz w:val="21"/>
          <w:szCs w:val="16"/>
        </w:rPr>
        <w:t>日签字生效</w:t>
      </w:r>
      <w:r>
        <w:rPr>
          <w:rFonts w:eastAsia="宋体" w:cs="宋体"/>
          <w:color w:val="000000"/>
          <w:sz w:val="21"/>
          <w:szCs w:val="16"/>
        </w:rPr>
        <w:t>,</w:t>
      </w:r>
      <w:r>
        <w:rPr>
          <w:rFonts w:ascii="宋体" w:hAnsi="宋体" w:cs="宋体"/>
          <w:color w:val="000000"/>
          <w:sz w:val="21"/>
          <w:szCs w:val="16"/>
        </w:rPr>
        <w:t>特此声明。</w:t>
      </w:r>
    </w:p>
    <w:p w14:paraId="2FEFE8EF">
      <w:pPr>
        <w:pStyle w:val="52"/>
        <w:tabs>
          <w:tab w:val="left" w:pos="5580"/>
        </w:tabs>
        <w:spacing w:line="360" w:lineRule="auto"/>
        <w:rPr>
          <w:rFonts w:ascii="宋体" w:hAnsi="宋体" w:eastAsia="宋体" w:cs="宋体"/>
          <w:color w:val="000000"/>
          <w:sz w:val="24"/>
          <w:szCs w:val="18"/>
          <w:highlight w:val="none"/>
        </w:rPr>
      </w:pPr>
    </w:p>
    <w:p w14:paraId="6E693B7C">
      <w:pPr>
        <w:pStyle w:val="52"/>
        <w:tabs>
          <w:tab w:val="left" w:pos="5580"/>
        </w:tabs>
        <w:spacing w:line="360" w:lineRule="auto"/>
        <w:ind w:left="-540" w:firstLine="900"/>
        <w:rPr>
          <w:rFonts w:ascii="宋体" w:hAnsi="宋体" w:eastAsia="宋体" w:cs="宋体"/>
          <w:color w:val="000000"/>
          <w:sz w:val="24"/>
          <w:highlight w:val="none"/>
        </w:rPr>
      </w:pPr>
      <w:r>
        <w:rPr>
          <w:rFonts w:eastAsia="宋体" w:cs="宋体"/>
          <w:color w:val="000000"/>
          <w:sz w:val="24"/>
        </w:rPr>
        <mc:AlternateContent>
          <mc:Choice Requires="wps">
            <w:drawing>
              <wp:anchor distT="0" distB="0" distL="114935" distR="114935" simplePos="0" relativeHeight="251660288" behindDoc="0" locked="0" layoutInCell="0" allowOverlap="1">
                <wp:simplePos x="0" y="0"/>
                <wp:positionH relativeFrom="column">
                  <wp:posOffset>20955</wp:posOffset>
                </wp:positionH>
                <wp:positionV relativeFrom="paragraph">
                  <wp:posOffset>135890</wp:posOffset>
                </wp:positionV>
                <wp:extent cx="2507615" cy="1143000"/>
                <wp:effectExtent l="5715" t="5080" r="5080" b="5715"/>
                <wp:wrapNone/>
                <wp:docPr id="13" name="流程图: 可选过程 6"/>
                <wp:cNvGraphicFramePr/>
                <a:graphic xmlns:a="http://schemas.openxmlformats.org/drawingml/2006/main">
                  <a:graphicData uri="http://schemas.microsoft.com/office/word/2010/wordprocessingShape">
                    <wps:wsp>
                      <wps:cNvSpPr/>
                      <wps:spPr>
                        <a:xfrm>
                          <a:off x="0" y="0"/>
                          <a:ext cx="2507760" cy="114300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04489303">
                            <w:pPr>
                              <w:overflowPunct w:val="0"/>
                              <w:bidi w:val="0"/>
                              <w:jc w:val="center"/>
                            </w:pPr>
                          </w:p>
                          <w:p w14:paraId="58CFD1A7">
                            <w:pPr>
                              <w:overflowPunct w:val="0"/>
                              <w:bidi w:val="0"/>
                              <w:jc w:val="center"/>
                            </w:pPr>
                          </w:p>
                          <w:p w14:paraId="523F74CA">
                            <w:pPr>
                              <w:overflowPunct w:val="0"/>
                              <w:bidi w:val="0"/>
                              <w:jc w:val="center"/>
                            </w:pPr>
                            <w:r>
                              <w:rPr>
                                <w:rFonts w:ascii="Times New Roman" w:hAnsi="Times New Roman" w:eastAsia="宋体" w:cs="宋体"/>
                                <w:color w:val="auto"/>
                                <w:kern w:val="2"/>
                                <w:sz w:val="21"/>
                                <w:szCs w:val="24"/>
                                <w:lang w:val="en-US" w:eastAsia="zh-CN" w:bidi="ar-SA"/>
                              </w:rPr>
                              <w:t>法人身份证复印件正面</w:t>
                            </w:r>
                          </w:p>
                          <w:p w14:paraId="6D356240">
                            <w:pPr>
                              <w:overflowPunct w:val="0"/>
                              <w:bidi w:val="0"/>
                              <w:jc w:val="center"/>
                            </w:pPr>
                          </w:p>
                        </w:txbxContent>
                      </wps:txbx>
                      <wps:bodyPr anchor="t">
                        <a:noAutofit/>
                      </wps:bodyPr>
                    </wps:wsp>
                  </a:graphicData>
                </a:graphic>
              </wp:anchor>
            </w:drawing>
          </mc:Choice>
          <mc:Fallback>
            <w:pict>
              <v:shape id="流程图: 可选过程 6" o:spid="_x0000_s1026" o:spt="176" type="#_x0000_t176" style="position:absolute;left:0pt;margin-left:1.65pt;margin-top:10.7pt;height:90pt;width:197.45pt;z-index:251660288;mso-width-relative:page;mso-height-relative:page;" fillcolor="#FFFFFF" filled="t" stroked="t" coordsize="21600,21600" o:allowincell="f" o:gfxdata="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3Jn/J1wAAAAgBAAAPAAAAAAAAAAEAIAAAACIAAABkcnMvZG93bnJldi54&#10;bWxQSwECFAAUAAAACACHTuJAelQqsvsBAADnAwAADgAAAAAAAAABACAAAAAmAQAAZHJzL2Uyb0Rv&#10;Yy54bWxQSwUGAAAAAAYABgBZAQAAkwUAAAAA&#10;">
                <v:fill on="t" focussize="0,0"/>
                <v:stroke weight="0.737007874015748pt" color="#000000" joinstyle="miter"/>
                <v:imagedata o:title=""/>
                <o:lock v:ext="edit" aspectratio="f"/>
                <v:textbox>
                  <w:txbxContent>
                    <w:p w14:paraId="04489303">
                      <w:pPr>
                        <w:overflowPunct w:val="0"/>
                        <w:bidi w:val="0"/>
                        <w:jc w:val="center"/>
                      </w:pPr>
                    </w:p>
                    <w:p w14:paraId="58CFD1A7">
                      <w:pPr>
                        <w:overflowPunct w:val="0"/>
                        <w:bidi w:val="0"/>
                        <w:jc w:val="center"/>
                      </w:pPr>
                    </w:p>
                    <w:p w14:paraId="523F74CA">
                      <w:pPr>
                        <w:overflowPunct w:val="0"/>
                        <w:bidi w:val="0"/>
                        <w:jc w:val="center"/>
                      </w:pPr>
                      <w:r>
                        <w:rPr>
                          <w:rFonts w:ascii="Times New Roman" w:hAnsi="Times New Roman" w:eastAsia="宋体" w:cs="宋体"/>
                          <w:color w:val="auto"/>
                          <w:kern w:val="2"/>
                          <w:sz w:val="21"/>
                          <w:szCs w:val="24"/>
                          <w:lang w:val="en-US" w:eastAsia="zh-CN" w:bidi="ar-SA"/>
                        </w:rPr>
                        <w:t>法人身份证复印件正面</w:t>
                      </w:r>
                    </w:p>
                    <w:p w14:paraId="6D356240">
                      <w:pPr>
                        <w:overflowPunct w:val="0"/>
                        <w:bidi w:val="0"/>
                        <w:jc w:val="center"/>
                      </w:pPr>
                    </w:p>
                  </w:txbxContent>
                </v:textbox>
              </v:shape>
            </w:pict>
          </mc:Fallback>
        </mc:AlternateContent>
      </w:r>
      <w:r>
        <w:rPr>
          <w:rFonts w:eastAsia="宋体" w:cs="宋体"/>
          <w:color w:val="000000"/>
          <w:sz w:val="24"/>
        </w:rPr>
        <mc:AlternateContent>
          <mc:Choice Requires="wps">
            <w:drawing>
              <wp:anchor distT="0" distB="0" distL="114935" distR="114935" simplePos="0" relativeHeight="251660288" behindDoc="0" locked="0" layoutInCell="0" allowOverlap="1">
                <wp:simplePos x="0" y="0"/>
                <wp:positionH relativeFrom="column">
                  <wp:posOffset>3039110</wp:posOffset>
                </wp:positionH>
                <wp:positionV relativeFrom="paragraph">
                  <wp:posOffset>167640</wp:posOffset>
                </wp:positionV>
                <wp:extent cx="2478405" cy="1125220"/>
                <wp:effectExtent l="8890" t="8255" r="8255" b="8890"/>
                <wp:wrapNone/>
                <wp:docPr id="14" name="圆角矩形 4"/>
                <wp:cNvGraphicFramePr/>
                <a:graphic xmlns:a="http://schemas.openxmlformats.org/drawingml/2006/main">
                  <a:graphicData uri="http://schemas.microsoft.com/office/word/2010/wordprocessingShape">
                    <wps:wsp>
                      <wps:cNvSpPr/>
                      <wps:spPr>
                        <a:xfrm>
                          <a:off x="0" y="0"/>
                          <a:ext cx="2478240" cy="1125360"/>
                        </a:xfrm>
                        <a:prstGeom prst="roundRect">
                          <a:avLst>
                            <a:gd name="adj" fmla="val 16667"/>
                          </a:avLst>
                        </a:prstGeom>
                        <a:solidFill>
                          <a:srgbClr val="FFFFFF"/>
                        </a:solidFill>
                        <a:ln w="15840">
                          <a:solidFill>
                            <a:srgbClr val="808080"/>
                          </a:solidFill>
                          <a:round/>
                        </a:ln>
                      </wps:spPr>
                      <wps:style>
                        <a:lnRef idx="0">
                          <a:srgbClr val="FFFFFF"/>
                        </a:lnRef>
                        <a:fillRef idx="0">
                          <a:srgbClr val="FFFFFF"/>
                        </a:fillRef>
                        <a:effectRef idx="0">
                          <a:srgbClr val="FFFFFF"/>
                        </a:effectRef>
                        <a:fontRef idx="minor"/>
                      </wps:style>
                      <wps:txbx>
                        <w:txbxContent>
                          <w:p w14:paraId="60F785AF">
                            <w:pPr>
                              <w:overflowPunct w:val="0"/>
                              <w:bidi w:val="0"/>
                              <w:jc w:val="both"/>
                            </w:pPr>
                          </w:p>
                          <w:p w14:paraId="394D19E4">
                            <w:pPr>
                              <w:overflowPunct w:val="0"/>
                              <w:bidi w:val="0"/>
                              <w:jc w:val="both"/>
                            </w:pPr>
                          </w:p>
                          <w:p w14:paraId="132F50F5">
                            <w:pPr>
                              <w:overflowPunct w:val="0"/>
                              <w:bidi w:val="0"/>
                              <w:jc w:val="center"/>
                            </w:pPr>
                            <w:r>
                              <w:rPr>
                                <w:rFonts w:ascii="Times New Roman" w:hAnsi="Times New Roman" w:eastAsia="宋体" w:cs="宋体"/>
                                <w:color w:val="auto"/>
                                <w:kern w:val="2"/>
                                <w:sz w:val="21"/>
                                <w:szCs w:val="24"/>
                                <w:lang w:val="en-US" w:eastAsia="zh-CN" w:bidi="ar-SA"/>
                              </w:rPr>
                              <w:t>法人身份证复印件反面</w:t>
                            </w:r>
                          </w:p>
                          <w:p w14:paraId="3B1766DF">
                            <w:pPr>
                              <w:overflowPunct w:val="0"/>
                              <w:bidi w:val="0"/>
                              <w:jc w:val="both"/>
                            </w:pPr>
                          </w:p>
                        </w:txbxContent>
                      </wps:txbx>
                      <wps:bodyPr anchor="t">
                        <a:noAutofit/>
                      </wps:bodyPr>
                    </wps:wsp>
                  </a:graphicData>
                </a:graphic>
              </wp:anchor>
            </w:drawing>
          </mc:Choice>
          <mc:Fallback>
            <w:pict>
              <v:roundrect id="圆角矩形 4" o:spid="_x0000_s1026" o:spt="2" style="position:absolute;left:0pt;margin-left:239.3pt;margin-top:13.2pt;height:88.6pt;width:195.15pt;z-index:251660288;mso-width-relative:page;mso-height-relative:page;" fillcolor="#FFFFFF" filled="t" stroked="t" coordsize="21600,21600" o:allowincell="f" arcsize="0.166666666666667" o:gfxdata="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sgIivWAAAACgEAAA8AAAAAAAAAAQAgAAAAIgAAAGRycy9kb3ducmV2LnhtbFBL&#10;AQIUABQAAAAIAIdO4kBbS3LC+AEAAPkDAAAOAAAAAAAAAAEAIAAAACUBAABkcnMvZTJvRG9jLnht&#10;bFBLBQYAAAAABgAGAFkBAACPBQAAAAA=&#10;">
                <v:fill on="t" focussize="0,0"/>
                <v:stroke weight="1.24724409448819pt" color="#808080" joinstyle="round"/>
                <v:imagedata o:title=""/>
                <o:lock v:ext="edit" aspectratio="f"/>
                <v:textbox>
                  <w:txbxContent>
                    <w:p w14:paraId="60F785AF">
                      <w:pPr>
                        <w:overflowPunct w:val="0"/>
                        <w:bidi w:val="0"/>
                        <w:jc w:val="both"/>
                      </w:pPr>
                    </w:p>
                    <w:p w14:paraId="394D19E4">
                      <w:pPr>
                        <w:overflowPunct w:val="0"/>
                        <w:bidi w:val="0"/>
                        <w:jc w:val="both"/>
                      </w:pPr>
                    </w:p>
                    <w:p w14:paraId="132F50F5">
                      <w:pPr>
                        <w:overflowPunct w:val="0"/>
                        <w:bidi w:val="0"/>
                        <w:jc w:val="center"/>
                      </w:pPr>
                      <w:r>
                        <w:rPr>
                          <w:rFonts w:ascii="Times New Roman" w:hAnsi="Times New Roman" w:eastAsia="宋体" w:cs="宋体"/>
                          <w:color w:val="auto"/>
                          <w:kern w:val="2"/>
                          <w:sz w:val="21"/>
                          <w:szCs w:val="24"/>
                          <w:lang w:val="en-US" w:eastAsia="zh-CN" w:bidi="ar-SA"/>
                        </w:rPr>
                        <w:t>法人身份证复印件反面</w:t>
                      </w:r>
                    </w:p>
                    <w:p w14:paraId="3B1766DF">
                      <w:pPr>
                        <w:overflowPunct w:val="0"/>
                        <w:bidi w:val="0"/>
                        <w:jc w:val="both"/>
                      </w:pPr>
                    </w:p>
                  </w:txbxContent>
                </v:textbox>
              </v:roundrect>
            </w:pict>
          </mc:Fallback>
        </mc:AlternateContent>
      </w:r>
    </w:p>
    <w:p w14:paraId="5989A16D">
      <w:pPr>
        <w:spacing w:line="360" w:lineRule="auto"/>
        <w:ind w:firstLine="240"/>
        <w:rPr>
          <w:rFonts w:ascii="宋体" w:hAnsi="宋体" w:eastAsia="宋体" w:cs="宋体"/>
          <w:color w:val="000000"/>
          <w:sz w:val="24"/>
          <w:highlight w:val="none"/>
        </w:rPr>
      </w:pPr>
    </w:p>
    <w:p w14:paraId="33F65709">
      <w:pPr>
        <w:spacing w:line="360" w:lineRule="auto"/>
        <w:ind w:firstLine="240"/>
        <w:rPr>
          <w:rFonts w:ascii="宋体" w:hAnsi="宋体" w:eastAsia="宋体" w:cs="宋体"/>
          <w:color w:val="000000"/>
          <w:sz w:val="24"/>
          <w:highlight w:val="none"/>
        </w:rPr>
      </w:pPr>
    </w:p>
    <w:p w14:paraId="3FC912B0">
      <w:pPr>
        <w:spacing w:line="360" w:lineRule="auto"/>
        <w:ind w:firstLine="240"/>
        <w:rPr>
          <w:rFonts w:ascii="宋体" w:hAnsi="宋体" w:eastAsia="宋体" w:cs="宋体"/>
          <w:color w:val="000000"/>
          <w:sz w:val="24"/>
          <w:highlight w:val="none"/>
        </w:rPr>
      </w:pPr>
    </w:p>
    <w:p w14:paraId="6A4E994E">
      <w:pPr>
        <w:spacing w:line="360" w:lineRule="auto"/>
        <w:ind w:firstLine="240"/>
        <w:rPr>
          <w:rFonts w:ascii="宋体" w:hAnsi="宋体" w:eastAsia="宋体" w:cs="宋体"/>
          <w:color w:val="000000"/>
          <w:sz w:val="24"/>
          <w:highlight w:val="none"/>
        </w:rPr>
      </w:pPr>
    </w:p>
    <w:p w14:paraId="25CF123D">
      <w:pPr>
        <w:spacing w:line="360" w:lineRule="auto"/>
        <w:ind w:firstLine="240"/>
        <w:rPr>
          <w:rFonts w:ascii="宋体" w:hAnsi="宋体" w:eastAsia="宋体" w:cs="宋体"/>
          <w:color w:val="000000"/>
          <w:sz w:val="24"/>
          <w:highlight w:val="none"/>
        </w:rPr>
      </w:pPr>
      <w:r>
        <w:rPr>
          <w:rFonts w:ascii="宋体" w:hAnsi="宋体" w:eastAsia="宋体" w:cs="宋体"/>
          <w:color w:val="000000"/>
          <w:sz w:val="24"/>
        </w:rPr>
        <mc:AlternateContent>
          <mc:Choice Requires="wps">
            <w:drawing>
              <wp:anchor distT="0" distB="0" distL="114935" distR="114935" simplePos="0" relativeHeight="251660288" behindDoc="0" locked="0" layoutInCell="0" allowOverlap="1">
                <wp:simplePos x="0" y="0"/>
                <wp:positionH relativeFrom="column">
                  <wp:posOffset>-10795</wp:posOffset>
                </wp:positionH>
                <wp:positionV relativeFrom="paragraph">
                  <wp:posOffset>29845</wp:posOffset>
                </wp:positionV>
                <wp:extent cx="2555240" cy="1024890"/>
                <wp:effectExtent l="8255" t="8255" r="8890" b="8890"/>
                <wp:wrapNone/>
                <wp:docPr id="15" name="圆角矩形 3"/>
                <wp:cNvGraphicFramePr/>
                <a:graphic xmlns:a="http://schemas.openxmlformats.org/drawingml/2006/main">
                  <a:graphicData uri="http://schemas.microsoft.com/office/word/2010/wordprocessingShape">
                    <wps:wsp>
                      <wps:cNvSpPr/>
                      <wps:spPr>
                        <a:xfrm>
                          <a:off x="0" y="0"/>
                          <a:ext cx="2555280" cy="1024920"/>
                        </a:xfrm>
                        <a:prstGeom prst="roundRect">
                          <a:avLst>
                            <a:gd name="adj" fmla="val 16667"/>
                          </a:avLst>
                        </a:prstGeom>
                        <a:solidFill>
                          <a:srgbClr val="FFFFFF"/>
                        </a:solidFill>
                        <a:ln w="15840">
                          <a:solidFill>
                            <a:srgbClr val="808080"/>
                          </a:solidFill>
                          <a:round/>
                        </a:ln>
                      </wps:spPr>
                      <wps:style>
                        <a:lnRef idx="0">
                          <a:srgbClr val="FFFFFF"/>
                        </a:lnRef>
                        <a:fillRef idx="0">
                          <a:srgbClr val="FFFFFF"/>
                        </a:fillRef>
                        <a:effectRef idx="0">
                          <a:srgbClr val="FFFFFF"/>
                        </a:effectRef>
                        <a:fontRef idx="minor"/>
                      </wps:style>
                      <wps:txbx>
                        <w:txbxContent>
                          <w:p w14:paraId="2273E0A0">
                            <w:pPr>
                              <w:overflowPunct w:val="0"/>
                              <w:bidi w:val="0"/>
                              <w:jc w:val="center"/>
                            </w:pPr>
                          </w:p>
                          <w:p w14:paraId="10FFBC03">
                            <w:pPr>
                              <w:overflowPunct w:val="0"/>
                              <w:bidi w:val="0"/>
                              <w:jc w:val="center"/>
                            </w:pPr>
                          </w:p>
                          <w:p w14:paraId="11D0438E">
                            <w:pPr>
                              <w:overflowPunct w:val="0"/>
                              <w:bidi w:val="0"/>
                              <w:jc w:val="center"/>
                            </w:pPr>
                            <w:r>
                              <w:rPr>
                                <w:rFonts w:ascii="Times New Roman" w:hAnsi="Times New Roman" w:eastAsia="宋体" w:cs="宋体"/>
                                <w:color w:val="auto"/>
                                <w:kern w:val="2"/>
                                <w:sz w:val="21"/>
                                <w:szCs w:val="24"/>
                                <w:lang w:val="en-US" w:eastAsia="zh-CN" w:bidi="ar-SA"/>
                              </w:rPr>
                              <w:t>授权委托人身份证复印件正面</w:t>
                            </w:r>
                          </w:p>
                          <w:p w14:paraId="2A62EC5F">
                            <w:pPr>
                              <w:overflowPunct w:val="0"/>
                              <w:bidi w:val="0"/>
                              <w:jc w:val="center"/>
                            </w:pPr>
                          </w:p>
                          <w:p w14:paraId="09D63AD8">
                            <w:pPr>
                              <w:overflowPunct w:val="0"/>
                              <w:bidi w:val="0"/>
                              <w:jc w:val="both"/>
                            </w:pPr>
                          </w:p>
                        </w:txbxContent>
                      </wps:txbx>
                      <wps:bodyPr anchor="t">
                        <a:noAutofit/>
                      </wps:bodyPr>
                    </wps:wsp>
                  </a:graphicData>
                </a:graphic>
              </wp:anchor>
            </w:drawing>
          </mc:Choice>
          <mc:Fallback>
            <w:pict>
              <v:roundrect id="圆角矩形 3" o:spid="_x0000_s1026" o:spt="2" style="position:absolute;left:0pt;margin-left:-0.85pt;margin-top:2.35pt;height:80.7pt;width:201.2pt;z-index:251660288;mso-width-relative:page;mso-height-relative:page;" fillcolor="#FFFFFF" filled="t" stroked="t" coordsize="21600,21600" o:allowincell="f" arcsize="0.166666666666667" o:gfxdata="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mwdvrUAAAACAEAAA8AAAAAAAAAAQAgAAAAIgAAAGRycy9kb3ducmV2LnhtbFBL&#10;AQIUABQAAAAIAIdO4kCEeNPy+gEAAPkDAAAOAAAAAAAAAAEAIAAAACMBAABkcnMvZTJvRG9jLnht&#10;bFBLBQYAAAAABgAGAFkBAACPBQAAAAA=&#10;">
                <v:fill on="t" focussize="0,0"/>
                <v:stroke weight="1.24724409448819pt" color="#808080" joinstyle="round"/>
                <v:imagedata o:title=""/>
                <o:lock v:ext="edit" aspectratio="f"/>
                <v:textbox>
                  <w:txbxContent>
                    <w:p w14:paraId="2273E0A0">
                      <w:pPr>
                        <w:overflowPunct w:val="0"/>
                        <w:bidi w:val="0"/>
                        <w:jc w:val="center"/>
                      </w:pPr>
                    </w:p>
                    <w:p w14:paraId="10FFBC03">
                      <w:pPr>
                        <w:overflowPunct w:val="0"/>
                        <w:bidi w:val="0"/>
                        <w:jc w:val="center"/>
                      </w:pPr>
                    </w:p>
                    <w:p w14:paraId="11D0438E">
                      <w:pPr>
                        <w:overflowPunct w:val="0"/>
                        <w:bidi w:val="0"/>
                        <w:jc w:val="center"/>
                      </w:pPr>
                      <w:r>
                        <w:rPr>
                          <w:rFonts w:ascii="Times New Roman" w:hAnsi="Times New Roman" w:eastAsia="宋体" w:cs="宋体"/>
                          <w:color w:val="auto"/>
                          <w:kern w:val="2"/>
                          <w:sz w:val="21"/>
                          <w:szCs w:val="24"/>
                          <w:lang w:val="en-US" w:eastAsia="zh-CN" w:bidi="ar-SA"/>
                        </w:rPr>
                        <w:t>授权委托人身份证复印件正面</w:t>
                      </w:r>
                    </w:p>
                    <w:p w14:paraId="2A62EC5F">
                      <w:pPr>
                        <w:overflowPunct w:val="0"/>
                        <w:bidi w:val="0"/>
                        <w:jc w:val="center"/>
                      </w:pPr>
                    </w:p>
                    <w:p w14:paraId="09D63AD8">
                      <w:pPr>
                        <w:overflowPunct w:val="0"/>
                        <w:bidi w:val="0"/>
                        <w:jc w:val="both"/>
                      </w:pPr>
                    </w:p>
                  </w:txbxContent>
                </v:textbox>
              </v:roundrect>
            </w:pict>
          </mc:Fallback>
        </mc:AlternateContent>
      </w:r>
      <w:r>
        <w:rPr>
          <w:rFonts w:ascii="宋体" w:hAnsi="宋体" w:eastAsia="宋体" w:cs="宋体"/>
          <w:color w:val="000000"/>
          <w:sz w:val="24"/>
        </w:rPr>
        <mc:AlternateContent>
          <mc:Choice Requires="wps">
            <w:drawing>
              <wp:anchor distT="0" distB="0" distL="114935" distR="114935" simplePos="0" relativeHeight="251660288" behindDoc="0" locked="0" layoutInCell="0" allowOverlap="1">
                <wp:simplePos x="0" y="0"/>
                <wp:positionH relativeFrom="column">
                  <wp:posOffset>3018155</wp:posOffset>
                </wp:positionH>
                <wp:positionV relativeFrom="paragraph">
                  <wp:posOffset>53975</wp:posOffset>
                </wp:positionV>
                <wp:extent cx="2535555" cy="1029335"/>
                <wp:effectExtent l="8890" t="8890" r="8255" b="8255"/>
                <wp:wrapNone/>
                <wp:docPr id="16" name="圆角矩形 5"/>
                <wp:cNvGraphicFramePr/>
                <a:graphic xmlns:a="http://schemas.openxmlformats.org/drawingml/2006/main">
                  <a:graphicData uri="http://schemas.microsoft.com/office/word/2010/wordprocessingShape">
                    <wps:wsp>
                      <wps:cNvSpPr/>
                      <wps:spPr>
                        <a:xfrm>
                          <a:off x="0" y="0"/>
                          <a:ext cx="2535480" cy="1029240"/>
                        </a:xfrm>
                        <a:prstGeom prst="roundRect">
                          <a:avLst>
                            <a:gd name="adj" fmla="val 16667"/>
                          </a:avLst>
                        </a:prstGeom>
                        <a:solidFill>
                          <a:srgbClr val="FFFFFF"/>
                        </a:solidFill>
                        <a:ln w="15840">
                          <a:solidFill>
                            <a:srgbClr val="808080"/>
                          </a:solidFill>
                          <a:round/>
                        </a:ln>
                      </wps:spPr>
                      <wps:style>
                        <a:lnRef idx="0">
                          <a:srgbClr val="FFFFFF"/>
                        </a:lnRef>
                        <a:fillRef idx="0">
                          <a:srgbClr val="FFFFFF"/>
                        </a:fillRef>
                        <a:effectRef idx="0">
                          <a:srgbClr val="FFFFFF"/>
                        </a:effectRef>
                        <a:fontRef idx="minor"/>
                      </wps:style>
                      <wps:txbx>
                        <w:txbxContent>
                          <w:p w14:paraId="28F54B8E">
                            <w:pPr>
                              <w:overflowPunct w:val="0"/>
                              <w:bidi w:val="0"/>
                              <w:jc w:val="center"/>
                            </w:pPr>
                            <w:r>
                              <w:rPr>
                                <w:rFonts w:ascii="Times New Roman" w:hAnsi="Times New Roman" w:eastAsia="宋体" w:cs="宋体"/>
                                <w:color w:val="auto"/>
                                <w:kern w:val="2"/>
                                <w:sz w:val="21"/>
                                <w:szCs w:val="24"/>
                                <w:lang w:val="en-US" w:eastAsia="zh-CN" w:bidi="ar-SA"/>
                              </w:rPr>
                              <w:t xml:space="preserve">  </w:t>
                            </w:r>
                          </w:p>
                          <w:p w14:paraId="6117A0A2">
                            <w:pPr>
                              <w:overflowPunct w:val="0"/>
                              <w:bidi w:val="0"/>
                              <w:jc w:val="both"/>
                            </w:pPr>
                          </w:p>
                          <w:p w14:paraId="117C7FB1">
                            <w:pPr>
                              <w:overflowPunct w:val="0"/>
                              <w:bidi w:val="0"/>
                              <w:jc w:val="center"/>
                            </w:pPr>
                            <w:r>
                              <w:rPr>
                                <w:rFonts w:ascii="Times New Roman" w:hAnsi="Times New Roman" w:eastAsia="宋体" w:cs="宋体"/>
                                <w:color w:val="auto"/>
                                <w:kern w:val="2"/>
                                <w:sz w:val="21"/>
                                <w:szCs w:val="24"/>
                                <w:lang w:val="en-US" w:eastAsia="zh-CN" w:bidi="ar-SA"/>
                              </w:rPr>
                              <w:t>授权委托人身份证复印件反面</w:t>
                            </w:r>
                          </w:p>
                          <w:p w14:paraId="5A9503A8">
                            <w:pPr>
                              <w:overflowPunct w:val="0"/>
                              <w:bidi w:val="0"/>
                              <w:jc w:val="center"/>
                            </w:pPr>
                          </w:p>
                          <w:p w14:paraId="04A47758">
                            <w:pPr>
                              <w:overflowPunct w:val="0"/>
                              <w:bidi w:val="0"/>
                              <w:jc w:val="both"/>
                            </w:pPr>
                          </w:p>
                        </w:txbxContent>
                      </wps:txbx>
                      <wps:bodyPr anchor="t">
                        <a:noAutofit/>
                      </wps:bodyPr>
                    </wps:wsp>
                  </a:graphicData>
                </a:graphic>
              </wp:anchor>
            </w:drawing>
          </mc:Choice>
          <mc:Fallback>
            <w:pict>
              <v:roundrect id="圆角矩形 5" o:spid="_x0000_s1026" o:spt="2" style="position:absolute;left:0pt;margin-left:237.65pt;margin-top:4.25pt;height:81.05pt;width:199.65pt;z-index:251660288;mso-width-relative:page;mso-height-relative:page;" fillcolor="#FFFFFF" filled="t" stroked="t" coordsize="21600,21600" o:allowincell="f" arcsize="0.166666666666667" o:gfxdata="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Ho7VtYAAAAJAQAADwAAAAAAAAABACAAAAAiAAAAZHJzL2Rvd25yZXYueG1sUEsB&#10;AhQAFAAAAAgAh07iQBU2xkj3AQAA+QMAAA4AAAAAAAAAAQAgAAAAJQEAAGRycy9lMm9Eb2MueG1s&#10;UEsFBgAAAAAGAAYAWQEAAI4FAAAAAA==&#10;">
                <v:fill on="t" focussize="0,0"/>
                <v:stroke weight="1.24724409448819pt" color="#808080" joinstyle="round"/>
                <v:imagedata o:title=""/>
                <o:lock v:ext="edit" aspectratio="f"/>
                <v:textbox>
                  <w:txbxContent>
                    <w:p w14:paraId="28F54B8E">
                      <w:pPr>
                        <w:overflowPunct w:val="0"/>
                        <w:bidi w:val="0"/>
                        <w:jc w:val="center"/>
                      </w:pPr>
                      <w:r>
                        <w:rPr>
                          <w:rFonts w:ascii="Times New Roman" w:hAnsi="Times New Roman" w:eastAsia="宋体" w:cs="宋体"/>
                          <w:color w:val="auto"/>
                          <w:kern w:val="2"/>
                          <w:sz w:val="21"/>
                          <w:szCs w:val="24"/>
                          <w:lang w:val="en-US" w:eastAsia="zh-CN" w:bidi="ar-SA"/>
                        </w:rPr>
                        <w:t xml:space="preserve">  </w:t>
                      </w:r>
                    </w:p>
                    <w:p w14:paraId="6117A0A2">
                      <w:pPr>
                        <w:overflowPunct w:val="0"/>
                        <w:bidi w:val="0"/>
                        <w:jc w:val="both"/>
                      </w:pPr>
                    </w:p>
                    <w:p w14:paraId="117C7FB1">
                      <w:pPr>
                        <w:overflowPunct w:val="0"/>
                        <w:bidi w:val="0"/>
                        <w:jc w:val="center"/>
                      </w:pPr>
                      <w:r>
                        <w:rPr>
                          <w:rFonts w:ascii="Times New Roman" w:hAnsi="Times New Roman" w:eastAsia="宋体" w:cs="宋体"/>
                          <w:color w:val="auto"/>
                          <w:kern w:val="2"/>
                          <w:sz w:val="21"/>
                          <w:szCs w:val="24"/>
                          <w:lang w:val="en-US" w:eastAsia="zh-CN" w:bidi="ar-SA"/>
                        </w:rPr>
                        <w:t>授权委托人身份证复印件反面</w:t>
                      </w:r>
                    </w:p>
                    <w:p w14:paraId="5A9503A8">
                      <w:pPr>
                        <w:overflowPunct w:val="0"/>
                        <w:bidi w:val="0"/>
                        <w:jc w:val="center"/>
                      </w:pPr>
                    </w:p>
                    <w:p w14:paraId="04A47758">
                      <w:pPr>
                        <w:overflowPunct w:val="0"/>
                        <w:bidi w:val="0"/>
                        <w:jc w:val="both"/>
                      </w:pPr>
                    </w:p>
                  </w:txbxContent>
                </v:textbox>
              </v:roundrect>
            </w:pict>
          </mc:Fallback>
        </mc:AlternateContent>
      </w:r>
    </w:p>
    <w:p w14:paraId="562680AB">
      <w:pPr>
        <w:spacing w:line="360" w:lineRule="auto"/>
        <w:ind w:firstLine="240"/>
        <w:rPr>
          <w:rFonts w:ascii="宋体" w:hAnsi="宋体" w:eastAsia="宋体" w:cs="宋体"/>
          <w:color w:val="000000"/>
          <w:sz w:val="24"/>
          <w:highlight w:val="none"/>
        </w:rPr>
      </w:pPr>
    </w:p>
    <w:p w14:paraId="1091B9B2">
      <w:pPr>
        <w:spacing w:line="360" w:lineRule="auto"/>
        <w:ind w:firstLine="240"/>
        <w:rPr>
          <w:rFonts w:ascii="宋体" w:hAnsi="宋体" w:eastAsia="宋体" w:cs="宋体"/>
          <w:color w:val="000000"/>
          <w:sz w:val="24"/>
          <w:highlight w:val="none"/>
        </w:rPr>
      </w:pPr>
    </w:p>
    <w:p w14:paraId="659B980E">
      <w:pPr>
        <w:spacing w:line="360" w:lineRule="auto"/>
        <w:ind w:firstLine="240"/>
        <w:rPr>
          <w:rFonts w:ascii="宋体" w:hAnsi="宋体" w:eastAsia="宋体" w:cs="宋体"/>
          <w:color w:val="000000"/>
          <w:sz w:val="24"/>
          <w:highlight w:val="none"/>
        </w:rPr>
      </w:pPr>
    </w:p>
    <w:p w14:paraId="4E4B0CDD">
      <w:pPr>
        <w:pStyle w:val="52"/>
        <w:tabs>
          <w:tab w:val="left" w:pos="5580"/>
        </w:tabs>
        <w:spacing w:line="360" w:lineRule="auto"/>
        <w:rPr>
          <w:rFonts w:ascii="宋体" w:hAnsi="宋体" w:eastAsia="宋体" w:cs="宋体"/>
          <w:color w:val="000000"/>
          <w:sz w:val="24"/>
          <w:highlight w:val="none"/>
        </w:rPr>
      </w:pPr>
    </w:p>
    <w:p w14:paraId="318B3C26">
      <w:pPr>
        <w:pStyle w:val="52"/>
        <w:tabs>
          <w:tab w:val="left" w:pos="5580"/>
        </w:tabs>
        <w:spacing w:line="360" w:lineRule="auto"/>
        <w:ind w:firstLine="420"/>
        <w:rPr>
          <w:rFonts w:ascii="宋体" w:hAnsi="宋体" w:eastAsia="宋体" w:cs="宋体"/>
          <w:color w:val="000000"/>
          <w:sz w:val="21"/>
          <w:szCs w:val="16"/>
          <w:highlight w:val="none"/>
          <w:u w:val="single"/>
        </w:rPr>
      </w:pPr>
      <w:r>
        <w:rPr>
          <w:rFonts w:ascii="宋体" w:hAnsi="宋体" w:cs="宋体"/>
          <w:color w:val="000000"/>
          <w:sz w:val="21"/>
          <w:szCs w:val="16"/>
        </w:rPr>
        <w:t>供应商（盖单位章）</w:t>
      </w:r>
      <w:r>
        <w:rPr>
          <w:rFonts w:eastAsia="宋体" w:cs="宋体"/>
          <w:color w:val="000000"/>
          <w:sz w:val="21"/>
          <w:szCs w:val="16"/>
        </w:rPr>
        <w:t>;</w:t>
      </w:r>
      <w:r>
        <w:rPr>
          <w:rFonts w:eastAsia="宋体" w:cs="宋体"/>
          <w:color w:val="000000"/>
          <w:sz w:val="21"/>
          <w:szCs w:val="16"/>
          <w:u w:val="single"/>
        </w:rPr>
        <w:t xml:space="preserve">                           </w:t>
      </w:r>
    </w:p>
    <w:p w14:paraId="7D94D85A">
      <w:pPr>
        <w:pStyle w:val="52"/>
        <w:tabs>
          <w:tab w:val="left" w:pos="5580"/>
        </w:tabs>
        <w:spacing w:line="360" w:lineRule="auto"/>
        <w:ind w:firstLine="420"/>
        <w:rPr>
          <w:rFonts w:ascii="宋体" w:hAnsi="宋体" w:eastAsia="宋体" w:cs="宋体"/>
          <w:color w:val="000000"/>
          <w:sz w:val="21"/>
          <w:szCs w:val="16"/>
          <w:highlight w:val="none"/>
        </w:rPr>
      </w:pPr>
      <w:r>
        <w:rPr>
          <w:rFonts w:ascii="宋体" w:hAnsi="宋体" w:cs="宋体"/>
          <w:color w:val="000000"/>
          <w:sz w:val="21"/>
          <w:szCs w:val="16"/>
        </w:rPr>
        <w:t>法定代表人（签字或</w:t>
      </w:r>
      <w:r>
        <w:rPr>
          <w:rFonts w:ascii="宋体" w:hAnsi="宋体" w:cs="宋体"/>
          <w:color w:val="000000"/>
          <w:sz w:val="21"/>
          <w:szCs w:val="16"/>
          <w:lang w:val="en-US" w:eastAsia="zh-CN"/>
        </w:rPr>
        <w:t>盖章</w:t>
      </w:r>
      <w:r>
        <w:rPr>
          <w:rFonts w:ascii="宋体" w:hAnsi="宋体" w:cs="宋体"/>
          <w:color w:val="000000"/>
          <w:sz w:val="21"/>
          <w:szCs w:val="16"/>
        </w:rPr>
        <w:t>）：</w:t>
      </w:r>
      <w:r>
        <w:rPr>
          <w:rFonts w:ascii="宋体" w:hAnsi="宋体" w:cs="宋体"/>
          <w:color w:val="000000"/>
          <w:sz w:val="21"/>
          <w:szCs w:val="16"/>
          <w:u w:val="single"/>
        </w:rPr>
        <w:t xml:space="preserve">                     </w:t>
      </w:r>
    </w:p>
    <w:p w14:paraId="2CD488B0">
      <w:pPr>
        <w:pStyle w:val="52"/>
        <w:tabs>
          <w:tab w:val="left" w:pos="5580"/>
        </w:tabs>
        <w:spacing w:line="360" w:lineRule="auto"/>
        <w:ind w:firstLine="420"/>
        <w:rPr>
          <w:rFonts w:ascii="宋体" w:hAnsi="宋体" w:eastAsia="宋体" w:cs="宋体"/>
          <w:color w:val="000000"/>
          <w:sz w:val="21"/>
          <w:szCs w:val="16"/>
          <w:highlight w:val="none"/>
          <w:u w:val="single"/>
        </w:rPr>
      </w:pPr>
      <w:r>
        <w:rPr>
          <w:rFonts w:ascii="宋体" w:hAnsi="宋体" w:cs="宋体"/>
          <w:color w:val="000000"/>
          <w:sz w:val="21"/>
          <w:szCs w:val="16"/>
        </w:rPr>
        <w:t>委托代理人：</w:t>
      </w:r>
      <w:r>
        <w:rPr>
          <w:rFonts w:ascii="宋体" w:hAnsi="宋体" w:cs="宋体"/>
          <w:color w:val="000000"/>
          <w:sz w:val="21"/>
          <w:szCs w:val="16"/>
          <w:u w:val="single"/>
        </w:rPr>
        <w:t xml:space="preserve">                                   </w:t>
      </w:r>
    </w:p>
    <w:p w14:paraId="64EDA176">
      <w:pPr>
        <w:spacing w:line="360" w:lineRule="auto"/>
        <w:ind w:firstLine="420"/>
        <w:jc w:val="left"/>
        <w:rPr>
          <w:rFonts w:ascii="宋体" w:hAnsi="宋体" w:eastAsia="宋体" w:cs="宋体"/>
          <w:color w:val="000000"/>
          <w:sz w:val="22"/>
          <w:szCs w:val="22"/>
          <w:highlight w:val="none"/>
        </w:rPr>
      </w:pPr>
      <w:r>
        <w:rPr>
          <w:rFonts w:ascii="宋体" w:hAnsi="宋体" w:cs="宋体"/>
          <w:color w:val="000000"/>
          <w:kern w:val="2"/>
          <w:sz w:val="21"/>
          <w:szCs w:val="16"/>
          <w:u w:val="none" w:color="000000"/>
          <w:lang w:val="en-US" w:eastAsia="zh-CN" w:bidi="ar-SA"/>
        </w:rPr>
        <w:t xml:space="preserve">年   月   日 </w:t>
      </w:r>
    </w:p>
    <w:p w14:paraId="73757C2F">
      <w:pPr>
        <w:spacing w:line="360" w:lineRule="auto"/>
        <w:ind w:firstLine="270"/>
        <w:rPr>
          <w:rFonts w:ascii="宋体" w:hAnsi="宋体" w:eastAsia="宋体" w:cs="宋体"/>
          <w:kern w:val="2"/>
          <w:sz w:val="20"/>
          <w:szCs w:val="20"/>
          <w:lang w:val="en-US" w:eastAsia="zh-CN" w:bidi="ar-SA"/>
        </w:rPr>
      </w:pPr>
      <w:r>
        <w:rPr>
          <w:rFonts w:ascii="宋体" w:hAnsi="宋体" w:cs="宋体"/>
          <w:kern w:val="2"/>
          <w:sz w:val="20"/>
          <w:szCs w:val="20"/>
          <w:lang w:val="en-US" w:eastAsia="zh-CN" w:bidi="ar-SA"/>
        </w:rPr>
        <w:t>注：委托代理人响应的还须提供供应商（被授权人）响应文件递交截止时间近</w:t>
      </w:r>
      <w:r>
        <w:rPr>
          <w:rFonts w:ascii="宋体" w:hAnsi="宋体" w:eastAsia="宋体" w:cs="宋体"/>
          <w:kern w:val="2"/>
          <w:sz w:val="20"/>
          <w:szCs w:val="20"/>
          <w:lang w:val="en-US" w:eastAsia="zh-CN" w:bidi="ar-SA"/>
        </w:rPr>
        <w:t>6</w:t>
      </w:r>
      <w:r>
        <w:rPr>
          <w:rFonts w:ascii="宋体" w:hAnsi="宋体" w:cs="宋体"/>
          <w:kern w:val="2"/>
          <w:sz w:val="20"/>
          <w:szCs w:val="20"/>
          <w:lang w:val="en-US" w:eastAsia="zh-CN" w:bidi="ar-SA"/>
        </w:rPr>
        <w:t>个月内任意</w:t>
      </w:r>
      <w:r>
        <w:rPr>
          <w:rFonts w:ascii="宋体" w:hAnsi="宋体" w:eastAsia="宋体" w:cs="宋体"/>
          <w:kern w:val="2"/>
          <w:sz w:val="20"/>
          <w:szCs w:val="20"/>
          <w:lang w:val="en-US" w:eastAsia="zh-CN" w:bidi="ar-SA"/>
        </w:rPr>
        <w:t>1</w:t>
      </w:r>
      <w:r>
        <w:rPr>
          <w:rFonts w:ascii="宋体" w:hAnsi="宋体" w:cs="宋体"/>
          <w:kern w:val="2"/>
          <w:sz w:val="20"/>
          <w:szCs w:val="20"/>
          <w:lang w:val="en-US" w:eastAsia="zh-CN" w:bidi="ar-SA"/>
        </w:rPr>
        <w:t>个月的社保证明，后附社保证明文件。</w:t>
      </w:r>
      <w:r>
        <w:br w:type="page"/>
      </w:r>
    </w:p>
    <w:p w14:paraId="6C62AAFF">
      <w:pPr>
        <w:pStyle w:val="3"/>
        <w:numPr>
          <w:ilvl w:val="0"/>
          <w:numId w:val="0"/>
        </w:numPr>
        <w:spacing w:before="0" w:after="0" w:line="360" w:lineRule="auto"/>
        <w:ind w:left="0" w:firstLine="0"/>
        <w:rPr>
          <w:rFonts w:ascii="宋体" w:hAnsi="宋体" w:eastAsia="宋体" w:cs="宋体"/>
          <w:color w:val="000000"/>
          <w:kern w:val="2"/>
          <w:sz w:val="24"/>
          <w:szCs w:val="20"/>
          <w:highlight w:val="none"/>
          <w:lang w:val="en-US" w:eastAsia="zh-CN" w:bidi="ar-SA"/>
        </w:rPr>
      </w:pPr>
    </w:p>
    <w:p w14:paraId="3944407E">
      <w:pPr>
        <w:pStyle w:val="3"/>
        <w:numPr>
          <w:ilvl w:val="0"/>
          <w:numId w:val="0"/>
        </w:numPr>
        <w:spacing w:before="0" w:after="0" w:line="360" w:lineRule="auto"/>
        <w:ind w:left="0" w:firstLine="0"/>
        <w:rPr>
          <w:rFonts w:ascii="宋体" w:hAnsi="宋体" w:eastAsia="宋体" w:cs="宋体"/>
          <w:color w:val="000000"/>
          <w:sz w:val="24"/>
          <w:highlight w:val="none"/>
        </w:rPr>
      </w:pPr>
    </w:p>
    <w:p w14:paraId="5BA782AF">
      <w:pPr>
        <w:pStyle w:val="3"/>
        <w:numPr>
          <w:ilvl w:val="0"/>
          <w:numId w:val="0"/>
        </w:numPr>
        <w:spacing w:before="0" w:after="0" w:line="360" w:lineRule="auto"/>
        <w:ind w:left="0"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ascii="宋体" w:hAnsi="宋体" w:eastAsia="宋体" w:cs="宋体"/>
          <w:b/>
          <w:bCs/>
          <w:color w:val="000000"/>
          <w:sz w:val="24"/>
          <w:lang w:val="en-US" w:eastAsia="zh-CN"/>
        </w:rPr>
        <w:t>3</w:t>
      </w:r>
      <w:r>
        <w:rPr>
          <w:rFonts w:ascii="宋体" w:hAnsi="宋体" w:cs="宋体"/>
          <w:color w:val="000000"/>
          <w:sz w:val="24"/>
          <w:lang w:val="en-US" w:eastAsia="zh-CN"/>
        </w:rPr>
        <w:t>：</w:t>
      </w:r>
    </w:p>
    <w:p w14:paraId="0D2AFF17">
      <w:pPr>
        <w:jc w:val="center"/>
        <w:rPr>
          <w:rFonts w:ascii="宋体" w:hAnsi="宋体" w:eastAsia="宋体" w:cs="宋体"/>
          <w:b/>
          <w:bCs/>
          <w:color w:val="000000"/>
          <w:sz w:val="24"/>
          <w:highlight w:val="none"/>
          <w:lang w:val="en-US" w:eastAsia="zh-CN"/>
        </w:rPr>
      </w:pPr>
      <w:r>
        <w:rPr>
          <w:rFonts w:ascii="宋体" w:hAnsi="宋体" w:cs="宋体"/>
          <w:b/>
          <w:bCs/>
          <w:color w:val="000000"/>
          <w:kern w:val="0"/>
          <w:sz w:val="24"/>
          <w:szCs w:val="20"/>
          <w:u w:val="none"/>
          <w:lang w:val="en-US" w:eastAsia="zh-CN" w:bidi="ar-SA"/>
        </w:rPr>
        <w:t>中小企业声明函</w:t>
      </w:r>
      <w:r>
        <w:rPr>
          <w:rFonts w:ascii="宋体" w:hAnsi="宋体" w:eastAsia="宋体" w:cs="宋体"/>
          <w:b/>
          <w:bCs/>
          <w:color w:val="000000"/>
          <w:kern w:val="0"/>
          <w:sz w:val="24"/>
          <w:szCs w:val="20"/>
          <w:u w:val="none"/>
          <w:lang w:val="en-US" w:eastAsia="zh-CN" w:bidi="ar-SA"/>
        </w:rPr>
        <w:t>(</w:t>
      </w:r>
      <w:r>
        <w:rPr>
          <w:rFonts w:ascii="宋体" w:hAnsi="宋体" w:cs="宋体"/>
          <w:b/>
          <w:bCs/>
          <w:color w:val="000000"/>
          <w:kern w:val="0"/>
          <w:sz w:val="24"/>
          <w:szCs w:val="20"/>
          <w:u w:val="none"/>
          <w:lang w:val="en-US" w:eastAsia="zh-CN" w:bidi="ar-SA"/>
        </w:rPr>
        <w:t>工程</w:t>
      </w:r>
      <w:r>
        <w:rPr>
          <w:rFonts w:ascii="宋体" w:hAnsi="宋体" w:eastAsia="宋体" w:cs="宋体"/>
          <w:b/>
          <w:bCs/>
          <w:color w:val="000000"/>
          <w:kern w:val="0"/>
          <w:sz w:val="24"/>
          <w:szCs w:val="20"/>
          <w:u w:val="none"/>
          <w:lang w:val="en-US" w:eastAsia="zh-CN" w:bidi="ar-SA"/>
        </w:rPr>
        <w:t>)</w:t>
      </w:r>
    </w:p>
    <w:p w14:paraId="7CF45A85">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本公司（联合体）郑重声明，根据《政府采购促进中小企业发展管理办法》（财库﹝</w:t>
      </w:r>
      <w:r>
        <w:rPr>
          <w:rFonts w:ascii="宋体" w:hAnsi="宋体" w:eastAsia="宋体" w:cs="宋体"/>
          <w:color w:val="000000"/>
          <w:kern w:val="2"/>
          <w:sz w:val="21"/>
          <w:szCs w:val="21"/>
          <w:u w:val="none" w:color="000000"/>
          <w:lang w:val="en-US" w:eastAsia="zh-CN" w:bidi="ar-SA"/>
        </w:rPr>
        <w:t xml:space="preserve">2020﹞46 </w:t>
      </w:r>
      <w:r>
        <w:rPr>
          <w:rFonts w:ascii="宋体" w:hAnsi="宋体" w:cs="宋体"/>
          <w:color w:val="000000"/>
          <w:kern w:val="2"/>
          <w:sz w:val="21"/>
          <w:szCs w:val="21"/>
          <w:u w:val="none" w:color="000000"/>
          <w:lang w:val="en-US" w:eastAsia="zh-CN" w:bidi="ar-SA"/>
        </w:rPr>
        <w:t>号）的规定，本公司（联合体）参加</w:t>
      </w:r>
      <w:r>
        <w:rPr>
          <w:rFonts w:ascii="宋体" w:hAnsi="宋体" w:cs="宋体"/>
          <w:color w:val="000000"/>
          <w:kern w:val="2"/>
          <w:sz w:val="21"/>
          <w:szCs w:val="21"/>
          <w:u w:val="single"/>
          <w:lang w:val="en-US" w:eastAsia="zh-CN" w:bidi="ar-SA"/>
        </w:rPr>
        <w:t>（单位名称）</w:t>
      </w:r>
      <w:r>
        <w:rPr>
          <w:rFonts w:ascii="宋体" w:hAnsi="宋体" w:cs="宋体"/>
          <w:color w:val="000000"/>
          <w:kern w:val="2"/>
          <w:sz w:val="21"/>
          <w:szCs w:val="21"/>
          <w:u w:val="none" w:color="000000"/>
          <w:lang w:val="en-US" w:eastAsia="zh-CN" w:bidi="ar-SA"/>
        </w:rPr>
        <w:t>的</w:t>
      </w:r>
      <w:r>
        <w:rPr>
          <w:rFonts w:ascii="宋体" w:hAnsi="宋体" w:cs="宋体"/>
          <w:color w:val="000000"/>
          <w:kern w:val="2"/>
          <w:sz w:val="21"/>
          <w:szCs w:val="21"/>
          <w:u w:val="single"/>
          <w:lang w:val="en-US" w:eastAsia="zh-CN" w:bidi="ar-SA"/>
        </w:rPr>
        <w:t>（项目名称）</w:t>
      </w:r>
      <w:r>
        <w:rPr>
          <w:rFonts w:ascii="宋体" w:hAnsi="宋体" w:cs="宋体"/>
          <w:color w:val="000000"/>
          <w:kern w:val="2"/>
          <w:sz w:val="21"/>
          <w:szCs w:val="21"/>
          <w:u w:val="none" w:color="000000"/>
          <w:lang w:val="en-US" w:eastAsia="zh-CN" w:bidi="ar-SA"/>
        </w:rPr>
        <w:t xml:space="preserve">采购活动，工程的施工单位全部由符合政策要求的中小企业承建。相关企业 （含联合体中的中小企业、签订分包意向协议的中小企业） 的具体情况如下： </w:t>
      </w:r>
    </w:p>
    <w:p w14:paraId="675D01F8">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eastAsia="宋体" w:cs="宋体"/>
          <w:color w:val="000000"/>
          <w:kern w:val="2"/>
          <w:sz w:val="21"/>
          <w:szCs w:val="21"/>
          <w:u w:val="none" w:color="000000"/>
          <w:lang w:val="en-US" w:eastAsia="zh-CN" w:bidi="ar-SA"/>
        </w:rPr>
        <w:t xml:space="preserve">1. </w:t>
      </w:r>
      <w:r>
        <w:rPr>
          <w:rFonts w:ascii="宋体" w:hAnsi="宋体" w:cs="宋体"/>
          <w:color w:val="000000"/>
          <w:kern w:val="2"/>
          <w:sz w:val="21"/>
          <w:szCs w:val="21"/>
          <w:u w:val="single"/>
          <w:lang w:val="en-US" w:eastAsia="zh-CN" w:bidi="ar-SA"/>
        </w:rPr>
        <w:t>（标的名称）</w:t>
      </w:r>
      <w:r>
        <w:rPr>
          <w:rFonts w:ascii="宋体" w:hAnsi="宋体" w:cs="宋体"/>
          <w:color w:val="000000"/>
          <w:kern w:val="2"/>
          <w:sz w:val="21"/>
          <w:szCs w:val="21"/>
          <w:u w:val="none" w:color="000000"/>
          <w:lang w:val="en-US" w:eastAsia="zh-CN" w:bidi="ar-SA"/>
        </w:rPr>
        <w:t xml:space="preserve"> ，属于</w:t>
      </w:r>
      <w:r>
        <w:rPr>
          <w:rFonts w:ascii="宋体" w:hAnsi="宋体" w:cs="宋体"/>
          <w:color w:val="000000"/>
          <w:kern w:val="2"/>
          <w:sz w:val="21"/>
          <w:szCs w:val="21"/>
          <w:u w:val="single"/>
          <w:lang w:val="en-US" w:eastAsia="zh-CN" w:bidi="ar-SA"/>
        </w:rPr>
        <w:t xml:space="preserve">（采购文件中明确的所属行业） </w:t>
      </w:r>
      <w:r>
        <w:rPr>
          <w:rFonts w:ascii="宋体" w:hAnsi="宋体" w:cs="宋体"/>
          <w:color w:val="000000"/>
          <w:kern w:val="2"/>
          <w:sz w:val="21"/>
          <w:szCs w:val="21"/>
          <w:u w:val="none" w:color="000000"/>
          <w:lang w:val="en-US" w:eastAsia="zh-CN" w:bidi="ar-SA"/>
        </w:rPr>
        <w:t>行业；承建企业为</w:t>
      </w:r>
      <w:r>
        <w:rPr>
          <w:rFonts w:ascii="宋体" w:hAnsi="宋体" w:cs="宋体"/>
          <w:color w:val="000000"/>
          <w:kern w:val="2"/>
          <w:sz w:val="21"/>
          <w:szCs w:val="21"/>
          <w:u w:val="single"/>
          <w:lang w:val="en-US" w:eastAsia="zh-CN" w:bidi="ar-SA"/>
        </w:rPr>
        <w:t>（企业名称）</w:t>
      </w:r>
      <w:r>
        <w:rPr>
          <w:rFonts w:ascii="宋体" w:hAnsi="宋体" w:cs="宋体"/>
          <w:color w:val="000000"/>
          <w:kern w:val="2"/>
          <w:sz w:val="21"/>
          <w:szCs w:val="21"/>
          <w:u w:val="none" w:color="000000"/>
          <w:lang w:val="en-US" w:eastAsia="zh-CN" w:bidi="ar-SA"/>
        </w:rPr>
        <w:t>，从业人员</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人，营业收入为</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 xml:space="preserve"> 万元，资产总额为</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万元，属于（</w:t>
      </w:r>
      <w:r>
        <w:rPr>
          <w:rFonts w:ascii="宋体" w:hAnsi="宋体" w:cs="宋体"/>
          <w:color w:val="000000"/>
          <w:kern w:val="2"/>
          <w:sz w:val="21"/>
          <w:szCs w:val="21"/>
          <w:u w:val="single"/>
          <w:lang w:val="en-US" w:eastAsia="zh-CN" w:bidi="ar-SA"/>
        </w:rPr>
        <w:t>中型企业、小型企业、微型企业</w:t>
      </w:r>
      <w:r>
        <w:rPr>
          <w:rFonts w:ascii="宋体" w:hAnsi="宋体" w:cs="宋体"/>
          <w:color w:val="000000"/>
          <w:kern w:val="2"/>
          <w:sz w:val="21"/>
          <w:szCs w:val="21"/>
          <w:u w:val="none" w:color="000000"/>
          <w:lang w:val="en-US" w:eastAsia="zh-CN" w:bidi="ar-SA"/>
        </w:rPr>
        <w:t xml:space="preserve">）； </w:t>
      </w:r>
    </w:p>
    <w:p w14:paraId="1EE67F7B">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eastAsia="宋体" w:cs="宋体"/>
          <w:color w:val="000000"/>
          <w:kern w:val="2"/>
          <w:sz w:val="21"/>
          <w:szCs w:val="21"/>
          <w:u w:val="none" w:color="000000"/>
          <w:lang w:val="en-US" w:eastAsia="zh-CN" w:bidi="ar-SA"/>
        </w:rPr>
        <w:t xml:space="preserve">2. </w:t>
      </w:r>
      <w:r>
        <w:rPr>
          <w:rFonts w:ascii="宋体" w:hAnsi="宋体" w:cs="宋体"/>
          <w:color w:val="000000"/>
          <w:kern w:val="2"/>
          <w:sz w:val="21"/>
          <w:szCs w:val="21"/>
          <w:u w:val="single"/>
          <w:lang w:val="en-US" w:eastAsia="zh-CN" w:bidi="ar-SA"/>
        </w:rPr>
        <w:t>（标的名称）</w:t>
      </w:r>
      <w:r>
        <w:rPr>
          <w:rFonts w:ascii="宋体" w:hAnsi="宋体" w:cs="宋体"/>
          <w:color w:val="000000"/>
          <w:kern w:val="2"/>
          <w:sz w:val="21"/>
          <w:szCs w:val="21"/>
          <w:u w:val="none" w:color="000000"/>
          <w:lang w:val="en-US" w:eastAsia="zh-CN" w:bidi="ar-SA"/>
        </w:rPr>
        <w:t xml:space="preserve"> ，属于</w:t>
      </w:r>
      <w:r>
        <w:rPr>
          <w:rFonts w:ascii="宋体" w:hAnsi="宋体" w:cs="宋体"/>
          <w:color w:val="000000"/>
          <w:kern w:val="2"/>
          <w:sz w:val="21"/>
          <w:szCs w:val="21"/>
          <w:u w:val="single"/>
          <w:lang w:val="en-US" w:eastAsia="zh-CN" w:bidi="ar-SA"/>
        </w:rPr>
        <w:t xml:space="preserve">（采购文件中明确的所属行业） </w:t>
      </w:r>
      <w:r>
        <w:rPr>
          <w:rFonts w:ascii="宋体" w:hAnsi="宋体" w:cs="宋体"/>
          <w:color w:val="000000"/>
          <w:kern w:val="2"/>
          <w:sz w:val="21"/>
          <w:szCs w:val="21"/>
          <w:u w:val="none" w:color="000000"/>
          <w:lang w:val="en-US" w:eastAsia="zh-CN" w:bidi="ar-SA"/>
        </w:rPr>
        <w:t>行业；承建企业为</w:t>
      </w:r>
      <w:r>
        <w:rPr>
          <w:rFonts w:ascii="宋体" w:hAnsi="宋体" w:cs="宋体"/>
          <w:color w:val="000000"/>
          <w:kern w:val="2"/>
          <w:sz w:val="21"/>
          <w:szCs w:val="21"/>
          <w:u w:val="single"/>
          <w:lang w:val="en-US" w:eastAsia="zh-CN" w:bidi="ar-SA"/>
        </w:rPr>
        <w:t>（企业名称）</w:t>
      </w:r>
      <w:r>
        <w:rPr>
          <w:rFonts w:ascii="宋体" w:hAnsi="宋体" w:cs="宋体"/>
          <w:color w:val="000000"/>
          <w:kern w:val="2"/>
          <w:sz w:val="21"/>
          <w:szCs w:val="21"/>
          <w:u w:val="none" w:color="000000"/>
          <w:lang w:val="en-US" w:eastAsia="zh-CN" w:bidi="ar-SA"/>
        </w:rPr>
        <w:t>，从业人员</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人，营业收入为</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 xml:space="preserve"> 万元，资产总额为</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万元，属于（</w:t>
      </w:r>
      <w:r>
        <w:rPr>
          <w:rFonts w:ascii="宋体" w:hAnsi="宋体" w:cs="宋体"/>
          <w:color w:val="000000"/>
          <w:kern w:val="2"/>
          <w:sz w:val="21"/>
          <w:szCs w:val="21"/>
          <w:u w:val="single"/>
          <w:lang w:val="en-US" w:eastAsia="zh-CN" w:bidi="ar-SA"/>
        </w:rPr>
        <w:t>中型企业、小型企业、微型企业</w:t>
      </w:r>
      <w:r>
        <w:rPr>
          <w:rFonts w:ascii="宋体" w:hAnsi="宋体" w:cs="宋体"/>
          <w:color w:val="000000"/>
          <w:kern w:val="2"/>
          <w:sz w:val="21"/>
          <w:szCs w:val="21"/>
          <w:u w:val="none" w:color="000000"/>
          <w:lang w:val="en-US" w:eastAsia="zh-CN" w:bidi="ar-SA"/>
        </w:rPr>
        <w:t xml:space="preserve">）； </w:t>
      </w:r>
    </w:p>
    <w:p w14:paraId="77CB2337">
      <w:pPr>
        <w:widowControl/>
        <w:kinsoku/>
        <w:bidi w:val="0"/>
        <w:spacing w:before="100" w:after="100" w:line="380" w:lineRule="exact"/>
        <w:ind w:firstLine="420"/>
        <w:jc w:val="left"/>
        <w:rPr>
          <w:rFonts w:ascii="宋体" w:hAnsi="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w:t>
      </w:r>
    </w:p>
    <w:p w14:paraId="7D28A4FC">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以上企业，不属于大企业的分支机构，不存在控股股东为大企业的情形，也不存在与大企业的负责人为同一人的情形。</w:t>
      </w:r>
    </w:p>
    <w:p w14:paraId="2F20F0B0">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本企业对上述声明内容的真实性负责。如有虚假，将依法承担相应责任。 </w:t>
      </w:r>
    </w:p>
    <w:p w14:paraId="50B63093">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企业名称（盖章）：      </w:t>
      </w:r>
    </w:p>
    <w:p w14:paraId="33B84513">
      <w:pPr>
        <w:widowControl/>
        <w:kinsoku/>
        <w:bidi w:val="0"/>
        <w:spacing w:before="100" w:after="100" w:line="380" w:lineRule="exact"/>
        <w:ind w:firstLine="420"/>
        <w:jc w:val="left"/>
        <w:rPr>
          <w:rFonts w:ascii="宋体" w:hAnsi="宋体" w:eastAsia="宋体" w:cs="宋体"/>
          <w:kern w:val="0"/>
          <w:sz w:val="21"/>
          <w:szCs w:val="21"/>
          <w:u w:val="single"/>
        </w:rPr>
      </w:pPr>
      <w:r>
        <w:rPr>
          <w:rFonts w:ascii="宋体" w:hAnsi="宋体" w:cs="宋体"/>
          <w:color w:val="000000"/>
          <w:kern w:val="2"/>
          <w:sz w:val="21"/>
          <w:szCs w:val="21"/>
          <w:u w:val="none" w:color="000000"/>
          <w:lang w:val="en-US" w:eastAsia="zh-CN" w:bidi="ar-SA"/>
        </w:rPr>
        <w:t xml:space="preserve">日 期：    </w:t>
      </w:r>
    </w:p>
    <w:p w14:paraId="6EE0C84E">
      <w:pPr>
        <w:spacing w:before="27" w:after="0" w:line="228" w:lineRule="auto"/>
        <w:ind w:left="192" w:right="235" w:firstLine="604"/>
        <w:rPr>
          <w:rFonts w:ascii="宋体" w:hAnsi="宋体" w:eastAsia="宋体" w:cs="宋体"/>
          <w:spacing w:val="-2"/>
          <w:kern w:val="0"/>
          <w:sz w:val="28"/>
          <w:szCs w:val="28"/>
          <w:u w:val="single"/>
        </w:rPr>
      </w:pPr>
    </w:p>
    <w:p w14:paraId="24182991">
      <w:pPr>
        <w:spacing w:before="27" w:after="0" w:line="228" w:lineRule="auto"/>
        <w:ind w:left="192" w:right="235" w:firstLine="604"/>
        <w:rPr>
          <w:rFonts w:ascii="宋体" w:hAnsi="宋体" w:eastAsia="宋体" w:cs="宋体"/>
          <w:spacing w:val="-2"/>
          <w:sz w:val="28"/>
          <w:szCs w:val="28"/>
        </w:rPr>
      </w:pPr>
    </w:p>
    <w:p w14:paraId="5A0E3C62">
      <w:pPr>
        <w:spacing w:before="27" w:after="0" w:line="228" w:lineRule="auto"/>
        <w:ind w:left="192" w:right="235" w:firstLine="604"/>
        <w:rPr>
          <w:rFonts w:ascii="宋体" w:hAnsi="宋体" w:eastAsia="宋体" w:cs="宋体"/>
          <w:spacing w:val="-2"/>
          <w:sz w:val="24"/>
          <w:szCs w:val="24"/>
          <w:highlight w:val="yellow"/>
        </w:rPr>
      </w:pPr>
      <w:r>
        <w:rPr>
          <w:rFonts w:ascii="宋体" w:hAnsi="宋体" w:cs="宋体"/>
          <w:spacing w:val="-2"/>
          <w:sz w:val="24"/>
          <w:szCs w:val="24"/>
          <w:highlight w:val="yellow"/>
        </w:rPr>
        <w:t>说明：</w:t>
      </w:r>
      <w:r>
        <w:rPr>
          <w:rFonts w:ascii="宋体" w:hAnsi="宋体" w:eastAsia="宋体" w:cs="宋体"/>
          <w:spacing w:val="-2"/>
          <w:sz w:val="24"/>
          <w:szCs w:val="24"/>
          <w:highlight w:val="yellow"/>
        </w:rPr>
        <w:t>1</w:t>
      </w:r>
      <w:r>
        <w:rPr>
          <w:rFonts w:ascii="宋体" w:hAnsi="宋体" w:cs="宋体"/>
          <w:spacing w:val="-2"/>
          <w:sz w:val="24"/>
          <w:szCs w:val="24"/>
          <w:highlight w:val="yellow"/>
        </w:rPr>
        <w:t>、填写前请认真阅读《工业和信息化部、国家统计局、国家发展和改革委员会、财政部关于印发中小企业划型标准规定的通知》（工信部联企业</w:t>
      </w:r>
      <w:r>
        <w:rPr>
          <w:rFonts w:ascii="宋体" w:hAnsi="宋体" w:eastAsia="宋体" w:cs="宋体"/>
          <w:spacing w:val="-2"/>
          <w:sz w:val="24"/>
          <w:szCs w:val="24"/>
          <w:highlight w:val="yellow"/>
        </w:rPr>
        <w:t xml:space="preserve">[2011]300 </w:t>
      </w:r>
      <w:r>
        <w:rPr>
          <w:rFonts w:ascii="宋体" w:hAnsi="宋体" w:cs="宋体"/>
          <w:spacing w:val="-2"/>
          <w:sz w:val="24"/>
          <w:szCs w:val="24"/>
          <w:highlight w:val="yellow"/>
        </w:rPr>
        <w:t>号）和《政府采购促进中小企业发展管理办法》 （财库﹝</w:t>
      </w:r>
      <w:r>
        <w:rPr>
          <w:rFonts w:ascii="宋体" w:hAnsi="宋体" w:eastAsia="宋体" w:cs="宋体"/>
          <w:spacing w:val="-2"/>
          <w:sz w:val="24"/>
          <w:szCs w:val="24"/>
          <w:highlight w:val="yellow"/>
        </w:rPr>
        <w:t xml:space="preserve">2020﹞46 </w:t>
      </w:r>
      <w:r>
        <w:rPr>
          <w:rFonts w:ascii="宋体" w:hAnsi="宋体" w:cs="宋体"/>
          <w:spacing w:val="-2"/>
          <w:sz w:val="24"/>
          <w:szCs w:val="24"/>
          <w:highlight w:val="yellow"/>
        </w:rPr>
        <w:t>号）相关规定。</w:t>
      </w:r>
    </w:p>
    <w:p w14:paraId="274FA8CC">
      <w:pPr>
        <w:spacing w:before="27" w:after="0" w:line="228" w:lineRule="auto"/>
        <w:ind w:left="192" w:right="235" w:firstLine="604"/>
        <w:rPr>
          <w:rFonts w:ascii="宋体" w:hAnsi="宋体" w:eastAsia="宋体" w:cs="宋体"/>
          <w:spacing w:val="-2"/>
          <w:sz w:val="24"/>
          <w:szCs w:val="24"/>
          <w:highlight w:val="yellow"/>
        </w:rPr>
      </w:pPr>
      <w:r>
        <w:rPr>
          <w:rFonts w:ascii="宋体" w:hAnsi="宋体" w:eastAsia="宋体" w:cs="宋体"/>
          <w:spacing w:val="-2"/>
          <w:sz w:val="24"/>
          <w:szCs w:val="24"/>
          <w:highlight w:val="yellow"/>
        </w:rPr>
        <w:t>2</w:t>
      </w:r>
      <w:r>
        <w:rPr>
          <w:rFonts w:ascii="宋体" w:hAnsi="宋体" w:cs="宋体"/>
          <w:spacing w:val="-2"/>
          <w:sz w:val="24"/>
          <w:szCs w:val="24"/>
          <w:highlight w:val="yellow"/>
        </w:rPr>
        <w:t>、未按上述要求提供、填写的，评审时不予以考虑。</w:t>
      </w:r>
    </w:p>
    <w:p w14:paraId="37756BCC">
      <w:pPr>
        <w:pStyle w:val="57"/>
        <w:kinsoku/>
        <w:bidi w:val="0"/>
        <w:spacing w:line="380" w:lineRule="exact"/>
        <w:ind w:firstLine="708"/>
        <w:rPr>
          <w:rFonts w:ascii="宋体" w:hAnsi="宋体" w:eastAsia="宋体" w:cs="宋体"/>
          <w:spacing w:val="-2"/>
          <w:sz w:val="24"/>
          <w:szCs w:val="24"/>
          <w:highlight w:val="yellow"/>
          <w:lang w:eastAsia="zh-CN"/>
        </w:rPr>
      </w:pPr>
      <w:r>
        <w:rPr>
          <w:rFonts w:ascii="宋体" w:hAnsi="宋体" w:eastAsia="宋体" w:cs="宋体"/>
          <w:spacing w:val="-2"/>
          <w:sz w:val="24"/>
          <w:szCs w:val="24"/>
          <w:highlight w:val="yellow"/>
        </w:rPr>
        <w:t>3</w:t>
      </w:r>
      <w:r>
        <w:rPr>
          <w:rFonts w:ascii="宋体" w:hAnsi="宋体" w:cs="宋体"/>
          <w:spacing w:val="-2"/>
          <w:sz w:val="24"/>
          <w:szCs w:val="24"/>
          <w:highlight w:val="yellow"/>
        </w:rPr>
        <w:t>、从业人员、营业收入、资产总额填报上一年度数据，无上一年度数据的新成立企业可不填报</w:t>
      </w:r>
      <w:r>
        <w:rPr>
          <w:rFonts w:ascii="宋体" w:hAnsi="宋体" w:cs="宋体"/>
          <w:spacing w:val="-2"/>
          <w:sz w:val="24"/>
          <w:szCs w:val="24"/>
          <w:highlight w:val="yellow"/>
          <w:lang w:eastAsia="zh-CN"/>
        </w:rPr>
        <w:t>。</w:t>
      </w:r>
    </w:p>
    <w:p w14:paraId="1323E2C8">
      <w:pPr>
        <w:pStyle w:val="57"/>
        <w:kinsoku/>
        <w:bidi w:val="0"/>
        <w:spacing w:line="380" w:lineRule="exact"/>
        <w:ind w:firstLine="708"/>
        <w:rPr>
          <w:rFonts w:ascii="宋体" w:hAnsi="宋体" w:eastAsia="宋体" w:cs="宋体"/>
          <w:spacing w:val="-2"/>
          <w:sz w:val="24"/>
          <w:szCs w:val="24"/>
          <w:highlight w:val="yellow"/>
          <w:lang w:val="en-US" w:eastAsia="zh-CN"/>
        </w:rPr>
      </w:pPr>
      <w:r>
        <w:rPr>
          <w:rFonts w:ascii="宋体" w:hAnsi="宋体" w:eastAsia="宋体" w:cs="宋体"/>
          <w:spacing w:val="-2"/>
          <w:sz w:val="24"/>
          <w:szCs w:val="24"/>
          <w:highlight w:val="yellow"/>
          <w:lang w:val="en-US" w:eastAsia="zh-CN"/>
        </w:rPr>
        <w:t>4</w:t>
      </w:r>
      <w:r>
        <w:rPr>
          <w:rFonts w:ascii="宋体" w:hAnsi="宋体" w:cs="宋体"/>
          <w:spacing w:val="-2"/>
          <w:sz w:val="24"/>
          <w:szCs w:val="24"/>
          <w:highlight w:val="yellow"/>
          <w:lang w:val="en-US" w:eastAsia="zh-CN"/>
        </w:rPr>
        <w:t>、供应商须按磋商文件中明确的所属行业填列，多品目（多个标的物）项目中须按上表要求逐条填列，否则，其提供的中小企业声明将被判定为无效声明函，由此造成的后果由供应商自行承担（涉及资格的按无效响应处理；涉及价格评审优惠的，不予认定）</w:t>
      </w:r>
    </w:p>
    <w:p w14:paraId="55ED3934">
      <w:pPr>
        <w:pStyle w:val="57"/>
        <w:kinsoku/>
        <w:bidi w:val="0"/>
        <w:spacing w:line="380" w:lineRule="exact"/>
        <w:ind w:firstLine="708"/>
        <w:rPr>
          <w:rFonts w:ascii="宋体" w:hAnsi="宋体" w:eastAsia="宋体" w:cs="宋体"/>
          <w:spacing w:val="-2"/>
          <w:sz w:val="24"/>
          <w:szCs w:val="24"/>
          <w:highlight w:val="yellow"/>
          <w:lang w:val="en-US" w:eastAsia="zh-CN"/>
        </w:rPr>
        <w:sectPr>
          <w:headerReference r:id="rId23" w:type="default"/>
          <w:footerReference r:id="rId24" w:type="default"/>
          <w:pgSz w:w="11906" w:h="16838"/>
          <w:pgMar w:top="400" w:right="978" w:bottom="953" w:left="1077" w:header="0" w:footer="788" w:gutter="0"/>
          <w:pgNumType w:fmt="decimal"/>
          <w:cols w:space="720" w:num="1"/>
          <w:formProt w:val="0"/>
          <w:docGrid w:linePitch="360" w:charSpace="0"/>
        </w:sectPr>
      </w:pPr>
      <w:r>
        <w:rPr>
          <w:rFonts w:ascii="宋体" w:hAnsi="宋体" w:eastAsia="宋体" w:cs="宋体"/>
          <w:spacing w:val="-2"/>
          <w:sz w:val="24"/>
          <w:szCs w:val="24"/>
          <w:highlight w:val="yellow"/>
          <w:lang w:val="en-US" w:eastAsia="zh-CN"/>
        </w:rPr>
        <w:t>5</w:t>
      </w:r>
      <w:r>
        <w:rPr>
          <w:rFonts w:ascii="宋体" w:hAnsi="宋体" w:cs="宋体"/>
          <w:spacing w:val="-2"/>
          <w:sz w:val="24"/>
          <w:szCs w:val="24"/>
          <w:highlight w:val="yellow"/>
          <w:lang w:val="en-US" w:eastAsia="zh-CN"/>
        </w:rPr>
        <w:t>、供应商应当对其出具的《中小企业声明函》真实性负责，供应商出具的《中小企业声明函》内容不实的，属于提供虚假材料谋取成交。在实际操作中，项目属性为货物且供应商希望获得中小企业政策支持的，应从制造商处获得充分、准确的信息。</w:t>
      </w:r>
    </w:p>
    <w:p w14:paraId="1923CB81">
      <w:pPr>
        <w:pStyle w:val="3"/>
        <w:numPr>
          <w:ilvl w:val="0"/>
          <w:numId w:val="0"/>
        </w:numPr>
        <w:kinsoku/>
        <w:bidi w:val="0"/>
        <w:spacing w:line="360" w:lineRule="auto"/>
        <w:ind w:left="0" w:firstLine="0"/>
        <w:jc w:val="center"/>
        <w:rPr>
          <w:rFonts w:ascii="宋体" w:hAnsi="宋体" w:eastAsia="宋体" w:cs="宋体"/>
          <w:b/>
          <w:bCs/>
          <w:spacing w:val="-2"/>
          <w:sz w:val="24"/>
          <w:szCs w:val="24"/>
          <w:highlight w:val="yellow"/>
          <w:lang w:val="en-US" w:eastAsia="zh-CN"/>
        </w:rPr>
      </w:pPr>
    </w:p>
    <w:p w14:paraId="5CAD2FF2">
      <w:pPr>
        <w:pStyle w:val="3"/>
        <w:numPr>
          <w:ilvl w:val="0"/>
          <w:numId w:val="0"/>
        </w:numPr>
        <w:kinsoku/>
        <w:bidi w:val="0"/>
        <w:spacing w:line="360" w:lineRule="auto"/>
        <w:ind w:left="0" w:firstLine="0"/>
        <w:jc w:val="center"/>
        <w:rPr>
          <w:rFonts w:ascii="宋体" w:hAnsi="宋体" w:eastAsia="宋体" w:cs="宋体"/>
          <w:b/>
          <w:bCs/>
        </w:rPr>
      </w:pPr>
      <w:r>
        <w:rPr>
          <w:rFonts w:ascii="宋体" w:hAnsi="宋体" w:cs="宋体"/>
          <w:b/>
          <w:bCs/>
        </w:rPr>
        <w:t>残疾人福利性单位声明函</w:t>
      </w:r>
    </w:p>
    <w:p w14:paraId="0ED28B90">
      <w:pPr>
        <w:kinsoku/>
        <w:bidi w:val="0"/>
        <w:spacing w:line="360" w:lineRule="auto"/>
        <w:ind w:left="1087" w:hanging="540"/>
        <w:jc w:val="center"/>
        <w:rPr>
          <w:rFonts w:ascii="宋体" w:hAnsi="宋体" w:eastAsia="宋体" w:cs="宋体"/>
          <w:b/>
          <w:bCs/>
          <w:kern w:val="0"/>
          <w:sz w:val="24"/>
          <w:szCs w:val="20"/>
        </w:rPr>
      </w:pPr>
    </w:p>
    <w:p w14:paraId="6C206AAD">
      <w:pPr>
        <w:widowControl/>
        <w:kinsoku/>
        <w:bidi w:val="0"/>
        <w:spacing w:before="100" w:after="100" w:line="360" w:lineRule="auto"/>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本单位郑重声明，根据《财政部 民政部 中国残疾人联合会关于促进残疾人就业政府采购政策的通知》（财库〔</w:t>
      </w:r>
      <w:r>
        <w:rPr>
          <w:rFonts w:ascii="宋体" w:hAnsi="宋体" w:eastAsia="宋体" w:cs="宋体"/>
          <w:color w:val="000000"/>
          <w:kern w:val="2"/>
          <w:sz w:val="21"/>
          <w:szCs w:val="21"/>
          <w:u w:val="none" w:color="000000"/>
          <w:lang w:val="en-US" w:eastAsia="zh-CN" w:bidi="ar-SA"/>
        </w:rPr>
        <w:t>2017</w:t>
      </w:r>
      <w:r>
        <w:rPr>
          <w:rFonts w:ascii="宋体" w:hAnsi="宋体" w:cs="宋体"/>
          <w:color w:val="000000"/>
          <w:kern w:val="2"/>
          <w:sz w:val="21"/>
          <w:szCs w:val="21"/>
          <w:u w:val="none" w:color="000000"/>
          <w:lang w:val="en-US" w:eastAsia="zh-CN" w:bidi="ar-SA"/>
        </w:rPr>
        <w:t>〕</w:t>
      </w:r>
      <w:r>
        <w:rPr>
          <w:rFonts w:ascii="宋体" w:hAnsi="宋体" w:eastAsia="宋体" w:cs="宋体"/>
          <w:color w:val="000000"/>
          <w:kern w:val="2"/>
          <w:sz w:val="21"/>
          <w:szCs w:val="21"/>
          <w:u w:val="none" w:color="000000"/>
          <w:lang w:val="en-US" w:eastAsia="zh-CN" w:bidi="ar-SA"/>
        </w:rPr>
        <w:t>141</w:t>
      </w:r>
      <w:r>
        <w:rPr>
          <w:rFonts w:ascii="宋体" w:hAnsi="宋体" w:cs="宋体"/>
          <w:color w:val="000000"/>
          <w:kern w:val="2"/>
          <w:sz w:val="21"/>
          <w:szCs w:val="21"/>
          <w:u w:val="none" w:color="000000"/>
          <w:lang w:val="en-US" w:eastAsia="zh-CN" w:bidi="ar-SA"/>
        </w:rPr>
        <w:t>号）的规定，本单位为符合条件的残疾人福利性单位，且本单位参加</w:t>
      </w:r>
      <w:r>
        <w:rPr>
          <w:rFonts w:ascii="宋体" w:hAnsi="宋体" w:eastAsia="宋体" w:cs="宋体"/>
          <w:color w:val="000000"/>
          <w:kern w:val="2"/>
          <w:sz w:val="21"/>
          <w:szCs w:val="21"/>
          <w:u w:val="none" w:color="000000"/>
          <w:lang w:val="en-US" w:eastAsia="zh-CN" w:bidi="ar-SA"/>
        </w:rPr>
        <w:t>______</w:t>
      </w:r>
      <w:r>
        <w:rPr>
          <w:rFonts w:ascii="宋体" w:hAnsi="宋体" w:cs="宋体"/>
          <w:color w:val="000000"/>
          <w:kern w:val="2"/>
          <w:sz w:val="21"/>
          <w:szCs w:val="21"/>
          <w:u w:val="none" w:color="000000"/>
          <w:lang w:val="en-US" w:eastAsia="zh-CN" w:bidi="ar-SA"/>
        </w:rPr>
        <w:t>单位的</w:t>
      </w:r>
      <w:r>
        <w:rPr>
          <w:rFonts w:ascii="宋体" w:hAnsi="宋体" w:eastAsia="宋体" w:cs="宋体"/>
          <w:color w:val="000000"/>
          <w:kern w:val="2"/>
          <w:sz w:val="21"/>
          <w:szCs w:val="21"/>
          <w:u w:val="none" w:color="000000"/>
          <w:lang w:val="en-US" w:eastAsia="zh-CN" w:bidi="ar-SA"/>
        </w:rPr>
        <w:t>______</w:t>
      </w:r>
      <w:r>
        <w:rPr>
          <w:rFonts w:ascii="宋体" w:hAnsi="宋体" w:cs="宋体"/>
          <w:color w:val="000000"/>
          <w:kern w:val="2"/>
          <w:sz w:val="21"/>
          <w:szCs w:val="21"/>
          <w:u w:val="none" w:color="000000"/>
          <w:lang w:val="en-US" w:eastAsia="zh-CN" w:bidi="ar-SA"/>
        </w:rPr>
        <w:t>项目采购活动提供本单位制造的货物，或者提供其他残疾人福利性单位制造的货物（不包括使用非残疾人福利性单位注册商标的货物）。</w:t>
      </w:r>
    </w:p>
    <w:p w14:paraId="6B01CA80">
      <w:pPr>
        <w:widowControl/>
        <w:kinsoku/>
        <w:bidi w:val="0"/>
        <w:spacing w:before="100" w:after="100" w:line="360" w:lineRule="auto"/>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本单位对上述声明的真实性负责。如有虚假，将依法承担相应责任。</w:t>
      </w:r>
    </w:p>
    <w:p w14:paraId="57D7D936">
      <w:pPr>
        <w:widowControl/>
        <w:kinsoku/>
        <w:bidi w:val="0"/>
        <w:spacing w:before="100" w:after="100" w:line="360" w:lineRule="auto"/>
        <w:ind w:firstLine="420"/>
        <w:jc w:val="left"/>
        <w:rPr>
          <w:rFonts w:ascii="宋体" w:hAnsi="宋体" w:eastAsia="宋体" w:cs="宋体"/>
          <w:color w:val="000000"/>
          <w:kern w:val="2"/>
          <w:sz w:val="21"/>
          <w:szCs w:val="21"/>
          <w:u w:val="none" w:color="000000"/>
          <w:lang w:val="en-US" w:eastAsia="zh-CN" w:bidi="ar-SA"/>
        </w:rPr>
      </w:pPr>
      <w:r>
        <w:rPr>
          <w:rFonts w:ascii="宋体" w:hAnsi="宋体" w:eastAsia="宋体" w:cs="宋体"/>
          <w:color w:val="000000"/>
          <w:kern w:val="2"/>
          <w:sz w:val="21"/>
          <w:szCs w:val="21"/>
          <w:u w:val="none" w:color="000000"/>
          <w:lang w:val="en-US" w:eastAsia="zh-CN" w:bidi="ar-SA"/>
        </w:rPr>
        <w:t xml:space="preserve">        </w:t>
      </w:r>
      <w:r>
        <w:rPr>
          <w:rFonts w:ascii="宋体" w:hAnsi="宋体" w:cs="宋体"/>
          <w:color w:val="000000"/>
          <w:kern w:val="2"/>
          <w:sz w:val="21"/>
          <w:szCs w:val="21"/>
          <w:u w:val="none" w:color="000000"/>
          <w:lang w:val="en-US" w:eastAsia="zh-CN" w:bidi="ar-SA"/>
        </w:rPr>
        <w:t>残疾人福利性单位名称（盖单位章）：</w:t>
      </w:r>
      <w:r>
        <w:rPr>
          <w:rFonts w:ascii="宋体" w:hAnsi="宋体" w:eastAsia="宋体" w:cs="宋体"/>
          <w:color w:val="000000"/>
          <w:kern w:val="2"/>
          <w:sz w:val="21"/>
          <w:szCs w:val="21"/>
          <w:u w:val="none" w:color="000000"/>
          <w:lang w:val="en-US" w:eastAsia="zh-CN" w:bidi="ar-SA"/>
        </w:rPr>
        <w:t>______________</w:t>
      </w:r>
    </w:p>
    <w:p w14:paraId="040E9572">
      <w:pPr>
        <w:widowControl/>
        <w:kinsoku/>
        <w:bidi w:val="0"/>
        <w:spacing w:before="100" w:after="100" w:line="360" w:lineRule="auto"/>
        <w:ind w:firstLine="420"/>
        <w:jc w:val="left"/>
        <w:rPr>
          <w:rFonts w:ascii="宋体" w:hAnsi="宋体" w:eastAsia="宋体" w:cs="宋体"/>
          <w:kern w:val="0"/>
          <w:sz w:val="24"/>
          <w:szCs w:val="20"/>
        </w:rPr>
      </w:pPr>
      <w:r>
        <w:rPr>
          <w:rFonts w:ascii="宋体" w:hAnsi="宋体" w:eastAsia="宋体" w:cs="宋体"/>
          <w:color w:val="000000"/>
          <w:kern w:val="2"/>
          <w:sz w:val="21"/>
          <w:szCs w:val="21"/>
          <w:u w:val="none" w:color="000000"/>
          <w:lang w:val="en-US" w:eastAsia="zh-CN" w:bidi="ar-SA"/>
        </w:rPr>
        <w:t xml:space="preserve">         </w:t>
      </w:r>
      <w:r>
        <w:rPr>
          <w:rFonts w:ascii="宋体" w:hAnsi="宋体" w:cs="宋体"/>
          <w:color w:val="000000"/>
          <w:kern w:val="2"/>
          <w:sz w:val="21"/>
          <w:szCs w:val="21"/>
          <w:u w:val="none" w:color="000000"/>
          <w:lang w:val="en-US" w:eastAsia="zh-CN" w:bidi="ar-SA"/>
        </w:rPr>
        <w:t>日  期：</w:t>
      </w:r>
      <w:r>
        <w:rPr>
          <w:rFonts w:ascii="宋体" w:hAnsi="宋体" w:eastAsia="宋体" w:cs="宋体"/>
          <w:color w:val="000000"/>
          <w:kern w:val="2"/>
          <w:sz w:val="21"/>
          <w:szCs w:val="21"/>
          <w:u w:val="none" w:color="000000"/>
          <w:lang w:val="en-US" w:eastAsia="zh-CN" w:bidi="ar-SA"/>
        </w:rPr>
        <w:t>____________________</w:t>
      </w:r>
      <w:r>
        <w:rPr>
          <w:rFonts w:ascii="宋体" w:hAnsi="宋体" w:eastAsia="宋体" w:cs="宋体"/>
          <w:kern w:val="0"/>
          <w:sz w:val="24"/>
          <w:szCs w:val="20"/>
        </w:rPr>
        <w:t>_________________________</w:t>
      </w:r>
    </w:p>
    <w:p w14:paraId="0B1C3216">
      <w:pPr>
        <w:widowControl/>
        <w:numPr>
          <w:ilvl w:val="0"/>
          <w:numId w:val="0"/>
        </w:numPr>
        <w:kinsoku/>
        <w:bidi w:val="0"/>
        <w:spacing w:before="100" w:after="100" w:line="360" w:lineRule="auto"/>
        <w:ind w:left="0" w:firstLine="0"/>
        <w:jc w:val="left"/>
        <w:rPr>
          <w:rFonts w:ascii="宋体" w:hAnsi="宋体" w:eastAsia="宋体" w:cs="宋体"/>
          <w:color w:val="000000"/>
          <w:kern w:val="0"/>
          <w:sz w:val="24"/>
          <w:szCs w:val="20"/>
          <w:highlight w:val="none"/>
          <w:lang w:val="en-US" w:eastAsia="zh-CN"/>
        </w:rPr>
      </w:pPr>
    </w:p>
    <w:p w14:paraId="090E2800">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42CF3305">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19516BFB">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43649105">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408F2D19">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03A2BD9B">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2C0E9157">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10FB4250">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66C1025E">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7AD6F9FF">
      <w:pPr>
        <w:pStyle w:val="8"/>
        <w:rPr>
          <w:rFonts w:ascii="宋体" w:hAnsi="宋体" w:eastAsia="宋体" w:cs="宋体"/>
          <w:color w:val="000000"/>
          <w:sz w:val="24"/>
          <w:highlight w:val="none"/>
          <w:lang w:val="en-US" w:eastAsia="zh-CN"/>
        </w:rPr>
      </w:pPr>
    </w:p>
    <w:p w14:paraId="6EDD339D">
      <w:pPr>
        <w:rPr>
          <w:rFonts w:ascii="宋体" w:hAnsi="宋体" w:eastAsia="宋体" w:cs="宋体"/>
          <w:color w:val="000000"/>
          <w:sz w:val="24"/>
          <w:highlight w:val="none"/>
          <w:lang w:val="en-US" w:eastAsia="zh-CN"/>
        </w:rPr>
      </w:pPr>
    </w:p>
    <w:p w14:paraId="459FAC56">
      <w:pPr>
        <w:pStyle w:val="8"/>
        <w:rPr>
          <w:rFonts w:ascii="宋体" w:hAnsi="宋体" w:eastAsia="宋体" w:cs="宋体"/>
          <w:color w:val="000000"/>
          <w:sz w:val="24"/>
          <w:highlight w:val="none"/>
          <w:lang w:val="en-US" w:eastAsia="zh-CN"/>
        </w:rPr>
      </w:pPr>
    </w:p>
    <w:p w14:paraId="3D962A8D">
      <w:pPr>
        <w:rPr>
          <w:rFonts w:ascii="宋体" w:hAnsi="宋体" w:eastAsia="宋体" w:cs="宋体"/>
          <w:color w:val="000000"/>
          <w:sz w:val="24"/>
          <w:highlight w:val="none"/>
          <w:lang w:val="en-US" w:eastAsia="zh-CN"/>
        </w:rPr>
      </w:pPr>
    </w:p>
    <w:p w14:paraId="7265CC7B">
      <w:pPr>
        <w:pStyle w:val="8"/>
        <w:rPr>
          <w:rFonts w:ascii="宋体" w:hAnsi="宋体" w:eastAsia="宋体" w:cs="宋体"/>
          <w:color w:val="000000"/>
          <w:sz w:val="24"/>
          <w:highlight w:val="none"/>
          <w:lang w:val="en-US" w:eastAsia="zh-CN"/>
        </w:rPr>
      </w:pPr>
    </w:p>
    <w:p w14:paraId="452AFA79">
      <w:pPr>
        <w:rPr>
          <w:rFonts w:ascii="宋体" w:hAnsi="宋体" w:eastAsia="宋体" w:cs="宋体"/>
          <w:color w:val="000000"/>
          <w:sz w:val="24"/>
          <w:highlight w:val="none"/>
          <w:lang w:val="en-US" w:eastAsia="zh-CN"/>
        </w:rPr>
      </w:pPr>
    </w:p>
    <w:p w14:paraId="7DFCCEAB">
      <w:pPr>
        <w:pStyle w:val="8"/>
        <w:rPr>
          <w:rFonts w:ascii="宋体" w:hAnsi="宋体" w:eastAsia="宋体" w:cs="宋体"/>
          <w:color w:val="000000"/>
          <w:sz w:val="24"/>
          <w:highlight w:val="none"/>
          <w:lang w:val="en-US" w:eastAsia="zh-CN"/>
        </w:rPr>
      </w:pPr>
    </w:p>
    <w:p w14:paraId="30C7D820">
      <w:pPr>
        <w:rPr>
          <w:lang w:val="en-US" w:eastAsia="zh-CN"/>
        </w:rPr>
      </w:pPr>
    </w:p>
    <w:p w14:paraId="02FF378A">
      <w:pPr>
        <w:pStyle w:val="57"/>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各行业划型标准： </w:t>
      </w:r>
    </w:p>
    <w:p w14:paraId="0F699AB7">
      <w:pPr>
        <w:pStyle w:val="57"/>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农、林、牧、渔业。营业收入 </w:t>
      </w:r>
      <w:r>
        <w:rPr>
          <w:rFonts w:ascii="宋体" w:hAnsi="宋体" w:eastAsia="宋体" w:cs="宋体"/>
          <w:color w:val="000000"/>
          <w:kern w:val="2"/>
          <w:sz w:val="21"/>
          <w:szCs w:val="21"/>
          <w:u w:val="none" w:color="000000"/>
          <w:lang w:val="en-US" w:eastAsia="zh-CN" w:bidi="ar-SA"/>
        </w:rPr>
        <w:t xml:space="preserve">20000 </w:t>
      </w:r>
      <w:r>
        <w:rPr>
          <w:rFonts w:ascii="宋体" w:hAnsi="宋体" w:cs="宋体"/>
          <w:color w:val="000000"/>
          <w:kern w:val="2"/>
          <w:sz w:val="21"/>
          <w:szCs w:val="21"/>
          <w:u w:val="none" w:color="000000"/>
          <w:lang w:val="en-US" w:eastAsia="zh-CN" w:bidi="ar-SA"/>
        </w:rPr>
        <w:t xml:space="preserve">万元以下的为中小微型企业。其中，营业收入 </w:t>
      </w:r>
      <w:r>
        <w:rPr>
          <w:rFonts w:ascii="宋体" w:hAnsi="宋体" w:eastAsia="宋体" w:cs="宋体"/>
          <w:color w:val="000000"/>
          <w:kern w:val="2"/>
          <w:sz w:val="21"/>
          <w:szCs w:val="21"/>
          <w:u w:val="none" w:color="000000"/>
          <w:lang w:val="en-US" w:eastAsia="zh-CN" w:bidi="ar-SA"/>
        </w:rPr>
        <w:t xml:space="preserve">500 </w:t>
      </w:r>
      <w:r>
        <w:rPr>
          <w:rFonts w:ascii="宋体" w:hAnsi="宋体" w:cs="宋体"/>
          <w:color w:val="000000"/>
          <w:kern w:val="2"/>
          <w:sz w:val="21"/>
          <w:szCs w:val="21"/>
          <w:u w:val="none" w:color="000000"/>
          <w:lang w:val="en-US" w:eastAsia="zh-CN" w:bidi="ar-SA"/>
        </w:rPr>
        <w:t xml:space="preserve">万元及以上的为中型企业，营业收入 </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万元及以上的为小型企业，营业收入</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 xml:space="preserve">万元以下的为微型企业。 </w:t>
      </w:r>
    </w:p>
    <w:p w14:paraId="360420EA">
      <w:pPr>
        <w:pStyle w:val="57"/>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工业。从业人员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40000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万元以下的为微型企业。 </w:t>
      </w:r>
    </w:p>
    <w:p w14:paraId="423E36D3">
      <w:pPr>
        <w:pStyle w:val="57"/>
        <w:numPr>
          <w:ilvl w:val="0"/>
          <w:numId w:val="14"/>
        </w:numPr>
        <w:kinsoku/>
        <w:bidi w:val="0"/>
        <w:spacing w:line="360" w:lineRule="auto"/>
        <w:ind w:left="0" w:firstLine="0"/>
        <w:rPr>
          <w:rFonts w:ascii="宋体" w:hAnsi="宋体" w:eastAsia="宋体" w:cs="宋体"/>
          <w:color w:val="000000"/>
          <w:kern w:val="2"/>
          <w:sz w:val="21"/>
          <w:szCs w:val="21"/>
          <w:highlight w:val="yellow"/>
          <w:u w:val="none" w:color="000000"/>
          <w:lang w:val="en-US" w:eastAsia="zh-CN" w:bidi="ar-SA"/>
        </w:rPr>
      </w:pPr>
      <w:r>
        <w:rPr>
          <w:rFonts w:ascii="宋体" w:hAnsi="宋体" w:cs="宋体"/>
          <w:color w:val="000000"/>
          <w:kern w:val="2"/>
          <w:sz w:val="21"/>
          <w:szCs w:val="21"/>
          <w:highlight w:val="yellow"/>
          <w:u w:val="none" w:color="000000"/>
          <w:lang w:val="en-US" w:eastAsia="zh-CN" w:bidi="ar-SA"/>
        </w:rPr>
        <w:t xml:space="preserve">建筑业。营业收入 </w:t>
      </w:r>
      <w:r>
        <w:rPr>
          <w:rFonts w:ascii="宋体" w:hAnsi="宋体" w:eastAsia="宋体" w:cs="宋体"/>
          <w:color w:val="000000"/>
          <w:kern w:val="2"/>
          <w:sz w:val="21"/>
          <w:szCs w:val="21"/>
          <w:highlight w:val="yellow"/>
          <w:u w:val="none" w:color="000000"/>
          <w:lang w:val="en-US" w:eastAsia="zh-CN" w:bidi="ar-SA"/>
        </w:rPr>
        <w:t xml:space="preserve">80000 </w:t>
      </w:r>
      <w:r>
        <w:rPr>
          <w:rFonts w:ascii="宋体" w:hAnsi="宋体" w:cs="宋体"/>
          <w:color w:val="000000"/>
          <w:kern w:val="2"/>
          <w:sz w:val="21"/>
          <w:szCs w:val="21"/>
          <w:highlight w:val="yellow"/>
          <w:u w:val="none" w:color="000000"/>
          <w:lang w:val="en-US" w:eastAsia="zh-CN" w:bidi="ar-SA"/>
        </w:rPr>
        <w:t xml:space="preserve">万元以下或资产总额 </w:t>
      </w:r>
      <w:r>
        <w:rPr>
          <w:rFonts w:ascii="宋体" w:hAnsi="宋体" w:eastAsia="宋体" w:cs="宋体"/>
          <w:color w:val="000000"/>
          <w:kern w:val="2"/>
          <w:sz w:val="21"/>
          <w:szCs w:val="21"/>
          <w:highlight w:val="yellow"/>
          <w:u w:val="none" w:color="000000"/>
          <w:lang w:val="en-US" w:eastAsia="zh-CN" w:bidi="ar-SA"/>
        </w:rPr>
        <w:t xml:space="preserve">80000 </w:t>
      </w:r>
      <w:r>
        <w:rPr>
          <w:rFonts w:ascii="宋体" w:hAnsi="宋体" w:cs="宋体"/>
          <w:color w:val="000000"/>
          <w:kern w:val="2"/>
          <w:sz w:val="21"/>
          <w:szCs w:val="21"/>
          <w:highlight w:val="yellow"/>
          <w:u w:val="none" w:color="000000"/>
          <w:lang w:val="en-US" w:eastAsia="zh-CN" w:bidi="ar-SA"/>
        </w:rPr>
        <w:t xml:space="preserve">万元以下的为中小微型企业。其中，营业收入 </w:t>
      </w:r>
      <w:r>
        <w:rPr>
          <w:rFonts w:ascii="宋体" w:hAnsi="宋体" w:eastAsia="宋体" w:cs="宋体"/>
          <w:color w:val="000000"/>
          <w:kern w:val="2"/>
          <w:sz w:val="21"/>
          <w:szCs w:val="21"/>
          <w:highlight w:val="yellow"/>
          <w:u w:val="none" w:color="000000"/>
          <w:lang w:val="en-US" w:eastAsia="zh-CN" w:bidi="ar-SA"/>
        </w:rPr>
        <w:t xml:space="preserve">6000 </w:t>
      </w:r>
      <w:r>
        <w:rPr>
          <w:rFonts w:ascii="宋体" w:hAnsi="宋体" w:cs="宋体"/>
          <w:color w:val="000000"/>
          <w:kern w:val="2"/>
          <w:sz w:val="21"/>
          <w:szCs w:val="21"/>
          <w:highlight w:val="yellow"/>
          <w:u w:val="none" w:color="000000"/>
          <w:lang w:val="en-US" w:eastAsia="zh-CN" w:bidi="ar-SA"/>
        </w:rPr>
        <w:t xml:space="preserve">万元及以上，且资产总额 </w:t>
      </w:r>
      <w:r>
        <w:rPr>
          <w:rFonts w:ascii="宋体" w:hAnsi="宋体" w:eastAsia="宋体" w:cs="宋体"/>
          <w:color w:val="000000"/>
          <w:kern w:val="2"/>
          <w:sz w:val="21"/>
          <w:szCs w:val="21"/>
          <w:highlight w:val="yellow"/>
          <w:u w:val="none" w:color="000000"/>
          <w:lang w:val="en-US" w:eastAsia="zh-CN" w:bidi="ar-SA"/>
        </w:rPr>
        <w:t xml:space="preserve">5000 </w:t>
      </w:r>
      <w:r>
        <w:rPr>
          <w:rFonts w:ascii="宋体" w:hAnsi="宋体" w:cs="宋体"/>
          <w:color w:val="000000"/>
          <w:kern w:val="2"/>
          <w:sz w:val="21"/>
          <w:szCs w:val="21"/>
          <w:highlight w:val="yellow"/>
          <w:u w:val="none" w:color="000000"/>
          <w:lang w:val="en-US" w:eastAsia="zh-CN" w:bidi="ar-SA"/>
        </w:rPr>
        <w:t>万元及以上的为中型企业；营业收入</w:t>
      </w:r>
      <w:r>
        <w:rPr>
          <w:rFonts w:ascii="宋体" w:hAnsi="宋体" w:eastAsia="宋体" w:cs="宋体"/>
          <w:color w:val="000000"/>
          <w:kern w:val="2"/>
          <w:sz w:val="21"/>
          <w:szCs w:val="21"/>
          <w:highlight w:val="yellow"/>
          <w:u w:val="none" w:color="000000"/>
          <w:lang w:val="en-US" w:eastAsia="zh-CN" w:bidi="ar-SA"/>
        </w:rPr>
        <w:t xml:space="preserve">300 </w:t>
      </w:r>
      <w:r>
        <w:rPr>
          <w:rFonts w:ascii="宋体" w:hAnsi="宋体" w:cs="宋体"/>
          <w:color w:val="000000"/>
          <w:kern w:val="2"/>
          <w:sz w:val="21"/>
          <w:szCs w:val="21"/>
          <w:highlight w:val="yellow"/>
          <w:u w:val="none" w:color="000000"/>
          <w:lang w:val="en-US" w:eastAsia="zh-CN" w:bidi="ar-SA"/>
        </w:rPr>
        <w:t xml:space="preserve">万元及以上，且资产总额 </w:t>
      </w:r>
      <w:r>
        <w:rPr>
          <w:rFonts w:ascii="宋体" w:hAnsi="宋体" w:eastAsia="宋体" w:cs="宋体"/>
          <w:color w:val="000000"/>
          <w:kern w:val="2"/>
          <w:sz w:val="21"/>
          <w:szCs w:val="21"/>
          <w:highlight w:val="yellow"/>
          <w:u w:val="none" w:color="000000"/>
          <w:lang w:val="en-US" w:eastAsia="zh-CN" w:bidi="ar-SA"/>
        </w:rPr>
        <w:t xml:space="preserve">300 </w:t>
      </w:r>
      <w:r>
        <w:rPr>
          <w:rFonts w:ascii="宋体" w:hAnsi="宋体" w:cs="宋体"/>
          <w:color w:val="000000"/>
          <w:kern w:val="2"/>
          <w:sz w:val="21"/>
          <w:szCs w:val="21"/>
          <w:highlight w:val="yellow"/>
          <w:u w:val="none" w:color="000000"/>
          <w:lang w:val="en-US" w:eastAsia="zh-CN" w:bidi="ar-SA"/>
        </w:rPr>
        <w:t>万元及以上的为小型企业；营业收入</w:t>
      </w:r>
      <w:r>
        <w:rPr>
          <w:rFonts w:ascii="宋体" w:hAnsi="宋体" w:eastAsia="宋体" w:cs="宋体"/>
          <w:color w:val="000000"/>
          <w:kern w:val="2"/>
          <w:sz w:val="21"/>
          <w:szCs w:val="21"/>
          <w:highlight w:val="yellow"/>
          <w:u w:val="none" w:color="000000"/>
          <w:lang w:val="en-US" w:eastAsia="zh-CN" w:bidi="ar-SA"/>
        </w:rPr>
        <w:t xml:space="preserve">300 </w:t>
      </w:r>
      <w:r>
        <w:rPr>
          <w:rFonts w:ascii="宋体" w:hAnsi="宋体" w:cs="宋体"/>
          <w:color w:val="000000"/>
          <w:kern w:val="2"/>
          <w:sz w:val="21"/>
          <w:szCs w:val="21"/>
          <w:highlight w:val="yellow"/>
          <w:u w:val="none" w:color="000000"/>
          <w:lang w:val="en-US" w:eastAsia="zh-CN" w:bidi="ar-SA"/>
        </w:rPr>
        <w:t xml:space="preserve">万元以下或资产总额 </w:t>
      </w:r>
      <w:r>
        <w:rPr>
          <w:rFonts w:ascii="宋体" w:hAnsi="宋体" w:eastAsia="宋体" w:cs="宋体"/>
          <w:color w:val="000000"/>
          <w:kern w:val="2"/>
          <w:sz w:val="21"/>
          <w:szCs w:val="21"/>
          <w:highlight w:val="yellow"/>
          <w:u w:val="none" w:color="000000"/>
          <w:lang w:val="en-US" w:eastAsia="zh-CN" w:bidi="ar-SA"/>
        </w:rPr>
        <w:t xml:space="preserve">300 </w:t>
      </w:r>
      <w:r>
        <w:rPr>
          <w:rFonts w:ascii="宋体" w:hAnsi="宋体" w:cs="宋体"/>
          <w:color w:val="000000"/>
          <w:kern w:val="2"/>
          <w:sz w:val="21"/>
          <w:szCs w:val="21"/>
          <w:highlight w:val="yellow"/>
          <w:u w:val="none" w:color="000000"/>
          <w:lang w:val="en-US" w:eastAsia="zh-CN" w:bidi="ar-SA"/>
        </w:rPr>
        <w:t xml:space="preserve">万元以下的为微型企业。 （四）批发业。从业人员 </w:t>
      </w:r>
      <w:r>
        <w:rPr>
          <w:rFonts w:ascii="宋体" w:hAnsi="宋体" w:eastAsia="宋体" w:cs="宋体"/>
          <w:color w:val="000000"/>
          <w:kern w:val="2"/>
          <w:sz w:val="21"/>
          <w:szCs w:val="21"/>
          <w:highlight w:val="yellow"/>
          <w:u w:val="none" w:color="000000"/>
          <w:lang w:val="en-US" w:eastAsia="zh-CN" w:bidi="ar-SA"/>
        </w:rPr>
        <w:t xml:space="preserve">200 </w:t>
      </w:r>
      <w:r>
        <w:rPr>
          <w:rFonts w:ascii="宋体" w:hAnsi="宋体" w:cs="宋体"/>
          <w:color w:val="000000"/>
          <w:kern w:val="2"/>
          <w:sz w:val="21"/>
          <w:szCs w:val="21"/>
          <w:highlight w:val="yellow"/>
          <w:u w:val="none" w:color="000000"/>
          <w:lang w:val="en-US" w:eastAsia="zh-CN" w:bidi="ar-SA"/>
        </w:rPr>
        <w:t xml:space="preserve">人以下或营业收入 </w:t>
      </w:r>
      <w:r>
        <w:rPr>
          <w:rFonts w:ascii="宋体" w:hAnsi="宋体" w:eastAsia="宋体" w:cs="宋体"/>
          <w:color w:val="000000"/>
          <w:kern w:val="2"/>
          <w:sz w:val="21"/>
          <w:szCs w:val="21"/>
          <w:highlight w:val="yellow"/>
          <w:u w:val="none" w:color="000000"/>
          <w:lang w:val="en-US" w:eastAsia="zh-CN" w:bidi="ar-SA"/>
        </w:rPr>
        <w:t xml:space="preserve">40000 </w:t>
      </w:r>
      <w:r>
        <w:rPr>
          <w:rFonts w:ascii="宋体" w:hAnsi="宋体" w:cs="宋体"/>
          <w:color w:val="000000"/>
          <w:kern w:val="2"/>
          <w:sz w:val="21"/>
          <w:szCs w:val="21"/>
          <w:highlight w:val="yellow"/>
          <w:u w:val="none" w:color="000000"/>
          <w:lang w:val="en-US" w:eastAsia="zh-CN" w:bidi="ar-SA"/>
        </w:rPr>
        <w:t xml:space="preserve">万元以下的为中小微型企业。其中，从业人员 </w:t>
      </w:r>
      <w:r>
        <w:rPr>
          <w:rFonts w:ascii="宋体" w:hAnsi="宋体" w:eastAsia="宋体" w:cs="宋体"/>
          <w:color w:val="000000"/>
          <w:kern w:val="2"/>
          <w:sz w:val="21"/>
          <w:szCs w:val="21"/>
          <w:highlight w:val="yellow"/>
          <w:u w:val="none" w:color="000000"/>
          <w:lang w:val="en-US" w:eastAsia="zh-CN" w:bidi="ar-SA"/>
        </w:rPr>
        <w:t xml:space="preserve">20 </w:t>
      </w:r>
      <w:r>
        <w:rPr>
          <w:rFonts w:ascii="宋体" w:hAnsi="宋体" w:cs="宋体"/>
          <w:color w:val="000000"/>
          <w:kern w:val="2"/>
          <w:sz w:val="21"/>
          <w:szCs w:val="21"/>
          <w:highlight w:val="yellow"/>
          <w:u w:val="none" w:color="000000"/>
          <w:lang w:val="en-US" w:eastAsia="zh-CN" w:bidi="ar-SA"/>
        </w:rPr>
        <w:t xml:space="preserve">人及以上，且营业收入 </w:t>
      </w:r>
      <w:r>
        <w:rPr>
          <w:rFonts w:ascii="宋体" w:hAnsi="宋体" w:eastAsia="宋体" w:cs="宋体"/>
          <w:color w:val="000000"/>
          <w:kern w:val="2"/>
          <w:sz w:val="21"/>
          <w:szCs w:val="21"/>
          <w:highlight w:val="yellow"/>
          <w:u w:val="none" w:color="000000"/>
          <w:lang w:val="en-US" w:eastAsia="zh-CN" w:bidi="ar-SA"/>
        </w:rPr>
        <w:t xml:space="preserve">5000 </w:t>
      </w:r>
      <w:r>
        <w:rPr>
          <w:rFonts w:ascii="宋体" w:hAnsi="宋体" w:cs="宋体"/>
          <w:color w:val="000000"/>
          <w:kern w:val="2"/>
          <w:sz w:val="21"/>
          <w:szCs w:val="21"/>
          <w:highlight w:val="yellow"/>
          <w:u w:val="none" w:color="000000"/>
          <w:lang w:val="en-US" w:eastAsia="zh-CN" w:bidi="ar-SA"/>
        </w:rPr>
        <w:t>万元及以上的为中型企业；从业人员</w:t>
      </w:r>
      <w:r>
        <w:rPr>
          <w:rFonts w:ascii="宋体" w:hAnsi="宋体" w:eastAsia="宋体" w:cs="宋体"/>
          <w:color w:val="000000"/>
          <w:kern w:val="2"/>
          <w:sz w:val="21"/>
          <w:szCs w:val="21"/>
          <w:highlight w:val="yellow"/>
          <w:u w:val="none" w:color="000000"/>
          <w:lang w:val="en-US" w:eastAsia="zh-CN" w:bidi="ar-SA"/>
        </w:rPr>
        <w:t xml:space="preserve">5 </w:t>
      </w:r>
      <w:r>
        <w:rPr>
          <w:rFonts w:ascii="宋体" w:hAnsi="宋体" w:cs="宋体"/>
          <w:color w:val="000000"/>
          <w:kern w:val="2"/>
          <w:sz w:val="21"/>
          <w:szCs w:val="21"/>
          <w:highlight w:val="yellow"/>
          <w:u w:val="none" w:color="000000"/>
          <w:lang w:val="en-US" w:eastAsia="zh-CN" w:bidi="ar-SA"/>
        </w:rPr>
        <w:t xml:space="preserve">人及以上，且营业收入 </w:t>
      </w:r>
      <w:r>
        <w:rPr>
          <w:rFonts w:ascii="宋体" w:hAnsi="宋体" w:eastAsia="宋体" w:cs="宋体"/>
          <w:color w:val="000000"/>
          <w:kern w:val="2"/>
          <w:sz w:val="21"/>
          <w:szCs w:val="21"/>
          <w:highlight w:val="yellow"/>
          <w:u w:val="none" w:color="000000"/>
          <w:lang w:val="en-US" w:eastAsia="zh-CN" w:bidi="ar-SA"/>
        </w:rPr>
        <w:t xml:space="preserve">1000 </w:t>
      </w:r>
      <w:r>
        <w:rPr>
          <w:rFonts w:ascii="宋体" w:hAnsi="宋体" w:cs="宋体"/>
          <w:color w:val="000000"/>
          <w:kern w:val="2"/>
          <w:sz w:val="21"/>
          <w:szCs w:val="21"/>
          <w:highlight w:val="yellow"/>
          <w:u w:val="none" w:color="000000"/>
          <w:lang w:val="en-US" w:eastAsia="zh-CN" w:bidi="ar-SA"/>
        </w:rPr>
        <w:t xml:space="preserve">万元及以上的为小型企业；从业人员 </w:t>
      </w:r>
      <w:r>
        <w:rPr>
          <w:rFonts w:ascii="宋体" w:hAnsi="宋体" w:eastAsia="宋体" w:cs="宋体"/>
          <w:color w:val="000000"/>
          <w:kern w:val="2"/>
          <w:sz w:val="21"/>
          <w:szCs w:val="21"/>
          <w:highlight w:val="yellow"/>
          <w:u w:val="none" w:color="000000"/>
          <w:lang w:val="en-US" w:eastAsia="zh-CN" w:bidi="ar-SA"/>
        </w:rPr>
        <w:t xml:space="preserve">5 </w:t>
      </w:r>
      <w:r>
        <w:rPr>
          <w:rFonts w:ascii="宋体" w:hAnsi="宋体" w:cs="宋体"/>
          <w:color w:val="000000"/>
          <w:kern w:val="2"/>
          <w:sz w:val="21"/>
          <w:szCs w:val="21"/>
          <w:highlight w:val="yellow"/>
          <w:u w:val="none" w:color="000000"/>
          <w:lang w:val="en-US" w:eastAsia="zh-CN" w:bidi="ar-SA"/>
        </w:rPr>
        <w:t>人以下或营业收入</w:t>
      </w:r>
      <w:r>
        <w:rPr>
          <w:rFonts w:ascii="宋体" w:hAnsi="宋体" w:eastAsia="宋体" w:cs="宋体"/>
          <w:color w:val="000000"/>
          <w:kern w:val="2"/>
          <w:sz w:val="21"/>
          <w:szCs w:val="21"/>
          <w:highlight w:val="yellow"/>
          <w:u w:val="none" w:color="000000"/>
          <w:lang w:val="en-US" w:eastAsia="zh-CN" w:bidi="ar-SA"/>
        </w:rPr>
        <w:t xml:space="preserve">1000 </w:t>
      </w:r>
      <w:r>
        <w:rPr>
          <w:rFonts w:ascii="宋体" w:hAnsi="宋体" w:cs="宋体"/>
          <w:color w:val="000000"/>
          <w:kern w:val="2"/>
          <w:sz w:val="21"/>
          <w:szCs w:val="21"/>
          <w:highlight w:val="yellow"/>
          <w:u w:val="none" w:color="000000"/>
          <w:lang w:val="en-US" w:eastAsia="zh-CN" w:bidi="ar-SA"/>
        </w:rPr>
        <w:t xml:space="preserve">万元以下的为微型企业。 </w:t>
      </w:r>
    </w:p>
    <w:p w14:paraId="7B9C79C5">
      <w:pPr>
        <w:pStyle w:val="57"/>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零售业。从业人员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20000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500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w:t>
      </w:r>
    </w:p>
    <w:p w14:paraId="5FBDD19A">
      <w:pPr>
        <w:pStyle w:val="57"/>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交通运输业。从业人员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30000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3000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200</w:t>
      </w:r>
      <w:r>
        <w:rPr>
          <w:rFonts w:ascii="宋体" w:hAnsi="宋体" w:cs="宋体"/>
          <w:color w:val="000000"/>
          <w:kern w:val="2"/>
          <w:sz w:val="21"/>
          <w:szCs w:val="21"/>
          <w:u w:val="none" w:color="000000"/>
          <w:lang w:val="en-US" w:eastAsia="zh-CN" w:bidi="ar-SA"/>
        </w:rPr>
        <w:t xml:space="preserve">万元以下的为微型企业。 </w:t>
      </w:r>
    </w:p>
    <w:p w14:paraId="7675CF61">
      <w:pPr>
        <w:pStyle w:val="57"/>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仓储业。从业人员 </w:t>
      </w:r>
      <w:r>
        <w:rPr>
          <w:rFonts w:ascii="宋体" w:hAnsi="宋体" w:eastAsia="宋体" w:cs="宋体"/>
          <w:color w:val="000000"/>
          <w:kern w:val="2"/>
          <w:sz w:val="21"/>
          <w:szCs w:val="21"/>
          <w:u w:val="none" w:color="000000"/>
          <w:lang w:val="en-US" w:eastAsia="zh-CN" w:bidi="ar-SA"/>
        </w:rPr>
        <w:t xml:space="preserve">200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30000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w:t>
      </w:r>
    </w:p>
    <w:p w14:paraId="235DFDCE">
      <w:pPr>
        <w:pStyle w:val="57"/>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邮政业。从业人员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30000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20</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100</w:t>
      </w:r>
      <w:r>
        <w:rPr>
          <w:rFonts w:ascii="宋体" w:hAnsi="宋体" w:cs="宋体"/>
          <w:color w:val="000000"/>
          <w:kern w:val="2"/>
          <w:sz w:val="21"/>
          <w:szCs w:val="21"/>
          <w:u w:val="none" w:color="000000"/>
          <w:lang w:val="en-US" w:eastAsia="zh-CN" w:bidi="ar-SA"/>
        </w:rPr>
        <w:t xml:space="preserve">万元以下的为微型企业。 （九）住宿业。从业人员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10000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（十）餐饮业。从业人员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10000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w:t>
      </w:r>
    </w:p>
    <w:p w14:paraId="249DF692">
      <w:pPr>
        <w:pStyle w:val="57"/>
        <w:numPr>
          <w:ilvl w:val="0"/>
          <w:numId w:val="15"/>
        </w:numPr>
        <w:kinsoku/>
        <w:bidi w:val="0"/>
        <w:spacing w:line="360" w:lineRule="auto"/>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信息传输业。从业人员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100000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万元及以上的为中型企业；从业人员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万元及以上的为小型企业；从业人员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万元以下的为微型企业。</w:t>
      </w:r>
    </w:p>
    <w:p w14:paraId="686CB176">
      <w:pPr>
        <w:pStyle w:val="57"/>
        <w:numPr>
          <w:ilvl w:val="0"/>
          <w:numId w:val="15"/>
        </w:numPr>
        <w:kinsoku/>
        <w:bidi w:val="0"/>
        <w:spacing w:line="360" w:lineRule="auto"/>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软件和信息技术服务业。从业人员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10000 </w:t>
      </w:r>
      <w:r>
        <w:rPr>
          <w:rFonts w:ascii="宋体" w:hAnsi="宋体" w:cs="宋体"/>
          <w:color w:val="000000"/>
          <w:kern w:val="2"/>
          <w:sz w:val="21"/>
          <w:szCs w:val="21"/>
          <w:u w:val="none" w:color="000000"/>
          <w:lang w:val="en-US" w:eastAsia="zh-CN" w:bidi="ar-SA"/>
        </w:rPr>
        <w:t xml:space="preserve">万元以下的为 </w:t>
      </w:r>
      <w:r>
        <w:rPr>
          <w:rFonts w:ascii="宋体" w:hAnsi="宋体" w:eastAsia="宋体" w:cs="宋体"/>
          <w:color w:val="000000"/>
          <w:kern w:val="2"/>
          <w:sz w:val="21"/>
          <w:szCs w:val="21"/>
          <w:u w:val="none" w:color="000000"/>
          <w:lang w:val="en-US" w:eastAsia="zh-CN" w:bidi="ar-SA"/>
        </w:rPr>
        <w:t xml:space="preserve">27 </w:t>
      </w:r>
      <w:r>
        <w:rPr>
          <w:rFonts w:ascii="宋体" w:hAnsi="宋体" w:cs="宋体"/>
          <w:color w:val="000000"/>
          <w:kern w:val="2"/>
          <w:sz w:val="21"/>
          <w:szCs w:val="21"/>
          <w:u w:val="none" w:color="000000"/>
          <w:lang w:val="en-US" w:eastAsia="zh-CN" w:bidi="ar-SA"/>
        </w:rPr>
        <w:t xml:space="preserve">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万元及以上的为中型企业；从业人员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万元及以上的为小型企业；从业人员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 xml:space="preserve">万元以下的为微型企业。 </w:t>
      </w:r>
    </w:p>
    <w:p w14:paraId="5EC2D91B">
      <w:pPr>
        <w:pStyle w:val="57"/>
        <w:numPr>
          <w:ilvl w:val="0"/>
          <w:numId w:val="15"/>
        </w:numPr>
        <w:kinsoku/>
        <w:bidi w:val="0"/>
        <w:spacing w:line="360" w:lineRule="auto"/>
        <w:ind w:left="0" w:firstLine="213"/>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房地产开发经营。营业收入 </w:t>
      </w:r>
      <w:r>
        <w:rPr>
          <w:rFonts w:ascii="宋体" w:hAnsi="宋体" w:eastAsia="宋体" w:cs="宋体"/>
          <w:color w:val="000000"/>
          <w:kern w:val="2"/>
          <w:sz w:val="21"/>
          <w:szCs w:val="21"/>
          <w:u w:val="none" w:color="000000"/>
          <w:lang w:val="en-US" w:eastAsia="zh-CN" w:bidi="ar-SA"/>
        </w:rPr>
        <w:t xml:space="preserve">200000 </w:t>
      </w:r>
      <w:r>
        <w:rPr>
          <w:rFonts w:ascii="宋体" w:hAnsi="宋体" w:cs="宋体"/>
          <w:color w:val="000000"/>
          <w:kern w:val="2"/>
          <w:sz w:val="21"/>
          <w:szCs w:val="21"/>
          <w:u w:val="none" w:color="000000"/>
          <w:lang w:val="en-US" w:eastAsia="zh-CN" w:bidi="ar-SA"/>
        </w:rPr>
        <w:t>万元以下或资产总额</w:t>
      </w:r>
      <w:r>
        <w:rPr>
          <w:rFonts w:ascii="宋体" w:hAnsi="宋体" w:eastAsia="宋体" w:cs="宋体"/>
          <w:color w:val="000000"/>
          <w:kern w:val="2"/>
          <w:sz w:val="21"/>
          <w:szCs w:val="21"/>
          <w:u w:val="none" w:color="000000"/>
          <w:lang w:val="en-US" w:eastAsia="zh-CN" w:bidi="ar-SA"/>
        </w:rPr>
        <w:t xml:space="preserve">10000 </w:t>
      </w:r>
      <w:r>
        <w:rPr>
          <w:rFonts w:ascii="宋体" w:hAnsi="宋体" w:cs="宋体"/>
          <w:color w:val="000000"/>
          <w:kern w:val="2"/>
          <w:sz w:val="21"/>
          <w:szCs w:val="21"/>
          <w:u w:val="none" w:color="000000"/>
          <w:lang w:val="en-US" w:eastAsia="zh-CN" w:bidi="ar-SA"/>
        </w:rPr>
        <w:t xml:space="preserve">万元以下的为中小微型企业。其中，营业收入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万元及以上，且资产总额 </w:t>
      </w:r>
      <w:r>
        <w:rPr>
          <w:rFonts w:ascii="宋体" w:hAnsi="宋体" w:eastAsia="宋体" w:cs="宋体"/>
          <w:color w:val="000000"/>
          <w:kern w:val="2"/>
          <w:sz w:val="21"/>
          <w:szCs w:val="21"/>
          <w:u w:val="none" w:color="000000"/>
          <w:lang w:val="en-US" w:eastAsia="zh-CN" w:bidi="ar-SA"/>
        </w:rPr>
        <w:t xml:space="preserve">5000 </w:t>
      </w:r>
      <w:r>
        <w:rPr>
          <w:rFonts w:ascii="宋体" w:hAnsi="宋体" w:cs="宋体"/>
          <w:color w:val="000000"/>
          <w:kern w:val="2"/>
          <w:sz w:val="21"/>
          <w:szCs w:val="21"/>
          <w:u w:val="none" w:color="000000"/>
          <w:lang w:val="en-US" w:eastAsia="zh-CN" w:bidi="ar-SA"/>
        </w:rPr>
        <w:t xml:space="preserve">万元及以上的为中型企业；营业收入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万元及以上，且资产总额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万元及以上的为小型企业；营业收入</w:t>
      </w:r>
      <w:r>
        <w:rPr>
          <w:rFonts w:ascii="宋体" w:hAnsi="宋体" w:eastAsia="宋体" w:cs="宋体"/>
          <w:color w:val="000000"/>
          <w:kern w:val="2"/>
          <w:sz w:val="21"/>
          <w:szCs w:val="21"/>
          <w:u w:val="none" w:color="000000"/>
          <w:lang w:val="en-US" w:eastAsia="zh-CN" w:bidi="ar-SA"/>
        </w:rPr>
        <w:t>100</w:t>
      </w:r>
      <w:r>
        <w:rPr>
          <w:rFonts w:ascii="宋体" w:hAnsi="宋体" w:cs="宋体"/>
          <w:color w:val="000000"/>
          <w:kern w:val="2"/>
          <w:sz w:val="21"/>
          <w:szCs w:val="21"/>
          <w:u w:val="none" w:color="000000"/>
          <w:lang w:val="en-US" w:eastAsia="zh-CN" w:bidi="ar-SA"/>
        </w:rPr>
        <w:t xml:space="preserve">万元以下或资产总额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 xml:space="preserve">万元以下的为微型企业。 </w:t>
      </w:r>
    </w:p>
    <w:p w14:paraId="51F00BD1">
      <w:pPr>
        <w:pStyle w:val="57"/>
        <w:numPr>
          <w:ilvl w:val="0"/>
          <w:numId w:val="15"/>
        </w:numPr>
        <w:kinsoku/>
        <w:bidi w:val="0"/>
        <w:spacing w:line="360" w:lineRule="auto"/>
        <w:ind w:left="0" w:firstLine="213"/>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物业管理。从业人员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5000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100</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500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500</w:t>
      </w:r>
      <w:r>
        <w:rPr>
          <w:rFonts w:ascii="宋体" w:hAnsi="宋体" w:cs="宋体"/>
          <w:color w:val="000000"/>
          <w:kern w:val="2"/>
          <w:sz w:val="21"/>
          <w:szCs w:val="21"/>
          <w:u w:val="none" w:color="000000"/>
          <w:lang w:val="en-US" w:eastAsia="zh-CN" w:bidi="ar-SA"/>
        </w:rPr>
        <w:t xml:space="preserve">万元以下的为微型企业。 </w:t>
      </w:r>
    </w:p>
    <w:p w14:paraId="381840BE">
      <w:pPr>
        <w:pStyle w:val="57"/>
        <w:numPr>
          <w:ilvl w:val="0"/>
          <w:numId w:val="15"/>
        </w:numPr>
        <w:kinsoku/>
        <w:bidi w:val="0"/>
        <w:spacing w:line="360" w:lineRule="auto"/>
        <w:ind w:left="0" w:firstLine="213"/>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租赁和商务服务业。从业人员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人以下或资产总额 </w:t>
      </w:r>
      <w:r>
        <w:rPr>
          <w:rFonts w:ascii="宋体" w:hAnsi="宋体" w:eastAsia="宋体" w:cs="宋体"/>
          <w:color w:val="000000"/>
          <w:kern w:val="2"/>
          <w:sz w:val="21"/>
          <w:szCs w:val="21"/>
          <w:u w:val="none" w:color="000000"/>
          <w:lang w:val="en-US" w:eastAsia="zh-CN" w:bidi="ar-SA"/>
        </w:rPr>
        <w:t xml:space="preserve">120000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人及以上，且资产总额 </w:t>
      </w:r>
      <w:r>
        <w:rPr>
          <w:rFonts w:ascii="宋体" w:hAnsi="宋体" w:eastAsia="宋体" w:cs="宋体"/>
          <w:color w:val="000000"/>
          <w:kern w:val="2"/>
          <w:sz w:val="21"/>
          <w:szCs w:val="21"/>
          <w:u w:val="none" w:color="000000"/>
          <w:lang w:val="en-US" w:eastAsia="zh-CN" w:bidi="ar-SA"/>
        </w:rPr>
        <w:t xml:space="preserve">8000 </w:t>
      </w:r>
      <w:r>
        <w:rPr>
          <w:rFonts w:ascii="宋体" w:hAnsi="宋体" w:cs="宋体"/>
          <w:color w:val="000000"/>
          <w:kern w:val="2"/>
          <w:sz w:val="21"/>
          <w:szCs w:val="21"/>
          <w:u w:val="none" w:color="000000"/>
          <w:lang w:val="en-US" w:eastAsia="zh-CN" w:bidi="ar-SA"/>
        </w:rPr>
        <w:t xml:space="preserve">万元及以上的为中型企业；从业人员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人及以上，且资产总额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万元及以上的为小型企业；从业人员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人以下或资产总额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w:t>
      </w:r>
    </w:p>
    <w:p w14:paraId="48AF3620">
      <w:pPr>
        <w:pStyle w:val="57"/>
        <w:numPr>
          <w:ilvl w:val="0"/>
          <w:numId w:val="0"/>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（十六）其他未列明行业。从业人员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人以下的为中小微型企业。其中，从业人员</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人及以上的为中型企业；从业人员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人及以上的为小型企业；从业人员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人以下的为微型企业。</w:t>
      </w:r>
    </w:p>
    <w:p w14:paraId="2B4CCEA5">
      <w:pPr>
        <w:pStyle w:val="52"/>
        <w:tabs>
          <w:tab w:val="left" w:pos="5580"/>
        </w:tabs>
        <w:spacing w:line="240" w:lineRule="atLeast"/>
        <w:ind w:left="1942" w:firstLine="0"/>
        <w:rPr>
          <w:rFonts w:ascii="宋体" w:hAnsi="宋体" w:eastAsia="宋体" w:cs="宋体"/>
          <w:color w:val="000000"/>
          <w:kern w:val="2"/>
          <w:sz w:val="21"/>
          <w:szCs w:val="21"/>
          <w:highlight w:val="none"/>
          <w:u w:val="none" w:color="000000"/>
          <w:lang w:val="en-US" w:eastAsia="zh-CN" w:bidi="ar-SA"/>
        </w:rPr>
      </w:pPr>
    </w:p>
    <w:p w14:paraId="6344523E">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09474592">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721316DB">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4CCC203C">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374716C9">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240402EE">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5487C912">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52E1AFA9">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5EA6C40B">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3F2ECAE1">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7A74CDF5">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56FFC7F9">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34DF28FC">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0B44246E">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1DD89B71">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038608A5">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4D7DC55F">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0B9A0A13">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34D8554D">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3DC49713">
      <w:pPr>
        <w:pStyle w:val="52"/>
        <w:tabs>
          <w:tab w:val="left" w:pos="5580"/>
        </w:tabs>
        <w:spacing w:line="360" w:lineRule="auto"/>
        <w:ind w:left="272"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cs="宋体"/>
          <w:b/>
          <w:bCs/>
          <w:color w:val="000000"/>
          <w:sz w:val="24"/>
          <w:lang w:val="en-US" w:eastAsia="zh-CN"/>
        </w:rPr>
        <w:t>4</w:t>
      </w:r>
      <w:r>
        <w:rPr>
          <w:rFonts w:ascii="宋体" w:hAnsi="宋体" w:cs="宋体"/>
          <w:color w:val="000000"/>
          <w:sz w:val="24"/>
          <w:lang w:val="en-US" w:eastAsia="zh-CN"/>
        </w:rPr>
        <w:t>：</w:t>
      </w:r>
    </w:p>
    <w:p w14:paraId="5B80F065">
      <w:pPr>
        <w:pStyle w:val="8"/>
        <w:numPr>
          <w:ilvl w:val="0"/>
          <w:numId w:val="0"/>
        </w:numPr>
        <w:kinsoku w:val="0"/>
        <w:overflowPunct w:val="0"/>
        <w:spacing w:before="130" w:after="120" w:line="360" w:lineRule="auto"/>
        <w:ind w:left="480" w:right="7" w:firstLine="0"/>
        <w:jc w:val="center"/>
        <w:rPr>
          <w:rFonts w:ascii="宋体" w:hAnsi="宋体" w:eastAsia="宋体" w:cs="宋体"/>
          <w:b/>
          <w:bCs/>
          <w:color w:val="000000"/>
          <w:sz w:val="28"/>
          <w:szCs w:val="28"/>
        </w:rPr>
      </w:pPr>
      <w:r>
        <w:rPr>
          <w:rFonts w:ascii="宋体" w:hAnsi="宋体" w:cs="宋体"/>
          <w:b/>
          <w:bCs/>
          <w:color w:val="000000"/>
          <w:sz w:val="28"/>
          <w:szCs w:val="28"/>
        </w:rPr>
        <w:t>响应函</w:t>
      </w:r>
    </w:p>
    <w:p w14:paraId="05399D6F">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u w:val="single"/>
          <w:lang w:eastAsia="zh-CN"/>
        </w:rPr>
      </w:pPr>
      <w:r>
        <w:rPr>
          <w:rFonts w:ascii="宋体" w:hAnsi="宋体" w:cs="宋体"/>
          <w:color w:val="000000"/>
          <w:kern w:val="0"/>
          <w:sz w:val="21"/>
          <w:szCs w:val="21"/>
        </w:rPr>
        <w:t>致：</w:t>
      </w:r>
      <w:r>
        <w:rPr>
          <w:rFonts w:ascii="宋体" w:hAnsi="宋体" w:cs="宋体"/>
          <w:sz w:val="21"/>
          <w:szCs w:val="21"/>
          <w:u w:val="single"/>
          <w:lang w:eastAsia="zh-CN"/>
        </w:rPr>
        <w:t>（</w:t>
      </w:r>
      <w:r>
        <w:rPr>
          <w:rFonts w:ascii="宋体" w:hAnsi="宋体" w:cs="宋体"/>
          <w:sz w:val="21"/>
          <w:szCs w:val="21"/>
          <w:u w:val="single"/>
        </w:rPr>
        <w:t>采购代理机构</w:t>
      </w:r>
      <w:r>
        <w:rPr>
          <w:rFonts w:ascii="宋体" w:hAnsi="宋体" w:cs="宋体"/>
          <w:sz w:val="21"/>
          <w:szCs w:val="21"/>
          <w:u w:val="single"/>
          <w:lang w:eastAsia="zh-CN"/>
        </w:rPr>
        <w:t>）</w:t>
      </w:r>
    </w:p>
    <w:p w14:paraId="47413D07">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为响应你方组织的</w:t>
      </w:r>
      <w:r>
        <w:rPr>
          <w:rFonts w:ascii="宋体" w:hAnsi="宋体" w:cs="宋体"/>
          <w:color w:val="000000"/>
          <w:kern w:val="0"/>
          <w:sz w:val="21"/>
          <w:szCs w:val="21"/>
          <w:u w:val="single"/>
        </w:rPr>
        <w:t xml:space="preserve">              </w:t>
      </w:r>
      <w:r>
        <w:rPr>
          <w:rFonts w:ascii="宋体" w:hAnsi="宋体" w:cs="宋体"/>
          <w:color w:val="000000"/>
          <w:kern w:val="0"/>
          <w:sz w:val="21"/>
          <w:szCs w:val="21"/>
          <w:u w:val="single"/>
          <w:lang w:val="en-US" w:eastAsia="zh-CN"/>
        </w:rPr>
        <w:t xml:space="preserve">                </w:t>
      </w:r>
      <w:r>
        <w:rPr>
          <w:rFonts w:ascii="宋体" w:hAnsi="宋体" w:cs="宋体"/>
          <w:color w:val="000000"/>
          <w:kern w:val="0"/>
          <w:sz w:val="21"/>
          <w:szCs w:val="21"/>
          <w:u w:val="single"/>
        </w:rPr>
        <w:t xml:space="preserve">     </w:t>
      </w:r>
      <w:r>
        <w:rPr>
          <w:rFonts w:ascii="宋体" w:hAnsi="宋体" w:cs="宋体"/>
          <w:color w:val="000000"/>
          <w:kern w:val="0"/>
          <w:sz w:val="21"/>
          <w:szCs w:val="21"/>
        </w:rPr>
        <w:t>项目的项目编号为：</w:t>
      </w:r>
      <w:r>
        <w:rPr>
          <w:rFonts w:ascii="宋体" w:hAnsi="宋体" w:cs="宋体"/>
          <w:color w:val="000000"/>
          <w:kern w:val="0"/>
          <w:sz w:val="21"/>
          <w:szCs w:val="21"/>
          <w:u w:val="single"/>
        </w:rPr>
        <w:t xml:space="preserve">                      </w:t>
      </w:r>
      <w:r>
        <w:rPr>
          <w:rFonts w:ascii="宋体" w:hAnsi="宋体" w:cs="宋体"/>
          <w:color w:val="000000"/>
          <w:kern w:val="0"/>
          <w:sz w:val="21"/>
          <w:szCs w:val="21"/>
        </w:rPr>
        <w:t>，我方愿参与磋商。</w:t>
      </w:r>
    </w:p>
    <w:p w14:paraId="61721BDD">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我方确认收到贵方提供的</w:t>
      </w:r>
      <w:r>
        <w:rPr>
          <w:rFonts w:ascii="宋体" w:hAnsi="宋体" w:cs="宋体"/>
          <w:color w:val="000000"/>
          <w:kern w:val="0"/>
          <w:sz w:val="21"/>
          <w:szCs w:val="21"/>
          <w:u w:val="single"/>
        </w:rPr>
        <w:t xml:space="preserve">                                     </w:t>
      </w:r>
      <w:r>
        <w:rPr>
          <w:rFonts w:ascii="宋体" w:hAnsi="宋体" w:cs="宋体"/>
          <w:color w:val="000000"/>
          <w:kern w:val="0"/>
          <w:sz w:val="21"/>
          <w:szCs w:val="21"/>
          <w:u w:val="none"/>
        </w:rPr>
        <w:t>采购</w:t>
      </w:r>
      <w:r>
        <w:rPr>
          <w:rFonts w:ascii="宋体" w:hAnsi="宋体" w:cs="宋体"/>
          <w:color w:val="000000"/>
          <w:kern w:val="0"/>
          <w:sz w:val="21"/>
          <w:szCs w:val="21"/>
        </w:rPr>
        <w:t>文件的全部内容</w:t>
      </w:r>
      <w:r>
        <w:rPr>
          <w:rFonts w:ascii="宋体" w:hAnsi="宋体" w:cs="宋体"/>
          <w:color w:val="000000"/>
          <w:kern w:val="0"/>
          <w:sz w:val="21"/>
          <w:szCs w:val="21"/>
          <w:u w:val="none"/>
        </w:rPr>
        <w:t>。并出具的金额为人民币</w:t>
      </w:r>
      <w:r>
        <w:rPr>
          <w:rFonts w:ascii="宋体" w:hAnsi="宋体" w:cs="宋体"/>
          <w:i/>
          <w:iCs/>
          <w:color w:val="000000"/>
          <w:kern w:val="0"/>
          <w:sz w:val="21"/>
          <w:szCs w:val="21"/>
          <w:u w:val="single"/>
          <w:lang w:val="en-US" w:eastAsia="zh-CN"/>
        </w:rPr>
        <w:t xml:space="preserve">           </w:t>
      </w:r>
      <w:r>
        <w:rPr>
          <w:rFonts w:ascii="宋体" w:hAnsi="宋体" w:cs="宋体"/>
          <w:color w:val="000000"/>
          <w:kern w:val="0"/>
          <w:sz w:val="21"/>
          <w:szCs w:val="21"/>
          <w:u w:val="none"/>
        </w:rPr>
        <w:t>元的磋商保证金。</w:t>
      </w:r>
    </w:p>
    <w:p w14:paraId="0D27AA5D">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我方在参与磋商前已详细研究了磋商文件的所有内容，包括澄清、修改文件（如果有）和所有已提供的参考资料以及有关附件，我方完全明白并认为此磋商文件没有倾向性，也不存在排斥潜在报价供应商的内容，我方同意磋商文件的相关条款，放弃对磋商文件提出误解和质疑的一切权力。</w:t>
      </w:r>
    </w:p>
    <w:p w14:paraId="6E263782">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eastAsia="宋体" w:cs="宋体"/>
          <w:color w:val="000000"/>
          <w:kern w:val="0"/>
          <w:sz w:val="21"/>
          <w:szCs w:val="21"/>
          <w:u w:val="single"/>
        </w:rPr>
        <w:t xml:space="preserve">      (供应商名称)      作为供应商正式授权  (授权代表全名, 职务)  代表我方全权处理有关本项目响应的一切事宜。</w:t>
      </w:r>
    </w:p>
    <w:p w14:paraId="5713547E">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我方已完全明白磋商文件的所有条款要求，并申明如下：</w:t>
      </w:r>
    </w:p>
    <w:p w14:paraId="21C9BA30">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（一）按磋商文件提供的全部货物与相关服务的磋商总价详见《</w:t>
      </w:r>
      <w:r>
        <w:rPr>
          <w:rFonts w:ascii="宋体" w:hAnsi="宋体" w:cs="宋体"/>
          <w:color w:val="000000"/>
          <w:kern w:val="0"/>
          <w:sz w:val="21"/>
          <w:szCs w:val="21"/>
          <w:lang w:val="en-US" w:eastAsia="zh-CN"/>
        </w:rPr>
        <w:t>开启响应文件</w:t>
      </w:r>
      <w:r>
        <w:rPr>
          <w:rFonts w:ascii="宋体" w:hAnsi="宋体" w:cs="宋体"/>
          <w:color w:val="000000"/>
          <w:kern w:val="0"/>
          <w:sz w:val="21"/>
          <w:szCs w:val="21"/>
        </w:rPr>
        <w:t>一览表》。</w:t>
      </w:r>
    </w:p>
    <w:p w14:paraId="5A2F0161">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（二）本响应文件的有效期为响应文件递交截止时间起</w:t>
      </w:r>
      <w:r>
        <w:rPr>
          <w:rFonts w:ascii="宋体" w:hAnsi="宋体" w:cs="宋体"/>
          <w:color w:val="000000"/>
          <w:kern w:val="0"/>
          <w:sz w:val="21"/>
          <w:szCs w:val="21"/>
          <w:u w:val="single"/>
          <w:lang w:val="en-US" w:eastAsia="zh-CN"/>
        </w:rPr>
        <w:t xml:space="preserve">      </w:t>
      </w:r>
      <w:r>
        <w:rPr>
          <w:rFonts w:ascii="宋体" w:hAnsi="宋体" w:cs="宋体"/>
          <w:color w:val="000000"/>
          <w:kern w:val="0"/>
          <w:sz w:val="21"/>
          <w:szCs w:val="21"/>
        </w:rPr>
        <w:t>天。如成交，有效期将延至合同终止日为止。在此提交的资格证明文件均至响应文件递交截止日有效，如有在磋商有效期内失效的，我方承诺在成交后补齐一切手续，保证所有资格证明文件能在签订采购合同时直至采购合同终止日有效。</w:t>
      </w:r>
    </w:p>
    <w:p w14:paraId="5DDBD703">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（三）我方同意按照贵方可能提出的要求而提供与响应有关的任何其它数据、信息或资料。</w:t>
      </w:r>
    </w:p>
    <w:p w14:paraId="46B5E004">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四</w:t>
      </w:r>
      <w:r>
        <w:rPr>
          <w:rFonts w:ascii="宋体" w:hAnsi="宋体" w:cs="宋体"/>
          <w:color w:val="000000"/>
          <w:kern w:val="0"/>
          <w:sz w:val="21"/>
          <w:szCs w:val="21"/>
        </w:rPr>
        <w:t>）我方理解贵方不一定接受最低响应价或任何贵方可能收到的响应。</w:t>
      </w:r>
    </w:p>
    <w:p w14:paraId="0F6B7349">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五</w:t>
      </w:r>
      <w:r>
        <w:rPr>
          <w:rFonts w:ascii="宋体" w:hAnsi="宋体" w:cs="宋体"/>
          <w:color w:val="000000"/>
          <w:kern w:val="0"/>
          <w:sz w:val="21"/>
          <w:szCs w:val="21"/>
        </w:rPr>
        <w:t>）我方如果成交，将保证履行磋商文件及其澄清、修改文件（如果有）中的全部责任和义务，按质、按量、按期完成《采购内容》及《合同书》中的全部任务。</w:t>
      </w:r>
    </w:p>
    <w:p w14:paraId="6282A133">
      <w:pPr>
        <w:spacing w:line="360" w:lineRule="auto"/>
        <w:ind w:firstLine="426"/>
        <w:rPr>
          <w:rFonts w:ascii="宋体" w:hAnsi="宋体" w:eastAsia="宋体" w:cs="宋体"/>
          <w:color w:val="000000"/>
          <w:kern w:val="0"/>
          <w:sz w:val="21"/>
          <w:szCs w:val="21"/>
          <w:lang w:eastAsia="zh-CN"/>
        </w:rPr>
      </w:pPr>
      <w:r>
        <w:rPr>
          <w:rFonts w:ascii="宋体" w:hAnsi="宋体" w:cs="宋体"/>
          <w:color w:val="000000"/>
          <w:kern w:val="0"/>
          <w:sz w:val="21"/>
          <w:szCs w:val="21"/>
        </w:rPr>
        <w:t>（</w:t>
      </w:r>
      <w:r>
        <w:rPr>
          <w:rFonts w:ascii="宋体" w:hAnsi="宋体" w:cs="宋体"/>
          <w:color w:val="000000"/>
          <w:kern w:val="0"/>
          <w:sz w:val="21"/>
          <w:szCs w:val="21"/>
          <w:lang w:eastAsia="zh-CN"/>
        </w:rPr>
        <w:t>六</w:t>
      </w:r>
      <w:r>
        <w:rPr>
          <w:rFonts w:ascii="宋体" w:hAnsi="宋体" w:cs="宋体"/>
          <w:color w:val="000000"/>
          <w:kern w:val="0"/>
          <w:sz w:val="21"/>
          <w:szCs w:val="21"/>
        </w:rPr>
        <w:t>）如我方被授予合同，我方承诺一次性支付就本次采购应支付或将支付的成交服务费。</w:t>
      </w:r>
    </w:p>
    <w:p w14:paraId="371453BA">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七</w:t>
      </w:r>
      <w:r>
        <w:rPr>
          <w:rFonts w:ascii="宋体" w:hAnsi="宋体" w:cs="宋体"/>
          <w:color w:val="000000"/>
          <w:kern w:val="0"/>
          <w:sz w:val="21"/>
          <w:szCs w:val="21"/>
        </w:rPr>
        <w:t>）我方作为在法律、财务和运作上独立于采购人、采购代理机构的供应商，在此保证所提交的所有文件和全部说明是真实的和正确的。</w:t>
      </w:r>
    </w:p>
    <w:p w14:paraId="4DEF5C84">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八</w:t>
      </w:r>
      <w:r>
        <w:rPr>
          <w:rFonts w:ascii="宋体" w:hAnsi="宋体" w:cs="宋体"/>
          <w:color w:val="000000"/>
          <w:kern w:val="0"/>
          <w:sz w:val="21"/>
          <w:szCs w:val="21"/>
        </w:rPr>
        <w:t>）我方磋商报价已包含应向知识产权所有权人支付的所有相关税费，并保证采购人在中国使用我方提供的货物时，如有第三方提出侵犯其知识产权主张的，责任由我方承担。</w:t>
      </w:r>
    </w:p>
    <w:p w14:paraId="6BDE8E4B">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九</w:t>
      </w:r>
      <w:r>
        <w:rPr>
          <w:rFonts w:ascii="宋体" w:hAnsi="宋体" w:cs="宋体"/>
          <w:color w:val="000000"/>
          <w:kern w:val="0"/>
          <w:sz w:val="21"/>
          <w:szCs w:val="21"/>
        </w:rPr>
        <w:t>）我方与其他供应商不存在单位负责人为同一人或者存在直接控股、管理关系。</w:t>
      </w:r>
    </w:p>
    <w:p w14:paraId="56A4F038">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（十）我方承诺未为本项目提供整体设计、规范编制或者项目管理、监理、检测等服务。</w:t>
      </w:r>
    </w:p>
    <w:p w14:paraId="59F2DEE9">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（十</w:t>
      </w:r>
      <w:r>
        <w:rPr>
          <w:rFonts w:ascii="宋体" w:hAnsi="宋体" w:cs="宋体"/>
          <w:color w:val="000000"/>
          <w:kern w:val="0"/>
          <w:sz w:val="21"/>
          <w:szCs w:val="21"/>
          <w:lang w:eastAsia="zh-CN"/>
        </w:rPr>
        <w:t>一</w:t>
      </w:r>
      <w:r>
        <w:rPr>
          <w:rFonts w:ascii="宋体" w:hAnsi="宋体" w:cs="宋体"/>
          <w:color w:val="000000"/>
          <w:kern w:val="0"/>
          <w:sz w:val="21"/>
          <w:szCs w:val="21"/>
        </w:rPr>
        <w:t>）我方具备《政府采购法》第二十二条规定的条件，承诺如下：</w:t>
      </w:r>
    </w:p>
    <w:p w14:paraId="513A922D">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1</w:t>
      </w:r>
      <w:r>
        <w:rPr>
          <w:rFonts w:ascii="宋体" w:hAnsi="宋体" w:cs="宋体"/>
          <w:color w:val="000000"/>
          <w:kern w:val="0"/>
          <w:sz w:val="21"/>
          <w:szCs w:val="21"/>
        </w:rPr>
        <w:t>）我方已依法缴纳了各项税费及社会保险费用，如有需要，可随时向采购人提供近三个月内的相关缴费证明，以便核查。</w:t>
      </w:r>
    </w:p>
    <w:p w14:paraId="1BFD2B3F">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2</w:t>
      </w:r>
      <w:r>
        <w:rPr>
          <w:rFonts w:ascii="宋体" w:hAnsi="宋体" w:cs="宋体"/>
          <w:color w:val="000000"/>
          <w:kern w:val="0"/>
          <w:sz w:val="21"/>
          <w:szCs w:val="21"/>
        </w:rPr>
        <w:t>）我方已依法建立健全的财务会计制度，如有需要，可随时向采购人提供相关的证明材料，以便核查。</w:t>
      </w:r>
    </w:p>
    <w:p w14:paraId="1F9B9E25">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3</w:t>
      </w:r>
      <w:r>
        <w:rPr>
          <w:rFonts w:ascii="宋体" w:hAnsi="宋体" w:cs="宋体"/>
          <w:color w:val="000000"/>
          <w:kern w:val="0"/>
          <w:sz w:val="21"/>
          <w:szCs w:val="21"/>
        </w:rPr>
        <w:t>）我方参加本项目政府采购活动前</w:t>
      </w:r>
      <w:r>
        <w:rPr>
          <w:rFonts w:ascii="宋体" w:hAnsi="宋体" w:eastAsia="宋体" w:cs="宋体"/>
          <w:color w:val="000000"/>
          <w:kern w:val="0"/>
          <w:sz w:val="21"/>
          <w:szCs w:val="21"/>
        </w:rPr>
        <w:t>3</w:t>
      </w:r>
      <w:r>
        <w:rPr>
          <w:rFonts w:ascii="宋体" w:hAnsi="宋体" w:cs="宋体"/>
          <w:color w:val="000000"/>
          <w:kern w:val="0"/>
          <w:sz w:val="21"/>
          <w:szCs w:val="21"/>
        </w:rPr>
        <w:t>年内在经营活动中没有重大违法记录。</w:t>
      </w:r>
    </w:p>
    <w:p w14:paraId="54440905">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4</w:t>
      </w:r>
      <w:r>
        <w:rPr>
          <w:rFonts w:ascii="宋体" w:hAnsi="宋体" w:cs="宋体"/>
          <w:color w:val="000000"/>
          <w:kern w:val="0"/>
          <w:sz w:val="21"/>
          <w:szCs w:val="21"/>
        </w:rPr>
        <w:t>）我方具备履行合同所必需的设备和专业技术能力。</w:t>
      </w:r>
    </w:p>
    <w:p w14:paraId="4C551EB1">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5</w:t>
      </w:r>
      <w:r>
        <w:rPr>
          <w:rFonts w:ascii="宋体" w:hAnsi="宋体" w:cs="宋体"/>
          <w:color w:val="000000"/>
          <w:kern w:val="0"/>
          <w:sz w:val="21"/>
          <w:szCs w:val="21"/>
        </w:rPr>
        <w:t>）我方符合法律、行政法规规定的其他条件。</w:t>
      </w:r>
    </w:p>
    <w:p w14:paraId="51E72AF3">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以上内容如有虚假或与事实不符的，磋商小组可将我方做无效响应处理，我方愿意承担相应的法律责任。</w:t>
      </w:r>
    </w:p>
    <w:p w14:paraId="4E082B7B">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（十</w:t>
      </w:r>
      <w:r>
        <w:rPr>
          <w:rFonts w:ascii="宋体" w:hAnsi="宋体" w:cs="宋体"/>
          <w:color w:val="000000"/>
          <w:kern w:val="0"/>
          <w:sz w:val="21"/>
          <w:szCs w:val="21"/>
          <w:lang w:val="en-US" w:eastAsia="zh-CN"/>
        </w:rPr>
        <w:t>二</w:t>
      </w:r>
      <w:r>
        <w:rPr>
          <w:rFonts w:ascii="宋体" w:hAnsi="宋体" w:cs="宋体"/>
          <w:color w:val="000000"/>
          <w:kern w:val="0"/>
          <w:sz w:val="21"/>
          <w:szCs w:val="21"/>
        </w:rPr>
        <w:t>）我方对在本函及响应文件中所作的所有承诺承担法律责任。</w:t>
      </w:r>
    </w:p>
    <w:p w14:paraId="2DAC12AD">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（十</w:t>
      </w:r>
      <w:r>
        <w:rPr>
          <w:rFonts w:ascii="宋体" w:hAnsi="宋体" w:cs="宋体"/>
          <w:color w:val="000000"/>
          <w:kern w:val="0"/>
          <w:sz w:val="21"/>
          <w:szCs w:val="21"/>
          <w:lang w:val="en-US" w:eastAsia="zh-CN"/>
        </w:rPr>
        <w:t>三</w:t>
      </w:r>
      <w:r>
        <w:rPr>
          <w:rFonts w:ascii="宋体" w:hAnsi="宋体" w:cs="宋体"/>
          <w:color w:val="000000"/>
          <w:kern w:val="0"/>
          <w:sz w:val="21"/>
          <w:szCs w:val="21"/>
        </w:rPr>
        <w:t>）所有与本采购有关的函件请发往下列地址：</w:t>
      </w:r>
    </w:p>
    <w:p w14:paraId="4E88040A">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rPr>
      </w:pPr>
      <w:r>
        <w:rPr>
          <w:rFonts w:ascii="宋体" w:hAnsi="宋体" w:cs="宋体"/>
          <w:color w:val="000000"/>
          <w:kern w:val="0"/>
          <w:sz w:val="21"/>
          <w:szCs w:val="21"/>
        </w:rPr>
        <w:t>地    址：</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r>
        <w:rPr>
          <w:rFonts w:ascii="宋体" w:hAnsi="宋体" w:cs="宋体"/>
          <w:color w:val="000000"/>
          <w:kern w:val="0"/>
          <w:sz w:val="21"/>
          <w:szCs w:val="21"/>
        </w:rPr>
        <w:t>邮政编码：</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p>
    <w:p w14:paraId="592BBD80">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rPr>
      </w:pPr>
      <w:r>
        <w:rPr>
          <w:rFonts w:ascii="宋体" w:hAnsi="宋体" w:cs="宋体"/>
          <w:color w:val="000000"/>
          <w:kern w:val="0"/>
          <w:sz w:val="21"/>
          <w:szCs w:val="21"/>
        </w:rPr>
        <w:t>电    话：</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p>
    <w:p w14:paraId="21359849">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rPr>
      </w:pPr>
      <w:r>
        <w:rPr>
          <w:rFonts w:ascii="宋体" w:hAnsi="宋体" w:cs="宋体"/>
          <w:color w:val="000000"/>
          <w:kern w:val="0"/>
          <w:sz w:val="21"/>
          <w:szCs w:val="21"/>
        </w:rPr>
        <w:t>传    真：</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p>
    <w:p w14:paraId="53F699A0">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rPr>
      </w:pPr>
      <w:r>
        <w:rPr>
          <w:rFonts w:ascii="宋体" w:hAnsi="宋体" w:cs="宋体"/>
          <w:color w:val="000000"/>
          <w:kern w:val="0"/>
          <w:sz w:val="21"/>
          <w:szCs w:val="21"/>
        </w:rPr>
        <w:t>代表姓名：</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r>
        <w:rPr>
          <w:rFonts w:ascii="宋体" w:hAnsi="宋体" w:cs="宋体"/>
          <w:color w:val="000000"/>
          <w:kern w:val="0"/>
          <w:sz w:val="21"/>
          <w:szCs w:val="21"/>
        </w:rPr>
        <w:t>职    务：</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p>
    <w:p w14:paraId="0CFF784F">
      <w:pPr>
        <w:keepNext w:val="0"/>
        <w:keepLines w:val="0"/>
        <w:pageBreakBefore w:val="0"/>
        <w:widowControl w:val="0"/>
        <w:autoSpaceDE/>
        <w:bidi w:val="0"/>
        <w:snapToGrid/>
        <w:spacing w:line="360" w:lineRule="auto"/>
        <w:ind w:right="480" w:firstLine="0"/>
        <w:jc w:val="right"/>
        <w:textAlignment w:val="auto"/>
        <w:rPr>
          <w:rFonts w:ascii="宋体" w:hAnsi="宋体" w:eastAsia="宋体" w:cs="宋体"/>
          <w:color w:val="000000"/>
          <w:kern w:val="0"/>
          <w:sz w:val="21"/>
          <w:szCs w:val="21"/>
        </w:rPr>
      </w:pPr>
      <w:r>
        <w:rPr>
          <w:rFonts w:ascii="宋体" w:hAnsi="宋体" w:cs="宋体"/>
          <w:color w:val="000000"/>
          <w:kern w:val="0"/>
          <w:sz w:val="21"/>
          <w:szCs w:val="21"/>
        </w:rPr>
        <w:t>供应商：</w:t>
      </w:r>
      <w:r>
        <w:rPr>
          <w:rFonts w:ascii="宋体" w:hAnsi="宋体" w:eastAsia="宋体" w:cs="宋体"/>
          <w:color w:val="000000"/>
          <w:kern w:val="0"/>
          <w:sz w:val="21"/>
          <w:szCs w:val="21"/>
          <w:u w:val="single"/>
        </w:rPr>
        <w:tab/>
      </w:r>
      <w:r>
        <w:rPr>
          <w:rFonts w:ascii="宋体" w:hAnsi="宋体" w:eastAsia="宋体" w:cs="宋体"/>
          <w:color w:val="000000"/>
          <w:kern w:val="0"/>
          <w:sz w:val="21"/>
          <w:szCs w:val="21"/>
          <w:u w:val="single"/>
        </w:rPr>
        <w:t xml:space="preserve">        </w:t>
      </w:r>
      <w:r>
        <w:rPr>
          <w:rFonts w:ascii="宋体" w:hAnsi="宋体" w:cs="宋体"/>
          <w:color w:val="000000"/>
          <w:kern w:val="0"/>
          <w:sz w:val="21"/>
          <w:szCs w:val="21"/>
        </w:rPr>
        <w:t xml:space="preserve">（公章） </w:t>
      </w:r>
    </w:p>
    <w:p w14:paraId="463B4DB9">
      <w:pPr>
        <w:keepNext w:val="0"/>
        <w:keepLines w:val="0"/>
        <w:pageBreakBefore w:val="0"/>
        <w:widowControl w:val="0"/>
        <w:autoSpaceDE/>
        <w:bidi w:val="0"/>
        <w:snapToGrid/>
        <w:spacing w:line="360" w:lineRule="auto"/>
        <w:ind w:firstLine="426"/>
        <w:jc w:val="right"/>
        <w:textAlignment w:val="auto"/>
        <w:rPr>
          <w:rFonts w:ascii="宋体" w:hAnsi="宋体" w:eastAsia="宋体" w:cs="宋体"/>
          <w:color w:val="000000"/>
          <w:kern w:val="0"/>
          <w:sz w:val="21"/>
          <w:szCs w:val="21"/>
        </w:rPr>
      </w:pPr>
      <w:r>
        <w:rPr>
          <w:rFonts w:ascii="宋体" w:hAnsi="宋体" w:cs="宋体"/>
          <w:color w:val="000000"/>
          <w:kern w:val="0"/>
          <w:sz w:val="21"/>
          <w:szCs w:val="21"/>
        </w:rPr>
        <w:t>法定代表人或委托人：</w:t>
      </w:r>
      <w:r>
        <w:rPr>
          <w:rFonts w:ascii="宋体" w:hAnsi="宋体" w:eastAsia="宋体" w:cs="宋体"/>
          <w:color w:val="000000"/>
          <w:kern w:val="0"/>
          <w:sz w:val="21"/>
          <w:szCs w:val="21"/>
        </w:rPr>
        <w:tab/>
      </w:r>
      <w:r>
        <w:rPr>
          <w:rFonts w:ascii="宋体" w:hAnsi="宋体" w:eastAsia="宋体" w:cs="宋体"/>
          <w:color w:val="000000"/>
          <w:kern w:val="0"/>
          <w:sz w:val="21"/>
          <w:szCs w:val="21"/>
          <w:u w:val="single"/>
        </w:rPr>
        <w:t xml:space="preserve">        </w:t>
      </w:r>
      <w:r>
        <w:rPr>
          <w:rFonts w:ascii="宋体" w:hAnsi="宋体" w:cs="宋体"/>
          <w:color w:val="000000"/>
          <w:kern w:val="0"/>
          <w:sz w:val="21"/>
          <w:szCs w:val="21"/>
        </w:rPr>
        <w:t>（</w:t>
      </w:r>
      <w:r>
        <w:rPr>
          <w:rFonts w:ascii="宋体" w:hAnsi="宋体" w:cs="宋体"/>
          <w:color w:val="000000"/>
          <w:kern w:val="0"/>
          <w:sz w:val="21"/>
          <w:szCs w:val="21"/>
          <w:lang w:eastAsia="zh-CN"/>
        </w:rPr>
        <w:t>签字或盖章</w:t>
      </w:r>
      <w:r>
        <w:rPr>
          <w:rFonts w:ascii="宋体" w:hAnsi="宋体" w:cs="宋体"/>
          <w:color w:val="000000"/>
          <w:kern w:val="0"/>
          <w:sz w:val="21"/>
          <w:szCs w:val="21"/>
        </w:rPr>
        <w:t xml:space="preserve">）  </w:t>
      </w:r>
    </w:p>
    <w:p w14:paraId="3E354632">
      <w:pPr>
        <w:keepNext w:val="0"/>
        <w:keepLines w:val="0"/>
        <w:pageBreakBefore w:val="0"/>
        <w:widowControl w:val="0"/>
        <w:autoSpaceDE/>
        <w:bidi w:val="0"/>
        <w:snapToGrid/>
        <w:spacing w:line="360" w:lineRule="auto"/>
        <w:ind w:firstLine="426"/>
        <w:jc w:val="right"/>
        <w:textAlignment w:val="auto"/>
        <w:rPr>
          <w:rFonts w:ascii="宋体" w:hAnsi="宋体" w:cs="宋体"/>
          <w:color w:val="000000"/>
          <w:kern w:val="0"/>
          <w:sz w:val="21"/>
          <w:szCs w:val="21"/>
        </w:rPr>
      </w:pPr>
      <w:r>
        <w:rPr>
          <w:rFonts w:ascii="宋体" w:hAnsi="宋体" w:eastAsia="宋体" w:cs="宋体"/>
          <w:color w:val="000000"/>
          <w:kern w:val="0"/>
          <w:sz w:val="21"/>
          <w:szCs w:val="21"/>
          <w:u w:val="single"/>
        </w:rPr>
        <w:t xml:space="preserve">      </w:t>
      </w:r>
      <w:r>
        <w:rPr>
          <w:rFonts w:ascii="宋体" w:hAnsi="宋体" w:eastAsia="宋体" w:cs="宋体"/>
          <w:color w:val="000000"/>
          <w:kern w:val="0"/>
          <w:sz w:val="21"/>
          <w:szCs w:val="21"/>
          <w:u w:val="single"/>
        </w:rPr>
        <w:tab/>
      </w:r>
      <w:r>
        <w:rPr>
          <w:rFonts w:ascii="宋体" w:hAnsi="宋体" w:cs="宋体"/>
          <w:color w:val="000000"/>
          <w:kern w:val="0"/>
          <w:sz w:val="21"/>
          <w:szCs w:val="21"/>
        </w:rPr>
        <w:t>年</w:t>
      </w:r>
      <w:r>
        <w:rPr>
          <w:rFonts w:ascii="宋体" w:hAnsi="宋体" w:eastAsia="宋体" w:cs="宋体"/>
          <w:color w:val="000000"/>
          <w:kern w:val="0"/>
          <w:sz w:val="21"/>
          <w:szCs w:val="21"/>
          <w:u w:val="single"/>
        </w:rPr>
        <w:tab/>
      </w:r>
      <w:r>
        <w:rPr>
          <w:rFonts w:ascii="宋体" w:hAnsi="宋体" w:eastAsia="宋体" w:cs="宋体"/>
          <w:color w:val="000000"/>
          <w:kern w:val="0"/>
          <w:sz w:val="21"/>
          <w:szCs w:val="21"/>
          <w:u w:val="single"/>
        </w:rPr>
        <w:t xml:space="preserve">   </w:t>
      </w:r>
      <w:r>
        <w:rPr>
          <w:rFonts w:ascii="宋体" w:hAnsi="宋体" w:cs="宋体"/>
          <w:color w:val="000000"/>
          <w:kern w:val="0"/>
          <w:sz w:val="21"/>
          <w:szCs w:val="21"/>
        </w:rPr>
        <w:t>月</w:t>
      </w:r>
      <w:r>
        <w:rPr>
          <w:rFonts w:ascii="宋体" w:hAnsi="宋体" w:cs="宋体"/>
          <w:color w:val="000000"/>
          <w:kern w:val="0"/>
          <w:sz w:val="21"/>
          <w:szCs w:val="21"/>
          <w:u w:val="single"/>
        </w:rPr>
        <w:t xml:space="preserve">    </w:t>
      </w:r>
      <w:r>
        <w:rPr>
          <w:rFonts w:ascii="宋体" w:hAnsi="宋体" w:cs="宋体"/>
          <w:color w:val="000000"/>
          <w:kern w:val="0"/>
          <w:sz w:val="21"/>
          <w:szCs w:val="21"/>
        </w:rPr>
        <w:t>日</w:t>
      </w:r>
    </w:p>
    <w:p w14:paraId="5BF78709">
      <w:pPr>
        <w:pStyle w:val="8"/>
        <w:rPr>
          <w:rFonts w:ascii="宋体" w:hAnsi="宋体" w:cs="宋体"/>
          <w:color w:val="000000"/>
          <w:kern w:val="0"/>
          <w:sz w:val="21"/>
          <w:szCs w:val="21"/>
        </w:rPr>
      </w:pPr>
    </w:p>
    <w:p w14:paraId="3440EF70"/>
    <w:p w14:paraId="30F8A266">
      <w:pPr>
        <w:pStyle w:val="52"/>
        <w:tabs>
          <w:tab w:val="left" w:pos="5580"/>
        </w:tabs>
        <w:spacing w:line="360" w:lineRule="auto"/>
        <w:ind w:left="272" w:firstLine="0"/>
        <w:rPr>
          <w:rFonts w:ascii="宋体" w:hAnsi="宋体" w:eastAsia="宋体" w:cs="宋体"/>
          <w:b/>
          <w:bCs/>
          <w:color w:val="000000"/>
          <w:sz w:val="24"/>
          <w:szCs w:val="21"/>
          <w:highlight w:val="none"/>
          <w:lang w:val="en-US" w:eastAsia="zh-CN"/>
        </w:rPr>
      </w:pPr>
    </w:p>
    <w:p w14:paraId="456E4CA7">
      <w:pPr>
        <w:pStyle w:val="52"/>
        <w:tabs>
          <w:tab w:val="left" w:pos="5580"/>
        </w:tabs>
        <w:spacing w:line="360" w:lineRule="auto"/>
        <w:ind w:left="272"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cs="宋体"/>
          <w:b/>
          <w:bCs/>
          <w:color w:val="000000"/>
          <w:sz w:val="24"/>
          <w:lang w:val="en-US" w:eastAsia="zh-CN"/>
        </w:rPr>
        <w:t>5</w:t>
      </w:r>
      <w:r>
        <w:rPr>
          <w:rFonts w:ascii="宋体" w:hAnsi="宋体" w:cs="宋体"/>
          <w:color w:val="000000"/>
          <w:sz w:val="24"/>
          <w:lang w:val="en-US" w:eastAsia="zh-CN"/>
        </w:rPr>
        <w:t>：</w:t>
      </w:r>
    </w:p>
    <w:p w14:paraId="78EF5A71">
      <w:pPr>
        <w:pStyle w:val="49"/>
        <w:numPr>
          <w:ilvl w:val="0"/>
          <w:numId w:val="0"/>
        </w:numPr>
        <w:tabs>
          <w:tab w:val="left" w:pos="5580"/>
        </w:tabs>
        <w:spacing w:line="360" w:lineRule="auto"/>
        <w:ind w:left="0" w:firstLine="0"/>
        <w:jc w:val="center"/>
        <w:rPr>
          <w:rFonts w:ascii="宋体" w:hAnsi="宋体" w:eastAsia="宋体" w:cs="宋体"/>
          <w:b/>
          <w:color w:val="000000"/>
          <w:sz w:val="28"/>
          <w:szCs w:val="21"/>
          <w:highlight w:val="none"/>
        </w:rPr>
      </w:pPr>
      <w:r>
        <w:rPr>
          <w:rFonts w:ascii="宋体" w:hAnsi="宋体" w:cs="宋体"/>
          <w:b/>
          <w:color w:val="000000"/>
          <w:sz w:val="28"/>
          <w:szCs w:val="21"/>
        </w:rPr>
        <w:t>报价一览表</w:t>
      </w:r>
    </w:p>
    <w:p w14:paraId="64809CF6">
      <w:pPr>
        <w:pStyle w:val="49"/>
        <w:numPr>
          <w:ilvl w:val="0"/>
          <w:numId w:val="0"/>
        </w:numPr>
        <w:tabs>
          <w:tab w:val="left" w:pos="5580"/>
        </w:tabs>
        <w:spacing w:line="360" w:lineRule="auto"/>
        <w:ind w:left="0" w:firstLine="0"/>
        <w:jc w:val="both"/>
        <w:rPr>
          <w:rFonts w:ascii="宋体" w:hAnsi="宋体" w:eastAsia="宋体" w:cs="宋体"/>
          <w:color w:val="000000"/>
          <w:szCs w:val="21"/>
          <w:highlight w:val="none"/>
          <w:u w:val="single"/>
        </w:rPr>
      </w:pPr>
      <w:r>
        <w:rPr>
          <w:rFonts w:ascii="宋体" w:hAnsi="宋体" w:cs="宋体"/>
          <w:color w:val="000000"/>
          <w:sz w:val="21"/>
          <w:szCs w:val="21"/>
        </w:rPr>
        <w:t>项目名称</w:t>
      </w:r>
      <w:r>
        <w:rPr>
          <w:rFonts w:ascii="宋体" w:hAnsi="宋体" w:cs="宋体"/>
          <w:color w:val="000000"/>
          <w:szCs w:val="21"/>
        </w:rPr>
        <w:t>：</w:t>
      </w:r>
    </w:p>
    <w:p w14:paraId="0064A5CD">
      <w:pPr>
        <w:spacing w:line="360" w:lineRule="auto"/>
        <w:rPr>
          <w:rFonts w:ascii="宋体" w:hAnsi="宋体" w:eastAsia="宋体" w:cs="宋体"/>
          <w:color w:val="000000"/>
          <w:szCs w:val="21"/>
          <w:highlight w:val="none"/>
        </w:rPr>
      </w:pPr>
      <w:r>
        <w:rPr>
          <w:rFonts w:ascii="宋体" w:hAnsi="宋体" w:cs="宋体"/>
          <w:color w:val="000000"/>
          <w:szCs w:val="21"/>
        </w:rPr>
        <w:t xml:space="preserve">项目编号：                                                </w:t>
      </w:r>
    </w:p>
    <w:p w14:paraId="333B2133">
      <w:pPr>
        <w:spacing w:line="360" w:lineRule="auto"/>
        <w:jc w:val="right"/>
        <w:rPr>
          <w:rFonts w:ascii="宋体" w:hAnsi="宋体" w:eastAsia="宋体" w:cs="宋体"/>
          <w:color w:val="000000"/>
          <w:szCs w:val="21"/>
          <w:highlight w:val="none"/>
        </w:rPr>
      </w:pPr>
      <w:r>
        <w:rPr>
          <w:rFonts w:ascii="宋体" w:hAnsi="宋体" w:eastAsia="宋体" w:cs="宋体"/>
          <w:color w:val="000000"/>
          <w:szCs w:val="21"/>
        </w:rPr>
        <w:t xml:space="preserve"> </w:t>
      </w:r>
      <w:r>
        <w:rPr>
          <w:rFonts w:ascii="宋体" w:hAnsi="宋体" w:cs="宋体"/>
          <w:color w:val="000000"/>
          <w:szCs w:val="21"/>
        </w:rPr>
        <w:t>单位：元（人民币）</w:t>
      </w:r>
    </w:p>
    <w:tbl>
      <w:tblPr>
        <w:tblStyle w:val="20"/>
        <w:tblW w:w="8780" w:type="dxa"/>
        <w:tblInd w:w="211" w:type="dxa"/>
        <w:tblLayout w:type="fixed"/>
        <w:tblCellMar>
          <w:top w:w="0" w:type="dxa"/>
          <w:left w:w="108" w:type="dxa"/>
          <w:bottom w:w="0" w:type="dxa"/>
          <w:right w:w="108" w:type="dxa"/>
        </w:tblCellMar>
      </w:tblPr>
      <w:tblGrid>
        <w:gridCol w:w="1621"/>
        <w:gridCol w:w="974"/>
        <w:gridCol w:w="6185"/>
      </w:tblGrid>
      <w:tr w14:paraId="75555C55">
        <w:tblPrEx>
          <w:tblCellMar>
            <w:top w:w="0" w:type="dxa"/>
            <w:left w:w="108" w:type="dxa"/>
            <w:bottom w:w="0" w:type="dxa"/>
            <w:right w:w="108" w:type="dxa"/>
          </w:tblCellMar>
        </w:tblPrEx>
        <w:trPr>
          <w:cantSplit/>
          <w:trHeight w:val="622" w:hRule="atLeast"/>
        </w:trPr>
        <w:tc>
          <w:tcPr>
            <w:tcW w:w="2595" w:type="dxa"/>
            <w:gridSpan w:val="2"/>
            <w:tcBorders>
              <w:top w:val="single" w:color="000000" w:sz="4" w:space="0"/>
              <w:left w:val="single" w:color="000000" w:sz="4" w:space="0"/>
              <w:bottom w:val="single" w:color="000000" w:sz="4" w:space="0"/>
              <w:right w:val="single" w:color="000000" w:sz="4" w:space="0"/>
            </w:tcBorders>
            <w:vAlign w:val="center"/>
          </w:tcPr>
          <w:p w14:paraId="2203A57D">
            <w:pPr>
              <w:spacing w:line="360" w:lineRule="auto"/>
              <w:jc w:val="center"/>
              <w:rPr>
                <w:rFonts w:ascii="宋体" w:hAnsi="宋体" w:eastAsia="宋体" w:cs="宋体"/>
                <w:color w:val="000000"/>
                <w:szCs w:val="21"/>
                <w:highlight w:val="none"/>
              </w:rPr>
            </w:pPr>
            <w:r>
              <w:rPr>
                <w:rFonts w:ascii="宋体" w:hAnsi="宋体" w:cs="宋体"/>
                <w:color w:val="000000"/>
                <w:szCs w:val="21"/>
              </w:rPr>
              <w:t>项目名称</w:t>
            </w:r>
          </w:p>
        </w:tc>
        <w:tc>
          <w:tcPr>
            <w:tcW w:w="6185" w:type="dxa"/>
            <w:tcBorders>
              <w:top w:val="single" w:color="000000" w:sz="4" w:space="0"/>
              <w:left w:val="single" w:color="000000" w:sz="4" w:space="0"/>
              <w:bottom w:val="single" w:color="000000" w:sz="4" w:space="0"/>
              <w:right w:val="single" w:color="000000" w:sz="4" w:space="0"/>
            </w:tcBorders>
            <w:vAlign w:val="center"/>
          </w:tcPr>
          <w:p w14:paraId="00A06FD7">
            <w:pPr>
              <w:snapToGrid w:val="0"/>
              <w:spacing w:line="360" w:lineRule="auto"/>
              <w:rPr>
                <w:rFonts w:ascii="宋体" w:hAnsi="宋体" w:eastAsia="宋体" w:cs="宋体"/>
                <w:color w:val="000000"/>
                <w:szCs w:val="21"/>
                <w:highlight w:val="none"/>
              </w:rPr>
            </w:pPr>
          </w:p>
        </w:tc>
      </w:tr>
      <w:tr w14:paraId="374F87A7">
        <w:tblPrEx>
          <w:tblCellMar>
            <w:top w:w="0" w:type="dxa"/>
            <w:left w:w="108" w:type="dxa"/>
            <w:bottom w:w="0" w:type="dxa"/>
            <w:right w:w="108" w:type="dxa"/>
          </w:tblCellMar>
        </w:tblPrEx>
        <w:trPr>
          <w:cantSplit/>
          <w:trHeight w:val="538" w:hRule="atLeast"/>
        </w:trPr>
        <w:tc>
          <w:tcPr>
            <w:tcW w:w="2595" w:type="dxa"/>
            <w:gridSpan w:val="2"/>
            <w:tcBorders>
              <w:top w:val="single" w:color="000000" w:sz="4" w:space="0"/>
              <w:left w:val="single" w:color="000000" w:sz="4" w:space="0"/>
              <w:bottom w:val="single" w:color="000000" w:sz="4" w:space="0"/>
              <w:right w:val="single" w:color="000000" w:sz="4" w:space="0"/>
            </w:tcBorders>
            <w:vAlign w:val="center"/>
          </w:tcPr>
          <w:p w14:paraId="6C7BF07C">
            <w:pPr>
              <w:spacing w:line="360" w:lineRule="auto"/>
              <w:jc w:val="center"/>
              <w:rPr>
                <w:rFonts w:ascii="宋体" w:hAnsi="宋体" w:eastAsia="宋体" w:cs="宋体"/>
                <w:color w:val="000000"/>
                <w:szCs w:val="21"/>
                <w:highlight w:val="none"/>
                <w:lang w:eastAsia="zh-CN"/>
              </w:rPr>
            </w:pPr>
            <w:r>
              <w:rPr>
                <w:rFonts w:ascii="宋体" w:hAnsi="宋体" w:cs="宋体"/>
                <w:color w:val="000000"/>
                <w:szCs w:val="21"/>
                <w:lang w:val="en-US" w:eastAsia="zh-CN"/>
              </w:rPr>
              <w:t>工期</w:t>
            </w:r>
          </w:p>
        </w:tc>
        <w:tc>
          <w:tcPr>
            <w:tcW w:w="6185" w:type="dxa"/>
            <w:tcBorders>
              <w:top w:val="single" w:color="000000" w:sz="4" w:space="0"/>
              <w:left w:val="single" w:color="000000" w:sz="4" w:space="0"/>
              <w:bottom w:val="single" w:color="000000" w:sz="4" w:space="0"/>
              <w:right w:val="single" w:color="000000" w:sz="4" w:space="0"/>
            </w:tcBorders>
            <w:vAlign w:val="center"/>
          </w:tcPr>
          <w:p w14:paraId="0ACB9B51">
            <w:pPr>
              <w:snapToGrid w:val="0"/>
              <w:spacing w:line="360" w:lineRule="auto"/>
              <w:jc w:val="center"/>
              <w:rPr>
                <w:rFonts w:ascii="宋体" w:hAnsi="宋体" w:eastAsia="宋体" w:cs="宋体"/>
                <w:color w:val="000000"/>
                <w:szCs w:val="21"/>
                <w:highlight w:val="none"/>
                <w:lang w:eastAsia="zh-CN"/>
              </w:rPr>
            </w:pPr>
          </w:p>
        </w:tc>
      </w:tr>
      <w:tr w14:paraId="43490737">
        <w:tblPrEx>
          <w:tblCellMar>
            <w:top w:w="0" w:type="dxa"/>
            <w:left w:w="108" w:type="dxa"/>
            <w:bottom w:w="0" w:type="dxa"/>
            <w:right w:w="108" w:type="dxa"/>
          </w:tblCellMar>
        </w:tblPrEx>
        <w:trPr>
          <w:cantSplit/>
          <w:trHeight w:val="538" w:hRule="atLeast"/>
        </w:trPr>
        <w:tc>
          <w:tcPr>
            <w:tcW w:w="2595" w:type="dxa"/>
            <w:gridSpan w:val="2"/>
            <w:tcBorders>
              <w:top w:val="single" w:color="000000" w:sz="4" w:space="0"/>
              <w:left w:val="single" w:color="000000" w:sz="4" w:space="0"/>
              <w:bottom w:val="single" w:color="000000" w:sz="4" w:space="0"/>
              <w:right w:val="single" w:color="000000" w:sz="4" w:space="0"/>
            </w:tcBorders>
            <w:vAlign w:val="center"/>
          </w:tcPr>
          <w:p w14:paraId="349ABB23">
            <w:pPr>
              <w:spacing w:line="360" w:lineRule="auto"/>
              <w:jc w:val="center"/>
              <w:rPr>
                <w:rFonts w:ascii="宋体" w:hAnsi="宋体" w:eastAsia="宋体" w:cs="宋体"/>
                <w:color w:val="000000"/>
                <w:szCs w:val="21"/>
                <w:highlight w:val="none"/>
                <w:lang w:val="en-US" w:eastAsia="zh-CN"/>
              </w:rPr>
            </w:pPr>
            <w:r>
              <w:rPr>
                <w:rFonts w:ascii="宋体" w:hAnsi="宋体" w:cs="宋体"/>
                <w:color w:val="000000"/>
                <w:szCs w:val="21"/>
                <w:lang w:val="en-US" w:eastAsia="zh-CN"/>
              </w:rPr>
              <w:t>保修期</w:t>
            </w:r>
          </w:p>
        </w:tc>
        <w:tc>
          <w:tcPr>
            <w:tcW w:w="6185" w:type="dxa"/>
            <w:tcBorders>
              <w:top w:val="single" w:color="000000" w:sz="4" w:space="0"/>
              <w:left w:val="single" w:color="000000" w:sz="4" w:space="0"/>
              <w:bottom w:val="single" w:color="000000" w:sz="4" w:space="0"/>
              <w:right w:val="single" w:color="000000" w:sz="4" w:space="0"/>
            </w:tcBorders>
            <w:vAlign w:val="center"/>
          </w:tcPr>
          <w:p w14:paraId="10EC7913">
            <w:pPr>
              <w:snapToGrid w:val="0"/>
              <w:spacing w:line="360" w:lineRule="auto"/>
              <w:jc w:val="center"/>
              <w:rPr>
                <w:rFonts w:ascii="宋体" w:hAnsi="宋体" w:eastAsia="宋体" w:cs="宋体"/>
                <w:color w:val="000000"/>
                <w:szCs w:val="21"/>
                <w:highlight w:val="none"/>
                <w:lang w:val="en-US" w:eastAsia="zh-CN"/>
              </w:rPr>
            </w:pPr>
          </w:p>
        </w:tc>
      </w:tr>
      <w:tr w14:paraId="3BC1FB92">
        <w:tblPrEx>
          <w:tblCellMar>
            <w:top w:w="0" w:type="dxa"/>
            <w:left w:w="108" w:type="dxa"/>
            <w:bottom w:w="0" w:type="dxa"/>
            <w:right w:w="108" w:type="dxa"/>
          </w:tblCellMar>
        </w:tblPrEx>
        <w:trPr>
          <w:cantSplit/>
          <w:trHeight w:val="603" w:hRule="atLeast"/>
        </w:trPr>
        <w:tc>
          <w:tcPr>
            <w:tcW w:w="2595" w:type="dxa"/>
            <w:gridSpan w:val="2"/>
            <w:tcBorders>
              <w:top w:val="single" w:color="000000" w:sz="4" w:space="0"/>
              <w:left w:val="single" w:color="000000" w:sz="4" w:space="0"/>
              <w:bottom w:val="single" w:color="000000" w:sz="4" w:space="0"/>
              <w:right w:val="single" w:color="000000" w:sz="4" w:space="0"/>
            </w:tcBorders>
            <w:vAlign w:val="center"/>
          </w:tcPr>
          <w:p w14:paraId="52053B33">
            <w:pPr>
              <w:spacing w:line="360" w:lineRule="auto"/>
              <w:jc w:val="center"/>
              <w:rPr>
                <w:rFonts w:ascii="宋体" w:hAnsi="宋体" w:eastAsia="宋体" w:cs="宋体"/>
                <w:color w:val="000000"/>
                <w:szCs w:val="21"/>
                <w:highlight w:val="none"/>
              </w:rPr>
            </w:pPr>
            <w:r>
              <w:rPr>
                <w:rFonts w:ascii="宋体" w:hAnsi="宋体" w:cs="宋体"/>
                <w:color w:val="000000"/>
                <w:szCs w:val="21"/>
              </w:rPr>
              <w:t>磋商有效期</w:t>
            </w:r>
          </w:p>
        </w:tc>
        <w:tc>
          <w:tcPr>
            <w:tcW w:w="6185" w:type="dxa"/>
            <w:tcBorders>
              <w:top w:val="single" w:color="000000" w:sz="4" w:space="0"/>
              <w:left w:val="single" w:color="000000" w:sz="4" w:space="0"/>
              <w:bottom w:val="single" w:color="000000" w:sz="4" w:space="0"/>
              <w:right w:val="single" w:color="000000" w:sz="4" w:space="0"/>
            </w:tcBorders>
            <w:vAlign w:val="center"/>
          </w:tcPr>
          <w:p w14:paraId="59907CFE">
            <w:pPr>
              <w:snapToGrid w:val="0"/>
              <w:spacing w:line="360" w:lineRule="auto"/>
              <w:jc w:val="center"/>
              <w:rPr>
                <w:rFonts w:ascii="宋体" w:hAnsi="宋体" w:eastAsia="宋体" w:cs="宋体"/>
                <w:color w:val="000000"/>
                <w:szCs w:val="21"/>
                <w:highlight w:val="none"/>
              </w:rPr>
            </w:pPr>
          </w:p>
        </w:tc>
      </w:tr>
      <w:tr w14:paraId="56A5C100">
        <w:tblPrEx>
          <w:tblCellMar>
            <w:top w:w="0" w:type="dxa"/>
            <w:left w:w="108" w:type="dxa"/>
            <w:bottom w:w="0" w:type="dxa"/>
            <w:right w:w="108" w:type="dxa"/>
          </w:tblCellMar>
        </w:tblPrEx>
        <w:trPr>
          <w:cantSplit/>
          <w:trHeight w:val="601" w:hRule="atLeast"/>
        </w:trPr>
        <w:tc>
          <w:tcPr>
            <w:tcW w:w="1621" w:type="dxa"/>
            <w:vMerge w:val="restart"/>
            <w:tcBorders>
              <w:top w:val="single" w:color="000000" w:sz="4" w:space="0"/>
              <w:left w:val="single" w:color="000000" w:sz="4" w:space="0"/>
              <w:bottom w:val="single" w:color="000000" w:sz="4" w:space="0"/>
              <w:right w:val="single" w:color="000000" w:sz="4" w:space="0"/>
            </w:tcBorders>
            <w:vAlign w:val="center"/>
          </w:tcPr>
          <w:p w14:paraId="12840F78">
            <w:pPr>
              <w:spacing w:line="360" w:lineRule="auto"/>
              <w:jc w:val="center"/>
              <w:rPr>
                <w:rFonts w:ascii="宋体" w:hAnsi="宋体" w:eastAsia="宋体" w:cs="宋体"/>
                <w:color w:val="000000"/>
                <w:szCs w:val="21"/>
                <w:highlight w:val="none"/>
              </w:rPr>
            </w:pPr>
            <w:r>
              <w:rPr>
                <w:rFonts w:ascii="宋体" w:hAnsi="宋体" w:cs="宋体"/>
                <w:color w:val="000000"/>
                <w:szCs w:val="21"/>
              </w:rPr>
              <w:t>响应</w:t>
            </w:r>
            <w:r>
              <w:rPr>
                <w:rFonts w:ascii="宋体" w:hAnsi="宋体" w:cs="宋体"/>
                <w:color w:val="000000"/>
                <w:szCs w:val="21"/>
                <w:lang w:val="en-US" w:eastAsia="zh-CN"/>
              </w:rPr>
              <w:t>总</w:t>
            </w:r>
            <w:r>
              <w:rPr>
                <w:rFonts w:ascii="宋体" w:hAnsi="宋体" w:cs="宋体"/>
                <w:color w:val="000000"/>
                <w:szCs w:val="21"/>
              </w:rPr>
              <w:t>报价</w:t>
            </w:r>
          </w:p>
          <w:p w14:paraId="4BADABA4">
            <w:pPr>
              <w:spacing w:line="360" w:lineRule="auto"/>
              <w:jc w:val="center"/>
              <w:rPr>
                <w:rFonts w:ascii="宋体" w:hAnsi="宋体" w:eastAsia="宋体" w:cs="宋体"/>
                <w:color w:val="000000"/>
                <w:szCs w:val="21"/>
                <w:highlight w:val="none"/>
              </w:rPr>
            </w:pPr>
            <w:r>
              <w:rPr>
                <w:rFonts w:ascii="宋体" w:hAnsi="宋体" w:cs="宋体"/>
                <w:color w:val="000000"/>
                <w:szCs w:val="21"/>
              </w:rPr>
              <w:t>（人民币）</w:t>
            </w:r>
          </w:p>
        </w:tc>
        <w:tc>
          <w:tcPr>
            <w:tcW w:w="974" w:type="dxa"/>
            <w:tcBorders>
              <w:top w:val="single" w:color="000000" w:sz="4" w:space="0"/>
              <w:left w:val="single" w:color="000000" w:sz="4" w:space="0"/>
              <w:bottom w:val="single" w:color="000000" w:sz="4" w:space="0"/>
              <w:right w:val="single" w:color="000000" w:sz="4" w:space="0"/>
            </w:tcBorders>
            <w:vAlign w:val="center"/>
          </w:tcPr>
          <w:p w14:paraId="3BE5014E">
            <w:pPr>
              <w:widowControl/>
              <w:spacing w:line="360" w:lineRule="auto"/>
              <w:jc w:val="center"/>
              <w:rPr>
                <w:rFonts w:ascii="宋体" w:hAnsi="宋体" w:eastAsia="宋体" w:cs="宋体"/>
                <w:color w:val="000000"/>
                <w:szCs w:val="21"/>
                <w:highlight w:val="none"/>
              </w:rPr>
            </w:pPr>
            <w:r>
              <w:rPr>
                <w:rFonts w:ascii="宋体" w:hAnsi="宋体" w:cs="宋体"/>
                <w:color w:val="000000"/>
                <w:szCs w:val="21"/>
              </w:rPr>
              <w:t>小写</w:t>
            </w:r>
          </w:p>
        </w:tc>
        <w:tc>
          <w:tcPr>
            <w:tcW w:w="6185" w:type="dxa"/>
            <w:tcBorders>
              <w:top w:val="single" w:color="000000" w:sz="4" w:space="0"/>
              <w:left w:val="single" w:color="000000" w:sz="4" w:space="0"/>
              <w:bottom w:val="single" w:color="000000" w:sz="4" w:space="0"/>
              <w:right w:val="single" w:color="000000" w:sz="4" w:space="0"/>
            </w:tcBorders>
            <w:vAlign w:val="center"/>
          </w:tcPr>
          <w:p w14:paraId="4E497F50">
            <w:pPr>
              <w:snapToGrid w:val="0"/>
              <w:spacing w:line="360" w:lineRule="auto"/>
              <w:jc w:val="center"/>
              <w:rPr>
                <w:rFonts w:ascii="宋体" w:hAnsi="宋体" w:eastAsia="宋体" w:cs="宋体"/>
                <w:color w:val="000000"/>
                <w:szCs w:val="21"/>
                <w:highlight w:val="none"/>
              </w:rPr>
            </w:pPr>
          </w:p>
        </w:tc>
      </w:tr>
      <w:tr w14:paraId="5026C306">
        <w:tblPrEx>
          <w:tblCellMar>
            <w:top w:w="0" w:type="dxa"/>
            <w:left w:w="108" w:type="dxa"/>
            <w:bottom w:w="0" w:type="dxa"/>
            <w:right w:w="108" w:type="dxa"/>
          </w:tblCellMar>
        </w:tblPrEx>
        <w:trPr>
          <w:cantSplit/>
          <w:trHeight w:val="601" w:hRule="atLeast"/>
        </w:trPr>
        <w:tc>
          <w:tcPr>
            <w:tcW w:w="1621" w:type="dxa"/>
            <w:vMerge w:val="continue"/>
            <w:tcBorders>
              <w:top w:val="single" w:color="000000" w:sz="4" w:space="0"/>
              <w:left w:val="single" w:color="000000" w:sz="4" w:space="0"/>
              <w:bottom w:val="single" w:color="000000" w:sz="4" w:space="0"/>
              <w:right w:val="single" w:color="000000" w:sz="4" w:space="0"/>
            </w:tcBorders>
            <w:vAlign w:val="center"/>
          </w:tcPr>
          <w:p w14:paraId="022E682B">
            <w:pPr>
              <w:snapToGrid w:val="0"/>
              <w:spacing w:line="360" w:lineRule="auto"/>
              <w:jc w:val="center"/>
              <w:rPr>
                <w:rFonts w:ascii="宋体" w:hAnsi="宋体" w:eastAsia="宋体" w:cs="宋体"/>
                <w:color w:val="000000"/>
                <w:szCs w:val="21"/>
                <w:highlight w:val="none"/>
              </w:rPr>
            </w:pPr>
          </w:p>
        </w:tc>
        <w:tc>
          <w:tcPr>
            <w:tcW w:w="974" w:type="dxa"/>
            <w:tcBorders>
              <w:top w:val="single" w:color="000000" w:sz="4" w:space="0"/>
              <w:left w:val="single" w:color="000000" w:sz="4" w:space="0"/>
              <w:bottom w:val="single" w:color="000000" w:sz="4" w:space="0"/>
              <w:right w:val="single" w:color="000000" w:sz="4" w:space="0"/>
            </w:tcBorders>
            <w:vAlign w:val="center"/>
          </w:tcPr>
          <w:p w14:paraId="2D8E3700">
            <w:pPr>
              <w:widowControl/>
              <w:spacing w:line="360" w:lineRule="auto"/>
              <w:jc w:val="center"/>
              <w:rPr>
                <w:rFonts w:ascii="宋体" w:hAnsi="宋体" w:eastAsia="宋体" w:cs="宋体"/>
                <w:color w:val="000000"/>
                <w:szCs w:val="21"/>
                <w:highlight w:val="none"/>
                <w:lang w:eastAsia="zh-CN"/>
              </w:rPr>
            </w:pPr>
            <w:r>
              <w:rPr>
                <w:rFonts w:ascii="宋体" w:hAnsi="宋体" w:cs="宋体"/>
                <w:color w:val="000000"/>
                <w:szCs w:val="21"/>
                <w:lang w:eastAsia="zh-CN"/>
              </w:rPr>
              <w:t>大写</w:t>
            </w:r>
          </w:p>
        </w:tc>
        <w:tc>
          <w:tcPr>
            <w:tcW w:w="6185" w:type="dxa"/>
            <w:tcBorders>
              <w:top w:val="single" w:color="000000" w:sz="4" w:space="0"/>
              <w:left w:val="single" w:color="000000" w:sz="4" w:space="0"/>
              <w:bottom w:val="single" w:color="000000" w:sz="4" w:space="0"/>
              <w:right w:val="single" w:color="000000" w:sz="4" w:space="0"/>
            </w:tcBorders>
            <w:vAlign w:val="center"/>
          </w:tcPr>
          <w:p w14:paraId="697F0DB2">
            <w:pPr>
              <w:snapToGrid w:val="0"/>
              <w:spacing w:line="360" w:lineRule="auto"/>
              <w:jc w:val="center"/>
              <w:rPr>
                <w:rFonts w:ascii="宋体" w:hAnsi="宋体" w:eastAsia="宋体" w:cs="宋体"/>
                <w:color w:val="000000"/>
                <w:szCs w:val="21"/>
                <w:highlight w:val="none"/>
                <w:lang w:eastAsia="zh-CN"/>
              </w:rPr>
            </w:pPr>
          </w:p>
        </w:tc>
      </w:tr>
    </w:tbl>
    <w:p w14:paraId="78D410AE">
      <w:pPr>
        <w:spacing w:line="360" w:lineRule="auto"/>
        <w:ind w:firstLine="416"/>
        <w:rPr>
          <w:rFonts w:ascii="宋体" w:hAnsi="宋体" w:eastAsia="宋体" w:cs="宋体"/>
          <w:color w:val="000000"/>
          <w:szCs w:val="21"/>
          <w:highlight w:val="none"/>
        </w:rPr>
      </w:pPr>
      <w:r>
        <w:rPr>
          <w:rFonts w:ascii="宋体" w:hAnsi="宋体" w:cs="宋体"/>
          <w:color w:val="000000"/>
          <w:szCs w:val="21"/>
        </w:rPr>
        <w:t>填写说明：</w:t>
      </w:r>
    </w:p>
    <w:p w14:paraId="209B144B">
      <w:pPr>
        <w:spacing w:line="360" w:lineRule="auto"/>
        <w:ind w:firstLine="426"/>
        <w:rPr>
          <w:rFonts w:ascii="宋体" w:hAnsi="宋体" w:eastAsia="宋体" w:cs="宋体"/>
          <w:color w:val="000000"/>
          <w:szCs w:val="21"/>
          <w:highlight w:val="none"/>
        </w:rPr>
      </w:pPr>
      <w:r>
        <w:rPr>
          <w:rFonts w:ascii="宋体" w:hAnsi="宋体" w:eastAsia="宋体" w:cs="宋体"/>
          <w:color w:val="000000"/>
          <w:szCs w:val="21"/>
          <w:lang w:val="en-US" w:eastAsia="zh-CN"/>
        </w:rPr>
        <w:t>1</w:t>
      </w:r>
      <w:r>
        <w:rPr>
          <w:rFonts w:ascii="宋体" w:hAnsi="宋体" w:eastAsia="宋体" w:cs="宋体"/>
          <w:color w:val="000000"/>
          <w:szCs w:val="21"/>
        </w:rPr>
        <w:t>.</w:t>
      </w:r>
      <w:r>
        <w:rPr>
          <w:rFonts w:ascii="宋体" w:hAnsi="宋体" w:cs="宋体"/>
          <w:color w:val="000000"/>
          <w:szCs w:val="21"/>
        </w:rPr>
        <w:t>响应文件开启时，本表中的内容与响应文件中的响应函、分项</w:t>
      </w:r>
      <w:r>
        <w:rPr>
          <w:rFonts w:ascii="宋体" w:hAnsi="宋体" w:cs="宋体"/>
          <w:color w:val="000000"/>
          <w:szCs w:val="21"/>
          <w:lang w:val="en-US" w:eastAsia="zh-CN"/>
        </w:rPr>
        <w:t>报价表</w:t>
      </w:r>
      <w:r>
        <w:rPr>
          <w:rFonts w:ascii="宋体" w:hAnsi="宋体" w:cs="宋体"/>
          <w:color w:val="000000"/>
          <w:szCs w:val="21"/>
        </w:rPr>
        <w:t>的内容不一致的，以本表为准；大写金额与小写金额不一致的，以大写金额为准；总价金额与按单价汇总金额不一致的，以单价金额计算结果为准；单价金额小数点有明显错位的，应以总价为准，并修改单价。</w:t>
      </w:r>
    </w:p>
    <w:p w14:paraId="0E7CAC48">
      <w:pPr>
        <w:spacing w:line="360" w:lineRule="auto"/>
        <w:ind w:firstLine="426"/>
        <w:rPr>
          <w:rFonts w:ascii="宋体" w:hAnsi="宋体" w:eastAsia="宋体" w:cs="宋体"/>
          <w:color w:val="000000"/>
          <w:szCs w:val="21"/>
          <w:highlight w:val="none"/>
        </w:rPr>
      </w:pPr>
      <w:r>
        <w:rPr>
          <w:rFonts w:ascii="宋体" w:hAnsi="宋体" w:eastAsia="宋体" w:cs="宋体"/>
          <w:color w:val="000000"/>
          <w:szCs w:val="21"/>
          <w:lang w:val="en-US" w:eastAsia="zh-CN"/>
        </w:rPr>
        <w:t>2</w:t>
      </w:r>
      <w:r>
        <w:rPr>
          <w:rFonts w:ascii="宋体" w:hAnsi="宋体" w:eastAsia="宋体" w:cs="宋体"/>
          <w:color w:val="000000"/>
          <w:szCs w:val="21"/>
        </w:rPr>
        <w:t>.</w:t>
      </w:r>
      <w:r>
        <w:rPr>
          <w:rFonts w:ascii="宋体" w:hAnsi="宋体" w:cs="宋体"/>
          <w:color w:val="000000"/>
          <w:szCs w:val="21"/>
        </w:rPr>
        <w:t>磋商总价为采购范围所列全部采购项目的报价总和，并应与分项价格表</w:t>
      </w:r>
      <w:r>
        <w:rPr>
          <w:rFonts w:ascii="宋体" w:hAnsi="宋体" w:cs="宋体"/>
          <w:color w:val="000000"/>
          <w:szCs w:val="21"/>
          <w:lang w:val="en-US" w:eastAsia="zh-CN"/>
        </w:rPr>
        <w:t>的合计</w:t>
      </w:r>
      <w:r>
        <w:rPr>
          <w:rFonts w:ascii="宋体" w:hAnsi="宋体" w:cs="宋体"/>
          <w:color w:val="000000"/>
          <w:szCs w:val="21"/>
        </w:rPr>
        <w:t>保持一致。</w:t>
      </w:r>
    </w:p>
    <w:p w14:paraId="392D477E">
      <w:pPr>
        <w:spacing w:line="360" w:lineRule="auto"/>
        <w:ind w:firstLine="426"/>
        <w:rPr>
          <w:rFonts w:ascii="宋体" w:hAnsi="宋体" w:eastAsia="宋体" w:cs="宋体"/>
          <w:color w:val="000000"/>
          <w:szCs w:val="21"/>
          <w:highlight w:val="none"/>
        </w:rPr>
      </w:pPr>
      <w:r>
        <w:rPr>
          <w:rFonts w:ascii="宋体" w:hAnsi="宋体" w:eastAsia="宋体" w:cs="宋体"/>
          <w:color w:val="000000"/>
          <w:szCs w:val="21"/>
          <w:lang w:val="en-US" w:eastAsia="zh-CN"/>
        </w:rPr>
        <w:t>3</w:t>
      </w:r>
      <w:r>
        <w:rPr>
          <w:rFonts w:ascii="宋体" w:hAnsi="宋体" w:eastAsia="宋体" w:cs="宋体"/>
          <w:color w:val="000000"/>
          <w:szCs w:val="21"/>
        </w:rPr>
        <w:t>.</w:t>
      </w:r>
      <w:r>
        <w:rPr>
          <w:rFonts w:ascii="宋体" w:hAnsi="宋体" w:cs="宋体"/>
          <w:color w:val="000000"/>
          <w:szCs w:val="21"/>
        </w:rPr>
        <w:t>磋商报价不得填报选择性报价。</w:t>
      </w:r>
    </w:p>
    <w:p w14:paraId="3F03E01A">
      <w:pPr>
        <w:spacing w:line="360" w:lineRule="auto"/>
        <w:ind w:firstLine="426"/>
        <w:rPr>
          <w:rFonts w:ascii="宋体" w:hAnsi="宋体" w:eastAsia="宋体" w:cs="宋体"/>
          <w:color w:val="000000"/>
          <w:szCs w:val="21"/>
          <w:highlight w:val="none"/>
        </w:rPr>
      </w:pPr>
      <w:r>
        <w:rPr>
          <w:rFonts w:ascii="宋体" w:hAnsi="宋体" w:cs="宋体"/>
          <w:color w:val="000000"/>
          <w:szCs w:val="21"/>
        </w:rPr>
        <w:t>供应商名称：</w:t>
      </w:r>
      <w:r>
        <w:rPr>
          <w:rFonts w:ascii="宋体" w:hAnsi="宋体" w:cs="宋体"/>
          <w:color w:val="000000"/>
          <w:szCs w:val="21"/>
          <w:u w:val="single"/>
        </w:rPr>
        <w:t xml:space="preserve">    （加盖公章）     </w:t>
      </w:r>
      <w:r>
        <w:rPr>
          <w:rFonts w:ascii="宋体" w:hAnsi="宋体" w:cs="宋体"/>
          <w:color w:val="000000"/>
          <w:szCs w:val="21"/>
        </w:rPr>
        <w:t xml:space="preserve">       </w:t>
      </w:r>
    </w:p>
    <w:p w14:paraId="6FFFE833">
      <w:pPr>
        <w:spacing w:line="360" w:lineRule="auto"/>
        <w:ind w:firstLine="426"/>
        <w:rPr>
          <w:rFonts w:ascii="宋体" w:hAnsi="宋体" w:eastAsia="宋体" w:cs="宋体"/>
          <w:color w:val="000000"/>
          <w:szCs w:val="21"/>
          <w:highlight w:val="none"/>
        </w:rPr>
      </w:pPr>
      <w:r>
        <w:rPr>
          <w:rFonts w:ascii="宋体" w:hAnsi="宋体" w:cs="宋体"/>
          <w:color w:val="000000"/>
          <w:szCs w:val="21"/>
        </w:rPr>
        <w:t>法定代表人签字或盖章：</w:t>
      </w:r>
      <w:r>
        <w:rPr>
          <w:rFonts w:ascii="宋体" w:hAnsi="宋体" w:cs="宋体"/>
          <w:color w:val="000000"/>
          <w:szCs w:val="21"/>
          <w:u w:val="single"/>
        </w:rPr>
        <w:t xml:space="preserve">           </w:t>
      </w:r>
      <w:r>
        <w:rPr>
          <w:rFonts w:ascii="宋体" w:hAnsi="宋体" w:cs="宋体"/>
          <w:color w:val="000000"/>
          <w:szCs w:val="21"/>
        </w:rPr>
        <w:t xml:space="preserve"> </w:t>
      </w:r>
    </w:p>
    <w:p w14:paraId="7AC53A63">
      <w:pPr>
        <w:spacing w:line="360" w:lineRule="auto"/>
        <w:ind w:firstLine="426"/>
        <w:rPr>
          <w:rFonts w:ascii="宋体" w:hAnsi="宋体" w:eastAsia="宋体" w:cs="宋体"/>
          <w:color w:val="000000"/>
          <w:szCs w:val="21"/>
          <w:highlight w:val="none"/>
        </w:rPr>
      </w:pPr>
      <w:r>
        <w:rPr>
          <w:rFonts w:ascii="宋体" w:hAnsi="宋体" w:cs="宋体"/>
          <w:color w:val="000000"/>
          <w:szCs w:val="21"/>
        </w:rPr>
        <w:t>授权代表签字或盖章：</w:t>
      </w:r>
      <w:r>
        <w:rPr>
          <w:rFonts w:ascii="宋体" w:hAnsi="宋体" w:cs="宋体"/>
          <w:color w:val="000000"/>
          <w:szCs w:val="21"/>
          <w:u w:val="single"/>
        </w:rPr>
        <w:t xml:space="preserve">               </w:t>
      </w:r>
      <w:r>
        <w:rPr>
          <w:rFonts w:ascii="宋体" w:hAnsi="宋体" w:cs="宋体"/>
          <w:color w:val="000000"/>
          <w:szCs w:val="21"/>
        </w:rPr>
        <w:t xml:space="preserve">  </w:t>
      </w:r>
    </w:p>
    <w:p w14:paraId="04955515">
      <w:pPr>
        <w:spacing w:line="360" w:lineRule="auto"/>
        <w:ind w:firstLine="426"/>
        <w:rPr>
          <w:rFonts w:ascii="宋体" w:hAnsi="宋体" w:eastAsia="宋体" w:cs="宋体"/>
          <w:b/>
          <w:bCs/>
          <w:color w:val="000000"/>
          <w:sz w:val="24"/>
          <w:highlight w:val="none"/>
        </w:rPr>
      </w:pPr>
      <w:r>
        <w:rPr>
          <w:rFonts w:ascii="宋体" w:hAnsi="宋体" w:cs="宋体"/>
          <w:color w:val="000000"/>
          <w:szCs w:val="21"/>
        </w:rPr>
        <w:t>签署日期：</w:t>
      </w:r>
      <w:r>
        <w:rPr>
          <w:rFonts w:ascii="宋体" w:hAnsi="宋体" w:cs="宋体"/>
          <w:color w:val="000000"/>
          <w:szCs w:val="21"/>
          <w:u w:val="single"/>
        </w:rPr>
        <w:t xml:space="preserve">       </w:t>
      </w:r>
      <w:r>
        <w:rPr>
          <w:rFonts w:ascii="宋体" w:hAnsi="宋体" w:cs="宋体"/>
          <w:color w:val="000000"/>
          <w:szCs w:val="21"/>
        </w:rPr>
        <w:t xml:space="preserve"> 年</w:t>
      </w:r>
      <w:r>
        <w:rPr>
          <w:rFonts w:ascii="宋体" w:hAnsi="宋体" w:cs="宋体"/>
          <w:color w:val="000000"/>
          <w:szCs w:val="21"/>
          <w:u w:val="single"/>
        </w:rPr>
        <w:t xml:space="preserve">     </w:t>
      </w:r>
      <w:r>
        <w:rPr>
          <w:rFonts w:ascii="宋体" w:hAnsi="宋体" w:cs="宋体"/>
          <w:color w:val="000000"/>
          <w:szCs w:val="21"/>
        </w:rPr>
        <w:t xml:space="preserve">月 </w:t>
      </w:r>
      <w:r>
        <w:rPr>
          <w:rFonts w:ascii="宋体" w:hAnsi="宋体" w:cs="宋体"/>
          <w:color w:val="000000"/>
          <w:szCs w:val="21"/>
          <w:u w:val="single"/>
        </w:rPr>
        <w:t xml:space="preserve">    </w:t>
      </w:r>
      <w:r>
        <w:rPr>
          <w:rFonts w:ascii="宋体" w:hAnsi="宋体" w:cs="宋体"/>
          <w:color w:val="000000"/>
          <w:szCs w:val="21"/>
        </w:rPr>
        <w:t>日</w:t>
      </w:r>
    </w:p>
    <w:p w14:paraId="4B6C06CA">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1306682B">
      <w:pPr>
        <w:pStyle w:val="52"/>
        <w:tabs>
          <w:tab w:val="left" w:pos="5580"/>
        </w:tabs>
        <w:spacing w:line="360" w:lineRule="auto"/>
        <w:rPr>
          <w:rFonts w:ascii="宋体" w:hAnsi="宋体" w:eastAsia="宋体" w:cs="宋体"/>
          <w:b/>
          <w:bCs/>
          <w:color w:val="000000"/>
          <w:sz w:val="24"/>
          <w:highlight w:val="none"/>
          <w:lang w:val="en-US" w:eastAsia="zh-CN"/>
        </w:rPr>
      </w:pPr>
    </w:p>
    <w:p w14:paraId="47D30F0C">
      <w:pPr>
        <w:pStyle w:val="52"/>
        <w:tabs>
          <w:tab w:val="left" w:pos="5580"/>
        </w:tabs>
        <w:spacing w:line="360" w:lineRule="auto"/>
        <w:rPr>
          <w:rFonts w:ascii="宋体" w:hAnsi="宋体" w:eastAsia="宋体" w:cs="宋体"/>
          <w:b/>
          <w:bCs/>
          <w:color w:val="000000"/>
          <w:sz w:val="24"/>
          <w:highlight w:val="none"/>
          <w:lang w:val="en-US" w:eastAsia="zh-CN"/>
        </w:rPr>
      </w:pPr>
    </w:p>
    <w:p w14:paraId="4CEBEEA7">
      <w:pPr>
        <w:pStyle w:val="52"/>
        <w:tabs>
          <w:tab w:val="left" w:pos="5580"/>
        </w:tabs>
        <w:spacing w:line="360" w:lineRule="auto"/>
        <w:ind w:left="272" w:firstLine="0"/>
        <w:rPr>
          <w:rFonts w:ascii="宋体" w:hAnsi="宋体" w:eastAsia="宋体" w:cs="宋体"/>
          <w:b/>
          <w:bCs/>
          <w:color w:val="000000"/>
          <w:sz w:val="24"/>
          <w:highlight w:val="none"/>
          <w:lang w:val="en-US" w:eastAsia="zh-CN"/>
        </w:rPr>
      </w:pPr>
    </w:p>
    <w:p w14:paraId="10A1468E">
      <w:pPr>
        <w:pStyle w:val="52"/>
        <w:tabs>
          <w:tab w:val="left" w:pos="5580"/>
        </w:tabs>
        <w:spacing w:line="360" w:lineRule="auto"/>
        <w:ind w:left="272"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cs="宋体"/>
          <w:b/>
          <w:bCs/>
          <w:color w:val="000000"/>
          <w:sz w:val="24"/>
          <w:lang w:val="en-US" w:eastAsia="zh-CN"/>
        </w:rPr>
        <w:t>6</w:t>
      </w:r>
      <w:r>
        <w:rPr>
          <w:rFonts w:ascii="宋体" w:hAnsi="宋体" w:cs="宋体"/>
          <w:color w:val="000000"/>
          <w:sz w:val="24"/>
          <w:lang w:val="en-US" w:eastAsia="zh-CN"/>
        </w:rPr>
        <w:t>：</w:t>
      </w:r>
    </w:p>
    <w:p w14:paraId="5F7022D3">
      <w:pPr>
        <w:pStyle w:val="3"/>
        <w:numPr>
          <w:ilvl w:val="0"/>
          <w:numId w:val="0"/>
        </w:numPr>
        <w:spacing w:before="0" w:after="0" w:line="360" w:lineRule="auto"/>
        <w:ind w:left="0" w:firstLine="0"/>
        <w:jc w:val="center"/>
        <w:rPr>
          <w:rFonts w:ascii="宋体" w:hAnsi="宋体" w:eastAsia="宋体" w:cs="宋体"/>
          <w:b/>
          <w:bCs/>
          <w:color w:val="000000"/>
          <w:sz w:val="24"/>
          <w:highlight w:val="none"/>
        </w:rPr>
      </w:pPr>
      <w:r>
        <w:rPr>
          <w:rFonts w:ascii="宋体" w:hAnsi="宋体" w:cs="宋体"/>
          <w:b/>
          <w:bCs/>
          <w:color w:val="000000"/>
          <w:sz w:val="24"/>
        </w:rPr>
        <w:t>响应分项报价表</w:t>
      </w:r>
    </w:p>
    <w:p w14:paraId="63D3E186">
      <w:pPr>
        <w:pStyle w:val="52"/>
        <w:spacing w:line="360" w:lineRule="auto"/>
        <w:jc w:val="center"/>
        <w:rPr>
          <w:rFonts w:ascii="宋体" w:hAnsi="宋体" w:eastAsia="宋体" w:cs="宋体"/>
          <w:b/>
          <w:bCs/>
          <w:color w:val="000000"/>
          <w:sz w:val="24"/>
          <w:highlight w:val="none"/>
          <w:lang w:val="en-US" w:eastAsia="zh-CN"/>
        </w:rPr>
      </w:pPr>
    </w:p>
    <w:p w14:paraId="3E7D189C">
      <w:pPr>
        <w:pStyle w:val="3"/>
        <w:numPr>
          <w:ilvl w:val="0"/>
          <w:numId w:val="0"/>
        </w:numPr>
        <w:spacing w:before="0" w:after="0" w:line="240" w:lineRule="atLeast"/>
        <w:ind w:left="0" w:firstLine="0"/>
        <w:jc w:val="center"/>
        <w:rPr>
          <w:rFonts w:ascii="宋体" w:hAnsi="宋体" w:cs="宋体"/>
          <w:b/>
          <w:bCs/>
          <w:color w:val="000000"/>
          <w:sz w:val="24"/>
          <w:highlight w:val="none"/>
          <w:lang w:eastAsia="zh-CN"/>
        </w:rPr>
      </w:pPr>
      <w:r>
        <w:rPr>
          <w:rFonts w:ascii="宋体" w:hAnsi="宋体" w:cs="宋体"/>
          <w:b/>
          <w:bCs/>
          <w:color w:val="000000"/>
          <w:sz w:val="24"/>
          <w:lang w:eastAsia="zh-CN"/>
        </w:rPr>
        <w:t>（</w:t>
      </w:r>
      <w:r>
        <w:rPr>
          <w:rFonts w:ascii="宋体" w:hAnsi="宋体" w:cs="宋体"/>
          <w:b/>
          <w:bCs/>
          <w:color w:val="000000"/>
          <w:sz w:val="24"/>
          <w:lang w:val="en-US" w:eastAsia="zh-CN"/>
        </w:rPr>
        <w:t>工程量清单计价</w:t>
      </w:r>
      <w:r>
        <w:rPr>
          <w:rFonts w:ascii="宋体" w:hAnsi="宋体" w:cs="宋体"/>
          <w:b/>
          <w:bCs/>
          <w:color w:val="000000"/>
          <w:sz w:val="24"/>
          <w:lang w:eastAsia="zh-CN"/>
        </w:rPr>
        <w:t>）</w:t>
      </w:r>
    </w:p>
    <w:p w14:paraId="7C4AC8B8">
      <w:pPr>
        <w:rPr>
          <w:rFonts w:ascii="宋体" w:hAnsi="宋体" w:cs="宋体"/>
          <w:b/>
          <w:bCs/>
          <w:color w:val="000000"/>
          <w:sz w:val="24"/>
          <w:highlight w:val="none"/>
          <w:lang w:eastAsia="zh-CN"/>
        </w:rPr>
      </w:pPr>
    </w:p>
    <w:p w14:paraId="4060A1C5">
      <w:pPr>
        <w:spacing w:line="360" w:lineRule="auto"/>
        <w:ind w:firstLine="2130"/>
        <w:rPr>
          <w:rFonts w:ascii="宋体" w:hAnsi="宋体" w:eastAsia="宋体" w:cs="宋体"/>
          <w:b/>
          <w:bCs/>
          <w:color w:val="000000"/>
          <w:highlight w:val="none"/>
          <w:lang w:eastAsia="zh-CN"/>
        </w:rPr>
      </w:pPr>
      <w:r>
        <w:rPr>
          <w:rFonts w:ascii="宋体" w:hAnsi="宋体" w:cs="宋体"/>
          <w:b/>
          <w:bCs/>
          <w:color w:val="000000"/>
          <w:lang w:eastAsia="zh-CN"/>
        </w:rPr>
        <w:t>按</w:t>
      </w:r>
      <w:r>
        <w:rPr>
          <w:rFonts w:ascii="宋体" w:hAnsi="宋体" w:cs="宋体"/>
          <w:b/>
          <w:bCs/>
          <w:color w:val="000000"/>
          <w:lang w:val="en-US" w:eastAsia="zh-CN"/>
        </w:rPr>
        <w:t>照</w:t>
      </w:r>
      <w:r>
        <w:rPr>
          <w:rFonts w:ascii="宋体" w:hAnsi="宋体" w:cs="宋体"/>
          <w:b/>
          <w:bCs/>
          <w:color w:val="000000"/>
          <w:lang w:eastAsia="zh-CN"/>
        </w:rPr>
        <w:t>竞争性</w:t>
      </w:r>
      <w:r>
        <w:rPr>
          <w:rFonts w:ascii="宋体" w:hAnsi="宋体" w:cs="宋体"/>
          <w:b/>
          <w:bCs/>
          <w:color w:val="000000"/>
          <w:lang w:val="en-US" w:eastAsia="zh-CN"/>
        </w:rPr>
        <w:t>磋商文件</w:t>
      </w:r>
      <w:r>
        <w:rPr>
          <w:rFonts w:ascii="宋体" w:hAnsi="宋体" w:cs="宋体"/>
          <w:b/>
          <w:bCs/>
          <w:color w:val="000000"/>
          <w:lang w:eastAsia="zh-CN"/>
        </w:rPr>
        <w:t>中“工程量清单”格式报价</w:t>
      </w:r>
    </w:p>
    <w:p w14:paraId="45664003">
      <w:pPr>
        <w:pStyle w:val="52"/>
        <w:spacing w:line="360" w:lineRule="auto"/>
        <w:jc w:val="center"/>
        <w:rPr>
          <w:rFonts w:ascii="宋体" w:hAnsi="宋体" w:eastAsia="宋体" w:cs="宋体"/>
          <w:b/>
          <w:bCs/>
          <w:color w:val="000000"/>
          <w:sz w:val="24"/>
          <w:highlight w:val="none"/>
          <w:lang w:val="en-US" w:eastAsia="zh-CN"/>
        </w:rPr>
      </w:pPr>
    </w:p>
    <w:p w14:paraId="067787ED">
      <w:pPr>
        <w:pStyle w:val="52"/>
        <w:spacing w:line="360" w:lineRule="auto"/>
        <w:jc w:val="center"/>
        <w:rPr>
          <w:rFonts w:ascii="宋体" w:hAnsi="宋体" w:eastAsia="宋体" w:cs="宋体"/>
          <w:color w:val="000000"/>
          <w:sz w:val="24"/>
          <w:highlight w:val="none"/>
          <w:lang w:val="en-US" w:eastAsia="zh-CN"/>
        </w:rPr>
      </w:pPr>
    </w:p>
    <w:p w14:paraId="51A008A0">
      <w:pPr>
        <w:pStyle w:val="52"/>
        <w:spacing w:line="360" w:lineRule="auto"/>
        <w:ind w:firstLine="426"/>
        <w:rPr>
          <w:rFonts w:ascii="宋体" w:hAnsi="宋体" w:eastAsia="宋体" w:cs="宋体"/>
          <w:color w:val="000000"/>
          <w:sz w:val="21"/>
          <w:szCs w:val="21"/>
          <w:highlight w:val="none"/>
        </w:rPr>
      </w:pPr>
      <w:r>
        <w:rPr>
          <w:rFonts w:ascii="宋体" w:hAnsi="宋体" w:cs="宋体"/>
          <w:color w:val="000000"/>
          <w:sz w:val="21"/>
          <w:szCs w:val="21"/>
        </w:rPr>
        <w:t>注</w:t>
      </w:r>
      <w:r>
        <w:rPr>
          <w:rFonts w:eastAsia="宋体" w:cs="宋体"/>
          <w:color w:val="000000"/>
          <w:sz w:val="21"/>
          <w:szCs w:val="21"/>
        </w:rPr>
        <w:t>:</w:t>
      </w:r>
      <w:r>
        <w:rPr>
          <w:rFonts w:eastAsia="宋体" w:cs="宋体"/>
          <w:color w:val="000000"/>
          <w:sz w:val="21"/>
          <w:szCs w:val="21"/>
          <w:lang w:val="en-US" w:eastAsia="zh-CN"/>
        </w:rPr>
        <w:t xml:space="preserve"> 1</w:t>
      </w:r>
      <w:r>
        <w:rPr>
          <w:rFonts w:eastAsia="宋体" w:cs="宋体"/>
          <w:color w:val="000000"/>
          <w:sz w:val="21"/>
          <w:szCs w:val="21"/>
        </w:rPr>
        <w:t>.</w:t>
      </w:r>
      <w:r>
        <w:rPr>
          <w:rFonts w:ascii="宋体" w:hAnsi="宋体" w:cs="宋体"/>
          <w:color w:val="000000"/>
          <w:sz w:val="21"/>
          <w:szCs w:val="21"/>
        </w:rPr>
        <w:t>表中磋商报价总计应与对应</w:t>
      </w:r>
      <w:r>
        <w:rPr>
          <w:rFonts w:ascii="宋体" w:hAnsi="宋体" w:cs="宋体"/>
          <w:color w:val="000000"/>
          <w:sz w:val="21"/>
          <w:szCs w:val="21"/>
          <w:lang w:val="en-US" w:eastAsia="zh-CN"/>
        </w:rPr>
        <w:t>开启响应文件</w:t>
      </w:r>
      <w:r>
        <w:rPr>
          <w:rFonts w:ascii="宋体" w:hAnsi="宋体" w:cs="宋体"/>
          <w:color w:val="000000"/>
          <w:sz w:val="21"/>
          <w:szCs w:val="21"/>
        </w:rPr>
        <w:t>一览表中磋商总价一致。</w:t>
      </w:r>
    </w:p>
    <w:p w14:paraId="3119CFB2">
      <w:pPr>
        <w:pStyle w:val="52"/>
        <w:numPr>
          <w:ilvl w:val="0"/>
          <w:numId w:val="16"/>
        </w:numPr>
        <w:tabs>
          <w:tab w:val="left" w:pos="312"/>
          <w:tab w:val="clear" w:pos="420"/>
        </w:tabs>
        <w:spacing w:line="360" w:lineRule="auto"/>
        <w:ind w:left="0" w:firstLine="852"/>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响应分项报价表不得缺项漏项，否则按无效响应处理。</w:t>
      </w:r>
    </w:p>
    <w:p w14:paraId="2C247721">
      <w:pPr>
        <w:pStyle w:val="52"/>
        <w:numPr>
          <w:ilvl w:val="0"/>
          <w:numId w:val="16"/>
        </w:numPr>
        <w:tabs>
          <w:tab w:val="left" w:pos="312"/>
          <w:tab w:val="clear" w:pos="420"/>
        </w:tabs>
        <w:spacing w:line="360" w:lineRule="auto"/>
        <w:ind w:left="0" w:firstLine="852"/>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工程量清单根据代理机构随磋商文件发布提供的清单为准。</w:t>
      </w:r>
      <w:r>
        <w:br w:type="page"/>
      </w:r>
    </w:p>
    <w:p w14:paraId="0FE8B441">
      <w:pPr>
        <w:pStyle w:val="3"/>
        <w:numPr>
          <w:ilvl w:val="0"/>
          <w:numId w:val="0"/>
        </w:numPr>
        <w:spacing w:before="0" w:after="0" w:line="360" w:lineRule="auto"/>
        <w:ind w:left="0" w:firstLine="0"/>
        <w:jc w:val="left"/>
        <w:rPr>
          <w:rFonts w:ascii="宋体" w:hAnsi="宋体" w:eastAsia="宋体" w:cs="宋体"/>
          <w:b/>
          <w:bCs/>
          <w:color w:val="000000"/>
          <w:sz w:val="24"/>
          <w:highlight w:val="none"/>
          <w:lang w:val="en-US" w:eastAsia="zh-CN"/>
        </w:rPr>
      </w:pPr>
      <w:r>
        <w:rPr>
          <w:rFonts w:ascii="宋体" w:hAnsi="宋体" w:cs="宋体"/>
          <w:b/>
          <w:bCs/>
          <w:color w:val="000000"/>
          <w:sz w:val="24"/>
          <w:lang w:val="en-US" w:eastAsia="zh-CN"/>
        </w:rPr>
        <w:t>响应文件格式7：</w:t>
      </w:r>
    </w:p>
    <w:p w14:paraId="41F4985B">
      <w:pPr>
        <w:pStyle w:val="3"/>
        <w:numPr>
          <w:ilvl w:val="0"/>
          <w:numId w:val="0"/>
        </w:numPr>
        <w:spacing w:before="0" w:after="0" w:line="360" w:lineRule="auto"/>
        <w:ind w:left="0" w:firstLine="0"/>
        <w:jc w:val="center"/>
        <w:rPr>
          <w:rFonts w:ascii="宋体" w:hAnsi="宋体" w:eastAsia="宋体" w:cs="宋体"/>
          <w:b/>
          <w:bCs/>
          <w:color w:val="000000"/>
          <w:sz w:val="24"/>
          <w:highlight w:val="none"/>
        </w:rPr>
      </w:pPr>
      <w:r>
        <w:rPr>
          <w:rFonts w:ascii="宋体" w:hAnsi="宋体" w:cs="宋体"/>
          <w:b/>
          <w:bCs/>
          <w:color w:val="000000"/>
          <w:sz w:val="24"/>
        </w:rPr>
        <w:t>技术规格偏离表</w:t>
      </w:r>
    </w:p>
    <w:p w14:paraId="3DFF0B84">
      <w:pPr>
        <w:pStyle w:val="52"/>
        <w:spacing w:line="360" w:lineRule="auto"/>
        <w:ind w:left="1087" w:hanging="540"/>
        <w:rPr>
          <w:rFonts w:ascii="宋体" w:hAnsi="宋体" w:eastAsia="宋体" w:cs="宋体"/>
          <w:b/>
          <w:bCs/>
          <w:color w:val="000000"/>
          <w:sz w:val="22"/>
          <w:szCs w:val="18"/>
          <w:highlight w:val="none"/>
        </w:rPr>
      </w:pPr>
    </w:p>
    <w:p w14:paraId="6D15E385">
      <w:pPr>
        <w:pStyle w:val="52"/>
        <w:spacing w:line="360" w:lineRule="auto"/>
        <w:ind w:firstLine="852"/>
        <w:rPr>
          <w:rFonts w:ascii="宋体" w:hAnsi="宋体" w:eastAsia="宋体" w:cs="宋体"/>
          <w:color w:val="000000"/>
          <w:sz w:val="21"/>
          <w:szCs w:val="21"/>
          <w:highlight w:val="none"/>
        </w:rPr>
      </w:pPr>
      <w:r>
        <w:rPr>
          <w:rFonts w:ascii="宋体" w:hAnsi="宋体" w:cs="宋体"/>
          <w:color w:val="000000"/>
          <w:sz w:val="21"/>
          <w:szCs w:val="21"/>
        </w:rPr>
        <w:t>项目名称</w:t>
      </w:r>
      <w:r>
        <w:rPr>
          <w:rFonts w:eastAsia="宋体" w:cs="宋体"/>
          <w:color w:val="000000"/>
          <w:sz w:val="21"/>
          <w:szCs w:val="21"/>
        </w:rPr>
        <w:t xml:space="preserve">:                       </w:t>
      </w:r>
      <w:r>
        <w:rPr>
          <w:rFonts w:ascii="宋体" w:hAnsi="宋体" w:cs="宋体"/>
          <w:color w:val="000000"/>
          <w:sz w:val="21"/>
          <w:szCs w:val="21"/>
        </w:rPr>
        <w:t>项目编号</w:t>
      </w:r>
      <w:r>
        <w:rPr>
          <w:rFonts w:eastAsia="宋体" w:cs="宋体"/>
          <w:color w:val="000000"/>
          <w:sz w:val="21"/>
          <w:szCs w:val="21"/>
        </w:rPr>
        <w:t xml:space="preserve">:                 </w:t>
      </w:r>
      <w:r>
        <w:rPr>
          <w:rFonts w:ascii="宋体" w:hAnsi="宋体" w:cs="宋体"/>
          <w:color w:val="000000"/>
          <w:sz w:val="21"/>
          <w:szCs w:val="21"/>
        </w:rPr>
        <w:t>包号</w:t>
      </w:r>
      <w:r>
        <w:rPr>
          <w:rFonts w:eastAsia="宋体" w:cs="宋体"/>
          <w:color w:val="000000"/>
          <w:sz w:val="21"/>
          <w:szCs w:val="21"/>
        </w:rPr>
        <w:t>:</w:t>
      </w:r>
    </w:p>
    <w:p w14:paraId="3B1D9DA2">
      <w:pPr>
        <w:pStyle w:val="52"/>
        <w:spacing w:line="360" w:lineRule="auto"/>
        <w:ind w:left="1087" w:hanging="540"/>
        <w:rPr>
          <w:rFonts w:ascii="宋体" w:hAnsi="宋体" w:eastAsia="宋体" w:cs="宋体"/>
          <w:color w:val="000000"/>
          <w:sz w:val="21"/>
          <w:szCs w:val="21"/>
          <w:highlight w:val="none"/>
        </w:rPr>
      </w:pPr>
    </w:p>
    <w:tbl>
      <w:tblPr>
        <w:tblStyle w:val="20"/>
        <w:tblW w:w="8477" w:type="dxa"/>
        <w:jc w:val="center"/>
        <w:tblLayout w:type="fixed"/>
        <w:tblCellMar>
          <w:top w:w="0" w:type="dxa"/>
          <w:left w:w="108" w:type="dxa"/>
          <w:bottom w:w="0" w:type="dxa"/>
          <w:right w:w="108" w:type="dxa"/>
        </w:tblCellMar>
      </w:tblPr>
      <w:tblGrid>
        <w:gridCol w:w="1097"/>
        <w:gridCol w:w="1727"/>
        <w:gridCol w:w="1412"/>
        <w:gridCol w:w="1412"/>
        <w:gridCol w:w="1412"/>
        <w:gridCol w:w="1417"/>
      </w:tblGrid>
      <w:tr w14:paraId="14D66F89">
        <w:tblPrEx>
          <w:tblCellMar>
            <w:top w:w="0" w:type="dxa"/>
            <w:left w:w="108" w:type="dxa"/>
            <w:bottom w:w="0" w:type="dxa"/>
            <w:right w:w="108" w:type="dxa"/>
          </w:tblCellMar>
        </w:tblPrEx>
        <w:trPr>
          <w:trHeight w:val="664" w:hRule="atLeast"/>
          <w:jc w:val="center"/>
        </w:trPr>
        <w:tc>
          <w:tcPr>
            <w:tcW w:w="1097" w:type="dxa"/>
            <w:tcBorders>
              <w:top w:val="single" w:color="000000" w:sz="4" w:space="0"/>
              <w:left w:val="single" w:color="000000" w:sz="4" w:space="0"/>
              <w:bottom w:val="single" w:color="000000" w:sz="4" w:space="0"/>
              <w:right w:val="single" w:color="000000" w:sz="4" w:space="0"/>
            </w:tcBorders>
            <w:vAlign w:val="center"/>
          </w:tcPr>
          <w:p w14:paraId="0E85A910">
            <w:pPr>
              <w:pStyle w:val="52"/>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序号</w:t>
            </w:r>
          </w:p>
        </w:tc>
        <w:tc>
          <w:tcPr>
            <w:tcW w:w="1727" w:type="dxa"/>
            <w:tcBorders>
              <w:top w:val="single" w:color="000000" w:sz="4" w:space="0"/>
              <w:left w:val="single" w:color="000000" w:sz="4" w:space="0"/>
              <w:bottom w:val="single" w:color="000000" w:sz="4" w:space="0"/>
              <w:right w:val="single" w:color="000000" w:sz="4" w:space="0"/>
            </w:tcBorders>
            <w:vAlign w:val="center"/>
          </w:tcPr>
          <w:p w14:paraId="251436F2">
            <w:pPr>
              <w:pStyle w:val="52"/>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服务名称</w:t>
            </w:r>
          </w:p>
        </w:tc>
        <w:tc>
          <w:tcPr>
            <w:tcW w:w="1412" w:type="dxa"/>
            <w:tcBorders>
              <w:top w:val="single" w:color="000000" w:sz="4" w:space="0"/>
              <w:left w:val="single" w:color="000000" w:sz="4" w:space="0"/>
              <w:bottom w:val="single" w:color="000000" w:sz="4" w:space="0"/>
              <w:right w:val="single" w:color="000000" w:sz="4" w:space="0"/>
            </w:tcBorders>
            <w:vAlign w:val="center"/>
          </w:tcPr>
          <w:p w14:paraId="699D7966">
            <w:pPr>
              <w:pStyle w:val="52"/>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磋商要求</w:t>
            </w:r>
          </w:p>
        </w:tc>
        <w:tc>
          <w:tcPr>
            <w:tcW w:w="1412" w:type="dxa"/>
            <w:tcBorders>
              <w:top w:val="single" w:color="000000" w:sz="4" w:space="0"/>
              <w:left w:val="single" w:color="000000" w:sz="4" w:space="0"/>
              <w:bottom w:val="single" w:color="000000" w:sz="4" w:space="0"/>
              <w:right w:val="single" w:color="000000" w:sz="4" w:space="0"/>
            </w:tcBorders>
            <w:vAlign w:val="center"/>
          </w:tcPr>
          <w:p w14:paraId="6881DC01">
            <w:pPr>
              <w:pStyle w:val="52"/>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响应要求</w:t>
            </w:r>
          </w:p>
        </w:tc>
        <w:tc>
          <w:tcPr>
            <w:tcW w:w="1412" w:type="dxa"/>
            <w:tcBorders>
              <w:top w:val="single" w:color="000000" w:sz="4" w:space="0"/>
              <w:left w:val="single" w:color="000000" w:sz="4" w:space="0"/>
              <w:bottom w:val="single" w:color="000000" w:sz="4" w:space="0"/>
              <w:right w:val="single" w:color="000000" w:sz="4" w:space="0"/>
            </w:tcBorders>
            <w:vAlign w:val="center"/>
          </w:tcPr>
          <w:p w14:paraId="59B59066">
            <w:pPr>
              <w:pStyle w:val="52"/>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偏离</w:t>
            </w:r>
          </w:p>
        </w:tc>
        <w:tc>
          <w:tcPr>
            <w:tcW w:w="1417" w:type="dxa"/>
            <w:tcBorders>
              <w:top w:val="single" w:color="000000" w:sz="4" w:space="0"/>
              <w:left w:val="single" w:color="000000" w:sz="4" w:space="0"/>
              <w:bottom w:val="single" w:color="000000" w:sz="4" w:space="0"/>
              <w:right w:val="single" w:color="000000" w:sz="4" w:space="0"/>
            </w:tcBorders>
            <w:vAlign w:val="center"/>
          </w:tcPr>
          <w:p w14:paraId="4DC057FE">
            <w:pPr>
              <w:pStyle w:val="52"/>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说明</w:t>
            </w:r>
          </w:p>
        </w:tc>
      </w:tr>
      <w:tr w14:paraId="6787AB38">
        <w:tblPrEx>
          <w:tblCellMar>
            <w:top w:w="0" w:type="dxa"/>
            <w:left w:w="108" w:type="dxa"/>
            <w:bottom w:w="0" w:type="dxa"/>
            <w:right w:w="108" w:type="dxa"/>
          </w:tblCellMar>
        </w:tblPrEx>
        <w:trPr>
          <w:trHeight w:val="516"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1992BB9D">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5B6AD76B">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9B73A24">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1206A05">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vAlign w:val="center"/>
          </w:tcPr>
          <w:p w14:paraId="604F1D3B">
            <w:pPr>
              <w:pStyle w:val="52"/>
              <w:keepNext w:val="0"/>
              <w:keepLines w:val="0"/>
              <w:widowControl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6110AB0C">
            <w:pPr>
              <w:pStyle w:val="52"/>
              <w:snapToGrid w:val="0"/>
              <w:spacing w:line="360" w:lineRule="auto"/>
              <w:ind w:left="1087" w:hanging="540"/>
              <w:rPr>
                <w:rFonts w:ascii="宋体" w:hAnsi="宋体" w:eastAsia="宋体" w:cs="宋体"/>
                <w:color w:val="000000"/>
                <w:sz w:val="21"/>
                <w:szCs w:val="21"/>
                <w:highlight w:val="none"/>
                <w:lang w:val="en-US" w:eastAsia="zh-CN"/>
              </w:rPr>
            </w:pPr>
          </w:p>
        </w:tc>
      </w:tr>
      <w:tr w14:paraId="10604629">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4D667244">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5F7F9D9F">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274F680">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45921D0">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63EFCB39">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6C66BFFA">
            <w:pPr>
              <w:pStyle w:val="52"/>
              <w:snapToGrid w:val="0"/>
              <w:spacing w:line="360" w:lineRule="auto"/>
              <w:ind w:left="1087" w:hanging="540"/>
              <w:rPr>
                <w:rFonts w:ascii="宋体" w:hAnsi="宋体" w:eastAsia="宋体" w:cs="宋体"/>
                <w:color w:val="000000"/>
                <w:sz w:val="21"/>
                <w:szCs w:val="21"/>
                <w:highlight w:val="none"/>
                <w:lang w:val="en-US" w:eastAsia="zh-CN"/>
              </w:rPr>
            </w:pPr>
          </w:p>
        </w:tc>
      </w:tr>
      <w:tr w14:paraId="324A2620">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0A40FABC">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19DFE356">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07AA7C3">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CAEF429">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19D724DA">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2E6DCB8F">
            <w:pPr>
              <w:pStyle w:val="52"/>
              <w:snapToGrid w:val="0"/>
              <w:spacing w:line="360" w:lineRule="auto"/>
              <w:ind w:left="1087" w:hanging="540"/>
              <w:rPr>
                <w:rFonts w:ascii="宋体" w:hAnsi="宋体" w:eastAsia="宋体" w:cs="宋体"/>
                <w:color w:val="000000"/>
                <w:sz w:val="21"/>
                <w:szCs w:val="21"/>
                <w:highlight w:val="none"/>
                <w:lang w:val="en-US" w:eastAsia="zh-CN"/>
              </w:rPr>
            </w:pPr>
          </w:p>
        </w:tc>
      </w:tr>
      <w:tr w14:paraId="3A07B63D">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77A9460E">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57234578">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1941B81">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D812033">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DE7D9E2">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1B6D1254">
            <w:pPr>
              <w:pStyle w:val="52"/>
              <w:snapToGrid w:val="0"/>
              <w:spacing w:line="360" w:lineRule="auto"/>
              <w:ind w:left="1087" w:hanging="540"/>
              <w:rPr>
                <w:rFonts w:ascii="宋体" w:hAnsi="宋体" w:eastAsia="宋体" w:cs="宋体"/>
                <w:color w:val="000000"/>
                <w:sz w:val="21"/>
                <w:szCs w:val="21"/>
                <w:highlight w:val="none"/>
                <w:lang w:val="en-US" w:eastAsia="zh-CN"/>
              </w:rPr>
            </w:pPr>
          </w:p>
        </w:tc>
      </w:tr>
      <w:tr w14:paraId="7DA30CA6">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69A45A42">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14C4CD63">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12E6B00D">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E031813">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54A3C1E">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7050376F">
            <w:pPr>
              <w:pStyle w:val="52"/>
              <w:snapToGrid w:val="0"/>
              <w:spacing w:line="360" w:lineRule="auto"/>
              <w:ind w:left="1087" w:hanging="540"/>
              <w:rPr>
                <w:rFonts w:ascii="宋体" w:hAnsi="宋体" w:eastAsia="宋体" w:cs="宋体"/>
                <w:color w:val="000000"/>
                <w:sz w:val="21"/>
                <w:szCs w:val="21"/>
                <w:highlight w:val="none"/>
                <w:lang w:val="en-US" w:eastAsia="zh-CN"/>
              </w:rPr>
            </w:pPr>
          </w:p>
        </w:tc>
      </w:tr>
      <w:tr w14:paraId="583855E5">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43674709">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1459F95C">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6CC38E03">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EC8F744">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4B7C525">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7E356545">
            <w:pPr>
              <w:pStyle w:val="52"/>
              <w:snapToGrid w:val="0"/>
              <w:spacing w:line="360" w:lineRule="auto"/>
              <w:ind w:left="1087" w:hanging="540"/>
              <w:rPr>
                <w:rFonts w:ascii="宋体" w:hAnsi="宋体" w:eastAsia="宋体" w:cs="宋体"/>
                <w:color w:val="000000"/>
                <w:sz w:val="21"/>
                <w:szCs w:val="21"/>
                <w:highlight w:val="none"/>
                <w:lang w:val="en-US" w:eastAsia="zh-CN"/>
              </w:rPr>
            </w:pPr>
          </w:p>
        </w:tc>
      </w:tr>
      <w:tr w14:paraId="1668FBC4">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6963655E">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799B7BC9">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1FB92C1">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1940976">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8449B43">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36B3EABB">
            <w:pPr>
              <w:pStyle w:val="52"/>
              <w:snapToGrid w:val="0"/>
              <w:spacing w:line="360" w:lineRule="auto"/>
              <w:ind w:left="1087" w:hanging="540"/>
              <w:rPr>
                <w:rFonts w:ascii="宋体" w:hAnsi="宋体" w:eastAsia="宋体" w:cs="宋体"/>
                <w:color w:val="000000"/>
                <w:sz w:val="21"/>
                <w:szCs w:val="21"/>
                <w:highlight w:val="none"/>
                <w:lang w:val="en-US" w:eastAsia="zh-CN"/>
              </w:rPr>
            </w:pPr>
          </w:p>
        </w:tc>
      </w:tr>
      <w:tr w14:paraId="4809A6BC">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4CEBBF18">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691FE93D">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49402A0">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4862BB4">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DBA6710">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7862F916">
            <w:pPr>
              <w:pStyle w:val="52"/>
              <w:snapToGrid w:val="0"/>
              <w:spacing w:line="360" w:lineRule="auto"/>
              <w:ind w:left="1087" w:hanging="540"/>
              <w:rPr>
                <w:rFonts w:ascii="宋体" w:hAnsi="宋体" w:eastAsia="宋体" w:cs="宋体"/>
                <w:color w:val="000000"/>
                <w:sz w:val="21"/>
                <w:szCs w:val="21"/>
                <w:highlight w:val="none"/>
                <w:lang w:val="en-US" w:eastAsia="zh-CN"/>
              </w:rPr>
            </w:pPr>
          </w:p>
        </w:tc>
      </w:tr>
      <w:tr w14:paraId="026EF31E">
        <w:tblPrEx>
          <w:tblCellMar>
            <w:top w:w="0" w:type="dxa"/>
            <w:left w:w="108" w:type="dxa"/>
            <w:bottom w:w="0" w:type="dxa"/>
            <w:right w:w="108" w:type="dxa"/>
          </w:tblCellMar>
        </w:tblPrEx>
        <w:trPr>
          <w:trHeight w:val="538"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762DFD7F">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5FB830DA">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623364EC">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12F1D35">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D620F64">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4E9FABEF">
            <w:pPr>
              <w:pStyle w:val="52"/>
              <w:snapToGrid w:val="0"/>
              <w:spacing w:line="360" w:lineRule="auto"/>
              <w:ind w:left="1087" w:hanging="540"/>
              <w:rPr>
                <w:rFonts w:ascii="宋体" w:hAnsi="宋体" w:eastAsia="宋体" w:cs="宋体"/>
                <w:color w:val="000000"/>
                <w:sz w:val="21"/>
                <w:szCs w:val="21"/>
                <w:highlight w:val="none"/>
                <w:lang w:val="en-US" w:eastAsia="zh-CN"/>
              </w:rPr>
            </w:pPr>
          </w:p>
        </w:tc>
      </w:tr>
      <w:tr w14:paraId="64DAE74F">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383D05E7">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4E570BBE">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A2B3519">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5A1E7AF7">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5EAF6CDF">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79336FF7">
            <w:pPr>
              <w:pStyle w:val="52"/>
              <w:snapToGrid w:val="0"/>
              <w:spacing w:line="360" w:lineRule="auto"/>
              <w:ind w:left="1087" w:hanging="540"/>
              <w:rPr>
                <w:rFonts w:ascii="宋体" w:hAnsi="宋体" w:eastAsia="宋体" w:cs="宋体"/>
                <w:color w:val="000000"/>
                <w:sz w:val="21"/>
                <w:szCs w:val="21"/>
                <w:highlight w:val="none"/>
                <w:lang w:val="en-US" w:eastAsia="zh-CN"/>
              </w:rPr>
            </w:pPr>
          </w:p>
        </w:tc>
      </w:tr>
      <w:tr w14:paraId="41EC2D95">
        <w:tblPrEx>
          <w:tblCellMar>
            <w:top w:w="0" w:type="dxa"/>
            <w:left w:w="108" w:type="dxa"/>
            <w:bottom w:w="0" w:type="dxa"/>
            <w:right w:w="108" w:type="dxa"/>
          </w:tblCellMar>
        </w:tblPrEx>
        <w:trPr>
          <w:trHeight w:val="538"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03989AF8">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646B4F61">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12686C0">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6C5F874">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FF03EE7">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214D6725">
            <w:pPr>
              <w:pStyle w:val="52"/>
              <w:snapToGrid w:val="0"/>
              <w:spacing w:line="360" w:lineRule="auto"/>
              <w:ind w:left="1087" w:hanging="540"/>
              <w:rPr>
                <w:rFonts w:ascii="宋体" w:hAnsi="宋体" w:eastAsia="宋体" w:cs="宋体"/>
                <w:color w:val="000000"/>
                <w:sz w:val="21"/>
                <w:szCs w:val="21"/>
                <w:highlight w:val="none"/>
                <w:lang w:val="en-US" w:eastAsia="zh-CN"/>
              </w:rPr>
            </w:pPr>
          </w:p>
        </w:tc>
      </w:tr>
      <w:tr w14:paraId="52A8067A">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39153B9F">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76DA1F2D">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44AF531">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0A6E17A">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9EB4E1A">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3323ACDA">
            <w:pPr>
              <w:pStyle w:val="52"/>
              <w:snapToGrid w:val="0"/>
              <w:spacing w:line="360" w:lineRule="auto"/>
              <w:ind w:left="1087" w:hanging="540"/>
              <w:rPr>
                <w:rFonts w:ascii="宋体" w:hAnsi="宋体" w:eastAsia="宋体" w:cs="宋体"/>
                <w:color w:val="000000"/>
                <w:sz w:val="21"/>
                <w:szCs w:val="21"/>
                <w:highlight w:val="none"/>
                <w:lang w:val="en-US" w:eastAsia="zh-CN"/>
              </w:rPr>
            </w:pPr>
          </w:p>
        </w:tc>
      </w:tr>
      <w:tr w14:paraId="50EC7593">
        <w:tblPrEx>
          <w:tblCellMar>
            <w:top w:w="0" w:type="dxa"/>
            <w:left w:w="108" w:type="dxa"/>
            <w:bottom w:w="0" w:type="dxa"/>
            <w:right w:w="108" w:type="dxa"/>
          </w:tblCellMar>
        </w:tblPrEx>
        <w:trPr>
          <w:trHeight w:val="548"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6C3211E5">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3F691084">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81BEB4D">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50F8860">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6CCD52E">
            <w:pPr>
              <w:pStyle w:val="52"/>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337D4A00">
            <w:pPr>
              <w:pStyle w:val="52"/>
              <w:snapToGrid w:val="0"/>
              <w:spacing w:line="360" w:lineRule="auto"/>
              <w:ind w:left="1087" w:hanging="540"/>
              <w:rPr>
                <w:rFonts w:ascii="宋体" w:hAnsi="宋体" w:eastAsia="宋体" w:cs="宋体"/>
                <w:color w:val="000000"/>
                <w:sz w:val="21"/>
                <w:szCs w:val="21"/>
                <w:highlight w:val="none"/>
                <w:lang w:val="en-US" w:eastAsia="zh-CN"/>
              </w:rPr>
            </w:pPr>
          </w:p>
        </w:tc>
      </w:tr>
    </w:tbl>
    <w:p w14:paraId="12AABE24">
      <w:pPr>
        <w:pStyle w:val="52"/>
        <w:spacing w:line="360" w:lineRule="auto"/>
        <w:rPr>
          <w:rFonts w:ascii="宋体" w:hAnsi="宋体" w:eastAsia="宋体" w:cs="宋体"/>
          <w:color w:val="000000"/>
          <w:sz w:val="21"/>
          <w:szCs w:val="21"/>
          <w:highlight w:val="none"/>
          <w:lang w:val="en-US" w:eastAsia="zh-CN"/>
        </w:rPr>
      </w:pPr>
    </w:p>
    <w:p w14:paraId="6EC686F1">
      <w:pPr>
        <w:pStyle w:val="52"/>
        <w:spacing w:line="360" w:lineRule="auto"/>
        <w:ind w:left="1087" w:hanging="540"/>
        <w:rPr>
          <w:rFonts w:ascii="宋体" w:hAnsi="宋体" w:eastAsia="宋体" w:cs="宋体"/>
          <w:color w:val="000000"/>
          <w:sz w:val="21"/>
          <w:szCs w:val="21"/>
          <w:highlight w:val="none"/>
          <w:lang w:val="en-US" w:eastAsia="zh-CN"/>
        </w:rPr>
      </w:pPr>
    </w:p>
    <w:p w14:paraId="476E7621">
      <w:pPr>
        <w:pStyle w:val="52"/>
        <w:spacing w:line="360" w:lineRule="auto"/>
        <w:ind w:left="1087" w:hanging="540"/>
        <w:rPr>
          <w:rFonts w:ascii="宋体" w:hAnsi="宋体" w:eastAsia="宋体" w:cs="宋体"/>
          <w:color w:val="000000"/>
          <w:sz w:val="21"/>
          <w:szCs w:val="21"/>
          <w:highlight w:val="none"/>
        </w:rPr>
      </w:pPr>
      <w:r>
        <w:rPr>
          <w:rFonts w:ascii="宋体" w:hAnsi="宋体" w:cs="宋体"/>
          <w:color w:val="000000"/>
          <w:sz w:val="21"/>
          <w:szCs w:val="21"/>
        </w:rPr>
        <w:t>法定代表人或其委托代理人签字</w:t>
      </w:r>
      <w:r>
        <w:rPr>
          <w:rFonts w:ascii="宋体" w:hAnsi="宋体" w:cs="宋体"/>
          <w:color w:val="000000"/>
          <w:sz w:val="21"/>
          <w:szCs w:val="21"/>
          <w:lang w:val="en-US" w:eastAsia="zh-CN"/>
        </w:rPr>
        <w:t>或盖章</w:t>
      </w:r>
      <w:r>
        <w:rPr>
          <w:rFonts w:eastAsia="宋体" w:cs="宋体"/>
          <w:color w:val="000000"/>
          <w:sz w:val="21"/>
          <w:szCs w:val="21"/>
        </w:rPr>
        <w:t>:</w:t>
      </w:r>
      <w:r>
        <w:rPr>
          <w:rFonts w:eastAsia="宋体" w:cs="宋体"/>
          <w:color w:val="000000"/>
          <w:sz w:val="21"/>
          <w:szCs w:val="21"/>
          <w:u w:val="single"/>
        </w:rPr>
        <w:t xml:space="preserve"> </w:t>
      </w:r>
      <w:r>
        <w:rPr>
          <w:rFonts w:eastAsia="宋体" w:cs="宋体"/>
          <w:color w:val="000000"/>
          <w:sz w:val="21"/>
          <w:szCs w:val="21"/>
          <w:u w:val="single"/>
        </w:rPr>
        <w:tab/>
      </w:r>
      <w:r>
        <w:rPr>
          <w:rFonts w:eastAsia="宋体" w:cs="宋体"/>
          <w:color w:val="000000"/>
          <w:sz w:val="21"/>
          <w:szCs w:val="21"/>
          <w:u w:val="single"/>
        </w:rPr>
        <w:t xml:space="preserve">                 </w:t>
      </w:r>
    </w:p>
    <w:p w14:paraId="4F712702">
      <w:pPr>
        <w:pStyle w:val="52"/>
        <w:tabs>
          <w:tab w:val="left" w:pos="5370"/>
        </w:tabs>
        <w:spacing w:line="360" w:lineRule="auto"/>
        <w:ind w:left="1087" w:hanging="540"/>
        <w:rPr>
          <w:rFonts w:ascii="宋体" w:hAnsi="宋体" w:eastAsia="宋体" w:cs="宋体"/>
          <w:color w:val="000000"/>
          <w:sz w:val="21"/>
          <w:szCs w:val="21"/>
          <w:highlight w:val="none"/>
          <w:u w:val="single"/>
        </w:rPr>
      </w:pPr>
      <w:r>
        <w:rPr>
          <w:rFonts w:ascii="宋体" w:hAnsi="宋体" w:cs="宋体"/>
          <w:color w:val="000000"/>
          <w:sz w:val="21"/>
          <w:szCs w:val="21"/>
        </w:rPr>
        <w:t>供应商</w:t>
      </w:r>
      <w:r>
        <w:rPr>
          <w:rFonts w:eastAsia="宋体" w:cs="宋体"/>
          <w:color w:val="000000"/>
          <w:sz w:val="21"/>
          <w:szCs w:val="21"/>
        </w:rPr>
        <w:t>(</w:t>
      </w:r>
      <w:r>
        <w:rPr>
          <w:rFonts w:ascii="宋体" w:hAnsi="宋体" w:cs="宋体"/>
          <w:color w:val="000000"/>
          <w:sz w:val="21"/>
          <w:szCs w:val="21"/>
        </w:rPr>
        <w:t>盖单位章</w:t>
      </w:r>
      <w:r>
        <w:rPr>
          <w:rFonts w:eastAsia="宋体" w:cs="宋体"/>
          <w:color w:val="000000"/>
          <w:sz w:val="21"/>
          <w:szCs w:val="21"/>
        </w:rPr>
        <w:t>):</w:t>
      </w:r>
      <w:r>
        <w:rPr>
          <w:rFonts w:eastAsia="宋体" w:cs="宋体"/>
          <w:color w:val="000000"/>
          <w:sz w:val="21"/>
          <w:szCs w:val="21"/>
          <w:u w:val="single"/>
        </w:rPr>
        <w:tab/>
      </w:r>
    </w:p>
    <w:p w14:paraId="510C22D6">
      <w:pPr>
        <w:pStyle w:val="52"/>
        <w:tabs>
          <w:tab w:val="left" w:pos="5580"/>
        </w:tabs>
        <w:spacing w:line="360" w:lineRule="auto"/>
        <w:ind w:left="1087" w:hanging="540"/>
        <w:rPr>
          <w:rFonts w:ascii="宋体" w:hAnsi="宋体" w:eastAsia="宋体" w:cs="宋体"/>
          <w:color w:val="000000"/>
          <w:sz w:val="24"/>
          <w:highlight w:val="yellow"/>
          <w:u w:val="single"/>
        </w:rPr>
      </w:pPr>
      <w:r>
        <w:rPr>
          <w:rFonts w:ascii="宋体" w:hAnsi="宋体" w:cs="宋体"/>
          <w:color w:val="000000"/>
          <w:sz w:val="21"/>
          <w:szCs w:val="21"/>
          <w:lang w:val="en-US" w:eastAsia="zh-CN"/>
        </w:rPr>
        <w:t>日期：          年    月    日</w:t>
      </w:r>
      <w:r>
        <w:br w:type="page"/>
      </w:r>
    </w:p>
    <w:p w14:paraId="7D4DEDB6">
      <w:pPr>
        <w:pStyle w:val="52"/>
        <w:tabs>
          <w:tab w:val="left" w:pos="5580"/>
        </w:tabs>
        <w:spacing w:line="360" w:lineRule="auto"/>
        <w:ind w:left="1087" w:hanging="540"/>
        <w:rPr>
          <w:rFonts w:ascii="宋体" w:hAnsi="宋体" w:eastAsia="宋体" w:cs="宋体"/>
          <w:b/>
          <w:bCs/>
          <w:color w:val="000000"/>
          <w:sz w:val="24"/>
          <w:highlight w:val="none"/>
          <w:lang w:val="en-US" w:eastAsia="zh-CN"/>
        </w:rPr>
      </w:pPr>
      <w:r>
        <w:rPr>
          <w:rFonts w:ascii="宋体" w:hAnsi="宋体" w:cs="宋体"/>
          <w:b/>
          <w:bCs/>
          <w:color w:val="000000"/>
          <w:sz w:val="24"/>
          <w:lang w:val="en-US" w:eastAsia="zh-CN"/>
        </w:rPr>
        <w:t>响应文件格式</w:t>
      </w:r>
      <w:r>
        <w:rPr>
          <w:rFonts w:cs="宋体"/>
          <w:b/>
          <w:bCs/>
          <w:color w:val="000000"/>
          <w:sz w:val="24"/>
          <w:lang w:val="en-US" w:eastAsia="zh-CN"/>
        </w:rPr>
        <w:t>8</w:t>
      </w:r>
      <w:r>
        <w:rPr>
          <w:rFonts w:ascii="宋体" w:hAnsi="宋体" w:cs="宋体"/>
          <w:b/>
          <w:bCs/>
          <w:color w:val="000000"/>
          <w:sz w:val="24"/>
          <w:lang w:val="en-US" w:eastAsia="zh-CN"/>
        </w:rPr>
        <w:t>：</w:t>
      </w:r>
    </w:p>
    <w:p w14:paraId="05CA1F6A">
      <w:pPr>
        <w:pStyle w:val="3"/>
        <w:numPr>
          <w:ilvl w:val="0"/>
          <w:numId w:val="0"/>
        </w:numPr>
        <w:spacing w:before="0" w:after="0" w:line="360" w:lineRule="auto"/>
        <w:ind w:left="0" w:firstLine="0"/>
        <w:jc w:val="center"/>
        <w:rPr>
          <w:rFonts w:ascii="宋体" w:hAnsi="宋体" w:eastAsia="宋体" w:cs="宋体"/>
          <w:b/>
          <w:bCs/>
          <w:color w:val="000000"/>
          <w:sz w:val="24"/>
          <w:highlight w:val="none"/>
        </w:rPr>
      </w:pPr>
      <w:r>
        <w:rPr>
          <w:rFonts w:ascii="宋体" w:hAnsi="宋体" w:cs="宋体"/>
          <w:b/>
          <w:bCs/>
          <w:color w:val="000000"/>
          <w:sz w:val="24"/>
        </w:rPr>
        <w:t>商务条款偏离表</w:t>
      </w:r>
    </w:p>
    <w:p w14:paraId="51BB7C1C">
      <w:pPr>
        <w:pStyle w:val="52"/>
        <w:spacing w:line="360" w:lineRule="auto"/>
        <w:ind w:left="1087" w:hanging="540"/>
        <w:rPr>
          <w:rFonts w:ascii="宋体" w:hAnsi="宋体" w:eastAsia="宋体" w:cs="宋体"/>
          <w:b/>
          <w:bCs/>
          <w:color w:val="000000"/>
          <w:sz w:val="24"/>
          <w:highlight w:val="none"/>
        </w:rPr>
      </w:pPr>
    </w:p>
    <w:p w14:paraId="694D9C1F">
      <w:pPr>
        <w:pStyle w:val="52"/>
        <w:spacing w:line="360" w:lineRule="auto"/>
        <w:ind w:left="1087" w:hanging="540"/>
        <w:rPr>
          <w:rFonts w:ascii="宋体" w:hAnsi="宋体" w:eastAsia="宋体" w:cs="宋体"/>
          <w:color w:val="000000"/>
          <w:sz w:val="21"/>
          <w:szCs w:val="16"/>
          <w:highlight w:val="none"/>
        </w:rPr>
      </w:pPr>
      <w:r>
        <w:rPr>
          <w:rFonts w:ascii="宋体" w:hAnsi="宋体" w:cs="宋体"/>
          <w:color w:val="000000"/>
          <w:sz w:val="21"/>
          <w:szCs w:val="16"/>
        </w:rPr>
        <w:t>项目名称</w:t>
      </w:r>
      <w:r>
        <w:rPr>
          <w:rFonts w:eastAsia="宋体" w:cs="宋体"/>
          <w:color w:val="000000"/>
          <w:sz w:val="21"/>
          <w:szCs w:val="16"/>
        </w:rPr>
        <w:t xml:space="preserve">:                      </w:t>
      </w:r>
      <w:r>
        <w:rPr>
          <w:rFonts w:ascii="宋体" w:hAnsi="宋体" w:cs="宋体"/>
          <w:color w:val="000000"/>
          <w:sz w:val="21"/>
          <w:szCs w:val="16"/>
        </w:rPr>
        <w:t>项目编号</w:t>
      </w:r>
      <w:r>
        <w:rPr>
          <w:rFonts w:eastAsia="宋体" w:cs="宋体"/>
          <w:color w:val="000000"/>
          <w:sz w:val="21"/>
          <w:szCs w:val="16"/>
        </w:rPr>
        <w:t xml:space="preserve">:    </w:t>
      </w:r>
      <w:r>
        <w:rPr>
          <w:rFonts w:eastAsia="宋体" w:cs="宋体"/>
          <w:color w:val="000000"/>
          <w:sz w:val="21"/>
          <w:szCs w:val="16"/>
          <w:lang w:val="en-US" w:eastAsia="zh-CN"/>
        </w:rPr>
        <w:t xml:space="preserve">       </w:t>
      </w:r>
      <w:r>
        <w:rPr>
          <w:rFonts w:eastAsia="宋体" w:cs="宋体"/>
          <w:color w:val="000000"/>
          <w:sz w:val="21"/>
          <w:szCs w:val="16"/>
        </w:rPr>
        <w:t xml:space="preserve">      </w:t>
      </w:r>
      <w:r>
        <w:rPr>
          <w:rFonts w:ascii="宋体" w:hAnsi="宋体" w:cs="宋体"/>
          <w:color w:val="000000"/>
          <w:sz w:val="21"/>
          <w:szCs w:val="16"/>
        </w:rPr>
        <w:t>包号</w:t>
      </w:r>
      <w:r>
        <w:rPr>
          <w:rFonts w:eastAsia="宋体" w:cs="宋体"/>
          <w:color w:val="000000"/>
          <w:sz w:val="21"/>
          <w:szCs w:val="16"/>
        </w:rPr>
        <w:t>:</w:t>
      </w:r>
    </w:p>
    <w:p w14:paraId="35F7B972">
      <w:pPr>
        <w:pStyle w:val="52"/>
        <w:spacing w:line="360" w:lineRule="auto"/>
        <w:ind w:left="1087" w:hanging="540"/>
        <w:rPr>
          <w:rFonts w:ascii="宋体" w:hAnsi="宋体" w:eastAsia="宋体" w:cs="宋体"/>
          <w:color w:val="000000"/>
          <w:sz w:val="22"/>
          <w:szCs w:val="18"/>
          <w:highlight w:val="none"/>
        </w:rPr>
      </w:pPr>
    </w:p>
    <w:tbl>
      <w:tblPr>
        <w:tblStyle w:val="20"/>
        <w:tblW w:w="8938" w:type="dxa"/>
        <w:jc w:val="center"/>
        <w:tblLayout w:type="fixed"/>
        <w:tblCellMar>
          <w:top w:w="0" w:type="dxa"/>
          <w:left w:w="108" w:type="dxa"/>
          <w:bottom w:w="0" w:type="dxa"/>
          <w:right w:w="108" w:type="dxa"/>
        </w:tblCellMar>
      </w:tblPr>
      <w:tblGrid>
        <w:gridCol w:w="708"/>
        <w:gridCol w:w="5925"/>
        <w:gridCol w:w="1200"/>
        <w:gridCol w:w="1105"/>
      </w:tblGrid>
      <w:tr w14:paraId="7A0E9B95">
        <w:tblPrEx>
          <w:tblCellMar>
            <w:top w:w="0" w:type="dxa"/>
            <w:left w:w="108" w:type="dxa"/>
            <w:bottom w:w="0" w:type="dxa"/>
            <w:right w:w="108" w:type="dxa"/>
          </w:tblCellMar>
        </w:tblPrEx>
        <w:trPr>
          <w:trHeight w:val="279"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3BD52E7B">
            <w:pPr>
              <w:pStyle w:val="52"/>
              <w:spacing w:line="240" w:lineRule="atLeast"/>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序号</w:t>
            </w:r>
          </w:p>
        </w:tc>
        <w:tc>
          <w:tcPr>
            <w:tcW w:w="5925" w:type="dxa"/>
            <w:tcBorders>
              <w:top w:val="single" w:color="000000" w:sz="4" w:space="0"/>
              <w:left w:val="single" w:color="000000" w:sz="4" w:space="0"/>
              <w:bottom w:val="single" w:color="000000" w:sz="4" w:space="0"/>
              <w:right w:val="single" w:color="000000" w:sz="4" w:space="0"/>
            </w:tcBorders>
          </w:tcPr>
          <w:p w14:paraId="7257F22F">
            <w:pPr>
              <w:pStyle w:val="52"/>
              <w:spacing w:line="240" w:lineRule="atLeast"/>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磋商文件主要商务条款</w:t>
            </w:r>
          </w:p>
        </w:tc>
        <w:tc>
          <w:tcPr>
            <w:tcW w:w="1200" w:type="dxa"/>
            <w:tcBorders>
              <w:top w:val="single" w:color="000000" w:sz="4" w:space="0"/>
              <w:left w:val="single" w:color="000000" w:sz="4" w:space="0"/>
              <w:bottom w:val="single" w:color="000000" w:sz="4" w:space="0"/>
              <w:right w:val="single" w:color="000000" w:sz="4" w:space="0"/>
            </w:tcBorders>
          </w:tcPr>
          <w:p w14:paraId="3BACC1E9">
            <w:pPr>
              <w:pStyle w:val="52"/>
              <w:spacing w:line="240" w:lineRule="atLeast"/>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是否响应</w:t>
            </w:r>
          </w:p>
        </w:tc>
        <w:tc>
          <w:tcPr>
            <w:tcW w:w="1105" w:type="dxa"/>
            <w:tcBorders>
              <w:top w:val="single" w:color="000000" w:sz="4" w:space="0"/>
              <w:left w:val="single" w:color="000000" w:sz="4" w:space="0"/>
              <w:bottom w:val="single" w:color="000000" w:sz="4" w:space="0"/>
              <w:right w:val="single" w:color="000000" w:sz="4" w:space="0"/>
            </w:tcBorders>
          </w:tcPr>
          <w:p w14:paraId="410A55A7">
            <w:pPr>
              <w:pStyle w:val="52"/>
              <w:spacing w:line="240" w:lineRule="atLeast"/>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偏离说明</w:t>
            </w:r>
          </w:p>
        </w:tc>
      </w:tr>
      <w:tr w14:paraId="4004BE62">
        <w:tblPrEx>
          <w:tblCellMar>
            <w:top w:w="0" w:type="dxa"/>
            <w:left w:w="108" w:type="dxa"/>
            <w:bottom w:w="0" w:type="dxa"/>
            <w:right w:w="108" w:type="dxa"/>
          </w:tblCellMar>
        </w:tblPrEx>
        <w:trPr>
          <w:trHeight w:val="422"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09503818">
            <w:pPr>
              <w:pStyle w:val="75"/>
              <w:spacing w:before="230" w:after="0" w:line="182" w:lineRule="auto"/>
              <w:jc w:val="center"/>
              <w:rPr>
                <w:rFonts w:ascii="宋体" w:hAnsi="宋体" w:eastAsia="宋体" w:cs="宋体"/>
                <w:color w:val="000000"/>
                <w:kern w:val="2"/>
                <w:sz w:val="21"/>
                <w:szCs w:val="21"/>
                <w:lang w:val="en-US" w:eastAsia="zh-CN" w:bidi="ar-SA"/>
              </w:rPr>
            </w:pPr>
            <w:r>
              <w:rPr>
                <w:rFonts w:eastAsia="宋体" w:cs="宋体"/>
                <w:color w:val="000000"/>
                <w:sz w:val="21"/>
                <w:szCs w:val="21"/>
              </w:rPr>
              <w:t>1</w:t>
            </w:r>
          </w:p>
        </w:tc>
        <w:tc>
          <w:tcPr>
            <w:tcW w:w="5925" w:type="dxa"/>
            <w:tcBorders>
              <w:top w:val="single" w:color="000000" w:sz="4" w:space="0"/>
              <w:left w:val="single" w:color="000000" w:sz="4" w:space="0"/>
              <w:bottom w:val="single" w:color="000000" w:sz="4" w:space="0"/>
              <w:right w:val="single" w:color="000000" w:sz="4" w:space="0"/>
            </w:tcBorders>
          </w:tcPr>
          <w:p w14:paraId="50AE065A">
            <w:pPr>
              <w:pStyle w:val="75"/>
              <w:spacing w:before="38" w:after="0" w:line="220" w:lineRule="auto"/>
              <w:ind w:left="113" w:right="104"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完全理解并接受对合格供应商、合格的货物和服务</w:t>
            </w:r>
            <w:r>
              <w:rPr>
                <w:rFonts w:ascii="宋体" w:hAnsi="宋体" w:cs="宋体"/>
                <w:color w:val="000000"/>
                <w:spacing w:val="-4"/>
                <w:sz w:val="21"/>
                <w:szCs w:val="21"/>
              </w:rPr>
              <w:t>要求。</w:t>
            </w:r>
          </w:p>
        </w:tc>
        <w:tc>
          <w:tcPr>
            <w:tcW w:w="1200" w:type="dxa"/>
            <w:tcBorders>
              <w:top w:val="single" w:color="000000" w:sz="4" w:space="0"/>
              <w:left w:val="single" w:color="000000" w:sz="4" w:space="0"/>
              <w:bottom w:val="single" w:color="000000" w:sz="4" w:space="0"/>
              <w:right w:val="single" w:color="000000" w:sz="4" w:space="0"/>
            </w:tcBorders>
          </w:tcPr>
          <w:p w14:paraId="669DA1CD">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66C90584">
            <w:pPr>
              <w:pStyle w:val="52"/>
              <w:snapToGrid w:val="0"/>
              <w:spacing w:line="240" w:lineRule="atLeast"/>
              <w:ind w:left="1087" w:hanging="540"/>
              <w:rPr>
                <w:rFonts w:ascii="宋体" w:hAnsi="宋体" w:eastAsia="宋体" w:cs="宋体"/>
                <w:color w:val="000000"/>
                <w:kern w:val="2"/>
                <w:sz w:val="21"/>
                <w:szCs w:val="21"/>
                <w:highlight w:val="none"/>
                <w:lang w:val="en-US" w:eastAsia="zh-CN" w:bidi="ar-SA"/>
              </w:rPr>
            </w:pPr>
          </w:p>
        </w:tc>
      </w:tr>
      <w:tr w14:paraId="4952E702">
        <w:tblPrEx>
          <w:tblCellMar>
            <w:top w:w="0" w:type="dxa"/>
            <w:left w:w="108" w:type="dxa"/>
            <w:bottom w:w="0" w:type="dxa"/>
            <w:right w:w="108" w:type="dxa"/>
          </w:tblCellMar>
        </w:tblPrEx>
        <w:trPr>
          <w:trHeight w:val="422"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597F2812">
            <w:pPr>
              <w:pStyle w:val="75"/>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rPr>
              <w:t>2</w:t>
            </w:r>
          </w:p>
        </w:tc>
        <w:tc>
          <w:tcPr>
            <w:tcW w:w="5925" w:type="dxa"/>
            <w:tcBorders>
              <w:top w:val="single" w:color="000000" w:sz="4" w:space="0"/>
              <w:left w:val="single" w:color="000000" w:sz="4" w:space="0"/>
              <w:bottom w:val="single" w:color="000000" w:sz="4" w:space="0"/>
              <w:right w:val="single" w:color="000000" w:sz="4" w:space="0"/>
            </w:tcBorders>
          </w:tcPr>
          <w:p w14:paraId="370CAB14">
            <w:pPr>
              <w:pStyle w:val="75"/>
              <w:spacing w:before="38" w:after="0" w:line="220" w:lineRule="auto"/>
              <w:ind w:left="114" w:right="104"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完全理解并接受对供应商的各项须知、规约要求和责任义</w:t>
            </w:r>
            <w:r>
              <w:rPr>
                <w:rFonts w:ascii="宋体" w:hAnsi="宋体" w:cs="宋体"/>
                <w:color w:val="000000"/>
                <w:spacing w:val="-6"/>
                <w:sz w:val="21"/>
                <w:szCs w:val="21"/>
              </w:rPr>
              <w:t>务。</w:t>
            </w:r>
          </w:p>
        </w:tc>
        <w:tc>
          <w:tcPr>
            <w:tcW w:w="1200" w:type="dxa"/>
            <w:tcBorders>
              <w:top w:val="single" w:color="000000" w:sz="4" w:space="0"/>
              <w:left w:val="single" w:color="000000" w:sz="4" w:space="0"/>
              <w:bottom w:val="single" w:color="000000" w:sz="4" w:space="0"/>
              <w:right w:val="single" w:color="000000" w:sz="4" w:space="0"/>
            </w:tcBorders>
          </w:tcPr>
          <w:p w14:paraId="6FF00B7F">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0F8571DD">
            <w:pPr>
              <w:pStyle w:val="52"/>
              <w:snapToGrid w:val="0"/>
              <w:spacing w:line="240" w:lineRule="atLeast"/>
              <w:ind w:left="1087" w:hanging="540"/>
              <w:rPr>
                <w:rFonts w:ascii="宋体" w:hAnsi="宋体" w:eastAsia="宋体" w:cs="宋体"/>
                <w:color w:val="000000"/>
                <w:kern w:val="2"/>
                <w:sz w:val="21"/>
                <w:szCs w:val="21"/>
                <w:highlight w:val="none"/>
                <w:lang w:val="en-US" w:eastAsia="zh-CN" w:bidi="ar-SA"/>
              </w:rPr>
            </w:pPr>
          </w:p>
        </w:tc>
      </w:tr>
      <w:tr w14:paraId="0AE5488C">
        <w:tblPrEx>
          <w:tblCellMar>
            <w:top w:w="0" w:type="dxa"/>
            <w:left w:w="108" w:type="dxa"/>
            <w:bottom w:w="0" w:type="dxa"/>
            <w:right w:w="108" w:type="dxa"/>
          </w:tblCellMar>
        </w:tblPrEx>
        <w:trPr>
          <w:trHeight w:val="448"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3EBFDA60">
            <w:pPr>
              <w:pStyle w:val="75"/>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rPr>
              <w:t>3</w:t>
            </w:r>
          </w:p>
        </w:tc>
        <w:tc>
          <w:tcPr>
            <w:tcW w:w="5925" w:type="dxa"/>
            <w:tcBorders>
              <w:top w:val="single" w:color="000000" w:sz="4" w:space="0"/>
              <w:left w:val="single" w:color="000000" w:sz="4" w:space="0"/>
              <w:bottom w:val="single" w:color="000000" w:sz="4" w:space="0"/>
              <w:right w:val="single" w:color="000000" w:sz="4" w:space="0"/>
            </w:tcBorders>
          </w:tcPr>
          <w:p w14:paraId="26E0B48D">
            <w:pPr>
              <w:pStyle w:val="75"/>
              <w:spacing w:before="110"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2"/>
                <w:sz w:val="21"/>
                <w:szCs w:val="21"/>
              </w:rPr>
              <w:t>同意接受合同范本所列述的各项条款。</w:t>
            </w:r>
          </w:p>
        </w:tc>
        <w:tc>
          <w:tcPr>
            <w:tcW w:w="1200" w:type="dxa"/>
            <w:tcBorders>
              <w:top w:val="single" w:color="000000" w:sz="4" w:space="0"/>
              <w:left w:val="single" w:color="000000" w:sz="4" w:space="0"/>
              <w:bottom w:val="single" w:color="000000" w:sz="4" w:space="0"/>
              <w:right w:val="single" w:color="000000" w:sz="4" w:space="0"/>
            </w:tcBorders>
          </w:tcPr>
          <w:p w14:paraId="6F3557DD">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57D2E9CA">
            <w:pPr>
              <w:pStyle w:val="52"/>
              <w:snapToGrid w:val="0"/>
              <w:spacing w:line="240" w:lineRule="atLeast"/>
              <w:ind w:left="1087" w:hanging="540"/>
              <w:rPr>
                <w:rFonts w:ascii="宋体" w:hAnsi="宋体" w:eastAsia="宋体" w:cs="宋体"/>
                <w:color w:val="000000"/>
                <w:kern w:val="2"/>
                <w:sz w:val="21"/>
                <w:szCs w:val="21"/>
                <w:highlight w:val="none"/>
                <w:lang w:val="en-US" w:eastAsia="zh-CN" w:bidi="ar-SA"/>
              </w:rPr>
            </w:pPr>
          </w:p>
        </w:tc>
      </w:tr>
      <w:tr w14:paraId="4A700B44">
        <w:tblPrEx>
          <w:tblCellMar>
            <w:top w:w="0" w:type="dxa"/>
            <w:left w:w="108" w:type="dxa"/>
            <w:bottom w:w="0" w:type="dxa"/>
            <w:right w:w="108" w:type="dxa"/>
          </w:tblCellMar>
        </w:tblPrEx>
        <w:trPr>
          <w:trHeight w:val="373"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300A7482">
            <w:pPr>
              <w:pStyle w:val="75"/>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rPr>
              <w:t>4</w:t>
            </w:r>
          </w:p>
        </w:tc>
        <w:tc>
          <w:tcPr>
            <w:tcW w:w="5925" w:type="dxa"/>
            <w:tcBorders>
              <w:top w:val="single" w:color="000000" w:sz="4" w:space="0"/>
              <w:left w:val="single" w:color="000000" w:sz="4" w:space="0"/>
              <w:bottom w:val="single" w:color="000000" w:sz="4" w:space="0"/>
              <w:right w:val="single" w:color="000000" w:sz="4" w:space="0"/>
            </w:tcBorders>
          </w:tcPr>
          <w:p w14:paraId="1CFBAE72">
            <w:pPr>
              <w:pStyle w:val="75"/>
              <w:spacing w:before="109"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同意按本项目要求缴付相关款项。</w:t>
            </w:r>
          </w:p>
        </w:tc>
        <w:tc>
          <w:tcPr>
            <w:tcW w:w="1200" w:type="dxa"/>
            <w:tcBorders>
              <w:top w:val="single" w:color="000000" w:sz="4" w:space="0"/>
              <w:left w:val="single" w:color="000000" w:sz="4" w:space="0"/>
              <w:bottom w:val="single" w:color="000000" w:sz="4" w:space="0"/>
              <w:right w:val="single" w:color="000000" w:sz="4" w:space="0"/>
            </w:tcBorders>
          </w:tcPr>
          <w:p w14:paraId="4FE59E12">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71391E8F">
            <w:pPr>
              <w:pStyle w:val="52"/>
              <w:snapToGrid w:val="0"/>
              <w:spacing w:line="240" w:lineRule="atLeast"/>
              <w:ind w:left="1087" w:hanging="540"/>
              <w:rPr>
                <w:rFonts w:ascii="宋体" w:hAnsi="宋体" w:eastAsia="宋体" w:cs="宋体"/>
                <w:color w:val="000000"/>
                <w:kern w:val="2"/>
                <w:sz w:val="21"/>
                <w:szCs w:val="21"/>
                <w:highlight w:val="none"/>
                <w:lang w:val="en-US" w:eastAsia="zh-CN" w:bidi="ar-SA"/>
              </w:rPr>
            </w:pPr>
          </w:p>
        </w:tc>
      </w:tr>
      <w:tr w14:paraId="434344F7">
        <w:tblPrEx>
          <w:tblCellMar>
            <w:top w:w="0" w:type="dxa"/>
            <w:left w:w="108" w:type="dxa"/>
            <w:bottom w:w="0" w:type="dxa"/>
            <w:right w:w="108" w:type="dxa"/>
          </w:tblCellMar>
        </w:tblPrEx>
        <w:trPr>
          <w:trHeight w:val="293"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52AF299A">
            <w:pPr>
              <w:pStyle w:val="75"/>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lang w:val="en-US" w:eastAsia="zh-CN"/>
              </w:rPr>
              <w:t>5</w:t>
            </w:r>
          </w:p>
        </w:tc>
        <w:tc>
          <w:tcPr>
            <w:tcW w:w="5925" w:type="dxa"/>
            <w:tcBorders>
              <w:top w:val="single" w:color="000000" w:sz="4" w:space="0"/>
              <w:left w:val="single" w:color="000000" w:sz="4" w:space="0"/>
              <w:bottom w:val="single" w:color="000000" w:sz="4" w:space="0"/>
              <w:right w:val="single" w:color="000000" w:sz="4" w:space="0"/>
            </w:tcBorders>
          </w:tcPr>
          <w:p w14:paraId="522544BA">
            <w:pPr>
              <w:pStyle w:val="75"/>
              <w:spacing w:before="40" w:after="0" w:line="228" w:lineRule="auto"/>
              <w:ind w:left="111" w:right="104" w:firstLine="3"/>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磋商有效期：</w:t>
            </w:r>
            <w:r>
              <w:rPr>
                <w:rFonts w:ascii="宋体" w:hAnsi="宋体" w:cs="宋体"/>
                <w:color w:val="000000"/>
                <w:spacing w:val="1"/>
                <w:sz w:val="21"/>
                <w:szCs w:val="21"/>
              </w:rPr>
              <w:t>不少于</w:t>
            </w:r>
            <w:r>
              <w:rPr>
                <w:rFonts w:eastAsia="宋体" w:cs="宋体"/>
                <w:color w:val="000000"/>
                <w:spacing w:val="-42"/>
                <w:sz w:val="21"/>
                <w:szCs w:val="21"/>
                <w:u w:val="single"/>
                <w:lang w:val="en-US" w:eastAsia="zh-CN"/>
              </w:rPr>
              <w:t xml:space="preserve">60   </w:t>
            </w:r>
            <w:r>
              <w:rPr>
                <w:rFonts w:ascii="宋体" w:hAnsi="宋体" w:cs="宋体"/>
                <w:color w:val="000000"/>
                <w:spacing w:val="1"/>
                <w:sz w:val="21"/>
                <w:szCs w:val="21"/>
              </w:rPr>
              <w:t>天</w:t>
            </w:r>
            <w:r>
              <w:rPr>
                <w:rFonts w:ascii="宋体" w:hAnsi="宋体" w:cs="宋体"/>
                <w:color w:val="000000"/>
                <w:spacing w:val="-2"/>
                <w:sz w:val="21"/>
                <w:szCs w:val="21"/>
              </w:rPr>
              <w:t>。</w:t>
            </w:r>
          </w:p>
        </w:tc>
        <w:tc>
          <w:tcPr>
            <w:tcW w:w="1200" w:type="dxa"/>
            <w:tcBorders>
              <w:top w:val="single" w:color="000000" w:sz="4" w:space="0"/>
              <w:left w:val="single" w:color="000000" w:sz="4" w:space="0"/>
              <w:bottom w:val="single" w:color="000000" w:sz="4" w:space="0"/>
              <w:right w:val="single" w:color="000000" w:sz="4" w:space="0"/>
            </w:tcBorders>
          </w:tcPr>
          <w:p w14:paraId="5DB6542B">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2E828267">
            <w:pPr>
              <w:pStyle w:val="52"/>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4F95A141">
        <w:tblPrEx>
          <w:tblCellMar>
            <w:top w:w="0" w:type="dxa"/>
            <w:left w:w="108" w:type="dxa"/>
            <w:bottom w:w="0" w:type="dxa"/>
            <w:right w:w="108" w:type="dxa"/>
          </w:tblCellMar>
        </w:tblPrEx>
        <w:trPr>
          <w:trHeight w:val="423"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6AD86CE6">
            <w:pPr>
              <w:pStyle w:val="75"/>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lang w:val="en-US" w:eastAsia="zh-CN"/>
              </w:rPr>
              <w:t>6</w:t>
            </w:r>
          </w:p>
        </w:tc>
        <w:tc>
          <w:tcPr>
            <w:tcW w:w="5925" w:type="dxa"/>
            <w:tcBorders>
              <w:top w:val="single" w:color="000000" w:sz="4" w:space="0"/>
              <w:left w:val="single" w:color="000000" w:sz="4" w:space="0"/>
              <w:bottom w:val="single" w:color="000000" w:sz="4" w:space="0"/>
              <w:right w:val="single" w:color="000000" w:sz="4" w:space="0"/>
            </w:tcBorders>
          </w:tcPr>
          <w:p w14:paraId="147447B2">
            <w:pPr>
              <w:pStyle w:val="75"/>
              <w:spacing w:before="112" w:after="0" w:line="218" w:lineRule="auto"/>
              <w:ind w:left="115" w:firstLine="0"/>
              <w:jc w:val="left"/>
              <w:rPr>
                <w:rFonts w:ascii="宋体" w:hAnsi="宋体" w:eastAsia="宋体" w:cs="宋体"/>
                <w:color w:val="000000"/>
                <w:kern w:val="2"/>
                <w:sz w:val="21"/>
                <w:szCs w:val="21"/>
                <w:lang w:val="en-US" w:eastAsia="zh-CN" w:bidi="ar-SA"/>
              </w:rPr>
            </w:pPr>
            <w:r>
              <w:rPr>
                <w:rFonts w:ascii="宋体" w:hAnsi="宋体" w:cs="宋体"/>
                <w:color w:val="000000"/>
                <w:spacing w:val="-1"/>
                <w:sz w:val="21"/>
                <w:szCs w:val="21"/>
              </w:rPr>
              <w:t>响应内容均涵盖</w:t>
            </w:r>
            <w:r>
              <w:rPr>
                <w:rFonts w:ascii="宋体" w:hAnsi="宋体" w:cs="宋体"/>
                <w:color w:val="000000"/>
                <w:spacing w:val="-1"/>
                <w:sz w:val="21"/>
                <w:szCs w:val="21"/>
                <w:lang w:val="en-US" w:eastAsia="zh-CN"/>
              </w:rPr>
              <w:t>采购</w:t>
            </w:r>
            <w:r>
              <w:rPr>
                <w:rFonts w:ascii="宋体" w:hAnsi="宋体" w:cs="宋体"/>
                <w:color w:val="000000"/>
                <w:spacing w:val="-1"/>
                <w:sz w:val="21"/>
                <w:szCs w:val="21"/>
              </w:rPr>
              <w:t>要求及一切费用和伴随服务。</w:t>
            </w:r>
          </w:p>
        </w:tc>
        <w:tc>
          <w:tcPr>
            <w:tcW w:w="1200" w:type="dxa"/>
            <w:tcBorders>
              <w:top w:val="single" w:color="000000" w:sz="4" w:space="0"/>
              <w:left w:val="single" w:color="000000" w:sz="4" w:space="0"/>
              <w:bottom w:val="single" w:color="000000" w:sz="4" w:space="0"/>
              <w:right w:val="single" w:color="000000" w:sz="4" w:space="0"/>
            </w:tcBorders>
          </w:tcPr>
          <w:p w14:paraId="7A1E9214">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3F0DBC78">
            <w:pPr>
              <w:pStyle w:val="52"/>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2A09C291">
        <w:tblPrEx>
          <w:tblCellMar>
            <w:top w:w="0" w:type="dxa"/>
            <w:left w:w="108" w:type="dxa"/>
            <w:bottom w:w="0" w:type="dxa"/>
            <w:right w:w="108" w:type="dxa"/>
          </w:tblCellMar>
        </w:tblPrEx>
        <w:trPr>
          <w:trHeight w:val="357"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2BBB167F">
            <w:pPr>
              <w:pStyle w:val="75"/>
              <w:spacing w:before="149" w:after="0" w:line="182" w:lineRule="auto"/>
              <w:jc w:val="center"/>
              <w:rPr>
                <w:rFonts w:ascii="宋体" w:hAnsi="宋体" w:eastAsia="宋体" w:cs="宋体"/>
                <w:color w:val="000000"/>
                <w:kern w:val="2"/>
                <w:sz w:val="21"/>
                <w:szCs w:val="21"/>
                <w:lang w:val="en-US" w:eastAsia="zh-CN" w:bidi="ar-SA"/>
              </w:rPr>
            </w:pPr>
            <w:r>
              <w:rPr>
                <w:rFonts w:eastAsia="宋体" w:cs="宋体"/>
                <w:color w:val="000000"/>
                <w:sz w:val="21"/>
                <w:szCs w:val="21"/>
                <w:lang w:val="en-US" w:eastAsia="zh-CN"/>
              </w:rPr>
              <w:t>7</w:t>
            </w:r>
          </w:p>
        </w:tc>
        <w:tc>
          <w:tcPr>
            <w:tcW w:w="5925" w:type="dxa"/>
            <w:tcBorders>
              <w:top w:val="single" w:color="000000" w:sz="4" w:space="0"/>
              <w:left w:val="single" w:color="000000" w:sz="4" w:space="0"/>
              <w:bottom w:val="single" w:color="000000" w:sz="4" w:space="0"/>
              <w:right w:val="single" w:color="000000" w:sz="4" w:space="0"/>
            </w:tcBorders>
          </w:tcPr>
          <w:p w14:paraId="740E6A58">
            <w:pPr>
              <w:pStyle w:val="75"/>
              <w:spacing w:before="110"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2"/>
                <w:sz w:val="21"/>
                <w:szCs w:val="21"/>
              </w:rPr>
              <w:t>同意接受本项目</w:t>
            </w:r>
            <w:r>
              <w:rPr>
                <w:rFonts w:ascii="宋体" w:hAnsi="宋体" w:cs="宋体"/>
                <w:color w:val="000000"/>
                <w:spacing w:val="-2"/>
                <w:sz w:val="21"/>
                <w:szCs w:val="21"/>
                <w:lang w:val="en-US" w:eastAsia="zh-CN"/>
              </w:rPr>
              <w:t>的供货期、供货地点以及</w:t>
            </w:r>
            <w:r>
              <w:rPr>
                <w:rFonts w:ascii="宋体" w:hAnsi="宋体" w:cs="宋体"/>
                <w:color w:val="000000"/>
                <w:spacing w:val="-2"/>
                <w:sz w:val="21"/>
                <w:szCs w:val="21"/>
              </w:rPr>
              <w:t>相关进度安排要求。</w:t>
            </w:r>
          </w:p>
        </w:tc>
        <w:tc>
          <w:tcPr>
            <w:tcW w:w="1200" w:type="dxa"/>
            <w:tcBorders>
              <w:top w:val="single" w:color="000000" w:sz="4" w:space="0"/>
              <w:left w:val="single" w:color="000000" w:sz="4" w:space="0"/>
              <w:bottom w:val="single" w:color="000000" w:sz="4" w:space="0"/>
              <w:right w:val="single" w:color="000000" w:sz="4" w:space="0"/>
            </w:tcBorders>
          </w:tcPr>
          <w:p w14:paraId="17CCC520">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0AFA1246">
            <w:pPr>
              <w:pStyle w:val="52"/>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1EF8A2A0">
        <w:tblPrEx>
          <w:tblCellMar>
            <w:top w:w="0" w:type="dxa"/>
            <w:left w:w="108" w:type="dxa"/>
            <w:bottom w:w="0" w:type="dxa"/>
            <w:right w:w="108" w:type="dxa"/>
          </w:tblCellMar>
        </w:tblPrEx>
        <w:trPr>
          <w:trHeight w:val="420"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71355026">
            <w:pPr>
              <w:pStyle w:val="75"/>
              <w:spacing w:before="150" w:after="0" w:line="182" w:lineRule="auto"/>
              <w:jc w:val="center"/>
              <w:rPr>
                <w:rFonts w:ascii="宋体" w:hAnsi="宋体" w:eastAsia="宋体" w:cs="宋体"/>
                <w:color w:val="000000"/>
                <w:kern w:val="2"/>
                <w:sz w:val="21"/>
                <w:szCs w:val="21"/>
                <w:lang w:val="en-US" w:eastAsia="zh-CN" w:bidi="ar-SA"/>
              </w:rPr>
            </w:pPr>
            <w:r>
              <w:rPr>
                <w:rFonts w:eastAsia="宋体" w:cs="宋体"/>
                <w:color w:val="000000"/>
                <w:sz w:val="21"/>
                <w:szCs w:val="21"/>
                <w:lang w:val="en-US" w:eastAsia="zh-CN"/>
              </w:rPr>
              <w:t>8</w:t>
            </w:r>
          </w:p>
        </w:tc>
        <w:tc>
          <w:tcPr>
            <w:tcW w:w="5925" w:type="dxa"/>
            <w:tcBorders>
              <w:top w:val="single" w:color="000000" w:sz="4" w:space="0"/>
              <w:left w:val="single" w:color="000000" w:sz="4" w:space="0"/>
              <w:bottom w:val="single" w:color="000000" w:sz="4" w:space="0"/>
              <w:right w:val="single" w:color="000000" w:sz="4" w:space="0"/>
            </w:tcBorders>
          </w:tcPr>
          <w:p w14:paraId="7F96300C">
            <w:pPr>
              <w:pStyle w:val="75"/>
              <w:spacing w:before="112"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同意接受本项目</w:t>
            </w:r>
            <w:r>
              <w:rPr>
                <w:rFonts w:ascii="宋体" w:hAnsi="宋体" w:cs="宋体"/>
                <w:color w:val="000000"/>
                <w:spacing w:val="-3"/>
                <w:sz w:val="21"/>
                <w:szCs w:val="21"/>
                <w:lang w:val="en-US" w:eastAsia="zh-CN"/>
              </w:rPr>
              <w:t>货物</w:t>
            </w:r>
            <w:r>
              <w:rPr>
                <w:rFonts w:eastAsia="宋体" w:cs="宋体"/>
                <w:color w:val="000000"/>
                <w:spacing w:val="-3"/>
                <w:sz w:val="21"/>
                <w:szCs w:val="21"/>
                <w:lang w:val="en-US" w:eastAsia="zh-CN"/>
              </w:rPr>
              <w:t>/</w:t>
            </w:r>
            <w:r>
              <w:rPr>
                <w:rFonts w:ascii="宋体" w:hAnsi="宋体" w:cs="宋体"/>
                <w:color w:val="000000"/>
                <w:spacing w:val="-3"/>
                <w:sz w:val="21"/>
                <w:szCs w:val="21"/>
              </w:rPr>
              <w:t>服务的各项要求。</w:t>
            </w:r>
          </w:p>
        </w:tc>
        <w:tc>
          <w:tcPr>
            <w:tcW w:w="1200" w:type="dxa"/>
            <w:tcBorders>
              <w:top w:val="single" w:color="000000" w:sz="4" w:space="0"/>
              <w:left w:val="single" w:color="000000" w:sz="4" w:space="0"/>
              <w:bottom w:val="single" w:color="000000" w:sz="4" w:space="0"/>
              <w:right w:val="single" w:color="000000" w:sz="4" w:space="0"/>
            </w:tcBorders>
          </w:tcPr>
          <w:p w14:paraId="533A1100">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65D85FAC">
            <w:pPr>
              <w:pStyle w:val="52"/>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7A5873C5">
        <w:tblPrEx>
          <w:tblCellMar>
            <w:top w:w="0" w:type="dxa"/>
            <w:left w:w="108" w:type="dxa"/>
            <w:bottom w:w="0" w:type="dxa"/>
            <w:right w:w="108" w:type="dxa"/>
          </w:tblCellMar>
        </w:tblPrEx>
        <w:trPr>
          <w:trHeight w:val="614"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00D0B103">
            <w:pPr>
              <w:pStyle w:val="75"/>
              <w:spacing w:before="278" w:after="0" w:line="182" w:lineRule="auto"/>
              <w:jc w:val="center"/>
              <w:rPr>
                <w:rFonts w:ascii="宋体" w:hAnsi="宋体" w:eastAsia="宋体" w:cs="宋体"/>
                <w:color w:val="000000"/>
                <w:kern w:val="2"/>
                <w:sz w:val="21"/>
                <w:szCs w:val="21"/>
                <w:lang w:val="en-US" w:eastAsia="zh-CN" w:bidi="ar-SA"/>
              </w:rPr>
            </w:pPr>
            <w:r>
              <w:rPr>
                <w:rFonts w:eastAsia="宋体" w:cs="宋体"/>
                <w:color w:val="000000"/>
                <w:spacing w:val="-14"/>
                <w:sz w:val="21"/>
                <w:szCs w:val="21"/>
                <w:lang w:val="en-US" w:eastAsia="zh-CN"/>
              </w:rPr>
              <w:t>9</w:t>
            </w:r>
          </w:p>
        </w:tc>
        <w:tc>
          <w:tcPr>
            <w:tcW w:w="5925" w:type="dxa"/>
            <w:tcBorders>
              <w:top w:val="single" w:color="000000" w:sz="4" w:space="0"/>
              <w:left w:val="single" w:color="000000" w:sz="4" w:space="0"/>
              <w:bottom w:val="single" w:color="000000" w:sz="4" w:space="0"/>
              <w:right w:val="single" w:color="000000" w:sz="4" w:space="0"/>
            </w:tcBorders>
          </w:tcPr>
          <w:p w14:paraId="396A8CDF">
            <w:pPr>
              <w:pStyle w:val="75"/>
              <w:spacing w:before="85" w:after="0" w:line="228" w:lineRule="auto"/>
              <w:ind w:left="118" w:right="106" w:firstLine="0"/>
              <w:jc w:val="left"/>
              <w:rPr>
                <w:rFonts w:ascii="宋体" w:hAnsi="宋体" w:eastAsia="宋体" w:cs="宋体"/>
                <w:color w:val="000000"/>
                <w:kern w:val="2"/>
                <w:sz w:val="21"/>
                <w:szCs w:val="21"/>
                <w:lang w:val="en-US" w:eastAsia="zh-CN" w:bidi="ar-SA"/>
              </w:rPr>
            </w:pPr>
            <w:r>
              <w:rPr>
                <w:rFonts w:ascii="宋体" w:hAnsi="宋体" w:cs="宋体"/>
                <w:color w:val="000000"/>
                <w:spacing w:val="1"/>
                <w:sz w:val="21"/>
                <w:szCs w:val="21"/>
              </w:rPr>
              <w:t>同意采购方以任何形式对我方的响应</w:t>
            </w:r>
            <w:r>
              <w:rPr>
                <w:rFonts w:eastAsia="宋体" w:cs="宋体"/>
                <w:color w:val="000000"/>
                <w:spacing w:val="1"/>
                <w:sz w:val="21"/>
                <w:szCs w:val="21"/>
              </w:rPr>
              <w:t>/</w:t>
            </w:r>
            <w:r>
              <w:rPr>
                <w:rFonts w:ascii="宋体" w:hAnsi="宋体" w:cs="宋体"/>
                <w:color w:val="000000"/>
                <w:spacing w:val="1"/>
                <w:sz w:val="21"/>
                <w:szCs w:val="21"/>
              </w:rPr>
              <w:t>响应文件内容的真</w:t>
            </w:r>
            <w:r>
              <w:rPr>
                <w:rFonts w:ascii="宋体" w:hAnsi="宋体" w:cs="宋体"/>
                <w:color w:val="000000"/>
                <w:spacing w:val="8"/>
                <w:sz w:val="21"/>
                <w:szCs w:val="21"/>
              </w:rPr>
              <w:t xml:space="preserve"> </w:t>
            </w:r>
            <w:r>
              <w:rPr>
                <w:rFonts w:ascii="宋体" w:hAnsi="宋体" w:cs="宋体"/>
                <w:color w:val="000000"/>
                <w:spacing w:val="-2"/>
                <w:sz w:val="21"/>
                <w:szCs w:val="21"/>
              </w:rPr>
              <w:t>实性和有效性进行审查、验证。</w:t>
            </w:r>
          </w:p>
        </w:tc>
        <w:tc>
          <w:tcPr>
            <w:tcW w:w="1200" w:type="dxa"/>
            <w:tcBorders>
              <w:top w:val="single" w:color="000000" w:sz="4" w:space="0"/>
              <w:left w:val="single" w:color="000000" w:sz="4" w:space="0"/>
              <w:bottom w:val="single" w:color="000000" w:sz="4" w:space="0"/>
              <w:right w:val="single" w:color="000000" w:sz="4" w:space="0"/>
            </w:tcBorders>
          </w:tcPr>
          <w:p w14:paraId="572DE9A9">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6AFA6A79">
            <w:pPr>
              <w:pStyle w:val="52"/>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684A9D36">
        <w:tblPrEx>
          <w:tblCellMar>
            <w:top w:w="0" w:type="dxa"/>
            <w:left w:w="108" w:type="dxa"/>
            <w:bottom w:w="0" w:type="dxa"/>
            <w:right w:w="108" w:type="dxa"/>
          </w:tblCellMar>
        </w:tblPrEx>
        <w:trPr>
          <w:trHeight w:val="470"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2FCBE29B">
            <w:pPr>
              <w:pStyle w:val="75"/>
              <w:spacing w:before="159" w:after="0" w:line="182" w:lineRule="auto"/>
              <w:jc w:val="center"/>
              <w:rPr>
                <w:rFonts w:ascii="宋体" w:hAnsi="宋体" w:eastAsia="宋体" w:cs="宋体"/>
                <w:color w:val="000000"/>
                <w:kern w:val="2"/>
                <w:sz w:val="21"/>
                <w:szCs w:val="21"/>
                <w:lang w:val="en-US" w:eastAsia="zh-CN" w:bidi="ar-SA"/>
              </w:rPr>
            </w:pPr>
            <w:r>
              <w:rPr>
                <w:rFonts w:eastAsia="宋体" w:cs="宋体"/>
                <w:color w:val="000000"/>
                <w:spacing w:val="-14"/>
                <w:sz w:val="21"/>
                <w:szCs w:val="21"/>
                <w:lang w:val="en-US" w:eastAsia="zh-CN"/>
              </w:rPr>
              <w:t>10</w:t>
            </w:r>
          </w:p>
        </w:tc>
        <w:tc>
          <w:tcPr>
            <w:tcW w:w="5925" w:type="dxa"/>
            <w:tcBorders>
              <w:top w:val="single" w:color="000000" w:sz="4" w:space="0"/>
              <w:left w:val="single" w:color="000000" w:sz="4" w:space="0"/>
              <w:bottom w:val="single" w:color="000000" w:sz="4" w:space="0"/>
              <w:right w:val="single" w:color="000000" w:sz="4" w:space="0"/>
            </w:tcBorders>
          </w:tcPr>
          <w:p w14:paraId="3C5223AE">
            <w:pPr>
              <w:pStyle w:val="75"/>
              <w:spacing w:before="122"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同意接受本项目付款的各项要求。</w:t>
            </w:r>
          </w:p>
        </w:tc>
        <w:tc>
          <w:tcPr>
            <w:tcW w:w="1200" w:type="dxa"/>
            <w:tcBorders>
              <w:top w:val="single" w:color="000000" w:sz="4" w:space="0"/>
              <w:left w:val="single" w:color="000000" w:sz="4" w:space="0"/>
              <w:bottom w:val="single" w:color="000000" w:sz="4" w:space="0"/>
              <w:right w:val="single" w:color="000000" w:sz="4" w:space="0"/>
            </w:tcBorders>
          </w:tcPr>
          <w:p w14:paraId="6E060A24">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3C5CF101">
            <w:pPr>
              <w:pStyle w:val="52"/>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3AE8D5B1">
        <w:tblPrEx>
          <w:tblCellMar>
            <w:top w:w="0" w:type="dxa"/>
            <w:left w:w="108" w:type="dxa"/>
            <w:bottom w:w="0" w:type="dxa"/>
            <w:right w:w="108" w:type="dxa"/>
          </w:tblCellMar>
        </w:tblPrEx>
        <w:trPr>
          <w:trHeight w:val="394"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12F7FA90">
            <w:pPr>
              <w:pStyle w:val="75"/>
              <w:spacing w:before="78" w:after="0" w:line="182" w:lineRule="auto"/>
              <w:jc w:val="center"/>
              <w:rPr>
                <w:rFonts w:ascii="宋体" w:hAnsi="宋体" w:eastAsia="宋体" w:cs="宋体"/>
                <w:color w:val="000000"/>
                <w:kern w:val="2"/>
                <w:sz w:val="21"/>
                <w:szCs w:val="21"/>
                <w:lang w:val="en-US" w:eastAsia="zh-CN" w:bidi="ar-SA"/>
              </w:rPr>
            </w:pPr>
            <w:r>
              <w:rPr>
                <w:rFonts w:eastAsia="宋体" w:cs="宋体"/>
                <w:color w:val="000000"/>
                <w:spacing w:val="-14"/>
                <w:sz w:val="21"/>
                <w:szCs w:val="21"/>
              </w:rPr>
              <w:t>1</w:t>
            </w:r>
            <w:r>
              <w:rPr>
                <w:rFonts w:eastAsia="宋体" w:cs="宋体"/>
                <w:color w:val="000000"/>
                <w:spacing w:val="-14"/>
                <w:sz w:val="21"/>
                <w:szCs w:val="21"/>
                <w:lang w:val="en-US" w:eastAsia="zh-CN"/>
              </w:rPr>
              <w:t>1</w:t>
            </w:r>
          </w:p>
        </w:tc>
        <w:tc>
          <w:tcPr>
            <w:tcW w:w="5925" w:type="dxa"/>
            <w:tcBorders>
              <w:top w:val="single" w:color="000000" w:sz="4" w:space="0"/>
              <w:left w:val="single" w:color="000000" w:sz="4" w:space="0"/>
              <w:bottom w:val="single" w:color="000000" w:sz="4" w:space="0"/>
              <w:right w:val="single" w:color="000000" w:sz="4" w:space="0"/>
            </w:tcBorders>
          </w:tcPr>
          <w:p w14:paraId="1C6536D9">
            <w:pPr>
              <w:pStyle w:val="75"/>
              <w:spacing w:before="42" w:after="0" w:line="218" w:lineRule="auto"/>
              <w:ind w:left="113" w:firstLine="0"/>
              <w:jc w:val="left"/>
              <w:rPr>
                <w:rFonts w:ascii="宋体" w:hAnsi="宋体" w:eastAsia="宋体" w:cs="宋体"/>
                <w:color w:val="000000"/>
                <w:kern w:val="2"/>
                <w:sz w:val="21"/>
                <w:szCs w:val="21"/>
                <w:lang w:val="en-US" w:eastAsia="zh-CN" w:bidi="ar-SA"/>
              </w:rPr>
            </w:pPr>
            <w:r>
              <w:rPr>
                <w:rFonts w:ascii="宋体" w:hAnsi="宋体" w:cs="宋体"/>
                <w:color w:val="000000"/>
                <w:spacing w:val="-1"/>
                <w:sz w:val="21"/>
                <w:szCs w:val="21"/>
              </w:rPr>
              <w:t>其它商务条款偏离说明</w:t>
            </w:r>
            <w:r>
              <w:rPr>
                <w:rFonts w:ascii="宋体" w:hAnsi="宋体" w:cs="宋体"/>
                <w:color w:val="000000"/>
                <w:spacing w:val="-1"/>
                <w:sz w:val="21"/>
                <w:szCs w:val="21"/>
                <w:lang w:eastAsia="zh-CN"/>
              </w:rPr>
              <w:t>（</w:t>
            </w:r>
            <w:r>
              <w:rPr>
                <w:rFonts w:ascii="宋体" w:hAnsi="宋体" w:cs="宋体"/>
                <w:color w:val="000000"/>
                <w:spacing w:val="-1"/>
                <w:sz w:val="21"/>
                <w:szCs w:val="21"/>
                <w:lang w:val="en-US" w:eastAsia="zh-CN"/>
              </w:rPr>
              <w:t>如有</w:t>
            </w:r>
            <w:r>
              <w:rPr>
                <w:rFonts w:ascii="宋体" w:hAnsi="宋体" w:cs="宋体"/>
                <w:color w:val="000000"/>
                <w:spacing w:val="-1"/>
                <w:sz w:val="21"/>
                <w:szCs w:val="21"/>
                <w:lang w:eastAsia="zh-CN"/>
              </w:rPr>
              <w:t>）</w:t>
            </w:r>
          </w:p>
        </w:tc>
        <w:tc>
          <w:tcPr>
            <w:tcW w:w="1200" w:type="dxa"/>
            <w:tcBorders>
              <w:top w:val="single" w:color="000000" w:sz="4" w:space="0"/>
              <w:left w:val="single" w:color="000000" w:sz="4" w:space="0"/>
              <w:bottom w:val="single" w:color="000000" w:sz="4" w:space="0"/>
              <w:right w:val="single" w:color="000000" w:sz="4" w:space="0"/>
            </w:tcBorders>
          </w:tcPr>
          <w:p w14:paraId="16564C14">
            <w:pPr>
              <w:pStyle w:val="52"/>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7B0B2118">
            <w:pPr>
              <w:pStyle w:val="52"/>
              <w:snapToGrid w:val="0"/>
              <w:spacing w:line="240" w:lineRule="atLeast"/>
              <w:ind w:left="1087" w:hanging="540"/>
              <w:rPr>
                <w:rFonts w:ascii="宋体" w:hAnsi="宋体" w:eastAsia="宋体" w:cs="宋体"/>
                <w:color w:val="000000"/>
                <w:sz w:val="21"/>
                <w:szCs w:val="21"/>
                <w:highlight w:val="yellow"/>
                <w:lang w:val="en-US" w:eastAsia="zh-CN"/>
              </w:rPr>
            </w:pPr>
          </w:p>
        </w:tc>
      </w:tr>
    </w:tbl>
    <w:p w14:paraId="309F1D3D">
      <w:pPr>
        <w:pStyle w:val="52"/>
        <w:spacing w:line="360" w:lineRule="auto"/>
        <w:ind w:left="1087" w:hanging="540"/>
        <w:rPr>
          <w:rFonts w:ascii="宋体" w:hAnsi="宋体" w:eastAsia="宋体" w:cs="宋体"/>
          <w:color w:val="000000"/>
          <w:sz w:val="24"/>
          <w:highlight w:val="yellow"/>
        </w:rPr>
      </w:pPr>
    </w:p>
    <w:p w14:paraId="13D8E6CE">
      <w:pPr>
        <w:pStyle w:val="52"/>
        <w:spacing w:line="360" w:lineRule="auto"/>
        <w:ind w:left="1087" w:hanging="540"/>
        <w:rPr>
          <w:rFonts w:ascii="宋体" w:hAnsi="宋体" w:eastAsia="宋体" w:cs="宋体"/>
          <w:color w:val="000000"/>
          <w:sz w:val="24"/>
          <w:highlight w:val="yellow"/>
        </w:rPr>
      </w:pPr>
    </w:p>
    <w:p w14:paraId="72CE7FEB">
      <w:pPr>
        <w:pStyle w:val="52"/>
        <w:spacing w:line="360" w:lineRule="auto"/>
        <w:jc w:val="left"/>
        <w:rPr>
          <w:rFonts w:ascii="宋体" w:hAnsi="宋体" w:eastAsia="宋体" w:cs="宋体"/>
          <w:color w:val="000000"/>
          <w:sz w:val="21"/>
          <w:szCs w:val="16"/>
          <w:highlight w:val="none"/>
          <w:lang w:val="en-US" w:eastAsia="zh-CN"/>
        </w:rPr>
      </w:pPr>
      <w:r>
        <w:rPr>
          <w:rFonts w:ascii="宋体" w:hAnsi="宋体" w:cs="宋体"/>
          <w:color w:val="000000"/>
          <w:sz w:val="21"/>
          <w:szCs w:val="16"/>
          <w:lang w:val="en-US" w:eastAsia="zh-CN"/>
        </w:rPr>
        <w:t>法定代表人或其委托代理人签字或盖章</w:t>
      </w:r>
      <w:r>
        <w:rPr>
          <w:rFonts w:eastAsia="宋体" w:cs="宋体"/>
          <w:color w:val="000000"/>
          <w:sz w:val="21"/>
          <w:szCs w:val="16"/>
          <w:lang w:val="en-US" w:eastAsia="zh-CN"/>
        </w:rPr>
        <w:t xml:space="preserve">: </w:t>
      </w:r>
      <w:r>
        <w:rPr>
          <w:rFonts w:eastAsia="宋体" w:cs="宋体"/>
          <w:color w:val="000000"/>
          <w:sz w:val="21"/>
          <w:szCs w:val="16"/>
          <w:u w:val="single"/>
          <w:lang w:val="en-US" w:eastAsia="zh-CN"/>
        </w:rPr>
        <w:tab/>
      </w:r>
      <w:r>
        <w:rPr>
          <w:rFonts w:eastAsia="宋体" w:cs="宋体"/>
          <w:color w:val="000000"/>
          <w:sz w:val="21"/>
          <w:szCs w:val="16"/>
          <w:u w:val="single"/>
          <w:lang w:val="en-US" w:eastAsia="zh-CN"/>
        </w:rPr>
        <w:t xml:space="preserve">      </w:t>
      </w:r>
      <w:r>
        <w:rPr>
          <w:rFonts w:eastAsia="宋体" w:cs="宋体"/>
          <w:color w:val="000000"/>
          <w:sz w:val="21"/>
          <w:szCs w:val="16"/>
          <w:lang w:val="en-US" w:eastAsia="zh-CN"/>
        </w:rPr>
        <w:t xml:space="preserve">           </w:t>
      </w:r>
    </w:p>
    <w:p w14:paraId="14341A2F">
      <w:pPr>
        <w:pStyle w:val="52"/>
        <w:spacing w:line="360" w:lineRule="auto"/>
        <w:jc w:val="left"/>
        <w:rPr>
          <w:rFonts w:ascii="宋体" w:hAnsi="宋体" w:eastAsia="宋体" w:cs="宋体"/>
          <w:color w:val="000000"/>
          <w:sz w:val="21"/>
          <w:szCs w:val="16"/>
          <w:highlight w:val="none"/>
          <w:lang w:val="en-US" w:eastAsia="zh-CN"/>
        </w:rPr>
      </w:pPr>
      <w:r>
        <w:rPr>
          <w:rFonts w:ascii="宋体" w:hAnsi="宋体" w:cs="宋体"/>
          <w:color w:val="000000"/>
          <w:sz w:val="21"/>
          <w:szCs w:val="16"/>
          <w:lang w:val="en-US" w:eastAsia="zh-CN"/>
        </w:rPr>
        <w:t>供应商</w:t>
      </w:r>
      <w:r>
        <w:rPr>
          <w:rFonts w:eastAsia="宋体" w:cs="宋体"/>
          <w:color w:val="000000"/>
          <w:sz w:val="21"/>
          <w:szCs w:val="16"/>
          <w:lang w:val="en-US" w:eastAsia="zh-CN"/>
        </w:rPr>
        <w:t>(</w:t>
      </w:r>
      <w:r>
        <w:rPr>
          <w:rFonts w:ascii="宋体" w:hAnsi="宋体" w:cs="宋体"/>
          <w:color w:val="000000"/>
          <w:sz w:val="21"/>
          <w:szCs w:val="16"/>
          <w:lang w:val="en-US" w:eastAsia="zh-CN"/>
        </w:rPr>
        <w:t>盖单位章</w:t>
      </w:r>
      <w:r>
        <w:rPr>
          <w:rFonts w:eastAsia="宋体" w:cs="宋体"/>
          <w:color w:val="000000"/>
          <w:sz w:val="21"/>
          <w:szCs w:val="16"/>
          <w:lang w:val="en-US" w:eastAsia="zh-CN"/>
        </w:rPr>
        <w:t xml:space="preserve">): </w:t>
      </w:r>
      <w:r>
        <w:rPr>
          <w:rFonts w:eastAsia="宋体" w:cs="宋体"/>
          <w:color w:val="000000"/>
          <w:sz w:val="21"/>
          <w:szCs w:val="16"/>
          <w:u w:val="single"/>
          <w:lang w:val="en-US" w:eastAsia="zh-CN"/>
        </w:rPr>
        <w:tab/>
      </w:r>
      <w:r>
        <w:rPr>
          <w:rFonts w:eastAsia="宋体" w:cs="宋体"/>
          <w:color w:val="000000"/>
          <w:sz w:val="21"/>
          <w:szCs w:val="16"/>
          <w:u w:val="single"/>
          <w:lang w:val="en-US" w:eastAsia="zh-CN"/>
        </w:rPr>
        <w:t xml:space="preserve">      </w:t>
      </w:r>
      <w:r>
        <w:rPr>
          <w:rFonts w:eastAsia="宋体" w:cs="宋体"/>
          <w:color w:val="000000"/>
          <w:sz w:val="21"/>
          <w:szCs w:val="16"/>
          <w:lang w:val="en-US" w:eastAsia="zh-CN"/>
        </w:rPr>
        <w:t xml:space="preserve"> </w:t>
      </w:r>
      <w:r>
        <w:rPr>
          <w:rFonts w:eastAsia="宋体" w:cs="宋体"/>
          <w:color w:val="000000"/>
          <w:sz w:val="21"/>
          <w:szCs w:val="16"/>
          <w:lang w:val="en-US" w:eastAsia="zh-CN"/>
        </w:rPr>
        <w:tab/>
      </w:r>
    </w:p>
    <w:p w14:paraId="571D92F8">
      <w:pPr>
        <w:pStyle w:val="52"/>
        <w:spacing w:line="360" w:lineRule="auto"/>
        <w:jc w:val="left"/>
        <w:rPr>
          <w:rFonts w:ascii="宋体" w:hAnsi="宋体" w:eastAsia="宋体" w:cs="宋体"/>
          <w:color w:val="000000"/>
          <w:sz w:val="21"/>
          <w:szCs w:val="16"/>
          <w:highlight w:val="none"/>
          <w:lang w:val="en-US" w:eastAsia="zh-CN"/>
        </w:rPr>
      </w:pPr>
    </w:p>
    <w:p w14:paraId="1F6F8E90">
      <w:pPr>
        <w:pStyle w:val="52"/>
        <w:spacing w:line="360" w:lineRule="auto"/>
        <w:jc w:val="left"/>
        <w:rPr>
          <w:rFonts w:ascii="宋体" w:hAnsi="宋体" w:eastAsia="宋体" w:cs="宋体"/>
          <w:color w:val="000000"/>
          <w:highlight w:val="none"/>
        </w:rPr>
      </w:pPr>
    </w:p>
    <w:p w14:paraId="14CFD849">
      <w:pPr>
        <w:pStyle w:val="52"/>
        <w:spacing w:line="360" w:lineRule="auto"/>
        <w:jc w:val="left"/>
        <w:rPr>
          <w:rFonts w:ascii="宋体" w:hAnsi="宋体" w:eastAsia="宋体" w:cs="宋体"/>
          <w:color w:val="000000"/>
          <w:highlight w:val="none"/>
        </w:rPr>
      </w:pPr>
    </w:p>
    <w:p w14:paraId="5D6F74E0">
      <w:pPr>
        <w:pStyle w:val="52"/>
        <w:spacing w:line="360" w:lineRule="auto"/>
        <w:jc w:val="left"/>
        <w:rPr>
          <w:rFonts w:ascii="宋体" w:hAnsi="宋体" w:eastAsia="宋体" w:cs="宋体"/>
          <w:color w:val="000000"/>
          <w:highlight w:val="none"/>
        </w:rPr>
      </w:pPr>
    </w:p>
    <w:p w14:paraId="17BFEECB">
      <w:pPr>
        <w:pStyle w:val="52"/>
        <w:spacing w:line="360" w:lineRule="auto"/>
        <w:jc w:val="left"/>
        <w:rPr>
          <w:rFonts w:ascii="宋体" w:hAnsi="宋体" w:eastAsia="宋体" w:cs="宋体"/>
          <w:color w:val="000000"/>
          <w:highlight w:val="none"/>
        </w:rPr>
      </w:pPr>
    </w:p>
    <w:p w14:paraId="7912FDD4">
      <w:pPr>
        <w:pStyle w:val="52"/>
        <w:spacing w:line="360" w:lineRule="auto"/>
        <w:jc w:val="left"/>
        <w:rPr>
          <w:rFonts w:ascii="宋体" w:hAnsi="宋体" w:eastAsia="宋体" w:cs="宋体"/>
          <w:color w:val="000000"/>
          <w:highlight w:val="none"/>
        </w:rPr>
      </w:pPr>
    </w:p>
    <w:p w14:paraId="4851E195">
      <w:pPr>
        <w:pStyle w:val="52"/>
        <w:spacing w:line="360" w:lineRule="auto"/>
        <w:jc w:val="left"/>
        <w:rPr>
          <w:rFonts w:ascii="宋体" w:hAnsi="宋体" w:eastAsia="宋体" w:cs="宋体"/>
          <w:color w:val="000000"/>
          <w:highlight w:val="none"/>
        </w:rPr>
      </w:pPr>
    </w:p>
    <w:p w14:paraId="550E5DC5">
      <w:pPr>
        <w:pStyle w:val="90"/>
        <w:keepNext w:val="0"/>
        <w:keepLines w:val="0"/>
        <w:widowControl w:val="0"/>
        <w:bidi w:val="0"/>
        <w:spacing w:before="0" w:after="0" w:line="360" w:lineRule="auto"/>
        <w:ind w:left="0" w:right="0" w:firstLine="420"/>
        <w:jc w:val="left"/>
        <w:rPr>
          <w:rFonts w:ascii="宋体" w:hAnsi="宋体" w:eastAsia="宋体" w:cs="宋体"/>
          <w:b/>
          <w:bCs/>
          <w:color w:val="000000"/>
          <w:sz w:val="24"/>
          <w:highlight w:val="none"/>
          <w:lang w:val="en-US" w:eastAsia="zh-CN"/>
        </w:rPr>
      </w:pPr>
    </w:p>
    <w:p w14:paraId="48551057">
      <w:pPr>
        <w:pStyle w:val="90"/>
        <w:keepNext w:val="0"/>
        <w:keepLines w:val="0"/>
        <w:widowControl w:val="0"/>
        <w:bidi w:val="0"/>
        <w:spacing w:before="0" w:after="0" w:line="360" w:lineRule="auto"/>
        <w:ind w:left="0" w:right="0" w:firstLine="420"/>
        <w:jc w:val="left"/>
        <w:rPr>
          <w:rFonts w:ascii="宋体" w:hAnsi="宋体" w:eastAsia="宋体" w:cs="宋体"/>
          <w:b/>
          <w:bCs/>
          <w:color w:val="000000"/>
          <w:spacing w:val="0"/>
          <w:w w:val="100"/>
          <w:position w:val="0"/>
          <w:sz w:val="24"/>
          <w:szCs w:val="24"/>
          <w:vertAlign w:val="baseline"/>
          <w:lang w:val="en-US" w:eastAsia="zh-CN"/>
        </w:rPr>
      </w:pPr>
      <w:r>
        <w:rPr>
          <w:rFonts w:ascii="宋体" w:hAnsi="宋体" w:cs="宋体"/>
          <w:b/>
          <w:bCs/>
          <w:color w:val="000000"/>
          <w:sz w:val="24"/>
          <w:lang w:val="en-US" w:eastAsia="zh-CN"/>
        </w:rPr>
        <w:t>响应文件格式</w:t>
      </w:r>
      <w:r>
        <w:rPr>
          <w:rFonts w:cs="宋体"/>
          <w:b/>
          <w:bCs/>
          <w:color w:val="000000"/>
          <w:spacing w:val="0"/>
          <w:w w:val="100"/>
          <w:position w:val="0"/>
          <w:sz w:val="24"/>
          <w:szCs w:val="24"/>
          <w:vertAlign w:val="baseline"/>
          <w:lang w:val="en-US" w:eastAsia="zh-CN"/>
        </w:rPr>
        <w:t>9</w:t>
      </w:r>
      <w:r>
        <w:rPr>
          <w:rFonts w:ascii="宋体" w:hAnsi="宋体" w:cs="宋体"/>
          <w:b/>
          <w:bCs/>
          <w:color w:val="000000"/>
          <w:spacing w:val="0"/>
          <w:w w:val="100"/>
          <w:position w:val="0"/>
          <w:sz w:val="24"/>
          <w:szCs w:val="24"/>
          <w:vertAlign w:val="baseline"/>
          <w:lang w:val="en-US" w:eastAsia="zh-CN"/>
        </w:rPr>
        <w:t>：</w:t>
      </w:r>
    </w:p>
    <w:p w14:paraId="76E6670C">
      <w:pPr>
        <w:pStyle w:val="90"/>
        <w:keepNext w:val="0"/>
        <w:keepLines w:val="0"/>
        <w:widowControl w:val="0"/>
        <w:bidi w:val="0"/>
        <w:spacing w:before="0" w:after="0" w:line="360" w:lineRule="auto"/>
        <w:ind w:left="0" w:right="0" w:firstLine="420"/>
        <w:jc w:val="center"/>
        <w:rPr>
          <w:rFonts w:ascii="宋体" w:hAnsi="宋体" w:eastAsia="宋体" w:cs="宋体"/>
          <w:b/>
          <w:bCs/>
          <w:color w:val="000000"/>
          <w:spacing w:val="0"/>
          <w:w w:val="100"/>
          <w:position w:val="0"/>
          <w:sz w:val="24"/>
          <w:szCs w:val="24"/>
          <w:vertAlign w:val="baseline"/>
          <w:lang w:val="en-US" w:eastAsia="zh-CN"/>
        </w:rPr>
      </w:pPr>
    </w:p>
    <w:p w14:paraId="5F03003F">
      <w:pPr>
        <w:pStyle w:val="8"/>
        <w:numPr>
          <w:ilvl w:val="0"/>
          <w:numId w:val="0"/>
        </w:numPr>
        <w:kinsoku w:val="0"/>
        <w:overflowPunct w:val="0"/>
        <w:spacing w:before="5" w:after="120" w:line="360" w:lineRule="auto"/>
        <w:ind w:left="0" w:right="0" w:firstLine="0"/>
        <w:jc w:val="center"/>
        <w:rPr>
          <w:rFonts w:ascii="宋体" w:hAnsi="宋体" w:eastAsia="宋体" w:cs="宋体"/>
          <w:b/>
          <w:bCs/>
          <w:color w:val="000000"/>
          <w:spacing w:val="0"/>
          <w:w w:val="100"/>
          <w:position w:val="0"/>
          <w:sz w:val="36"/>
          <w:szCs w:val="36"/>
          <w:vertAlign w:val="baseline"/>
          <w:lang w:val="en-US" w:eastAsia="zh-CN"/>
        </w:rPr>
      </w:pPr>
      <w:r>
        <w:rPr>
          <w:rFonts w:ascii="宋体" w:hAnsi="宋体" w:cs="宋体"/>
          <w:b/>
          <w:bCs/>
          <w:color w:val="000000"/>
          <w:spacing w:val="0"/>
          <w:w w:val="100"/>
          <w:position w:val="0"/>
          <w:sz w:val="24"/>
          <w:szCs w:val="24"/>
          <w:vertAlign w:val="baseline"/>
          <w:lang w:val="en-US" w:eastAsia="zh-CN"/>
        </w:rPr>
        <w:t>供应商基本情况表</w:t>
      </w:r>
    </w:p>
    <w:p w14:paraId="3989E449">
      <w:pPr>
        <w:pStyle w:val="61"/>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b/>
          <w:bCs/>
          <w:color w:val="000000"/>
          <w:spacing w:val="0"/>
          <w:w w:val="100"/>
          <w:position w:val="0"/>
          <w:sz w:val="24"/>
          <w:szCs w:val="24"/>
          <w:vertAlign w:val="baseline"/>
          <w:lang w:val="en-US" w:eastAsia="zh-CN"/>
        </w:rPr>
      </w:pPr>
    </w:p>
    <w:tbl>
      <w:tblPr>
        <w:tblStyle w:val="20"/>
        <w:tblW w:w="8639" w:type="dxa"/>
        <w:jc w:val="center"/>
        <w:tblLayout w:type="fixed"/>
        <w:tblCellMar>
          <w:top w:w="0" w:type="dxa"/>
          <w:left w:w="0" w:type="dxa"/>
          <w:bottom w:w="0" w:type="dxa"/>
          <w:right w:w="0" w:type="dxa"/>
        </w:tblCellMar>
      </w:tblPr>
      <w:tblGrid>
        <w:gridCol w:w="1499"/>
        <w:gridCol w:w="1164"/>
        <w:gridCol w:w="842"/>
        <w:gridCol w:w="488"/>
        <w:gridCol w:w="1331"/>
        <w:gridCol w:w="455"/>
        <w:gridCol w:w="910"/>
        <w:gridCol w:w="1950"/>
      </w:tblGrid>
      <w:tr w14:paraId="1062663E">
        <w:tblPrEx>
          <w:tblCellMar>
            <w:top w:w="0" w:type="dxa"/>
            <w:left w:w="0" w:type="dxa"/>
            <w:bottom w:w="0" w:type="dxa"/>
            <w:right w:w="0" w:type="dxa"/>
          </w:tblCellMar>
        </w:tblPrEx>
        <w:trPr>
          <w:trHeight w:val="603"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6DDAE542">
            <w:pPr>
              <w:pStyle w:val="80"/>
              <w:kinsoku w:val="0"/>
              <w:overflowPunct w:val="0"/>
              <w:spacing w:before="145"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单位名称</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7E77D164">
            <w:pPr>
              <w:snapToGrid w:val="0"/>
              <w:spacing w:line="360" w:lineRule="auto"/>
              <w:jc w:val="center"/>
              <w:rPr>
                <w:rFonts w:ascii="宋体" w:hAnsi="宋体" w:eastAsia="宋体" w:cs="宋体"/>
                <w:color w:val="000000"/>
                <w:sz w:val="21"/>
                <w:szCs w:val="21"/>
              </w:rPr>
            </w:pPr>
          </w:p>
        </w:tc>
      </w:tr>
      <w:tr w14:paraId="437A6047">
        <w:tblPrEx>
          <w:tblCellMar>
            <w:top w:w="0" w:type="dxa"/>
            <w:left w:w="0" w:type="dxa"/>
            <w:bottom w:w="0" w:type="dxa"/>
            <w:right w:w="0" w:type="dxa"/>
          </w:tblCellMar>
        </w:tblPrEx>
        <w:trPr>
          <w:trHeight w:val="689"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5AD65AF3">
            <w:pPr>
              <w:pStyle w:val="80"/>
              <w:kinsoku w:val="0"/>
              <w:overflowPunct w:val="0"/>
              <w:spacing w:before="145"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单位地址</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0753C157">
            <w:pPr>
              <w:snapToGrid w:val="0"/>
              <w:spacing w:line="360" w:lineRule="auto"/>
              <w:jc w:val="center"/>
              <w:rPr>
                <w:rFonts w:ascii="宋体" w:hAnsi="宋体" w:eastAsia="宋体" w:cs="宋体"/>
                <w:color w:val="000000"/>
                <w:sz w:val="21"/>
                <w:szCs w:val="21"/>
              </w:rPr>
            </w:pPr>
          </w:p>
        </w:tc>
      </w:tr>
      <w:tr w14:paraId="03695393">
        <w:tblPrEx>
          <w:tblCellMar>
            <w:top w:w="0" w:type="dxa"/>
            <w:left w:w="0" w:type="dxa"/>
            <w:bottom w:w="0" w:type="dxa"/>
            <w:right w:w="0" w:type="dxa"/>
          </w:tblCellMar>
        </w:tblPrEx>
        <w:trPr>
          <w:trHeight w:val="628"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18AA95E4">
            <w:pPr>
              <w:pStyle w:val="80"/>
              <w:kinsoku w:val="0"/>
              <w:overflowPunct w:val="0"/>
              <w:spacing w:before="145"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主管部门</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483F3A0B">
            <w:pPr>
              <w:snapToGrid w:val="0"/>
              <w:spacing w:line="360" w:lineRule="auto"/>
              <w:jc w:val="center"/>
              <w:rPr>
                <w:rFonts w:ascii="宋体" w:hAnsi="宋体" w:eastAsia="宋体" w:cs="宋体"/>
                <w:color w:val="000000"/>
                <w:sz w:val="21"/>
                <w:szCs w:val="21"/>
              </w:rPr>
            </w:pPr>
          </w:p>
        </w:tc>
      </w:tr>
      <w:tr w14:paraId="0A733BE1">
        <w:tblPrEx>
          <w:tblCellMar>
            <w:top w:w="0" w:type="dxa"/>
            <w:left w:w="0" w:type="dxa"/>
            <w:bottom w:w="0" w:type="dxa"/>
            <w:right w:w="0" w:type="dxa"/>
          </w:tblCellMar>
        </w:tblPrEx>
        <w:trPr>
          <w:trHeight w:val="787"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14E164FF">
            <w:pPr>
              <w:pStyle w:val="80"/>
              <w:kinsoku w:val="0"/>
              <w:overflowPunct w:val="0"/>
              <w:spacing w:before="145"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成立时间</w:t>
            </w:r>
          </w:p>
        </w:tc>
        <w:tc>
          <w:tcPr>
            <w:tcW w:w="2006" w:type="dxa"/>
            <w:gridSpan w:val="2"/>
            <w:tcBorders>
              <w:top w:val="single" w:color="000000" w:sz="4" w:space="0"/>
              <w:left w:val="single" w:color="000000" w:sz="4" w:space="0"/>
              <w:bottom w:val="single" w:color="000000" w:sz="4" w:space="0"/>
              <w:right w:val="single" w:color="000000" w:sz="4" w:space="0"/>
            </w:tcBorders>
            <w:vAlign w:val="center"/>
          </w:tcPr>
          <w:p w14:paraId="4D0E5C8F">
            <w:pPr>
              <w:snapToGrid w:val="0"/>
              <w:spacing w:line="360" w:lineRule="auto"/>
              <w:jc w:val="both"/>
              <w:rPr>
                <w:rFonts w:ascii="宋体" w:hAnsi="宋体" w:eastAsia="宋体" w:cs="宋体"/>
                <w:color w:val="000000"/>
                <w:sz w:val="21"/>
                <w:szCs w:val="21"/>
              </w:rPr>
            </w:pPr>
          </w:p>
        </w:tc>
        <w:tc>
          <w:tcPr>
            <w:tcW w:w="2274" w:type="dxa"/>
            <w:gridSpan w:val="3"/>
            <w:tcBorders>
              <w:top w:val="single" w:color="000000" w:sz="4" w:space="0"/>
              <w:left w:val="single" w:color="000000" w:sz="4" w:space="0"/>
              <w:bottom w:val="single" w:color="000000" w:sz="4" w:space="0"/>
              <w:right w:val="single" w:color="000000" w:sz="4" w:space="0"/>
            </w:tcBorders>
            <w:vAlign w:val="center"/>
          </w:tcPr>
          <w:p w14:paraId="3F4FB131">
            <w:pPr>
              <w:pStyle w:val="80"/>
              <w:kinsoku w:val="0"/>
              <w:overflowPunct w:val="0"/>
              <w:spacing w:before="145" w:after="0" w:line="360" w:lineRule="auto"/>
              <w:ind w:left="181" w:firstLine="0"/>
              <w:jc w:val="center"/>
              <w:rPr>
                <w:rFonts w:ascii="宋体" w:hAnsi="宋体" w:eastAsia="宋体" w:cs="宋体"/>
                <w:color w:val="000000"/>
                <w:sz w:val="21"/>
                <w:szCs w:val="21"/>
              </w:rPr>
            </w:pPr>
            <w:r>
              <w:rPr>
                <w:rFonts w:ascii="宋体" w:hAnsi="宋体" w:cs="宋体"/>
                <w:color w:val="000000"/>
                <w:sz w:val="21"/>
                <w:szCs w:val="21"/>
              </w:rPr>
              <w:t>注册资金（万元）</w:t>
            </w:r>
          </w:p>
        </w:tc>
        <w:tc>
          <w:tcPr>
            <w:tcW w:w="2860" w:type="dxa"/>
            <w:gridSpan w:val="2"/>
            <w:tcBorders>
              <w:top w:val="single" w:color="000000" w:sz="4" w:space="0"/>
              <w:left w:val="single" w:color="000000" w:sz="4" w:space="0"/>
              <w:bottom w:val="single" w:color="000000" w:sz="4" w:space="0"/>
              <w:right w:val="single" w:color="000000" w:sz="4" w:space="0"/>
            </w:tcBorders>
            <w:vAlign w:val="center"/>
          </w:tcPr>
          <w:p w14:paraId="403465D4">
            <w:pPr>
              <w:snapToGrid w:val="0"/>
              <w:spacing w:line="360" w:lineRule="auto"/>
              <w:jc w:val="center"/>
              <w:rPr>
                <w:rFonts w:ascii="宋体" w:hAnsi="宋体" w:eastAsia="宋体" w:cs="宋体"/>
                <w:color w:val="000000"/>
                <w:sz w:val="21"/>
                <w:szCs w:val="21"/>
              </w:rPr>
            </w:pPr>
          </w:p>
        </w:tc>
      </w:tr>
      <w:tr w14:paraId="2F7324DC">
        <w:tblPrEx>
          <w:tblCellMar>
            <w:top w:w="0" w:type="dxa"/>
            <w:left w:w="0" w:type="dxa"/>
            <w:bottom w:w="0" w:type="dxa"/>
            <w:right w:w="0" w:type="dxa"/>
          </w:tblCellMar>
        </w:tblPrEx>
        <w:trPr>
          <w:trHeight w:val="447" w:hRule="exact"/>
          <w:jc w:val="center"/>
        </w:trPr>
        <w:tc>
          <w:tcPr>
            <w:tcW w:w="1499" w:type="dxa"/>
            <w:vMerge w:val="restart"/>
            <w:tcBorders>
              <w:top w:val="single" w:color="000000" w:sz="4" w:space="0"/>
              <w:left w:val="single" w:color="000000" w:sz="4" w:space="0"/>
              <w:bottom w:val="single" w:color="000000" w:sz="4" w:space="0"/>
              <w:right w:val="single" w:color="000000" w:sz="4" w:space="0"/>
            </w:tcBorders>
            <w:vAlign w:val="center"/>
          </w:tcPr>
          <w:p w14:paraId="1A08F183">
            <w:pPr>
              <w:pStyle w:val="80"/>
              <w:kinsoku w:val="0"/>
              <w:overflowPunct w:val="0"/>
              <w:spacing w:before="145" w:after="0"/>
              <w:jc w:val="center"/>
              <w:rPr>
                <w:rFonts w:ascii="宋体" w:hAnsi="宋体" w:eastAsia="宋体" w:cs="宋体"/>
                <w:color w:val="000000"/>
                <w:sz w:val="21"/>
                <w:szCs w:val="21"/>
              </w:rPr>
            </w:pPr>
            <w:r>
              <w:rPr>
                <w:rFonts w:ascii="宋体" w:hAnsi="宋体" w:cs="宋体"/>
                <w:i w:val="0"/>
                <w:iCs w:val="0"/>
                <w:color w:val="000000"/>
                <w:sz w:val="21"/>
                <w:szCs w:val="21"/>
                <w:lang w:val="en-US" w:eastAsia="zh-CN"/>
              </w:rPr>
              <w:t>开户银行</w:t>
            </w:r>
          </w:p>
        </w:tc>
        <w:tc>
          <w:tcPr>
            <w:tcW w:w="2006"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9448A42">
            <w:pPr>
              <w:snapToGrid w:val="0"/>
              <w:jc w:val="center"/>
              <w:rPr>
                <w:rFonts w:ascii="宋体" w:hAnsi="宋体" w:eastAsia="宋体" w:cs="宋体"/>
                <w:color w:val="000000"/>
                <w:sz w:val="21"/>
                <w:szCs w:val="21"/>
              </w:rPr>
            </w:pPr>
          </w:p>
        </w:tc>
        <w:tc>
          <w:tcPr>
            <w:tcW w:w="2274" w:type="dxa"/>
            <w:gridSpan w:val="3"/>
            <w:tcBorders>
              <w:top w:val="single" w:color="000000" w:sz="4" w:space="0"/>
              <w:left w:val="single" w:color="000000" w:sz="4" w:space="0"/>
              <w:bottom w:val="single" w:color="000000" w:sz="4" w:space="0"/>
              <w:right w:val="single" w:color="000000" w:sz="4" w:space="0"/>
            </w:tcBorders>
            <w:vAlign w:val="center"/>
          </w:tcPr>
          <w:p w14:paraId="13C59D60">
            <w:pPr>
              <w:pStyle w:val="80"/>
              <w:kinsoku w:val="0"/>
              <w:overflowPunct w:val="0"/>
              <w:spacing w:before="145" w:after="0"/>
              <w:ind w:left="181" w:firstLine="0"/>
              <w:jc w:val="center"/>
              <w:rPr>
                <w:rFonts w:ascii="宋体" w:hAnsi="宋体" w:eastAsia="宋体" w:cs="宋体"/>
                <w:color w:val="000000"/>
                <w:sz w:val="21"/>
                <w:szCs w:val="21"/>
              </w:rPr>
            </w:pPr>
            <w:r>
              <w:rPr>
                <w:rFonts w:ascii="宋体" w:hAnsi="宋体" w:cs="宋体"/>
                <w:i w:val="0"/>
                <w:iCs w:val="0"/>
                <w:color w:val="000000"/>
                <w:sz w:val="21"/>
                <w:szCs w:val="21"/>
                <w:lang w:val="en-US" w:eastAsia="zh-CN"/>
              </w:rPr>
              <w:t>开户行账号</w:t>
            </w:r>
          </w:p>
        </w:tc>
        <w:tc>
          <w:tcPr>
            <w:tcW w:w="2860" w:type="dxa"/>
            <w:gridSpan w:val="2"/>
            <w:tcBorders>
              <w:top w:val="single" w:color="000000" w:sz="4" w:space="0"/>
              <w:left w:val="single" w:color="000000" w:sz="4" w:space="0"/>
              <w:bottom w:val="single" w:color="000000" w:sz="4" w:space="0"/>
              <w:right w:val="single" w:color="000000" w:sz="4" w:space="0"/>
            </w:tcBorders>
            <w:vAlign w:val="center"/>
          </w:tcPr>
          <w:p w14:paraId="59CD2756">
            <w:pPr>
              <w:snapToGrid w:val="0"/>
              <w:jc w:val="center"/>
              <w:rPr>
                <w:rFonts w:ascii="宋体" w:hAnsi="宋体" w:eastAsia="宋体" w:cs="宋体"/>
                <w:color w:val="000000"/>
                <w:sz w:val="21"/>
                <w:szCs w:val="21"/>
              </w:rPr>
            </w:pPr>
          </w:p>
        </w:tc>
      </w:tr>
      <w:tr w14:paraId="07FC68F9">
        <w:tblPrEx>
          <w:tblCellMar>
            <w:top w:w="0" w:type="dxa"/>
            <w:left w:w="0" w:type="dxa"/>
            <w:bottom w:w="0" w:type="dxa"/>
            <w:right w:w="0" w:type="dxa"/>
          </w:tblCellMar>
        </w:tblPrEx>
        <w:trPr>
          <w:trHeight w:val="602" w:hRule="exact"/>
          <w:jc w:val="center"/>
        </w:trPr>
        <w:tc>
          <w:tcPr>
            <w:tcW w:w="1499" w:type="dxa"/>
            <w:vMerge w:val="continue"/>
            <w:tcBorders>
              <w:top w:val="single" w:color="000000" w:sz="4" w:space="0"/>
              <w:left w:val="single" w:color="000000" w:sz="4" w:space="0"/>
              <w:bottom w:val="single" w:color="000000" w:sz="4" w:space="0"/>
              <w:right w:val="single" w:color="000000" w:sz="4" w:space="0"/>
            </w:tcBorders>
            <w:vAlign w:val="center"/>
          </w:tcPr>
          <w:p w14:paraId="51D4B8D1">
            <w:pPr>
              <w:pStyle w:val="80"/>
              <w:kinsoku w:val="0"/>
              <w:overflowPunct w:val="0"/>
              <w:snapToGrid w:val="0"/>
              <w:spacing w:before="145" w:after="0"/>
              <w:ind w:left="137" w:firstLine="0"/>
              <w:jc w:val="center"/>
              <w:rPr>
                <w:rFonts w:ascii="宋体" w:hAnsi="宋体" w:eastAsia="宋体" w:cs="宋体"/>
                <w:color w:val="000000"/>
                <w:sz w:val="21"/>
                <w:szCs w:val="21"/>
              </w:rPr>
            </w:pPr>
          </w:p>
        </w:tc>
        <w:tc>
          <w:tcPr>
            <w:tcW w:w="200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47BF5FE">
            <w:pPr>
              <w:snapToGrid w:val="0"/>
              <w:jc w:val="center"/>
              <w:rPr>
                <w:rFonts w:ascii="宋体" w:hAnsi="宋体" w:eastAsia="宋体" w:cs="宋体"/>
                <w:color w:val="000000"/>
                <w:sz w:val="21"/>
                <w:szCs w:val="21"/>
              </w:rPr>
            </w:pPr>
          </w:p>
        </w:tc>
        <w:tc>
          <w:tcPr>
            <w:tcW w:w="2274" w:type="dxa"/>
            <w:gridSpan w:val="3"/>
            <w:tcBorders>
              <w:top w:val="single" w:color="000000" w:sz="4" w:space="0"/>
              <w:left w:val="single" w:color="000000" w:sz="4" w:space="0"/>
              <w:bottom w:val="single" w:color="000000" w:sz="4" w:space="0"/>
              <w:right w:val="single" w:color="000000" w:sz="4" w:space="0"/>
            </w:tcBorders>
            <w:vAlign w:val="center"/>
          </w:tcPr>
          <w:p w14:paraId="36741862">
            <w:pPr>
              <w:pStyle w:val="80"/>
              <w:kinsoku w:val="0"/>
              <w:overflowPunct w:val="0"/>
              <w:spacing w:before="145" w:after="0"/>
              <w:ind w:left="181" w:firstLine="0"/>
              <w:jc w:val="center"/>
              <w:rPr>
                <w:rFonts w:ascii="宋体" w:hAnsi="宋体" w:eastAsia="宋体" w:cs="宋体"/>
                <w:color w:val="000000"/>
                <w:sz w:val="21"/>
                <w:szCs w:val="21"/>
              </w:rPr>
            </w:pPr>
            <w:r>
              <w:rPr>
                <w:rFonts w:ascii="宋体" w:hAnsi="宋体" w:cs="宋体"/>
                <w:i w:val="0"/>
                <w:iCs w:val="0"/>
                <w:color w:val="000000"/>
                <w:sz w:val="21"/>
                <w:szCs w:val="21"/>
                <w:lang w:val="en-US" w:eastAsia="zh-CN"/>
              </w:rPr>
              <w:t>开户行行号</w:t>
            </w:r>
          </w:p>
        </w:tc>
        <w:tc>
          <w:tcPr>
            <w:tcW w:w="2860" w:type="dxa"/>
            <w:gridSpan w:val="2"/>
            <w:tcBorders>
              <w:top w:val="single" w:color="000000" w:sz="4" w:space="0"/>
              <w:left w:val="single" w:color="000000" w:sz="4" w:space="0"/>
              <w:bottom w:val="single" w:color="000000" w:sz="4" w:space="0"/>
              <w:right w:val="single" w:color="000000" w:sz="4" w:space="0"/>
            </w:tcBorders>
            <w:vAlign w:val="center"/>
          </w:tcPr>
          <w:p w14:paraId="4EBD69C1">
            <w:pPr>
              <w:snapToGrid w:val="0"/>
              <w:jc w:val="center"/>
              <w:rPr>
                <w:rFonts w:ascii="宋体" w:hAnsi="宋体" w:eastAsia="宋体" w:cs="宋体"/>
                <w:color w:val="000000"/>
                <w:sz w:val="21"/>
                <w:szCs w:val="21"/>
              </w:rPr>
            </w:pPr>
          </w:p>
        </w:tc>
      </w:tr>
      <w:tr w14:paraId="3604C8C7">
        <w:tblPrEx>
          <w:tblCellMar>
            <w:top w:w="0" w:type="dxa"/>
            <w:left w:w="0" w:type="dxa"/>
            <w:bottom w:w="0" w:type="dxa"/>
            <w:right w:w="0" w:type="dxa"/>
          </w:tblCellMar>
        </w:tblPrEx>
        <w:trPr>
          <w:trHeight w:val="603"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00F51A9A">
            <w:pPr>
              <w:pStyle w:val="80"/>
              <w:kinsoku w:val="0"/>
              <w:overflowPunct w:val="0"/>
              <w:spacing w:before="146"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单位性质</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674C81F6">
            <w:pPr>
              <w:snapToGrid w:val="0"/>
              <w:spacing w:line="360" w:lineRule="auto"/>
              <w:jc w:val="center"/>
              <w:rPr>
                <w:rFonts w:ascii="宋体" w:hAnsi="宋体" w:eastAsia="宋体" w:cs="宋体"/>
                <w:color w:val="000000"/>
                <w:sz w:val="21"/>
                <w:szCs w:val="21"/>
              </w:rPr>
            </w:pPr>
          </w:p>
        </w:tc>
      </w:tr>
      <w:tr w14:paraId="7E68E3C3">
        <w:tblPrEx>
          <w:tblCellMar>
            <w:top w:w="0" w:type="dxa"/>
            <w:left w:w="0" w:type="dxa"/>
            <w:bottom w:w="0" w:type="dxa"/>
            <w:right w:w="0" w:type="dxa"/>
          </w:tblCellMar>
        </w:tblPrEx>
        <w:trPr>
          <w:trHeight w:val="1150"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0218E04A">
            <w:pPr>
              <w:pStyle w:val="80"/>
              <w:kinsoku w:val="0"/>
              <w:overflowPunct w:val="0"/>
              <w:spacing w:before="141" w:after="0" w:line="360" w:lineRule="auto"/>
              <w:ind w:left="257" w:right="133" w:hanging="120"/>
              <w:jc w:val="center"/>
              <w:rPr>
                <w:rFonts w:ascii="宋体" w:hAnsi="宋体" w:eastAsia="宋体" w:cs="宋体"/>
                <w:color w:val="000000"/>
                <w:sz w:val="21"/>
                <w:szCs w:val="21"/>
              </w:rPr>
            </w:pPr>
            <w:r>
              <w:rPr>
                <w:rFonts w:ascii="宋体" w:hAnsi="宋体" w:cs="宋体"/>
                <w:color w:val="000000"/>
                <w:sz w:val="21"/>
                <w:szCs w:val="21"/>
              </w:rPr>
              <w:t>响应期间</w:t>
            </w:r>
            <w:r>
              <w:rPr>
                <w:rFonts w:ascii="宋体" w:hAnsi="宋体" w:cs="宋体"/>
                <w:color w:val="000000"/>
                <w:sz w:val="21"/>
                <w:szCs w:val="21"/>
                <w:lang w:val="en-US" w:eastAsia="zh-CN"/>
              </w:rPr>
              <w:t>响应</w:t>
            </w:r>
            <w:r>
              <w:rPr>
                <w:rFonts w:ascii="宋体" w:hAnsi="宋体" w:cs="宋体"/>
                <w:color w:val="000000"/>
                <w:sz w:val="21"/>
                <w:szCs w:val="21"/>
              </w:rPr>
              <w:t>联系人</w:t>
            </w:r>
          </w:p>
        </w:tc>
        <w:tc>
          <w:tcPr>
            <w:tcW w:w="1164" w:type="dxa"/>
            <w:tcBorders>
              <w:top w:val="single" w:color="000000" w:sz="4" w:space="0"/>
              <w:left w:val="single" w:color="000000" w:sz="4" w:space="0"/>
              <w:bottom w:val="single" w:color="000000" w:sz="4" w:space="0"/>
              <w:right w:val="single" w:color="000000" w:sz="4" w:space="0"/>
            </w:tcBorders>
            <w:vAlign w:val="center"/>
          </w:tcPr>
          <w:p w14:paraId="4B8D35D7">
            <w:pPr>
              <w:snapToGrid w:val="0"/>
              <w:spacing w:line="360" w:lineRule="auto"/>
              <w:jc w:val="center"/>
              <w:rPr>
                <w:rFonts w:ascii="宋体" w:hAnsi="宋体" w:eastAsia="宋体" w:cs="宋体"/>
                <w:color w:val="000000"/>
                <w:sz w:val="21"/>
                <w:szCs w:val="21"/>
              </w:rPr>
            </w:pPr>
          </w:p>
        </w:tc>
        <w:tc>
          <w:tcPr>
            <w:tcW w:w="1330" w:type="dxa"/>
            <w:gridSpan w:val="2"/>
            <w:tcBorders>
              <w:top w:val="single" w:color="000000" w:sz="4" w:space="0"/>
              <w:left w:val="single" w:color="000000" w:sz="4" w:space="0"/>
              <w:bottom w:val="single" w:color="000000" w:sz="4" w:space="0"/>
              <w:right w:val="single" w:color="000000" w:sz="4" w:space="0"/>
            </w:tcBorders>
            <w:vAlign w:val="center"/>
          </w:tcPr>
          <w:p w14:paraId="22B7673F">
            <w:pPr>
              <w:pStyle w:val="80"/>
              <w:kinsoku w:val="0"/>
              <w:overflowPunct w:val="0"/>
              <w:snapToGrid w:val="0"/>
              <w:jc w:val="center"/>
              <w:rPr>
                <w:rFonts w:ascii="宋体" w:hAnsi="宋体" w:eastAsia="宋体" w:cs="宋体"/>
                <w:i w:val="0"/>
                <w:iCs w:val="0"/>
                <w:color w:val="000000"/>
                <w:sz w:val="21"/>
                <w:szCs w:val="21"/>
                <w:lang w:val="en-US" w:eastAsia="zh-CN"/>
              </w:rPr>
            </w:pPr>
          </w:p>
          <w:p w14:paraId="1CA2D72A">
            <w:pPr>
              <w:pStyle w:val="80"/>
              <w:kinsoku w:val="0"/>
              <w:overflowPunct w:val="0"/>
              <w:jc w:val="center"/>
              <w:rPr>
                <w:rFonts w:ascii="宋体" w:hAnsi="宋体" w:eastAsia="宋体" w:cs="宋体"/>
                <w:i w:val="0"/>
                <w:iCs w:val="0"/>
                <w:color w:val="000000"/>
                <w:sz w:val="21"/>
                <w:szCs w:val="21"/>
                <w:lang w:val="en-US" w:eastAsia="zh-CN"/>
              </w:rPr>
            </w:pPr>
            <w:r>
              <w:rPr>
                <w:rFonts w:ascii="宋体" w:hAnsi="宋体" w:cs="宋体"/>
                <w:i w:val="0"/>
                <w:iCs w:val="0"/>
                <w:color w:val="000000"/>
                <w:sz w:val="21"/>
                <w:szCs w:val="21"/>
                <w:lang w:val="en-US" w:eastAsia="zh-CN"/>
              </w:rPr>
              <w:t>手机</w:t>
            </w:r>
          </w:p>
          <w:p w14:paraId="7846E97C">
            <w:pPr>
              <w:pStyle w:val="80"/>
              <w:kinsoku w:val="0"/>
              <w:overflowPunct w:val="0"/>
              <w:spacing w:line="360" w:lineRule="auto"/>
              <w:jc w:val="center"/>
              <w:rPr>
                <w:rFonts w:ascii="宋体" w:hAnsi="宋体" w:eastAsia="宋体" w:cs="宋体"/>
                <w:color w:val="000000"/>
                <w:sz w:val="21"/>
                <w:szCs w:val="21"/>
              </w:rPr>
            </w:pPr>
            <w:r>
              <w:rPr>
                <w:rFonts w:ascii="宋体" w:hAnsi="宋体" w:cs="宋体"/>
                <w:i w:val="0"/>
                <w:iCs w:val="0"/>
                <w:color w:val="000000"/>
                <w:sz w:val="21"/>
                <w:szCs w:val="21"/>
                <w:lang w:val="en-US" w:eastAsia="zh-CN"/>
              </w:rPr>
              <w:t>联系方式</w:t>
            </w:r>
          </w:p>
        </w:tc>
        <w:tc>
          <w:tcPr>
            <w:tcW w:w="1331" w:type="dxa"/>
            <w:tcBorders>
              <w:top w:val="single" w:color="000000" w:sz="4" w:space="0"/>
              <w:left w:val="single" w:color="000000" w:sz="4" w:space="0"/>
              <w:bottom w:val="single" w:color="000000" w:sz="4" w:space="0"/>
              <w:right w:val="single" w:color="000000" w:sz="4" w:space="0"/>
            </w:tcBorders>
            <w:vAlign w:val="center"/>
          </w:tcPr>
          <w:p w14:paraId="120D498F">
            <w:pPr>
              <w:snapToGrid w:val="0"/>
              <w:spacing w:line="360" w:lineRule="auto"/>
              <w:jc w:val="center"/>
              <w:rPr>
                <w:rFonts w:ascii="宋体" w:hAnsi="宋体" w:eastAsia="宋体" w:cs="宋体"/>
                <w:color w:val="000000"/>
                <w:sz w:val="21"/>
                <w:szCs w:val="21"/>
              </w:rPr>
            </w:pPr>
          </w:p>
        </w:tc>
        <w:tc>
          <w:tcPr>
            <w:tcW w:w="1365" w:type="dxa"/>
            <w:gridSpan w:val="2"/>
            <w:tcBorders>
              <w:top w:val="single" w:color="000000" w:sz="4" w:space="0"/>
              <w:left w:val="single" w:color="000000" w:sz="4" w:space="0"/>
              <w:bottom w:val="single" w:color="000000" w:sz="4" w:space="0"/>
              <w:right w:val="single" w:color="000000" w:sz="4" w:space="0"/>
            </w:tcBorders>
            <w:vAlign w:val="center"/>
          </w:tcPr>
          <w:p w14:paraId="515DDEA9">
            <w:pPr>
              <w:pStyle w:val="80"/>
              <w:kinsoku w:val="0"/>
              <w:overflowPunct w:val="0"/>
              <w:snapToGrid w:val="0"/>
              <w:spacing w:before="4" w:after="0" w:line="360" w:lineRule="auto"/>
              <w:jc w:val="center"/>
              <w:rPr>
                <w:rFonts w:ascii="宋体" w:hAnsi="宋体" w:eastAsia="宋体" w:cs="宋体"/>
                <w:b/>
                <w:bCs/>
                <w:color w:val="000000"/>
                <w:sz w:val="21"/>
                <w:szCs w:val="21"/>
              </w:rPr>
            </w:pPr>
          </w:p>
          <w:p w14:paraId="30635714">
            <w:pPr>
              <w:pStyle w:val="80"/>
              <w:kinsoku w:val="0"/>
              <w:overflowPunct w:val="0"/>
              <w:spacing w:line="360" w:lineRule="auto"/>
              <w:ind w:left="383" w:firstLine="0"/>
              <w:jc w:val="both"/>
              <w:rPr>
                <w:rFonts w:ascii="宋体" w:hAnsi="宋体" w:eastAsia="宋体" w:cs="宋体"/>
                <w:color w:val="000000"/>
                <w:sz w:val="21"/>
                <w:szCs w:val="21"/>
              </w:rPr>
            </w:pPr>
            <w:r>
              <w:rPr>
                <w:rFonts w:ascii="宋体" w:hAnsi="宋体" w:cs="宋体"/>
                <w:color w:val="000000"/>
                <w:sz w:val="21"/>
                <w:szCs w:val="21"/>
              </w:rPr>
              <w:t>传 真</w:t>
            </w:r>
          </w:p>
        </w:tc>
        <w:tc>
          <w:tcPr>
            <w:tcW w:w="1950" w:type="dxa"/>
            <w:tcBorders>
              <w:top w:val="single" w:color="000000" w:sz="4" w:space="0"/>
              <w:left w:val="single" w:color="000000" w:sz="4" w:space="0"/>
              <w:bottom w:val="single" w:color="000000" w:sz="4" w:space="0"/>
              <w:right w:val="single" w:color="000000" w:sz="4" w:space="0"/>
            </w:tcBorders>
            <w:vAlign w:val="center"/>
          </w:tcPr>
          <w:p w14:paraId="51F4BC2D">
            <w:pPr>
              <w:snapToGrid w:val="0"/>
              <w:spacing w:line="360" w:lineRule="auto"/>
              <w:jc w:val="center"/>
              <w:rPr>
                <w:rFonts w:ascii="宋体" w:hAnsi="宋体" w:eastAsia="宋体" w:cs="宋体"/>
                <w:color w:val="000000"/>
                <w:sz w:val="21"/>
                <w:szCs w:val="21"/>
              </w:rPr>
            </w:pPr>
          </w:p>
        </w:tc>
      </w:tr>
      <w:tr w14:paraId="3C22D6ED">
        <w:tblPrEx>
          <w:tblCellMar>
            <w:top w:w="0" w:type="dxa"/>
            <w:left w:w="0" w:type="dxa"/>
            <w:bottom w:w="0" w:type="dxa"/>
            <w:right w:w="0" w:type="dxa"/>
          </w:tblCellMar>
        </w:tblPrEx>
        <w:trPr>
          <w:trHeight w:val="2127"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02B10C95">
            <w:pPr>
              <w:pStyle w:val="80"/>
              <w:kinsoku w:val="0"/>
              <w:overflowPunct w:val="0"/>
              <w:spacing w:line="360" w:lineRule="auto"/>
              <w:ind w:left="497" w:right="493" w:firstLine="0"/>
              <w:jc w:val="center"/>
              <w:rPr>
                <w:rFonts w:ascii="宋体" w:hAnsi="宋体" w:eastAsia="宋体" w:cs="宋体"/>
                <w:color w:val="000000"/>
                <w:sz w:val="21"/>
                <w:szCs w:val="21"/>
              </w:rPr>
            </w:pPr>
            <w:r>
              <w:rPr>
                <w:rFonts w:ascii="宋体" w:hAnsi="宋体" w:cs="宋体"/>
                <w:color w:val="000000"/>
                <w:sz w:val="21"/>
                <w:szCs w:val="21"/>
              </w:rPr>
              <w:t>单 位 概 况</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2BBE5EC5">
            <w:pPr>
              <w:snapToGrid w:val="0"/>
              <w:spacing w:line="360" w:lineRule="auto"/>
              <w:jc w:val="center"/>
              <w:rPr>
                <w:rFonts w:ascii="宋体" w:hAnsi="宋体" w:eastAsia="宋体" w:cs="宋体"/>
                <w:color w:val="000000"/>
                <w:sz w:val="21"/>
                <w:szCs w:val="21"/>
              </w:rPr>
            </w:pPr>
          </w:p>
        </w:tc>
      </w:tr>
      <w:tr w14:paraId="0A522C24">
        <w:tblPrEx>
          <w:tblCellMar>
            <w:top w:w="0" w:type="dxa"/>
            <w:left w:w="0" w:type="dxa"/>
            <w:bottom w:w="0" w:type="dxa"/>
            <w:right w:w="0" w:type="dxa"/>
          </w:tblCellMar>
        </w:tblPrEx>
        <w:trPr>
          <w:trHeight w:val="1213"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55B53E85">
            <w:pPr>
              <w:pStyle w:val="80"/>
              <w:kinsoku w:val="0"/>
              <w:overflowPunct w:val="0"/>
              <w:spacing w:line="360" w:lineRule="auto"/>
              <w:ind w:left="497" w:right="493" w:firstLine="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备注</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21865053">
            <w:pPr>
              <w:snapToGrid w:val="0"/>
              <w:spacing w:line="360" w:lineRule="auto"/>
              <w:jc w:val="center"/>
              <w:rPr>
                <w:rFonts w:ascii="宋体" w:hAnsi="宋体" w:eastAsia="宋体" w:cs="宋体"/>
                <w:color w:val="000000"/>
                <w:sz w:val="21"/>
                <w:szCs w:val="21"/>
                <w:lang w:val="en-US" w:eastAsia="zh-CN"/>
              </w:rPr>
            </w:pPr>
          </w:p>
        </w:tc>
      </w:tr>
    </w:tbl>
    <w:p w14:paraId="2869F673">
      <w:pPr>
        <w:pStyle w:val="61"/>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5199B9C3">
      <w:pPr>
        <w:pStyle w:val="61"/>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473AC57E">
      <w:pPr>
        <w:pStyle w:val="61"/>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03FB2320">
      <w:pPr>
        <w:pStyle w:val="61"/>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4B5DA413">
      <w:pPr>
        <w:pStyle w:val="61"/>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7E051390">
      <w:pPr>
        <w:pStyle w:val="61"/>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472A7E23">
      <w:pPr>
        <w:pStyle w:val="61"/>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54DB54EC">
      <w:pPr>
        <w:pStyle w:val="8"/>
        <w:numPr>
          <w:ilvl w:val="0"/>
          <w:numId w:val="0"/>
        </w:numPr>
        <w:kinsoku w:val="0"/>
        <w:overflowPunct w:val="0"/>
        <w:spacing w:before="34" w:after="120" w:line="355" w:lineRule="auto"/>
        <w:ind w:left="480" w:right="126" w:firstLine="0"/>
        <w:jc w:val="both"/>
        <w:rPr>
          <w:rFonts w:ascii="宋体" w:hAnsi="宋体" w:eastAsia="宋体" w:cs="宋体"/>
          <w:b/>
          <w:bCs/>
          <w:color w:val="000000"/>
          <w:w w:val="90"/>
          <w:sz w:val="24"/>
          <w:szCs w:val="24"/>
          <w:lang w:val="en-US" w:eastAsia="zh-CN"/>
        </w:rPr>
      </w:pPr>
      <w:r>
        <w:rPr>
          <w:rFonts w:ascii="宋体" w:hAnsi="宋体" w:cs="宋体"/>
          <w:b/>
          <w:bCs/>
          <w:color w:val="000000"/>
          <w:sz w:val="24"/>
          <w:lang w:val="en-US" w:eastAsia="zh-CN"/>
        </w:rPr>
        <w:t>响应文件格式</w:t>
      </w:r>
      <w:r>
        <w:rPr>
          <w:rFonts w:ascii="宋体" w:hAnsi="宋体" w:eastAsia="宋体" w:cs="宋体"/>
          <w:b/>
          <w:bCs/>
          <w:color w:val="000000"/>
          <w:spacing w:val="0"/>
          <w:w w:val="100"/>
          <w:position w:val="0"/>
          <w:sz w:val="24"/>
          <w:szCs w:val="24"/>
          <w:vertAlign w:val="baseline"/>
          <w:lang w:val="en-US" w:eastAsia="zh-CN"/>
        </w:rPr>
        <w:t>1</w:t>
      </w:r>
      <w:r>
        <w:rPr>
          <w:rFonts w:ascii="宋体" w:hAnsi="宋体" w:cs="宋体"/>
          <w:b/>
          <w:bCs/>
          <w:color w:val="000000"/>
          <w:spacing w:val="0"/>
          <w:w w:val="100"/>
          <w:position w:val="0"/>
          <w:sz w:val="24"/>
          <w:szCs w:val="24"/>
          <w:vertAlign w:val="baseline"/>
          <w:lang w:val="en-US" w:eastAsia="zh-CN"/>
        </w:rPr>
        <w:t>0</w:t>
      </w:r>
      <w:r>
        <w:rPr>
          <w:rFonts w:ascii="宋体" w:hAnsi="宋体" w:cs="宋体"/>
          <w:b/>
          <w:bCs/>
          <w:color w:val="000000"/>
          <w:w w:val="90"/>
          <w:sz w:val="24"/>
          <w:szCs w:val="24"/>
          <w:lang w:val="en-US" w:eastAsia="zh-CN"/>
        </w:rPr>
        <w:t xml:space="preserve">、           </w:t>
      </w:r>
    </w:p>
    <w:p w14:paraId="0B8EF71F">
      <w:pPr>
        <w:pStyle w:val="8"/>
        <w:numPr>
          <w:ilvl w:val="0"/>
          <w:numId w:val="0"/>
        </w:numPr>
        <w:kinsoku w:val="0"/>
        <w:overflowPunct w:val="0"/>
        <w:spacing w:before="34" w:after="120" w:line="355" w:lineRule="auto"/>
        <w:ind w:left="480" w:right="126" w:firstLine="0"/>
        <w:jc w:val="center"/>
        <w:rPr>
          <w:rFonts w:ascii="宋体" w:hAnsi="宋体" w:eastAsia="宋体" w:cs="宋体"/>
          <w:b/>
          <w:bCs/>
          <w:color w:val="000000"/>
          <w:w w:val="90"/>
          <w:sz w:val="24"/>
          <w:szCs w:val="24"/>
          <w:lang w:eastAsia="zh-CN"/>
        </w:rPr>
      </w:pPr>
      <w:r>
        <w:rPr>
          <w:rFonts w:ascii="宋体" w:hAnsi="宋体" w:cs="宋体"/>
          <w:b/>
          <w:bCs/>
          <w:color w:val="000000"/>
          <w:w w:val="90"/>
          <w:sz w:val="24"/>
          <w:szCs w:val="24"/>
        </w:rPr>
        <w:t>类似项目业绩</w:t>
      </w:r>
      <w:r>
        <w:rPr>
          <w:rFonts w:ascii="宋体" w:hAnsi="宋体" w:cs="宋体"/>
          <w:b/>
          <w:bCs/>
          <w:color w:val="000000"/>
          <w:w w:val="90"/>
          <w:sz w:val="24"/>
          <w:szCs w:val="24"/>
          <w:lang w:eastAsia="zh-CN"/>
        </w:rPr>
        <w:t>表</w:t>
      </w:r>
    </w:p>
    <w:p w14:paraId="5DFE42C1">
      <w:pPr>
        <w:pStyle w:val="8"/>
        <w:numPr>
          <w:ilvl w:val="0"/>
          <w:numId w:val="0"/>
        </w:numPr>
        <w:kinsoku w:val="0"/>
        <w:overflowPunct w:val="0"/>
        <w:ind w:left="0" w:right="0" w:firstLine="0"/>
        <w:rPr>
          <w:rFonts w:ascii="宋体" w:hAnsi="宋体" w:eastAsia="宋体" w:cs="宋体"/>
          <w:b/>
          <w:bCs/>
          <w:color w:val="000000"/>
          <w:w w:val="90"/>
          <w:sz w:val="20"/>
          <w:szCs w:val="20"/>
          <w:lang w:eastAsia="zh-CN"/>
        </w:rPr>
      </w:pPr>
    </w:p>
    <w:tbl>
      <w:tblPr>
        <w:tblStyle w:val="20"/>
        <w:tblW w:w="7536" w:type="dxa"/>
        <w:jc w:val="center"/>
        <w:tblLayout w:type="fixed"/>
        <w:tblCellMar>
          <w:top w:w="0" w:type="dxa"/>
          <w:left w:w="10" w:type="dxa"/>
          <w:bottom w:w="0" w:type="dxa"/>
          <w:right w:w="10" w:type="dxa"/>
        </w:tblCellMar>
      </w:tblPr>
      <w:tblGrid>
        <w:gridCol w:w="1162"/>
        <w:gridCol w:w="1938"/>
        <w:gridCol w:w="1634"/>
        <w:gridCol w:w="1920"/>
        <w:gridCol w:w="882"/>
      </w:tblGrid>
      <w:tr w14:paraId="5AE9119F">
        <w:tblPrEx>
          <w:tblCellMar>
            <w:top w:w="0" w:type="dxa"/>
            <w:left w:w="10" w:type="dxa"/>
            <w:bottom w:w="0" w:type="dxa"/>
            <w:right w:w="10" w:type="dxa"/>
          </w:tblCellMar>
        </w:tblPrEx>
        <w:trPr>
          <w:trHeight w:val="350" w:hRule="exact"/>
          <w:jc w:val="center"/>
        </w:trPr>
        <w:tc>
          <w:tcPr>
            <w:tcW w:w="1162" w:type="dxa"/>
            <w:tcBorders>
              <w:top w:val="single" w:color="000000" w:sz="4" w:space="0"/>
              <w:left w:val="single" w:color="000000" w:sz="4" w:space="0"/>
            </w:tcBorders>
            <w:vAlign w:val="center"/>
          </w:tcPr>
          <w:p w14:paraId="6EA937DF">
            <w:pPr>
              <w:pStyle w:val="73"/>
              <w:keepNext w:val="0"/>
              <w:keepLines w:val="0"/>
              <w:widowControl w:val="0"/>
              <w:bidi w:val="0"/>
              <w:spacing w:before="0" w:after="0" w:line="240" w:lineRule="auto"/>
              <w:ind w:left="0" w:right="0" w:firstLine="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序号</w:t>
            </w:r>
          </w:p>
        </w:tc>
        <w:tc>
          <w:tcPr>
            <w:tcW w:w="1938" w:type="dxa"/>
            <w:tcBorders>
              <w:top w:val="single" w:color="000000" w:sz="4" w:space="0"/>
              <w:left w:val="single" w:color="000000" w:sz="4" w:space="0"/>
              <w:right w:val="single" w:color="000000" w:sz="4" w:space="0"/>
            </w:tcBorders>
          </w:tcPr>
          <w:p w14:paraId="3D1578E3">
            <w:pPr>
              <w:widowControl w:val="0"/>
              <w:jc w:val="center"/>
              <w:rPr>
                <w:rFonts w:ascii="宋体" w:hAnsi="宋体" w:eastAsia="宋体" w:cs="宋体"/>
                <w:color w:val="000000"/>
                <w:sz w:val="21"/>
                <w:szCs w:val="21"/>
              </w:rPr>
            </w:pPr>
            <w:r>
              <w:rPr>
                <w:rFonts w:ascii="宋体" w:hAnsi="宋体" w:cs="宋体"/>
                <w:color w:val="000000"/>
                <w:spacing w:val="0"/>
                <w:w w:val="100"/>
                <w:position w:val="0"/>
                <w:sz w:val="21"/>
                <w:szCs w:val="21"/>
                <w:vertAlign w:val="baseline"/>
              </w:rPr>
              <w:t>项目名称</w:t>
            </w:r>
          </w:p>
        </w:tc>
        <w:tc>
          <w:tcPr>
            <w:tcW w:w="1634" w:type="dxa"/>
            <w:tcBorders>
              <w:top w:val="single" w:color="000000" w:sz="4" w:space="0"/>
              <w:left w:val="single" w:color="000000" w:sz="4" w:space="0"/>
              <w:right w:val="single" w:color="000000" w:sz="4" w:space="0"/>
            </w:tcBorders>
          </w:tcPr>
          <w:p w14:paraId="0B1533DF">
            <w:pPr>
              <w:widowControl w:val="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成交日期</w:t>
            </w:r>
          </w:p>
        </w:tc>
        <w:tc>
          <w:tcPr>
            <w:tcW w:w="1920" w:type="dxa"/>
            <w:tcBorders>
              <w:top w:val="single" w:color="000000" w:sz="4" w:space="0"/>
              <w:left w:val="single" w:color="000000" w:sz="4" w:space="0"/>
              <w:right w:val="single" w:color="000000" w:sz="4" w:space="0"/>
            </w:tcBorders>
          </w:tcPr>
          <w:p w14:paraId="00CD3347">
            <w:pPr>
              <w:widowControl w:val="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成交金额</w:t>
            </w:r>
          </w:p>
        </w:tc>
        <w:tc>
          <w:tcPr>
            <w:tcW w:w="882" w:type="dxa"/>
            <w:tcBorders>
              <w:top w:val="single" w:color="000000" w:sz="4" w:space="0"/>
              <w:left w:val="single" w:color="000000" w:sz="4" w:space="0"/>
              <w:right w:val="single" w:color="000000" w:sz="4" w:space="0"/>
            </w:tcBorders>
          </w:tcPr>
          <w:p w14:paraId="5846B538">
            <w:pPr>
              <w:widowControl w:val="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备注</w:t>
            </w:r>
          </w:p>
        </w:tc>
      </w:tr>
      <w:tr w14:paraId="5F3FB368">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0AF11884">
            <w:pPr>
              <w:pStyle w:val="73"/>
              <w:keepNext w:val="0"/>
              <w:keepLines w:val="0"/>
              <w:widowControl w:val="0"/>
              <w:bidi w:val="0"/>
              <w:snapToGrid w:val="0"/>
              <w:spacing w:before="120" w:after="0" w:line="240" w:lineRule="auto"/>
              <w:ind w:left="0" w:right="0" w:firstLine="0"/>
              <w:jc w:val="center"/>
              <w:rPr>
                <w:rFonts w:ascii="宋体" w:hAnsi="宋体" w:eastAsia="宋体" w:cs="宋体"/>
                <w:color w:val="000000"/>
                <w:sz w:val="21"/>
                <w:szCs w:val="21"/>
                <w:lang w:val="en-US" w:eastAsia="zh-CN"/>
              </w:rPr>
            </w:pPr>
          </w:p>
        </w:tc>
        <w:tc>
          <w:tcPr>
            <w:tcW w:w="1938" w:type="dxa"/>
            <w:tcBorders>
              <w:top w:val="single" w:color="000000" w:sz="4" w:space="0"/>
              <w:left w:val="single" w:color="000000" w:sz="4" w:space="0"/>
              <w:right w:val="single" w:color="000000" w:sz="4" w:space="0"/>
            </w:tcBorders>
          </w:tcPr>
          <w:p w14:paraId="146328E6">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218986C4">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1812C659">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391279F5">
            <w:pPr>
              <w:widowControl w:val="0"/>
              <w:snapToGrid w:val="0"/>
              <w:rPr>
                <w:rFonts w:ascii="宋体" w:hAnsi="宋体" w:eastAsia="宋体" w:cs="宋体"/>
                <w:color w:val="000000"/>
                <w:sz w:val="21"/>
                <w:szCs w:val="21"/>
              </w:rPr>
            </w:pPr>
          </w:p>
        </w:tc>
      </w:tr>
      <w:tr w14:paraId="135FA02D">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3B74A434">
            <w:pPr>
              <w:pStyle w:val="73"/>
              <w:keepNext w:val="0"/>
              <w:keepLines w:val="0"/>
              <w:widowControl w:val="0"/>
              <w:bidi w:val="0"/>
              <w:snapToGrid w:val="0"/>
              <w:spacing w:before="0" w:after="0" w:line="320" w:lineRule="exact"/>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right w:val="single" w:color="000000" w:sz="4" w:space="0"/>
            </w:tcBorders>
          </w:tcPr>
          <w:p w14:paraId="4670DA4F">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4518F3F4">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0BF7D7A2">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5E54BC44">
            <w:pPr>
              <w:widowControl w:val="0"/>
              <w:snapToGrid w:val="0"/>
              <w:rPr>
                <w:rFonts w:ascii="宋体" w:hAnsi="宋体" w:eastAsia="宋体" w:cs="宋体"/>
                <w:color w:val="000000"/>
                <w:sz w:val="21"/>
                <w:szCs w:val="21"/>
              </w:rPr>
            </w:pPr>
          </w:p>
        </w:tc>
      </w:tr>
      <w:tr w14:paraId="57BADF63">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2EBA8EBF">
            <w:pPr>
              <w:pStyle w:val="73"/>
              <w:keepNext w:val="0"/>
              <w:keepLines w:val="0"/>
              <w:widowControl w:val="0"/>
              <w:bidi w:val="0"/>
              <w:snapToGrid w:val="0"/>
              <w:spacing w:before="0" w:after="0" w:line="240" w:lineRule="auto"/>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right w:val="single" w:color="000000" w:sz="4" w:space="0"/>
            </w:tcBorders>
          </w:tcPr>
          <w:p w14:paraId="50F5AFDF">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6D084B4E">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00D34AA2">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10ECB7D9">
            <w:pPr>
              <w:widowControl w:val="0"/>
              <w:snapToGrid w:val="0"/>
              <w:rPr>
                <w:rFonts w:ascii="宋体" w:hAnsi="宋体" w:eastAsia="宋体" w:cs="宋体"/>
                <w:color w:val="000000"/>
                <w:sz w:val="21"/>
                <w:szCs w:val="21"/>
              </w:rPr>
            </w:pPr>
          </w:p>
        </w:tc>
      </w:tr>
      <w:tr w14:paraId="1768D185">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2F9FFDA2">
            <w:pPr>
              <w:pStyle w:val="73"/>
              <w:keepNext w:val="0"/>
              <w:keepLines w:val="0"/>
              <w:widowControl w:val="0"/>
              <w:bidi w:val="0"/>
              <w:snapToGrid w:val="0"/>
              <w:spacing w:before="0" w:after="0" w:line="306" w:lineRule="exact"/>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right w:val="single" w:color="000000" w:sz="4" w:space="0"/>
            </w:tcBorders>
          </w:tcPr>
          <w:p w14:paraId="19C5C02C">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76AF748A">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0CFCDA2F">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1738E997">
            <w:pPr>
              <w:widowControl w:val="0"/>
              <w:snapToGrid w:val="0"/>
              <w:rPr>
                <w:rFonts w:ascii="宋体" w:hAnsi="宋体" w:eastAsia="宋体" w:cs="宋体"/>
                <w:color w:val="000000"/>
                <w:sz w:val="21"/>
                <w:szCs w:val="21"/>
              </w:rPr>
            </w:pPr>
          </w:p>
        </w:tc>
      </w:tr>
      <w:tr w14:paraId="72251F6C">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0261E5A7">
            <w:pPr>
              <w:pStyle w:val="73"/>
              <w:keepNext w:val="0"/>
              <w:keepLines w:val="0"/>
              <w:widowControl w:val="0"/>
              <w:bidi w:val="0"/>
              <w:snapToGrid w:val="0"/>
              <w:spacing w:before="120" w:after="0" w:line="240" w:lineRule="auto"/>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right w:val="single" w:color="000000" w:sz="4" w:space="0"/>
            </w:tcBorders>
          </w:tcPr>
          <w:p w14:paraId="34B514E5">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695102CE">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7FE148D5">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3480695E">
            <w:pPr>
              <w:widowControl w:val="0"/>
              <w:snapToGrid w:val="0"/>
              <w:rPr>
                <w:rFonts w:ascii="宋体" w:hAnsi="宋体" w:eastAsia="宋体" w:cs="宋体"/>
                <w:color w:val="000000"/>
                <w:sz w:val="21"/>
                <w:szCs w:val="21"/>
              </w:rPr>
            </w:pPr>
          </w:p>
        </w:tc>
      </w:tr>
      <w:tr w14:paraId="2ED74089">
        <w:tblPrEx>
          <w:tblCellMar>
            <w:top w:w="0" w:type="dxa"/>
            <w:left w:w="10" w:type="dxa"/>
            <w:bottom w:w="0" w:type="dxa"/>
            <w:right w:w="10" w:type="dxa"/>
          </w:tblCellMar>
        </w:tblPrEx>
        <w:trPr>
          <w:trHeight w:val="715" w:hRule="atLeast"/>
          <w:jc w:val="center"/>
        </w:trPr>
        <w:tc>
          <w:tcPr>
            <w:tcW w:w="1162" w:type="dxa"/>
            <w:tcBorders>
              <w:top w:val="single" w:color="000000" w:sz="4" w:space="0"/>
              <w:left w:val="single" w:color="000000" w:sz="4" w:space="0"/>
              <w:bottom w:val="single" w:color="000000" w:sz="4" w:space="0"/>
            </w:tcBorders>
            <w:vAlign w:val="center"/>
          </w:tcPr>
          <w:p w14:paraId="7FD9DE17">
            <w:pPr>
              <w:pStyle w:val="73"/>
              <w:keepNext w:val="0"/>
              <w:keepLines w:val="0"/>
              <w:widowControl w:val="0"/>
              <w:bidi w:val="0"/>
              <w:snapToGrid w:val="0"/>
              <w:spacing w:before="0" w:after="0" w:line="240" w:lineRule="auto"/>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bottom w:val="single" w:color="000000" w:sz="4" w:space="0"/>
              <w:right w:val="single" w:color="000000" w:sz="4" w:space="0"/>
            </w:tcBorders>
          </w:tcPr>
          <w:p w14:paraId="1EEC716F">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bottom w:val="single" w:color="000000" w:sz="4" w:space="0"/>
              <w:right w:val="single" w:color="000000" w:sz="4" w:space="0"/>
            </w:tcBorders>
          </w:tcPr>
          <w:p w14:paraId="019D50FD">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bottom w:val="single" w:color="000000" w:sz="4" w:space="0"/>
              <w:right w:val="single" w:color="000000" w:sz="4" w:space="0"/>
            </w:tcBorders>
          </w:tcPr>
          <w:p w14:paraId="101AD350">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bottom w:val="single" w:color="000000" w:sz="4" w:space="0"/>
              <w:right w:val="single" w:color="000000" w:sz="4" w:space="0"/>
            </w:tcBorders>
          </w:tcPr>
          <w:p w14:paraId="0B3842BE">
            <w:pPr>
              <w:widowControl w:val="0"/>
              <w:snapToGrid w:val="0"/>
              <w:rPr>
                <w:rFonts w:ascii="宋体" w:hAnsi="宋体" w:eastAsia="宋体" w:cs="宋体"/>
                <w:color w:val="000000"/>
                <w:sz w:val="21"/>
                <w:szCs w:val="21"/>
              </w:rPr>
            </w:pPr>
          </w:p>
        </w:tc>
      </w:tr>
    </w:tbl>
    <w:p w14:paraId="2AF37E13">
      <w:pPr>
        <w:rPr>
          <w:rFonts w:ascii="宋体" w:hAnsi="宋体" w:eastAsia="宋体" w:cs="宋体"/>
          <w:color w:val="000000"/>
          <w:spacing w:val="-1"/>
          <w:kern w:val="0"/>
          <w:sz w:val="24"/>
        </w:rPr>
      </w:pPr>
    </w:p>
    <w:p w14:paraId="425A45A7">
      <w:pPr>
        <w:rPr>
          <w:rFonts w:ascii="宋体" w:hAnsi="宋体" w:eastAsia="宋体" w:cs="宋体"/>
          <w:color w:val="000000"/>
          <w:spacing w:val="-1"/>
          <w:kern w:val="0"/>
          <w:sz w:val="21"/>
          <w:szCs w:val="21"/>
        </w:rPr>
      </w:pPr>
      <w:r>
        <w:rPr>
          <w:rFonts w:ascii="宋体" w:hAnsi="宋体" w:cs="宋体"/>
          <w:color w:val="000000"/>
          <w:spacing w:val="-1"/>
          <w:kern w:val="0"/>
          <w:sz w:val="21"/>
          <w:szCs w:val="21"/>
        </w:rPr>
        <w:t>注：后附施工合同、验收报告等相关证明材料，否则磋商小组成员在评审时将不予采信。</w:t>
      </w:r>
    </w:p>
    <w:p w14:paraId="3C395A47">
      <w:pPr>
        <w:pStyle w:val="52"/>
        <w:tabs>
          <w:tab w:val="left" w:pos="5580"/>
        </w:tabs>
        <w:spacing w:line="240" w:lineRule="atLeast"/>
        <w:ind w:left="1942" w:firstLine="0"/>
        <w:rPr>
          <w:rFonts w:ascii="宋体" w:hAnsi="宋体" w:eastAsia="宋体" w:cs="宋体"/>
          <w:color w:val="000000"/>
          <w:spacing w:val="-1"/>
          <w:kern w:val="0"/>
          <w:sz w:val="21"/>
          <w:szCs w:val="21"/>
          <w:highlight w:val="none"/>
        </w:rPr>
      </w:pPr>
    </w:p>
    <w:p w14:paraId="27622F04">
      <w:pPr>
        <w:pStyle w:val="52"/>
        <w:tabs>
          <w:tab w:val="left" w:pos="5580"/>
        </w:tabs>
        <w:spacing w:line="240" w:lineRule="atLeast"/>
        <w:ind w:left="1942" w:firstLine="0"/>
        <w:rPr>
          <w:rFonts w:ascii="宋体" w:hAnsi="宋体" w:eastAsia="宋体" w:cs="宋体"/>
          <w:color w:val="000000"/>
          <w:highlight w:val="none"/>
        </w:rPr>
      </w:pPr>
    </w:p>
    <w:p w14:paraId="45581B1E">
      <w:pPr>
        <w:pStyle w:val="52"/>
        <w:tabs>
          <w:tab w:val="left" w:pos="5580"/>
        </w:tabs>
        <w:spacing w:line="240" w:lineRule="atLeast"/>
        <w:ind w:left="1942" w:firstLine="0"/>
        <w:rPr>
          <w:rFonts w:ascii="宋体" w:hAnsi="宋体" w:eastAsia="宋体" w:cs="宋体"/>
          <w:color w:val="000000"/>
          <w:highlight w:val="none"/>
        </w:rPr>
      </w:pPr>
    </w:p>
    <w:p w14:paraId="45823DE1">
      <w:pPr>
        <w:pStyle w:val="52"/>
        <w:tabs>
          <w:tab w:val="left" w:pos="5580"/>
        </w:tabs>
        <w:spacing w:line="240" w:lineRule="atLeast"/>
        <w:ind w:left="1942" w:firstLine="0"/>
        <w:rPr>
          <w:rFonts w:ascii="宋体" w:hAnsi="宋体" w:eastAsia="宋体" w:cs="宋体"/>
          <w:color w:val="000000"/>
          <w:highlight w:val="none"/>
        </w:rPr>
      </w:pPr>
    </w:p>
    <w:p w14:paraId="465ACC9D">
      <w:pPr>
        <w:rPr>
          <w:rFonts w:ascii="宋体" w:hAnsi="宋体" w:eastAsia="宋体" w:cs="宋体"/>
          <w:color w:val="000000"/>
          <w:sz w:val="24"/>
          <w:highlight w:val="none"/>
          <w:lang w:val="en-US" w:eastAsia="zh-CN"/>
        </w:rPr>
      </w:pPr>
    </w:p>
    <w:p w14:paraId="73242BA6">
      <w:pPr>
        <w:pStyle w:val="4"/>
        <w:rPr>
          <w:rFonts w:ascii="宋体" w:hAnsi="宋体" w:eastAsia="宋体" w:cs="宋体"/>
          <w:color w:val="000000"/>
          <w:sz w:val="24"/>
          <w:highlight w:val="none"/>
          <w:lang w:val="en-US" w:eastAsia="zh-CN"/>
        </w:rPr>
      </w:pPr>
    </w:p>
    <w:p w14:paraId="552DA78B">
      <w:pPr>
        <w:rPr>
          <w:color w:val="000000"/>
          <w:highlight w:val="none"/>
          <w:lang w:val="en-US" w:eastAsia="zh-CN"/>
        </w:rPr>
      </w:pPr>
    </w:p>
    <w:p w14:paraId="523A6C80">
      <w:pPr>
        <w:pStyle w:val="69"/>
        <w:rPr>
          <w:color w:val="000000"/>
          <w:highlight w:val="none"/>
          <w:lang w:val="en-US" w:eastAsia="zh-CN"/>
        </w:rPr>
      </w:pPr>
    </w:p>
    <w:p w14:paraId="4C76C09E">
      <w:pPr>
        <w:pStyle w:val="69"/>
        <w:rPr>
          <w:color w:val="000000"/>
          <w:highlight w:val="none"/>
          <w:lang w:val="en-US" w:eastAsia="zh-CN"/>
        </w:rPr>
      </w:pPr>
    </w:p>
    <w:p w14:paraId="63CAF453">
      <w:pPr>
        <w:pStyle w:val="69"/>
        <w:rPr>
          <w:color w:val="000000"/>
          <w:highlight w:val="none"/>
          <w:lang w:val="en-US" w:eastAsia="zh-CN"/>
        </w:rPr>
      </w:pPr>
    </w:p>
    <w:p w14:paraId="573C96E0">
      <w:pPr>
        <w:pStyle w:val="69"/>
        <w:rPr>
          <w:color w:val="000000"/>
          <w:highlight w:val="none"/>
          <w:lang w:val="en-US" w:eastAsia="zh-CN"/>
        </w:rPr>
      </w:pPr>
    </w:p>
    <w:p w14:paraId="778FE395">
      <w:pPr>
        <w:pStyle w:val="69"/>
        <w:rPr>
          <w:color w:val="000000"/>
          <w:highlight w:val="none"/>
          <w:lang w:val="en-US" w:eastAsia="zh-CN"/>
        </w:rPr>
      </w:pPr>
    </w:p>
    <w:p w14:paraId="53FEAF73">
      <w:pPr>
        <w:rPr>
          <w:color w:val="000000"/>
          <w:highlight w:val="none"/>
          <w:lang w:val="en-US" w:eastAsia="zh-CN"/>
        </w:rPr>
      </w:pPr>
    </w:p>
    <w:p w14:paraId="4F12EED0">
      <w:pPr>
        <w:rPr>
          <w:color w:val="000000"/>
          <w:highlight w:val="none"/>
          <w:lang w:val="en-US" w:eastAsia="zh-CN"/>
        </w:rPr>
      </w:pPr>
    </w:p>
    <w:p w14:paraId="6863F1A3">
      <w:pPr>
        <w:rPr>
          <w:color w:val="000000"/>
          <w:highlight w:val="none"/>
          <w:lang w:val="en-US" w:eastAsia="zh-CN"/>
        </w:rPr>
      </w:pPr>
    </w:p>
    <w:p w14:paraId="5DCE3414">
      <w:pPr>
        <w:rPr>
          <w:color w:val="000000"/>
          <w:highlight w:val="none"/>
          <w:lang w:val="en-US" w:eastAsia="zh-CN"/>
        </w:rPr>
      </w:pPr>
    </w:p>
    <w:p w14:paraId="7BCBA6CE">
      <w:pPr>
        <w:rPr>
          <w:color w:val="000000"/>
          <w:highlight w:val="none"/>
          <w:lang w:val="en-US" w:eastAsia="zh-CN"/>
        </w:rPr>
      </w:pPr>
    </w:p>
    <w:p w14:paraId="30528846">
      <w:pPr>
        <w:rPr>
          <w:color w:val="000000"/>
          <w:highlight w:val="none"/>
          <w:lang w:val="en-US" w:eastAsia="zh-CN"/>
        </w:rPr>
      </w:pPr>
    </w:p>
    <w:p w14:paraId="691A3A7C">
      <w:pPr>
        <w:rPr>
          <w:color w:val="000000"/>
          <w:highlight w:val="none"/>
          <w:lang w:val="en-US" w:eastAsia="zh-CN"/>
        </w:rPr>
      </w:pPr>
    </w:p>
    <w:p w14:paraId="4A75875C">
      <w:pPr>
        <w:pStyle w:val="55"/>
        <w:ind w:left="210" w:firstLine="0"/>
        <w:jc w:val="left"/>
        <w:rPr>
          <w:sz w:val="24"/>
          <w:szCs w:val="28"/>
        </w:rPr>
      </w:pPr>
      <w:r>
        <w:rPr>
          <w:rFonts w:ascii="宋体" w:hAnsi="宋体" w:cs="宋体"/>
          <w:b/>
          <w:bCs/>
          <w:color w:val="000000"/>
          <w:sz w:val="24"/>
          <w:lang w:val="en-US" w:eastAsia="zh-CN"/>
        </w:rPr>
        <w:t>响应文件格式</w:t>
      </w:r>
      <w:r>
        <w:rPr>
          <w:rFonts w:ascii="宋体" w:hAnsi="宋体" w:eastAsia="宋体" w:cs="宋体"/>
          <w:b/>
          <w:bCs/>
          <w:color w:val="000000"/>
          <w:spacing w:val="0"/>
          <w:w w:val="100"/>
          <w:position w:val="0"/>
          <w:sz w:val="24"/>
          <w:szCs w:val="24"/>
          <w:vertAlign w:val="baseline"/>
          <w:lang w:val="en-US" w:eastAsia="zh-CN"/>
        </w:rPr>
        <w:t>1</w:t>
      </w:r>
      <w:r>
        <w:rPr>
          <w:rFonts w:ascii="宋体" w:hAnsi="宋体" w:cs="宋体"/>
          <w:b/>
          <w:bCs/>
          <w:color w:val="000000"/>
          <w:spacing w:val="0"/>
          <w:w w:val="100"/>
          <w:position w:val="0"/>
          <w:sz w:val="24"/>
          <w:szCs w:val="24"/>
          <w:vertAlign w:val="baseline"/>
          <w:lang w:val="en-US" w:eastAsia="zh-CN"/>
        </w:rPr>
        <w:t>1</w:t>
      </w:r>
      <w:r>
        <w:rPr>
          <w:rFonts w:ascii="宋体" w:hAnsi="宋体" w:cs="宋体"/>
          <w:b/>
          <w:bCs/>
          <w:color w:val="000000"/>
          <w:w w:val="90"/>
          <w:sz w:val="24"/>
          <w:szCs w:val="24"/>
          <w:lang w:val="en-US" w:eastAsia="zh-CN"/>
        </w:rPr>
        <w:t xml:space="preserve">、 </w:t>
      </w:r>
    </w:p>
    <w:p w14:paraId="4731484B">
      <w:pPr>
        <w:pStyle w:val="55"/>
        <w:ind w:left="210" w:firstLine="0"/>
        <w:jc w:val="center"/>
        <w:rPr>
          <w:sz w:val="24"/>
          <w:szCs w:val="28"/>
        </w:rPr>
      </w:pPr>
    </w:p>
    <w:p w14:paraId="611FF1DC">
      <w:pPr>
        <w:pStyle w:val="55"/>
        <w:ind w:left="210" w:firstLine="0"/>
        <w:jc w:val="center"/>
        <w:rPr>
          <w:sz w:val="32"/>
          <w:szCs w:val="36"/>
        </w:rPr>
      </w:pPr>
      <w:r>
        <w:rPr>
          <w:sz w:val="32"/>
          <w:szCs w:val="36"/>
        </w:rPr>
        <w:t>项目管理机构组成表</w:t>
      </w:r>
    </w:p>
    <w:p w14:paraId="30FC560C">
      <w:pPr>
        <w:rPr>
          <w:sz w:val="32"/>
          <w:szCs w:val="36"/>
        </w:rPr>
      </w:pPr>
    </w:p>
    <w:tbl>
      <w:tblPr>
        <w:tblStyle w:val="20"/>
        <w:tblW w:w="9077" w:type="dxa"/>
        <w:jc w:val="center"/>
        <w:tblLayout w:type="fixed"/>
        <w:tblCellMar>
          <w:top w:w="0" w:type="dxa"/>
          <w:left w:w="108" w:type="dxa"/>
          <w:bottom w:w="0" w:type="dxa"/>
          <w:right w:w="108" w:type="dxa"/>
        </w:tblCellMar>
      </w:tblPr>
      <w:tblGrid>
        <w:gridCol w:w="1397"/>
        <w:gridCol w:w="1097"/>
        <w:gridCol w:w="884"/>
        <w:gridCol w:w="1101"/>
        <w:gridCol w:w="764"/>
        <w:gridCol w:w="1480"/>
        <w:gridCol w:w="837"/>
        <w:gridCol w:w="811"/>
        <w:gridCol w:w="706"/>
      </w:tblGrid>
      <w:tr w14:paraId="242C8615">
        <w:tblPrEx>
          <w:tblCellMar>
            <w:top w:w="0" w:type="dxa"/>
            <w:left w:w="108" w:type="dxa"/>
            <w:bottom w:w="0" w:type="dxa"/>
            <w:right w:w="108" w:type="dxa"/>
          </w:tblCellMar>
        </w:tblPrEx>
        <w:trPr>
          <w:trHeight w:val="409" w:hRule="atLeast"/>
          <w:jc w:val="center"/>
        </w:trPr>
        <w:tc>
          <w:tcPr>
            <w:tcW w:w="1397" w:type="dxa"/>
            <w:vMerge w:val="restart"/>
            <w:tcBorders>
              <w:top w:val="single" w:color="000000" w:sz="4" w:space="0"/>
              <w:left w:val="single" w:color="000000" w:sz="4" w:space="0"/>
              <w:bottom w:val="single" w:color="000000" w:sz="4" w:space="0"/>
              <w:right w:val="single" w:color="000000" w:sz="4" w:space="0"/>
            </w:tcBorders>
            <w:vAlign w:val="center"/>
          </w:tcPr>
          <w:p w14:paraId="412925C1">
            <w:pPr>
              <w:pStyle w:val="72"/>
              <w:spacing w:line="440" w:lineRule="exact"/>
              <w:jc w:val="center"/>
              <w:rPr>
                <w:rFonts w:ascii="宋体" w:hAnsi="宋体" w:cs="宋体"/>
                <w:szCs w:val="21"/>
              </w:rPr>
            </w:pPr>
            <w:r>
              <w:rPr>
                <w:rFonts w:ascii="宋体" w:hAnsi="宋体" w:cs="宋体"/>
                <w:szCs w:val="21"/>
              </w:rPr>
              <w:t>职务</w:t>
            </w:r>
          </w:p>
        </w:tc>
        <w:tc>
          <w:tcPr>
            <w:tcW w:w="1097" w:type="dxa"/>
            <w:vMerge w:val="restart"/>
            <w:tcBorders>
              <w:top w:val="single" w:color="000000" w:sz="4" w:space="0"/>
              <w:left w:val="single" w:color="000000" w:sz="4" w:space="0"/>
              <w:bottom w:val="single" w:color="000000" w:sz="4" w:space="0"/>
              <w:right w:val="single" w:color="000000" w:sz="4" w:space="0"/>
            </w:tcBorders>
            <w:vAlign w:val="center"/>
          </w:tcPr>
          <w:p w14:paraId="5453938F">
            <w:pPr>
              <w:pStyle w:val="72"/>
              <w:spacing w:line="440" w:lineRule="exact"/>
              <w:jc w:val="center"/>
              <w:rPr>
                <w:rFonts w:ascii="宋体" w:hAnsi="宋体" w:cs="宋体"/>
                <w:szCs w:val="21"/>
              </w:rPr>
            </w:pPr>
            <w:r>
              <w:rPr>
                <w:rFonts w:ascii="宋体" w:hAnsi="宋体" w:cs="宋体"/>
                <w:szCs w:val="21"/>
              </w:rPr>
              <w:t>姓名</w:t>
            </w:r>
          </w:p>
        </w:tc>
        <w:tc>
          <w:tcPr>
            <w:tcW w:w="884" w:type="dxa"/>
            <w:vMerge w:val="restart"/>
            <w:tcBorders>
              <w:top w:val="single" w:color="000000" w:sz="4" w:space="0"/>
              <w:left w:val="single" w:color="000000" w:sz="4" w:space="0"/>
              <w:bottom w:val="single" w:color="000000" w:sz="4" w:space="0"/>
              <w:right w:val="single" w:color="000000" w:sz="4" w:space="0"/>
            </w:tcBorders>
            <w:vAlign w:val="center"/>
          </w:tcPr>
          <w:p w14:paraId="49E84B1C">
            <w:pPr>
              <w:pStyle w:val="72"/>
              <w:spacing w:line="440" w:lineRule="exact"/>
              <w:jc w:val="center"/>
              <w:rPr>
                <w:rFonts w:ascii="宋体" w:hAnsi="宋体" w:cs="宋体"/>
                <w:szCs w:val="21"/>
              </w:rPr>
            </w:pPr>
            <w:r>
              <w:rPr>
                <w:rFonts w:ascii="宋体" w:hAnsi="宋体" w:cs="宋体"/>
                <w:szCs w:val="21"/>
              </w:rPr>
              <w:t>职称</w:t>
            </w:r>
          </w:p>
        </w:tc>
        <w:tc>
          <w:tcPr>
            <w:tcW w:w="4993" w:type="dxa"/>
            <w:gridSpan w:val="5"/>
            <w:tcBorders>
              <w:top w:val="single" w:color="000000" w:sz="4" w:space="0"/>
              <w:left w:val="single" w:color="000000" w:sz="4" w:space="0"/>
              <w:bottom w:val="single" w:color="000000" w:sz="4" w:space="0"/>
              <w:right w:val="single" w:color="000000" w:sz="4" w:space="0"/>
            </w:tcBorders>
            <w:vAlign w:val="center"/>
          </w:tcPr>
          <w:p w14:paraId="7A85EBF2">
            <w:pPr>
              <w:pStyle w:val="72"/>
              <w:spacing w:line="440" w:lineRule="exact"/>
              <w:jc w:val="center"/>
              <w:rPr>
                <w:rFonts w:ascii="宋体" w:hAnsi="宋体" w:cs="宋体"/>
                <w:szCs w:val="21"/>
              </w:rPr>
            </w:pPr>
            <w:r>
              <w:rPr>
                <w:rFonts w:ascii="宋体" w:hAnsi="宋体" w:cs="宋体"/>
                <w:szCs w:val="21"/>
              </w:rPr>
              <w:t>执业或职业资格证明</w:t>
            </w:r>
          </w:p>
        </w:tc>
        <w:tc>
          <w:tcPr>
            <w:tcW w:w="706" w:type="dxa"/>
            <w:tcBorders>
              <w:top w:val="single" w:color="000000" w:sz="4" w:space="0"/>
              <w:left w:val="single" w:color="000000" w:sz="4" w:space="0"/>
              <w:bottom w:val="single" w:color="000000" w:sz="4" w:space="0"/>
              <w:right w:val="single" w:color="000000" w:sz="4" w:space="0"/>
            </w:tcBorders>
            <w:vAlign w:val="center"/>
          </w:tcPr>
          <w:p w14:paraId="4D24CF66">
            <w:pPr>
              <w:pStyle w:val="72"/>
              <w:spacing w:line="440" w:lineRule="exact"/>
              <w:jc w:val="center"/>
              <w:rPr>
                <w:rFonts w:ascii="宋体" w:hAnsi="宋体" w:cs="宋体"/>
                <w:szCs w:val="21"/>
              </w:rPr>
            </w:pPr>
            <w:r>
              <w:rPr>
                <w:rFonts w:ascii="宋体" w:hAnsi="宋体" w:cs="宋体"/>
                <w:szCs w:val="21"/>
              </w:rPr>
              <w:t>备注</w:t>
            </w:r>
          </w:p>
        </w:tc>
      </w:tr>
      <w:tr w14:paraId="25ED1942">
        <w:tblPrEx>
          <w:tblCellMar>
            <w:top w:w="0" w:type="dxa"/>
            <w:left w:w="108" w:type="dxa"/>
            <w:bottom w:w="0" w:type="dxa"/>
            <w:right w:w="108" w:type="dxa"/>
          </w:tblCellMar>
        </w:tblPrEx>
        <w:trPr>
          <w:trHeight w:val="808" w:hRule="atLeast"/>
          <w:jc w:val="center"/>
        </w:trPr>
        <w:tc>
          <w:tcPr>
            <w:tcW w:w="1397" w:type="dxa"/>
            <w:vMerge w:val="continue"/>
            <w:tcBorders>
              <w:top w:val="single" w:color="000000" w:sz="4" w:space="0"/>
              <w:left w:val="single" w:color="000000" w:sz="4" w:space="0"/>
              <w:bottom w:val="single" w:color="000000" w:sz="4" w:space="0"/>
              <w:right w:val="single" w:color="000000" w:sz="4" w:space="0"/>
            </w:tcBorders>
            <w:vAlign w:val="center"/>
          </w:tcPr>
          <w:p w14:paraId="578DD016">
            <w:pPr>
              <w:pStyle w:val="72"/>
              <w:snapToGrid w:val="0"/>
              <w:spacing w:line="440" w:lineRule="exact"/>
              <w:jc w:val="center"/>
              <w:rPr>
                <w:rFonts w:ascii="宋体" w:hAnsi="宋体" w:cs="宋体"/>
                <w:szCs w:val="21"/>
              </w:rPr>
            </w:pPr>
          </w:p>
        </w:tc>
        <w:tc>
          <w:tcPr>
            <w:tcW w:w="1097" w:type="dxa"/>
            <w:vMerge w:val="continue"/>
            <w:tcBorders>
              <w:top w:val="single" w:color="000000" w:sz="4" w:space="0"/>
              <w:left w:val="single" w:color="000000" w:sz="4" w:space="0"/>
              <w:bottom w:val="single" w:color="000000" w:sz="4" w:space="0"/>
              <w:right w:val="single" w:color="000000" w:sz="4" w:space="0"/>
            </w:tcBorders>
            <w:vAlign w:val="center"/>
          </w:tcPr>
          <w:p w14:paraId="3E3A05D2">
            <w:pPr>
              <w:pStyle w:val="72"/>
              <w:snapToGrid w:val="0"/>
              <w:spacing w:line="440" w:lineRule="exact"/>
              <w:jc w:val="center"/>
              <w:rPr>
                <w:rFonts w:ascii="宋体" w:hAnsi="宋体" w:cs="宋体"/>
                <w:szCs w:val="21"/>
              </w:rPr>
            </w:pPr>
          </w:p>
        </w:tc>
        <w:tc>
          <w:tcPr>
            <w:tcW w:w="884" w:type="dxa"/>
            <w:vMerge w:val="continue"/>
            <w:tcBorders>
              <w:top w:val="single" w:color="000000" w:sz="4" w:space="0"/>
              <w:left w:val="single" w:color="000000" w:sz="4" w:space="0"/>
              <w:bottom w:val="single" w:color="000000" w:sz="4" w:space="0"/>
              <w:right w:val="single" w:color="000000" w:sz="4" w:space="0"/>
            </w:tcBorders>
            <w:vAlign w:val="center"/>
          </w:tcPr>
          <w:p w14:paraId="64972811">
            <w:pPr>
              <w:pStyle w:val="72"/>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vAlign w:val="center"/>
          </w:tcPr>
          <w:p w14:paraId="193F64C2">
            <w:pPr>
              <w:pStyle w:val="72"/>
              <w:spacing w:line="440" w:lineRule="exact"/>
              <w:jc w:val="center"/>
              <w:rPr>
                <w:rFonts w:ascii="宋体" w:hAnsi="宋体" w:cs="宋体"/>
                <w:szCs w:val="21"/>
              </w:rPr>
            </w:pPr>
            <w:r>
              <w:rPr>
                <w:rFonts w:ascii="宋体" w:hAnsi="宋体" w:cs="宋体"/>
                <w:szCs w:val="21"/>
              </w:rPr>
              <w:t>证书名称</w:t>
            </w:r>
          </w:p>
        </w:tc>
        <w:tc>
          <w:tcPr>
            <w:tcW w:w="764" w:type="dxa"/>
            <w:tcBorders>
              <w:top w:val="single" w:color="000000" w:sz="4" w:space="0"/>
              <w:left w:val="single" w:color="000000" w:sz="4" w:space="0"/>
              <w:bottom w:val="single" w:color="000000" w:sz="4" w:space="0"/>
              <w:right w:val="single" w:color="000000" w:sz="4" w:space="0"/>
            </w:tcBorders>
            <w:vAlign w:val="center"/>
          </w:tcPr>
          <w:p w14:paraId="32AD98E0">
            <w:pPr>
              <w:pStyle w:val="72"/>
              <w:spacing w:line="440" w:lineRule="exact"/>
              <w:jc w:val="center"/>
              <w:rPr>
                <w:rFonts w:ascii="宋体" w:hAnsi="宋体" w:cs="宋体"/>
                <w:szCs w:val="21"/>
              </w:rPr>
            </w:pPr>
            <w:r>
              <w:rPr>
                <w:rFonts w:ascii="宋体" w:hAnsi="宋体" w:cs="宋体"/>
                <w:szCs w:val="21"/>
              </w:rPr>
              <w:t>级别</w:t>
            </w:r>
          </w:p>
        </w:tc>
        <w:tc>
          <w:tcPr>
            <w:tcW w:w="1480" w:type="dxa"/>
            <w:tcBorders>
              <w:top w:val="single" w:color="000000" w:sz="4" w:space="0"/>
              <w:left w:val="single" w:color="000000" w:sz="4" w:space="0"/>
              <w:bottom w:val="single" w:color="000000" w:sz="4" w:space="0"/>
              <w:right w:val="single" w:color="000000" w:sz="4" w:space="0"/>
            </w:tcBorders>
            <w:vAlign w:val="center"/>
          </w:tcPr>
          <w:p w14:paraId="750ABB33">
            <w:pPr>
              <w:pStyle w:val="72"/>
              <w:spacing w:line="440" w:lineRule="exact"/>
              <w:jc w:val="center"/>
              <w:rPr>
                <w:rFonts w:ascii="宋体" w:hAnsi="宋体" w:cs="宋体"/>
                <w:szCs w:val="21"/>
              </w:rPr>
            </w:pPr>
            <w:r>
              <w:rPr>
                <w:rFonts w:ascii="宋体" w:hAnsi="宋体" w:cs="宋体"/>
                <w:szCs w:val="21"/>
              </w:rPr>
              <w:t>证号</w:t>
            </w:r>
          </w:p>
        </w:tc>
        <w:tc>
          <w:tcPr>
            <w:tcW w:w="837" w:type="dxa"/>
            <w:tcBorders>
              <w:top w:val="single" w:color="000000" w:sz="4" w:space="0"/>
              <w:left w:val="single" w:color="000000" w:sz="4" w:space="0"/>
              <w:bottom w:val="single" w:color="000000" w:sz="4" w:space="0"/>
              <w:right w:val="single" w:color="000000" w:sz="4" w:space="0"/>
            </w:tcBorders>
            <w:vAlign w:val="center"/>
          </w:tcPr>
          <w:p w14:paraId="57237E14">
            <w:pPr>
              <w:pStyle w:val="72"/>
              <w:spacing w:line="440" w:lineRule="exact"/>
              <w:jc w:val="center"/>
              <w:rPr>
                <w:rFonts w:ascii="宋体" w:hAnsi="宋体" w:cs="宋体"/>
                <w:szCs w:val="21"/>
              </w:rPr>
            </w:pPr>
            <w:r>
              <w:rPr>
                <w:rFonts w:ascii="宋体" w:hAnsi="宋体" w:cs="宋体"/>
                <w:szCs w:val="21"/>
              </w:rPr>
              <w:t>专业</w:t>
            </w:r>
          </w:p>
        </w:tc>
        <w:tc>
          <w:tcPr>
            <w:tcW w:w="811" w:type="dxa"/>
            <w:tcBorders>
              <w:top w:val="single" w:color="000000" w:sz="4" w:space="0"/>
              <w:left w:val="single" w:color="000000" w:sz="4" w:space="0"/>
              <w:bottom w:val="single" w:color="000000" w:sz="4" w:space="0"/>
              <w:right w:val="single" w:color="000000" w:sz="4" w:space="0"/>
            </w:tcBorders>
            <w:vAlign w:val="center"/>
          </w:tcPr>
          <w:p w14:paraId="25587BD9">
            <w:pPr>
              <w:pStyle w:val="72"/>
              <w:spacing w:line="440" w:lineRule="exact"/>
              <w:ind w:right="110" w:firstLine="0"/>
              <w:jc w:val="center"/>
              <w:rPr>
                <w:rFonts w:ascii="宋体" w:hAnsi="宋体" w:cs="宋体"/>
                <w:szCs w:val="21"/>
              </w:rPr>
            </w:pPr>
            <w:r>
              <w:rPr>
                <w:rFonts w:ascii="宋体" w:hAnsi="宋体" w:cs="宋体"/>
                <w:szCs w:val="21"/>
              </w:rPr>
              <w:t>养老保险</w:t>
            </w:r>
          </w:p>
        </w:tc>
        <w:tc>
          <w:tcPr>
            <w:tcW w:w="706" w:type="dxa"/>
            <w:tcBorders>
              <w:top w:val="single" w:color="000000" w:sz="4" w:space="0"/>
              <w:left w:val="single" w:color="000000" w:sz="4" w:space="0"/>
              <w:bottom w:val="single" w:color="000000" w:sz="4" w:space="0"/>
              <w:right w:val="single" w:color="000000" w:sz="4" w:space="0"/>
            </w:tcBorders>
            <w:vAlign w:val="center"/>
          </w:tcPr>
          <w:p w14:paraId="39A58A5A">
            <w:pPr>
              <w:pStyle w:val="72"/>
              <w:snapToGrid w:val="0"/>
              <w:spacing w:line="440" w:lineRule="exact"/>
              <w:jc w:val="center"/>
              <w:rPr>
                <w:rFonts w:ascii="宋体" w:hAnsi="宋体" w:cs="宋体"/>
                <w:szCs w:val="21"/>
              </w:rPr>
            </w:pPr>
          </w:p>
        </w:tc>
      </w:tr>
      <w:tr w14:paraId="5C6B2853">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7155F571">
            <w:pPr>
              <w:pStyle w:val="72"/>
              <w:snapToGrid w:val="0"/>
              <w:spacing w:line="440" w:lineRule="exact"/>
              <w:jc w:val="center"/>
              <w:rPr>
                <w:rFonts w:ascii="宋体" w:hAnsi="宋体" w:cs="宋体"/>
                <w:color w:val="FF0000"/>
                <w:szCs w:val="21"/>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7F0E284C">
            <w:pPr>
              <w:pStyle w:val="72"/>
              <w:snapToGrid w:val="0"/>
              <w:spacing w:line="440" w:lineRule="exact"/>
              <w:jc w:val="center"/>
              <w:rPr>
                <w:rFonts w:ascii="宋体" w:hAnsi="宋体" w:cs="宋体"/>
                <w:color w:val="FF0000"/>
                <w:szCs w:val="21"/>
              </w:rPr>
            </w:pPr>
          </w:p>
        </w:tc>
        <w:tc>
          <w:tcPr>
            <w:tcW w:w="884" w:type="dxa"/>
            <w:tcBorders>
              <w:top w:val="single" w:color="000000" w:sz="4" w:space="0"/>
              <w:left w:val="single" w:color="000000" w:sz="4" w:space="0"/>
              <w:bottom w:val="single" w:color="000000" w:sz="4" w:space="0"/>
              <w:right w:val="single" w:color="000000" w:sz="4" w:space="0"/>
            </w:tcBorders>
            <w:vAlign w:val="center"/>
          </w:tcPr>
          <w:p w14:paraId="7CC80FDB">
            <w:pPr>
              <w:pStyle w:val="72"/>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vAlign w:val="center"/>
          </w:tcPr>
          <w:p w14:paraId="5C92DB99">
            <w:pPr>
              <w:pStyle w:val="72"/>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00990C93">
            <w:pPr>
              <w:pStyle w:val="72"/>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vAlign w:val="center"/>
          </w:tcPr>
          <w:p w14:paraId="7C499340">
            <w:pPr>
              <w:pStyle w:val="72"/>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vAlign w:val="center"/>
          </w:tcPr>
          <w:p w14:paraId="1841F923">
            <w:pPr>
              <w:pStyle w:val="72"/>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vAlign w:val="center"/>
          </w:tcPr>
          <w:p w14:paraId="721B0C41">
            <w:pPr>
              <w:pStyle w:val="72"/>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vAlign w:val="center"/>
          </w:tcPr>
          <w:p w14:paraId="0DC2FEDB">
            <w:pPr>
              <w:pStyle w:val="72"/>
              <w:snapToGrid w:val="0"/>
              <w:spacing w:line="440" w:lineRule="exact"/>
              <w:jc w:val="center"/>
              <w:rPr>
                <w:rFonts w:ascii="宋体" w:hAnsi="宋体" w:cs="宋体"/>
                <w:szCs w:val="21"/>
              </w:rPr>
            </w:pPr>
          </w:p>
        </w:tc>
      </w:tr>
      <w:tr w14:paraId="5F9FCFD3">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14C9DDB0">
            <w:pPr>
              <w:pStyle w:val="72"/>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5A9B9B0D">
            <w:pPr>
              <w:pStyle w:val="72"/>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vAlign w:val="center"/>
          </w:tcPr>
          <w:p w14:paraId="6D492B07">
            <w:pPr>
              <w:pStyle w:val="72"/>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vAlign w:val="center"/>
          </w:tcPr>
          <w:p w14:paraId="5571C2B1">
            <w:pPr>
              <w:pStyle w:val="72"/>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605D91BC">
            <w:pPr>
              <w:pStyle w:val="72"/>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vAlign w:val="center"/>
          </w:tcPr>
          <w:p w14:paraId="636790CA">
            <w:pPr>
              <w:pStyle w:val="72"/>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vAlign w:val="center"/>
          </w:tcPr>
          <w:p w14:paraId="4A0E59A3">
            <w:pPr>
              <w:pStyle w:val="72"/>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vAlign w:val="center"/>
          </w:tcPr>
          <w:p w14:paraId="70EBCAA5">
            <w:pPr>
              <w:pStyle w:val="72"/>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vAlign w:val="center"/>
          </w:tcPr>
          <w:p w14:paraId="290DBC29">
            <w:pPr>
              <w:pStyle w:val="72"/>
              <w:snapToGrid w:val="0"/>
              <w:spacing w:line="440" w:lineRule="exact"/>
              <w:jc w:val="center"/>
              <w:rPr>
                <w:rFonts w:ascii="宋体" w:hAnsi="宋体" w:cs="宋体"/>
                <w:szCs w:val="21"/>
              </w:rPr>
            </w:pPr>
          </w:p>
        </w:tc>
      </w:tr>
      <w:tr w14:paraId="0D69C067">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799E43D1">
            <w:pPr>
              <w:pStyle w:val="72"/>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22249C72">
            <w:pPr>
              <w:pStyle w:val="72"/>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083A8B3F">
            <w:pPr>
              <w:pStyle w:val="72"/>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55BAD329">
            <w:pPr>
              <w:pStyle w:val="72"/>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3E3AFD9E">
            <w:pPr>
              <w:pStyle w:val="72"/>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159CFBA3">
            <w:pPr>
              <w:pStyle w:val="72"/>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3FE02D6D">
            <w:pPr>
              <w:pStyle w:val="72"/>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42F67903">
            <w:pPr>
              <w:pStyle w:val="72"/>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50D0D145">
            <w:pPr>
              <w:pStyle w:val="72"/>
              <w:snapToGrid w:val="0"/>
              <w:spacing w:line="440" w:lineRule="exact"/>
              <w:jc w:val="center"/>
              <w:rPr>
                <w:rFonts w:ascii="宋体" w:hAnsi="宋体" w:cs="宋体"/>
                <w:szCs w:val="21"/>
              </w:rPr>
            </w:pPr>
          </w:p>
        </w:tc>
      </w:tr>
      <w:tr w14:paraId="68F31DD5">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3D2AA831">
            <w:pPr>
              <w:pStyle w:val="72"/>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4F1E5E79">
            <w:pPr>
              <w:pStyle w:val="72"/>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44CD4EEB">
            <w:pPr>
              <w:pStyle w:val="72"/>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51559B5F">
            <w:pPr>
              <w:pStyle w:val="72"/>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59D1B760">
            <w:pPr>
              <w:pStyle w:val="72"/>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38ED87A3">
            <w:pPr>
              <w:pStyle w:val="72"/>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4FEC2077">
            <w:pPr>
              <w:pStyle w:val="72"/>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47B461B1">
            <w:pPr>
              <w:pStyle w:val="72"/>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42BB5EF4">
            <w:pPr>
              <w:pStyle w:val="72"/>
              <w:snapToGrid w:val="0"/>
              <w:spacing w:line="440" w:lineRule="exact"/>
              <w:jc w:val="center"/>
              <w:rPr>
                <w:rFonts w:ascii="宋体" w:hAnsi="宋体" w:cs="宋体"/>
                <w:szCs w:val="21"/>
              </w:rPr>
            </w:pPr>
          </w:p>
        </w:tc>
      </w:tr>
      <w:tr w14:paraId="605BD171">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0761BF9A">
            <w:pPr>
              <w:pStyle w:val="72"/>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70A50233">
            <w:pPr>
              <w:pStyle w:val="72"/>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648ADDDF">
            <w:pPr>
              <w:pStyle w:val="72"/>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329F06B5">
            <w:pPr>
              <w:pStyle w:val="72"/>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7467A3D9">
            <w:pPr>
              <w:pStyle w:val="72"/>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5842824C">
            <w:pPr>
              <w:pStyle w:val="72"/>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6FC1FACB">
            <w:pPr>
              <w:pStyle w:val="72"/>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1BAEA3BF">
            <w:pPr>
              <w:pStyle w:val="72"/>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1D274DD3">
            <w:pPr>
              <w:pStyle w:val="72"/>
              <w:snapToGrid w:val="0"/>
              <w:spacing w:line="440" w:lineRule="exact"/>
              <w:jc w:val="center"/>
              <w:rPr>
                <w:rFonts w:ascii="宋体" w:hAnsi="宋体" w:cs="宋体"/>
                <w:szCs w:val="21"/>
              </w:rPr>
            </w:pPr>
          </w:p>
        </w:tc>
      </w:tr>
      <w:tr w14:paraId="5B8D6098">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44F3A5C7">
            <w:pPr>
              <w:pStyle w:val="72"/>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2D73BC3C">
            <w:pPr>
              <w:pStyle w:val="72"/>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5955DF4B">
            <w:pPr>
              <w:pStyle w:val="72"/>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1B0235FD">
            <w:pPr>
              <w:pStyle w:val="72"/>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49F19899">
            <w:pPr>
              <w:pStyle w:val="72"/>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541D5468">
            <w:pPr>
              <w:pStyle w:val="72"/>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4F8F5598">
            <w:pPr>
              <w:pStyle w:val="72"/>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535CA85F">
            <w:pPr>
              <w:pStyle w:val="72"/>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48349263">
            <w:pPr>
              <w:pStyle w:val="72"/>
              <w:snapToGrid w:val="0"/>
              <w:spacing w:line="440" w:lineRule="exact"/>
              <w:jc w:val="center"/>
              <w:rPr>
                <w:rFonts w:ascii="宋体" w:hAnsi="宋体" w:cs="宋体"/>
                <w:szCs w:val="21"/>
              </w:rPr>
            </w:pPr>
          </w:p>
        </w:tc>
      </w:tr>
      <w:tr w14:paraId="5B19588E">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5F1F9764">
            <w:pPr>
              <w:pStyle w:val="72"/>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4214B2BA">
            <w:pPr>
              <w:pStyle w:val="72"/>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28811AC8">
            <w:pPr>
              <w:pStyle w:val="72"/>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43AD3DAB">
            <w:pPr>
              <w:pStyle w:val="72"/>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7F4CE496">
            <w:pPr>
              <w:pStyle w:val="72"/>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119D2E0C">
            <w:pPr>
              <w:pStyle w:val="72"/>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4F277197">
            <w:pPr>
              <w:pStyle w:val="72"/>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317A9964">
            <w:pPr>
              <w:pStyle w:val="72"/>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4D3E54F5">
            <w:pPr>
              <w:pStyle w:val="72"/>
              <w:snapToGrid w:val="0"/>
              <w:spacing w:line="440" w:lineRule="exact"/>
              <w:jc w:val="center"/>
              <w:rPr>
                <w:rFonts w:ascii="宋体" w:hAnsi="宋体" w:cs="宋体"/>
                <w:szCs w:val="21"/>
              </w:rPr>
            </w:pPr>
          </w:p>
        </w:tc>
      </w:tr>
      <w:tr w14:paraId="7F87C87C">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0B1CC1AF">
            <w:pPr>
              <w:pStyle w:val="72"/>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6596AF27">
            <w:pPr>
              <w:pStyle w:val="72"/>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0098AC79">
            <w:pPr>
              <w:pStyle w:val="72"/>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6C24D2E1">
            <w:pPr>
              <w:pStyle w:val="72"/>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3243D9DA">
            <w:pPr>
              <w:pStyle w:val="72"/>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14C9A45F">
            <w:pPr>
              <w:pStyle w:val="72"/>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7BD9D218">
            <w:pPr>
              <w:pStyle w:val="72"/>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3926D211">
            <w:pPr>
              <w:pStyle w:val="72"/>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6DFDF361">
            <w:pPr>
              <w:pStyle w:val="72"/>
              <w:snapToGrid w:val="0"/>
              <w:spacing w:line="440" w:lineRule="exact"/>
              <w:jc w:val="center"/>
              <w:rPr>
                <w:rFonts w:ascii="宋体" w:hAnsi="宋体" w:cs="宋体"/>
                <w:szCs w:val="21"/>
              </w:rPr>
            </w:pPr>
          </w:p>
        </w:tc>
      </w:tr>
      <w:tr w14:paraId="20E967B5">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059082ED">
            <w:pPr>
              <w:pStyle w:val="72"/>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3E3FCA81">
            <w:pPr>
              <w:pStyle w:val="72"/>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464958E2">
            <w:pPr>
              <w:pStyle w:val="72"/>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69AF5F91">
            <w:pPr>
              <w:pStyle w:val="72"/>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0EB684DD">
            <w:pPr>
              <w:pStyle w:val="72"/>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58F38C29">
            <w:pPr>
              <w:pStyle w:val="72"/>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4D4BBAF2">
            <w:pPr>
              <w:pStyle w:val="72"/>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32C1A45C">
            <w:pPr>
              <w:pStyle w:val="72"/>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2C879765">
            <w:pPr>
              <w:pStyle w:val="72"/>
              <w:snapToGrid w:val="0"/>
              <w:spacing w:line="440" w:lineRule="exact"/>
              <w:jc w:val="center"/>
              <w:rPr>
                <w:rFonts w:ascii="宋体" w:hAnsi="宋体" w:cs="宋体"/>
                <w:szCs w:val="21"/>
              </w:rPr>
            </w:pPr>
          </w:p>
        </w:tc>
      </w:tr>
      <w:tr w14:paraId="426F77AA">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4EAD7937">
            <w:pPr>
              <w:pStyle w:val="72"/>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5C9135A6">
            <w:pPr>
              <w:pStyle w:val="72"/>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5260FD8B">
            <w:pPr>
              <w:pStyle w:val="72"/>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001C8E03">
            <w:pPr>
              <w:pStyle w:val="72"/>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7B396EAA">
            <w:pPr>
              <w:pStyle w:val="72"/>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75614952">
            <w:pPr>
              <w:pStyle w:val="72"/>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2FA2DA85">
            <w:pPr>
              <w:pStyle w:val="72"/>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0065D41B">
            <w:pPr>
              <w:pStyle w:val="72"/>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0DD394B7">
            <w:pPr>
              <w:pStyle w:val="72"/>
              <w:snapToGrid w:val="0"/>
              <w:spacing w:line="440" w:lineRule="exact"/>
              <w:jc w:val="center"/>
              <w:rPr>
                <w:rFonts w:ascii="宋体" w:hAnsi="宋体" w:cs="宋体"/>
                <w:szCs w:val="21"/>
              </w:rPr>
            </w:pPr>
          </w:p>
        </w:tc>
      </w:tr>
      <w:tr w14:paraId="176D54EC">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4663DB3E">
            <w:pPr>
              <w:pStyle w:val="72"/>
              <w:snapToGrid w:val="0"/>
              <w:spacing w:line="440" w:lineRule="exact"/>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3AD9D7CE">
            <w:pPr>
              <w:pStyle w:val="72"/>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2AE81052">
            <w:pPr>
              <w:pStyle w:val="72"/>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425544EF">
            <w:pPr>
              <w:pStyle w:val="72"/>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09132649">
            <w:pPr>
              <w:pStyle w:val="72"/>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535BCA70">
            <w:pPr>
              <w:pStyle w:val="72"/>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1E730FD6">
            <w:pPr>
              <w:pStyle w:val="72"/>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5B33C36D">
            <w:pPr>
              <w:pStyle w:val="72"/>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57B3D36C">
            <w:pPr>
              <w:pStyle w:val="72"/>
              <w:snapToGrid w:val="0"/>
              <w:spacing w:line="440" w:lineRule="exact"/>
              <w:jc w:val="center"/>
              <w:rPr>
                <w:rFonts w:ascii="宋体" w:hAnsi="宋体" w:cs="宋体"/>
                <w:szCs w:val="21"/>
              </w:rPr>
            </w:pPr>
          </w:p>
        </w:tc>
      </w:tr>
      <w:tr w14:paraId="338EE9C0">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tcPr>
          <w:p w14:paraId="052CD2B7">
            <w:pPr>
              <w:pStyle w:val="72"/>
              <w:snapToGrid w:val="0"/>
              <w:spacing w:line="440" w:lineRule="exact"/>
              <w:jc w:val="center"/>
              <w:rPr>
                <w:rFonts w:ascii="宋体" w:hAnsi="宋体" w:cs="宋体"/>
                <w:szCs w:val="21"/>
              </w:rPr>
            </w:pPr>
          </w:p>
        </w:tc>
        <w:tc>
          <w:tcPr>
            <w:tcW w:w="1097" w:type="dxa"/>
            <w:tcBorders>
              <w:top w:val="single" w:color="000000" w:sz="4" w:space="0"/>
              <w:left w:val="single" w:color="000000" w:sz="4" w:space="0"/>
              <w:bottom w:val="single" w:color="000000" w:sz="4" w:space="0"/>
              <w:right w:val="single" w:color="000000" w:sz="4" w:space="0"/>
            </w:tcBorders>
          </w:tcPr>
          <w:p w14:paraId="474D2811">
            <w:pPr>
              <w:pStyle w:val="72"/>
              <w:snapToGrid w:val="0"/>
              <w:spacing w:line="440" w:lineRule="exact"/>
              <w:jc w:val="center"/>
              <w:rPr>
                <w:rFonts w:ascii="宋体" w:hAnsi="宋体" w:cs="宋体"/>
                <w:szCs w:val="21"/>
              </w:rPr>
            </w:pPr>
          </w:p>
        </w:tc>
        <w:tc>
          <w:tcPr>
            <w:tcW w:w="884" w:type="dxa"/>
            <w:tcBorders>
              <w:top w:val="single" w:color="000000" w:sz="4" w:space="0"/>
              <w:left w:val="single" w:color="000000" w:sz="4" w:space="0"/>
              <w:bottom w:val="single" w:color="000000" w:sz="4" w:space="0"/>
              <w:right w:val="single" w:color="000000" w:sz="4" w:space="0"/>
            </w:tcBorders>
          </w:tcPr>
          <w:p w14:paraId="62DC2F6E">
            <w:pPr>
              <w:pStyle w:val="72"/>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085F6DDB">
            <w:pPr>
              <w:pStyle w:val="72"/>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0580B0BA">
            <w:pPr>
              <w:pStyle w:val="72"/>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327A4DAE">
            <w:pPr>
              <w:pStyle w:val="72"/>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02014D36">
            <w:pPr>
              <w:pStyle w:val="72"/>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6F5EE150">
            <w:pPr>
              <w:pStyle w:val="72"/>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6D01E4B4">
            <w:pPr>
              <w:pStyle w:val="72"/>
              <w:snapToGrid w:val="0"/>
              <w:spacing w:line="440" w:lineRule="exact"/>
              <w:jc w:val="center"/>
              <w:rPr>
                <w:rFonts w:ascii="宋体" w:hAnsi="宋体" w:cs="宋体"/>
                <w:szCs w:val="21"/>
              </w:rPr>
            </w:pPr>
          </w:p>
        </w:tc>
      </w:tr>
      <w:tr w14:paraId="64E6CBFD">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tcPr>
          <w:p w14:paraId="481937D9">
            <w:pPr>
              <w:pStyle w:val="72"/>
              <w:snapToGrid w:val="0"/>
              <w:spacing w:line="440" w:lineRule="exact"/>
              <w:jc w:val="center"/>
              <w:rPr>
                <w:rFonts w:ascii="宋体" w:hAnsi="宋体" w:cs="宋体"/>
                <w:szCs w:val="21"/>
              </w:rPr>
            </w:pPr>
          </w:p>
        </w:tc>
        <w:tc>
          <w:tcPr>
            <w:tcW w:w="1097" w:type="dxa"/>
            <w:tcBorders>
              <w:top w:val="single" w:color="000000" w:sz="4" w:space="0"/>
              <w:left w:val="single" w:color="000000" w:sz="4" w:space="0"/>
              <w:bottom w:val="single" w:color="000000" w:sz="4" w:space="0"/>
              <w:right w:val="single" w:color="000000" w:sz="4" w:space="0"/>
            </w:tcBorders>
          </w:tcPr>
          <w:p w14:paraId="53546F29">
            <w:pPr>
              <w:pStyle w:val="72"/>
              <w:snapToGrid w:val="0"/>
              <w:spacing w:line="440" w:lineRule="exact"/>
              <w:jc w:val="center"/>
              <w:rPr>
                <w:rFonts w:ascii="宋体" w:hAnsi="宋体" w:cs="宋体"/>
                <w:szCs w:val="21"/>
              </w:rPr>
            </w:pPr>
          </w:p>
        </w:tc>
        <w:tc>
          <w:tcPr>
            <w:tcW w:w="884" w:type="dxa"/>
            <w:tcBorders>
              <w:top w:val="single" w:color="000000" w:sz="4" w:space="0"/>
              <w:left w:val="single" w:color="000000" w:sz="4" w:space="0"/>
              <w:bottom w:val="single" w:color="000000" w:sz="4" w:space="0"/>
              <w:right w:val="single" w:color="000000" w:sz="4" w:space="0"/>
            </w:tcBorders>
          </w:tcPr>
          <w:p w14:paraId="40255982">
            <w:pPr>
              <w:pStyle w:val="72"/>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41C10214">
            <w:pPr>
              <w:pStyle w:val="72"/>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73D588D4">
            <w:pPr>
              <w:pStyle w:val="72"/>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4C73D061">
            <w:pPr>
              <w:pStyle w:val="72"/>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361F0E5B">
            <w:pPr>
              <w:pStyle w:val="72"/>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064EADA4">
            <w:pPr>
              <w:pStyle w:val="72"/>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51AE5B8A">
            <w:pPr>
              <w:pStyle w:val="72"/>
              <w:snapToGrid w:val="0"/>
              <w:spacing w:line="440" w:lineRule="exact"/>
              <w:jc w:val="center"/>
              <w:rPr>
                <w:rFonts w:ascii="宋体" w:hAnsi="宋体" w:cs="宋体"/>
                <w:szCs w:val="21"/>
              </w:rPr>
            </w:pPr>
          </w:p>
        </w:tc>
      </w:tr>
      <w:tr w14:paraId="7FAE2F73">
        <w:tblPrEx>
          <w:tblCellMar>
            <w:top w:w="0" w:type="dxa"/>
            <w:left w:w="108" w:type="dxa"/>
            <w:bottom w:w="0" w:type="dxa"/>
            <w:right w:w="108" w:type="dxa"/>
          </w:tblCellMar>
        </w:tblPrEx>
        <w:trPr>
          <w:trHeight w:val="418" w:hRule="atLeast"/>
          <w:jc w:val="center"/>
        </w:trPr>
        <w:tc>
          <w:tcPr>
            <w:tcW w:w="1397" w:type="dxa"/>
            <w:tcBorders>
              <w:top w:val="single" w:color="000000" w:sz="4" w:space="0"/>
              <w:left w:val="single" w:color="000000" w:sz="4" w:space="0"/>
              <w:bottom w:val="single" w:color="000000" w:sz="4" w:space="0"/>
              <w:right w:val="single" w:color="000000" w:sz="4" w:space="0"/>
            </w:tcBorders>
          </w:tcPr>
          <w:p w14:paraId="3557027B">
            <w:pPr>
              <w:pStyle w:val="72"/>
              <w:snapToGrid w:val="0"/>
              <w:spacing w:line="440" w:lineRule="exact"/>
              <w:jc w:val="center"/>
              <w:rPr>
                <w:rFonts w:ascii="宋体" w:hAnsi="宋体" w:cs="宋体"/>
                <w:szCs w:val="21"/>
              </w:rPr>
            </w:pPr>
          </w:p>
        </w:tc>
        <w:tc>
          <w:tcPr>
            <w:tcW w:w="1097" w:type="dxa"/>
            <w:tcBorders>
              <w:top w:val="single" w:color="000000" w:sz="4" w:space="0"/>
              <w:left w:val="single" w:color="000000" w:sz="4" w:space="0"/>
              <w:bottom w:val="single" w:color="000000" w:sz="4" w:space="0"/>
              <w:right w:val="single" w:color="000000" w:sz="4" w:space="0"/>
            </w:tcBorders>
          </w:tcPr>
          <w:p w14:paraId="0DB787E5">
            <w:pPr>
              <w:pStyle w:val="72"/>
              <w:snapToGrid w:val="0"/>
              <w:spacing w:line="440" w:lineRule="exact"/>
              <w:jc w:val="center"/>
              <w:rPr>
                <w:rFonts w:ascii="宋体" w:hAnsi="宋体" w:cs="宋体"/>
                <w:szCs w:val="21"/>
              </w:rPr>
            </w:pPr>
          </w:p>
        </w:tc>
        <w:tc>
          <w:tcPr>
            <w:tcW w:w="884" w:type="dxa"/>
            <w:tcBorders>
              <w:top w:val="single" w:color="000000" w:sz="4" w:space="0"/>
              <w:left w:val="single" w:color="000000" w:sz="4" w:space="0"/>
              <w:bottom w:val="single" w:color="000000" w:sz="4" w:space="0"/>
              <w:right w:val="single" w:color="000000" w:sz="4" w:space="0"/>
            </w:tcBorders>
          </w:tcPr>
          <w:p w14:paraId="0FDFFF39">
            <w:pPr>
              <w:pStyle w:val="72"/>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569402B6">
            <w:pPr>
              <w:pStyle w:val="72"/>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3E520F68">
            <w:pPr>
              <w:pStyle w:val="72"/>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2AA21AC9">
            <w:pPr>
              <w:pStyle w:val="72"/>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5D84494A">
            <w:pPr>
              <w:pStyle w:val="72"/>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4A3926C7">
            <w:pPr>
              <w:pStyle w:val="72"/>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45A1B123">
            <w:pPr>
              <w:pStyle w:val="72"/>
              <w:snapToGrid w:val="0"/>
              <w:spacing w:line="440" w:lineRule="exact"/>
              <w:jc w:val="center"/>
              <w:rPr>
                <w:rFonts w:ascii="宋体" w:hAnsi="宋体" w:cs="宋体"/>
                <w:szCs w:val="21"/>
              </w:rPr>
            </w:pPr>
          </w:p>
        </w:tc>
      </w:tr>
    </w:tbl>
    <w:p w14:paraId="2AA5B70D">
      <w:pPr>
        <w:pStyle w:val="17"/>
        <w:ind w:left="-628" w:right="0" w:firstLine="0"/>
        <w:jc w:val="left"/>
        <w:rPr>
          <w:rFonts w:ascii="宋体" w:hAnsi="宋体" w:cs="宋体"/>
          <w:sz w:val="24"/>
        </w:rPr>
      </w:pPr>
      <w:r>
        <w:rPr>
          <w:rFonts w:ascii="宋体" w:hAnsi="宋体" w:cs="宋体"/>
          <w:sz w:val="24"/>
        </w:rPr>
        <w:t>注：供应商应附本项目拟派</w:t>
      </w:r>
      <w:r>
        <w:rPr>
          <w:rFonts w:ascii="宋体" w:hAnsi="宋体" w:cs="宋体"/>
          <w:sz w:val="24"/>
          <w:lang w:val="en-US" w:eastAsia="zh-CN"/>
        </w:rPr>
        <w:t>人员</w:t>
      </w:r>
      <w:r>
        <w:rPr>
          <w:rFonts w:ascii="宋体" w:hAnsi="宋体" w:cs="宋体"/>
          <w:sz w:val="24"/>
        </w:rPr>
        <w:t>的身份证、</w:t>
      </w:r>
      <w:r>
        <w:rPr>
          <w:rFonts w:ascii="宋体" w:hAnsi="宋体" w:cs="宋体"/>
          <w:sz w:val="24"/>
          <w:lang w:val="en-US" w:eastAsia="zh-CN"/>
        </w:rPr>
        <w:t>及其相应</w:t>
      </w:r>
      <w:r>
        <w:rPr>
          <w:rFonts w:ascii="宋体" w:hAnsi="宋体" w:cs="宋体"/>
          <w:sz w:val="24"/>
        </w:rPr>
        <w:t>证书、</w:t>
      </w:r>
      <w:r>
        <w:rPr>
          <w:rFonts w:ascii="宋体" w:hAnsi="宋体" w:cs="宋体"/>
          <w:sz w:val="24"/>
          <w:lang w:val="en-US" w:eastAsia="zh-CN"/>
        </w:rPr>
        <w:t>近</w:t>
      </w:r>
      <w:r>
        <w:rPr>
          <w:rFonts w:cs="宋体"/>
          <w:sz w:val="24"/>
          <w:lang w:val="en-US" w:eastAsia="zh-CN"/>
        </w:rPr>
        <w:t>6</w:t>
      </w:r>
      <w:r>
        <w:rPr>
          <w:rFonts w:ascii="宋体" w:hAnsi="宋体" w:cs="宋体"/>
          <w:sz w:val="24"/>
          <w:lang w:val="en-US" w:eastAsia="zh-CN"/>
        </w:rPr>
        <w:t>个月内任意</w:t>
      </w:r>
      <w:r>
        <w:rPr>
          <w:rFonts w:cs="宋体"/>
          <w:sz w:val="24"/>
          <w:lang w:val="en-US" w:eastAsia="zh-CN"/>
        </w:rPr>
        <w:t>1</w:t>
      </w:r>
      <w:r>
        <w:rPr>
          <w:rFonts w:ascii="宋体" w:hAnsi="宋体" w:cs="宋体"/>
          <w:sz w:val="24"/>
          <w:lang w:val="en-US" w:eastAsia="zh-CN"/>
        </w:rPr>
        <w:t>个月社保缴纳证明</w:t>
      </w:r>
      <w:r>
        <w:rPr>
          <w:rFonts w:ascii="宋体" w:hAnsi="宋体" w:cs="宋体"/>
          <w:sz w:val="24"/>
        </w:rPr>
        <w:t>等资格证明文件原件的扫描件并加盖公章。</w:t>
      </w:r>
    </w:p>
    <w:p w14:paraId="30130D3C">
      <w:pPr>
        <w:pStyle w:val="17"/>
        <w:ind w:left="-628" w:right="0" w:firstLine="0"/>
        <w:jc w:val="left"/>
        <w:rPr>
          <w:rFonts w:ascii="宋体" w:hAnsi="宋体" w:cs="宋体"/>
          <w:sz w:val="24"/>
        </w:rPr>
      </w:pPr>
    </w:p>
    <w:p w14:paraId="3953E332">
      <w:pPr>
        <w:pStyle w:val="17"/>
        <w:ind w:left="-628" w:right="0" w:firstLine="0"/>
        <w:jc w:val="left"/>
        <w:rPr>
          <w:rFonts w:ascii="宋体" w:hAnsi="宋体" w:cs="宋体"/>
          <w:sz w:val="24"/>
        </w:rPr>
      </w:pPr>
    </w:p>
    <w:p w14:paraId="3A36DE54">
      <w:pPr>
        <w:pStyle w:val="71"/>
        <w:snapToGrid w:val="0"/>
        <w:spacing w:line="360" w:lineRule="auto"/>
        <w:rPr>
          <w:rFonts w:ascii="宋体" w:hAnsi="宋体" w:cs="宋体"/>
          <w:sz w:val="24"/>
          <w:szCs w:val="28"/>
        </w:rPr>
      </w:pPr>
    </w:p>
    <w:p w14:paraId="524E2E41">
      <w:pPr>
        <w:pStyle w:val="17"/>
        <w:ind w:left="426" w:right="0" w:hanging="426"/>
        <w:rPr>
          <w:rFonts w:ascii="宋体" w:hAnsi="宋体" w:cs="宋体"/>
          <w:u w:val="single"/>
        </w:rPr>
      </w:pPr>
      <w:r>
        <w:rPr>
          <w:rFonts w:ascii="宋体" w:hAnsi="宋体" w:cs="宋体"/>
        </w:rPr>
        <w:t>法定代表人或其委托人签字：</w:t>
      </w:r>
      <w:r>
        <w:rPr>
          <w:rFonts w:ascii="宋体" w:hAnsi="宋体" w:cs="宋体"/>
          <w:u w:val="single"/>
        </w:rPr>
        <w:t xml:space="preserve">                       </w:t>
      </w:r>
    </w:p>
    <w:p w14:paraId="6F6E2A1E">
      <w:pPr>
        <w:pStyle w:val="17"/>
        <w:ind w:left="426" w:right="0" w:hanging="426"/>
        <w:rPr>
          <w:rFonts w:ascii="宋体" w:hAnsi="宋体" w:cs="宋体"/>
          <w:u w:val="single"/>
        </w:rPr>
      </w:pPr>
      <w:r>
        <w:rPr>
          <w:rFonts w:ascii="宋体" w:hAnsi="宋体" w:cs="宋体"/>
        </w:rPr>
        <w:t>供应商名称（全称）：</w:t>
      </w:r>
      <w:r>
        <w:rPr>
          <w:rFonts w:ascii="宋体" w:hAnsi="宋体" w:cs="宋体"/>
          <w:u w:val="single"/>
        </w:rPr>
        <w:t xml:space="preserve">                                  </w:t>
      </w:r>
    </w:p>
    <w:p w14:paraId="26F58304">
      <w:pPr>
        <w:pStyle w:val="17"/>
        <w:ind w:left="426" w:right="0" w:hanging="426"/>
        <w:rPr>
          <w:rFonts w:ascii="宋体" w:hAnsi="宋体" w:cs="宋体"/>
          <w:u w:val="single"/>
        </w:rPr>
      </w:pPr>
      <w:r>
        <w:rPr>
          <w:rFonts w:ascii="宋体" w:hAnsi="宋体" w:cs="宋体"/>
        </w:rPr>
        <w:t>日期：</w:t>
      </w:r>
      <w:r>
        <w:rPr>
          <w:rFonts w:ascii="宋体" w:hAnsi="宋体" w:cs="宋体"/>
          <w:u w:val="single"/>
        </w:rPr>
        <w:t xml:space="preserve">                                  </w:t>
      </w:r>
    </w:p>
    <w:p w14:paraId="508F0BF2">
      <w:pPr>
        <w:pStyle w:val="71"/>
        <w:snapToGrid w:val="0"/>
        <w:spacing w:line="360" w:lineRule="auto"/>
        <w:jc w:val="left"/>
        <w:rPr>
          <w:rFonts w:ascii="宋体" w:hAnsi="宋体" w:cs="宋体"/>
          <w:sz w:val="24"/>
          <w:szCs w:val="24"/>
          <w:u w:val="single"/>
        </w:rPr>
      </w:pPr>
    </w:p>
    <w:p w14:paraId="33D7EB7A">
      <w:pPr>
        <w:pStyle w:val="71"/>
        <w:snapToGrid w:val="0"/>
        <w:spacing w:line="360" w:lineRule="auto"/>
        <w:jc w:val="center"/>
        <w:rPr>
          <w:rFonts w:ascii="宋体" w:hAnsi="宋体" w:cs="宋体"/>
          <w:sz w:val="24"/>
          <w:szCs w:val="24"/>
        </w:rPr>
      </w:pPr>
    </w:p>
    <w:p w14:paraId="27B7B7D4">
      <w:pPr>
        <w:pStyle w:val="71"/>
        <w:snapToGrid w:val="0"/>
        <w:spacing w:line="360" w:lineRule="auto"/>
        <w:jc w:val="left"/>
        <w:rPr>
          <w:rFonts w:ascii="宋体" w:hAnsi="宋体" w:cs="宋体"/>
          <w:sz w:val="24"/>
          <w:szCs w:val="24"/>
        </w:rPr>
      </w:pPr>
      <w:r>
        <w:rPr>
          <w:rFonts w:ascii="宋体" w:hAnsi="宋体" w:cs="宋体"/>
          <w:b/>
          <w:bCs/>
          <w:color w:val="000000"/>
          <w:sz w:val="24"/>
          <w:lang w:val="en-US" w:eastAsia="zh-CN"/>
        </w:rPr>
        <w:t>响应文件格式</w:t>
      </w:r>
      <w:r>
        <w:rPr>
          <w:rFonts w:ascii="宋体" w:hAnsi="宋体" w:eastAsia="宋体" w:cs="宋体"/>
          <w:b/>
          <w:bCs/>
          <w:color w:val="000000"/>
          <w:spacing w:val="0"/>
          <w:w w:val="100"/>
          <w:position w:val="0"/>
          <w:sz w:val="24"/>
          <w:szCs w:val="24"/>
          <w:vertAlign w:val="baseline"/>
          <w:lang w:val="en-US" w:eastAsia="zh-CN"/>
        </w:rPr>
        <w:t>1</w:t>
      </w:r>
      <w:r>
        <w:rPr>
          <w:rFonts w:ascii="宋体" w:hAnsi="宋体" w:cs="宋体"/>
          <w:b/>
          <w:bCs/>
          <w:color w:val="000000"/>
          <w:spacing w:val="0"/>
          <w:w w:val="100"/>
          <w:position w:val="0"/>
          <w:sz w:val="24"/>
          <w:szCs w:val="24"/>
          <w:vertAlign w:val="baseline"/>
          <w:lang w:val="en-US" w:eastAsia="zh-CN"/>
        </w:rPr>
        <w:t>2</w:t>
      </w:r>
      <w:r>
        <w:rPr>
          <w:rFonts w:ascii="宋体" w:hAnsi="宋体" w:cs="宋体"/>
          <w:b/>
          <w:bCs/>
          <w:color w:val="000000"/>
          <w:w w:val="90"/>
          <w:sz w:val="24"/>
          <w:szCs w:val="24"/>
          <w:lang w:val="en-US" w:eastAsia="zh-CN"/>
        </w:rPr>
        <w:t>、</w:t>
      </w:r>
    </w:p>
    <w:p w14:paraId="19A82BF7">
      <w:pPr>
        <w:pStyle w:val="70"/>
        <w:numPr>
          <w:ilvl w:val="0"/>
          <w:numId w:val="0"/>
        </w:numPr>
        <w:ind w:firstLine="3113"/>
        <w:outlineLvl w:val="2"/>
        <w:rPr>
          <w:rFonts w:ascii="Times New Roman" w:hAnsi="Times New Roman" w:eastAsia="Times New Roman" w:cs="Times New Roman"/>
        </w:rPr>
      </w:pPr>
      <w:r>
        <w:rPr>
          <w:rFonts w:cs="黑体"/>
          <w:sz w:val="28"/>
          <w:lang w:val="en-US" w:eastAsia="zh-CN"/>
        </w:rPr>
        <w:t xml:space="preserve"> </w:t>
      </w:r>
      <w:r>
        <w:rPr>
          <w:rFonts w:cs="黑体"/>
          <w:sz w:val="28"/>
        </w:rPr>
        <w:t>项目经理简历表</w:t>
      </w:r>
    </w:p>
    <w:p w14:paraId="113A62DF">
      <w:pPr>
        <w:pStyle w:val="63"/>
        <w:jc w:val="center"/>
        <w:rPr>
          <w:rFonts w:ascii="Times New Roman" w:hAnsi="Times New Roman" w:eastAsia="Times New Roman" w:cs="Times New Roman"/>
        </w:rPr>
      </w:pPr>
    </w:p>
    <w:tbl>
      <w:tblPr>
        <w:tblStyle w:val="20"/>
        <w:tblW w:w="9675" w:type="dxa"/>
        <w:jc w:val="center"/>
        <w:tblLayout w:type="fixed"/>
        <w:tblCellMar>
          <w:top w:w="0" w:type="dxa"/>
          <w:left w:w="108" w:type="dxa"/>
          <w:bottom w:w="0" w:type="dxa"/>
          <w:right w:w="108" w:type="dxa"/>
        </w:tblCellMar>
      </w:tblPr>
      <w:tblGrid>
        <w:gridCol w:w="1701"/>
        <w:gridCol w:w="54"/>
        <w:gridCol w:w="1035"/>
        <w:gridCol w:w="507"/>
        <w:gridCol w:w="627"/>
        <w:gridCol w:w="507"/>
        <w:gridCol w:w="768"/>
        <w:gridCol w:w="507"/>
        <w:gridCol w:w="1336"/>
        <w:gridCol w:w="507"/>
        <w:gridCol w:w="2126"/>
      </w:tblGrid>
      <w:tr w14:paraId="3F386B1C">
        <w:tblPrEx>
          <w:tblCellMar>
            <w:top w:w="0" w:type="dxa"/>
            <w:left w:w="108" w:type="dxa"/>
            <w:bottom w:w="0" w:type="dxa"/>
            <w:right w:w="108" w:type="dxa"/>
          </w:tblCellMar>
        </w:tblPrEx>
        <w:trPr>
          <w:trHeight w:val="454" w:hRule="atLeast"/>
          <w:jc w:val="center"/>
        </w:trPr>
        <w:tc>
          <w:tcPr>
            <w:tcW w:w="1701" w:type="dxa"/>
            <w:tcBorders>
              <w:top w:val="single" w:color="000000" w:sz="4" w:space="0"/>
              <w:left w:val="single" w:color="000000" w:sz="4" w:space="0"/>
              <w:bottom w:val="single" w:color="000000" w:sz="4" w:space="0"/>
              <w:right w:val="single" w:color="000000" w:sz="4" w:space="0"/>
            </w:tcBorders>
            <w:vAlign w:val="center"/>
          </w:tcPr>
          <w:p w14:paraId="5C072F83">
            <w:pPr>
              <w:pStyle w:val="63"/>
              <w:jc w:val="center"/>
              <w:rPr>
                <w:rFonts w:ascii="宋体" w:hAnsi="宋体" w:cs="宋体"/>
                <w:sz w:val="24"/>
              </w:rPr>
            </w:pPr>
            <w:r>
              <w:rPr>
                <w:rFonts w:ascii="宋体" w:hAnsi="宋体" w:cs="宋体"/>
                <w:sz w:val="24"/>
              </w:rPr>
              <w:t>姓  名</w:t>
            </w:r>
          </w:p>
        </w:tc>
        <w:tc>
          <w:tcPr>
            <w:tcW w:w="1596" w:type="dxa"/>
            <w:gridSpan w:val="3"/>
            <w:tcBorders>
              <w:top w:val="single" w:color="000000" w:sz="4" w:space="0"/>
              <w:left w:val="single" w:color="000000" w:sz="4" w:space="0"/>
              <w:bottom w:val="single" w:color="000000" w:sz="4" w:space="0"/>
              <w:right w:val="single" w:color="000000" w:sz="4" w:space="0"/>
            </w:tcBorders>
            <w:vAlign w:val="center"/>
          </w:tcPr>
          <w:p w14:paraId="23932CE9">
            <w:pPr>
              <w:pStyle w:val="63"/>
              <w:snapToGrid w:val="0"/>
              <w:jc w:val="center"/>
              <w:rPr>
                <w:rFonts w:ascii="宋体" w:hAnsi="宋体" w:cs="宋体"/>
                <w:sz w:val="24"/>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2B3EB29F">
            <w:pPr>
              <w:pStyle w:val="63"/>
              <w:jc w:val="center"/>
              <w:rPr>
                <w:rFonts w:ascii="宋体" w:hAnsi="宋体" w:cs="宋体"/>
                <w:sz w:val="24"/>
              </w:rPr>
            </w:pPr>
            <w:r>
              <w:rPr>
                <w:rFonts w:ascii="宋体" w:hAnsi="宋体" w:cs="宋体"/>
                <w:sz w:val="24"/>
              </w:rPr>
              <w:t>年  龄</w:t>
            </w: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354E7444">
            <w:pPr>
              <w:pStyle w:val="63"/>
              <w:snapToGrid w:val="0"/>
              <w:jc w:val="center"/>
              <w:rPr>
                <w:rFonts w:ascii="宋体" w:hAnsi="宋体" w:cs="宋体"/>
                <w:sz w:val="24"/>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338FA284">
            <w:pPr>
              <w:pStyle w:val="63"/>
              <w:jc w:val="center"/>
              <w:rPr>
                <w:rFonts w:ascii="宋体" w:hAnsi="宋体" w:cs="宋体"/>
                <w:sz w:val="24"/>
              </w:rPr>
            </w:pPr>
            <w:r>
              <w:rPr>
                <w:rFonts w:ascii="宋体" w:hAnsi="宋体" w:cs="宋体"/>
                <w:sz w:val="24"/>
              </w:rPr>
              <w:t>学历</w:t>
            </w:r>
          </w:p>
        </w:tc>
        <w:tc>
          <w:tcPr>
            <w:tcW w:w="2126" w:type="dxa"/>
            <w:tcBorders>
              <w:top w:val="single" w:color="000000" w:sz="4" w:space="0"/>
              <w:left w:val="single" w:color="000000" w:sz="4" w:space="0"/>
              <w:bottom w:val="single" w:color="000000" w:sz="4" w:space="0"/>
              <w:right w:val="single" w:color="000000" w:sz="4" w:space="0"/>
            </w:tcBorders>
            <w:vAlign w:val="center"/>
          </w:tcPr>
          <w:p w14:paraId="22225DC5">
            <w:pPr>
              <w:pStyle w:val="63"/>
              <w:snapToGrid w:val="0"/>
              <w:jc w:val="center"/>
              <w:rPr>
                <w:rFonts w:ascii="宋体" w:hAnsi="宋体" w:cs="宋体"/>
                <w:sz w:val="24"/>
              </w:rPr>
            </w:pPr>
          </w:p>
        </w:tc>
      </w:tr>
      <w:tr w14:paraId="5E4D60DE">
        <w:tblPrEx>
          <w:tblCellMar>
            <w:top w:w="0" w:type="dxa"/>
            <w:left w:w="108" w:type="dxa"/>
            <w:bottom w:w="0" w:type="dxa"/>
            <w:right w:w="108" w:type="dxa"/>
          </w:tblCellMar>
        </w:tblPrEx>
        <w:trPr>
          <w:trHeight w:val="454" w:hRule="atLeast"/>
          <w:jc w:val="center"/>
        </w:trPr>
        <w:tc>
          <w:tcPr>
            <w:tcW w:w="1701" w:type="dxa"/>
            <w:tcBorders>
              <w:top w:val="single" w:color="000000" w:sz="4" w:space="0"/>
              <w:left w:val="single" w:color="000000" w:sz="4" w:space="0"/>
              <w:bottom w:val="single" w:color="000000" w:sz="4" w:space="0"/>
              <w:right w:val="single" w:color="000000" w:sz="4" w:space="0"/>
            </w:tcBorders>
            <w:vAlign w:val="center"/>
          </w:tcPr>
          <w:p w14:paraId="0E38C599">
            <w:pPr>
              <w:pStyle w:val="63"/>
              <w:jc w:val="center"/>
              <w:rPr>
                <w:rFonts w:ascii="宋体" w:hAnsi="宋体" w:cs="宋体"/>
                <w:sz w:val="24"/>
              </w:rPr>
            </w:pPr>
            <w:r>
              <w:rPr>
                <w:rFonts w:ascii="宋体" w:hAnsi="宋体" w:cs="宋体"/>
                <w:sz w:val="24"/>
              </w:rPr>
              <w:t>职  称</w:t>
            </w:r>
          </w:p>
        </w:tc>
        <w:tc>
          <w:tcPr>
            <w:tcW w:w="1596" w:type="dxa"/>
            <w:gridSpan w:val="3"/>
            <w:tcBorders>
              <w:top w:val="single" w:color="000000" w:sz="4" w:space="0"/>
              <w:left w:val="single" w:color="000000" w:sz="4" w:space="0"/>
              <w:bottom w:val="single" w:color="000000" w:sz="4" w:space="0"/>
              <w:right w:val="single" w:color="000000" w:sz="4" w:space="0"/>
            </w:tcBorders>
            <w:vAlign w:val="center"/>
          </w:tcPr>
          <w:p w14:paraId="17AE30F9">
            <w:pPr>
              <w:pStyle w:val="63"/>
              <w:snapToGrid w:val="0"/>
              <w:jc w:val="center"/>
              <w:rPr>
                <w:rFonts w:ascii="宋体" w:hAnsi="宋体" w:cs="宋体"/>
                <w:sz w:val="24"/>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5316412A">
            <w:pPr>
              <w:pStyle w:val="63"/>
              <w:jc w:val="center"/>
              <w:rPr>
                <w:rFonts w:ascii="宋体" w:hAnsi="宋体" w:cs="宋体"/>
                <w:sz w:val="24"/>
              </w:rPr>
            </w:pPr>
            <w:r>
              <w:rPr>
                <w:rFonts w:ascii="宋体" w:hAnsi="宋体" w:cs="宋体"/>
                <w:sz w:val="24"/>
              </w:rPr>
              <w:t>职  务</w:t>
            </w: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53F6CCCD">
            <w:pPr>
              <w:pStyle w:val="63"/>
              <w:snapToGrid w:val="0"/>
              <w:jc w:val="center"/>
              <w:rPr>
                <w:rFonts w:ascii="宋体" w:hAnsi="宋体" w:cs="宋体"/>
                <w:sz w:val="24"/>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2AA2F4CA">
            <w:pPr>
              <w:pStyle w:val="63"/>
              <w:jc w:val="center"/>
              <w:rPr>
                <w:rFonts w:ascii="宋体" w:hAnsi="宋体" w:cs="宋体"/>
                <w:sz w:val="24"/>
              </w:rPr>
            </w:pPr>
            <w:r>
              <w:rPr>
                <w:rFonts w:ascii="宋体" w:hAnsi="宋体" w:cs="宋体"/>
                <w:sz w:val="24"/>
              </w:rPr>
              <w:t>拟在本工程任职</w:t>
            </w:r>
          </w:p>
        </w:tc>
        <w:tc>
          <w:tcPr>
            <w:tcW w:w="2126" w:type="dxa"/>
            <w:tcBorders>
              <w:top w:val="single" w:color="000000" w:sz="4" w:space="0"/>
              <w:left w:val="single" w:color="000000" w:sz="4" w:space="0"/>
              <w:bottom w:val="single" w:color="000000" w:sz="4" w:space="0"/>
              <w:right w:val="single" w:color="000000" w:sz="4" w:space="0"/>
            </w:tcBorders>
            <w:vAlign w:val="center"/>
          </w:tcPr>
          <w:p w14:paraId="5683ABE7">
            <w:pPr>
              <w:pStyle w:val="63"/>
              <w:jc w:val="center"/>
              <w:rPr>
                <w:rFonts w:ascii="宋体" w:hAnsi="宋体" w:cs="宋体"/>
                <w:sz w:val="24"/>
              </w:rPr>
            </w:pPr>
            <w:r>
              <w:rPr>
                <w:rFonts w:ascii="宋体" w:hAnsi="宋体" w:cs="宋体"/>
                <w:sz w:val="24"/>
              </w:rPr>
              <w:t>项目经理</w:t>
            </w:r>
          </w:p>
        </w:tc>
      </w:tr>
      <w:tr w14:paraId="2D1BBFB1">
        <w:tblPrEx>
          <w:tblCellMar>
            <w:top w:w="0" w:type="dxa"/>
            <w:left w:w="108" w:type="dxa"/>
            <w:bottom w:w="0" w:type="dxa"/>
            <w:right w:w="108" w:type="dxa"/>
          </w:tblCellMar>
        </w:tblPrEx>
        <w:trPr>
          <w:trHeight w:val="454" w:hRule="atLeast"/>
          <w:jc w:val="center"/>
        </w:trPr>
        <w:tc>
          <w:tcPr>
            <w:tcW w:w="3924" w:type="dxa"/>
            <w:gridSpan w:val="5"/>
            <w:tcBorders>
              <w:top w:val="single" w:color="000000" w:sz="4" w:space="0"/>
              <w:left w:val="single" w:color="000000" w:sz="4" w:space="0"/>
              <w:bottom w:val="single" w:color="000000" w:sz="4" w:space="0"/>
              <w:right w:val="single" w:color="000000" w:sz="4" w:space="0"/>
            </w:tcBorders>
            <w:vAlign w:val="center"/>
          </w:tcPr>
          <w:p w14:paraId="2AA56F88">
            <w:pPr>
              <w:pStyle w:val="63"/>
              <w:jc w:val="center"/>
              <w:rPr>
                <w:rFonts w:ascii="宋体" w:hAnsi="宋体" w:cs="宋体"/>
                <w:sz w:val="24"/>
              </w:rPr>
            </w:pPr>
            <w:r>
              <w:rPr>
                <w:rFonts w:ascii="宋体" w:hAnsi="宋体" w:cs="宋体"/>
                <w:sz w:val="24"/>
              </w:rPr>
              <w:t>注册建造师执业资格等级</w:t>
            </w: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2CD68EB0">
            <w:pPr>
              <w:pStyle w:val="63"/>
              <w:jc w:val="center"/>
              <w:rPr>
                <w:rFonts w:ascii="宋体" w:hAnsi="宋体" w:cs="宋体"/>
                <w:sz w:val="24"/>
              </w:rPr>
            </w:pPr>
            <w:r>
              <w:rPr>
                <w:rFonts w:ascii="宋体" w:hAnsi="宋体" w:cs="宋体"/>
                <w:sz w:val="24"/>
              </w:rPr>
              <w:t>级</w:t>
            </w: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459B7955">
            <w:pPr>
              <w:pStyle w:val="63"/>
              <w:jc w:val="center"/>
              <w:rPr>
                <w:rFonts w:ascii="宋体" w:hAnsi="宋体" w:cs="宋体"/>
                <w:sz w:val="24"/>
              </w:rPr>
            </w:pPr>
            <w:r>
              <w:rPr>
                <w:rFonts w:ascii="宋体" w:hAnsi="宋体" w:cs="宋体"/>
                <w:sz w:val="24"/>
              </w:rPr>
              <w:t>建造师专业</w:t>
            </w: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7BEE61E5">
            <w:pPr>
              <w:pStyle w:val="63"/>
              <w:snapToGrid w:val="0"/>
              <w:jc w:val="center"/>
              <w:rPr>
                <w:rFonts w:ascii="宋体" w:hAnsi="宋体" w:cs="宋体"/>
                <w:sz w:val="24"/>
              </w:rPr>
            </w:pPr>
          </w:p>
        </w:tc>
      </w:tr>
      <w:tr w14:paraId="0C74B509">
        <w:tblPrEx>
          <w:tblCellMar>
            <w:top w:w="0" w:type="dxa"/>
            <w:left w:w="108" w:type="dxa"/>
            <w:bottom w:w="0" w:type="dxa"/>
            <w:right w:w="108" w:type="dxa"/>
          </w:tblCellMar>
        </w:tblPrEx>
        <w:trPr>
          <w:trHeight w:val="454" w:hRule="atLeast"/>
          <w:jc w:val="center"/>
        </w:trPr>
        <w:tc>
          <w:tcPr>
            <w:tcW w:w="3924" w:type="dxa"/>
            <w:gridSpan w:val="5"/>
            <w:tcBorders>
              <w:top w:val="single" w:color="000000" w:sz="4" w:space="0"/>
              <w:left w:val="single" w:color="000000" w:sz="4" w:space="0"/>
              <w:bottom w:val="single" w:color="000000" w:sz="4" w:space="0"/>
              <w:right w:val="single" w:color="000000" w:sz="4" w:space="0"/>
            </w:tcBorders>
            <w:vAlign w:val="center"/>
          </w:tcPr>
          <w:p w14:paraId="2F1310BC">
            <w:pPr>
              <w:pStyle w:val="63"/>
              <w:jc w:val="center"/>
              <w:rPr>
                <w:rFonts w:ascii="宋体" w:hAnsi="宋体" w:cs="宋体"/>
                <w:sz w:val="24"/>
              </w:rPr>
            </w:pPr>
            <w:r>
              <w:rPr>
                <w:rFonts w:ascii="宋体" w:hAnsi="宋体" w:cs="宋体"/>
                <w:sz w:val="24"/>
              </w:rPr>
              <w:t>安全生产考核合格证书</w:t>
            </w:r>
          </w:p>
        </w:tc>
        <w:tc>
          <w:tcPr>
            <w:tcW w:w="5751" w:type="dxa"/>
            <w:gridSpan w:val="6"/>
            <w:tcBorders>
              <w:top w:val="single" w:color="000000" w:sz="4" w:space="0"/>
              <w:left w:val="single" w:color="000000" w:sz="4" w:space="0"/>
              <w:bottom w:val="single" w:color="000000" w:sz="4" w:space="0"/>
              <w:right w:val="single" w:color="000000" w:sz="4" w:space="0"/>
            </w:tcBorders>
            <w:vAlign w:val="center"/>
          </w:tcPr>
          <w:p w14:paraId="6FEAAA89">
            <w:pPr>
              <w:pStyle w:val="63"/>
              <w:snapToGrid w:val="0"/>
              <w:jc w:val="center"/>
              <w:rPr>
                <w:rFonts w:ascii="宋体" w:hAnsi="宋体" w:cs="宋体"/>
                <w:sz w:val="24"/>
              </w:rPr>
            </w:pPr>
          </w:p>
        </w:tc>
      </w:tr>
      <w:tr w14:paraId="516BA5E5">
        <w:tblPrEx>
          <w:tblCellMar>
            <w:top w:w="0" w:type="dxa"/>
            <w:left w:w="108" w:type="dxa"/>
            <w:bottom w:w="0" w:type="dxa"/>
            <w:right w:w="108" w:type="dxa"/>
          </w:tblCellMar>
        </w:tblPrEx>
        <w:trPr>
          <w:trHeight w:val="454"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0619ED44">
            <w:pPr>
              <w:pStyle w:val="63"/>
              <w:jc w:val="center"/>
              <w:rPr>
                <w:rFonts w:ascii="宋体" w:hAnsi="宋体" w:cs="宋体"/>
                <w:sz w:val="24"/>
              </w:rPr>
            </w:pPr>
            <w:r>
              <w:rPr>
                <w:rFonts w:ascii="宋体" w:hAnsi="宋体" w:cs="宋体"/>
                <w:sz w:val="24"/>
              </w:rPr>
              <w:t>毕业学校</w:t>
            </w:r>
          </w:p>
        </w:tc>
        <w:tc>
          <w:tcPr>
            <w:tcW w:w="7920" w:type="dxa"/>
            <w:gridSpan w:val="9"/>
            <w:tcBorders>
              <w:top w:val="single" w:color="000000" w:sz="4" w:space="0"/>
              <w:left w:val="single" w:color="000000" w:sz="4" w:space="0"/>
              <w:bottom w:val="single" w:color="000000" w:sz="4" w:space="0"/>
              <w:right w:val="single" w:color="000000" w:sz="4" w:space="0"/>
            </w:tcBorders>
            <w:vAlign w:val="center"/>
          </w:tcPr>
          <w:p w14:paraId="560A563B">
            <w:pPr>
              <w:pStyle w:val="63"/>
              <w:jc w:val="center"/>
              <w:rPr>
                <w:rFonts w:ascii="宋体" w:hAnsi="宋体" w:cs="宋体"/>
                <w:sz w:val="24"/>
              </w:rPr>
            </w:pPr>
            <w:r>
              <w:rPr>
                <w:rFonts w:ascii="宋体" w:hAnsi="宋体" w:cs="宋体"/>
                <w:sz w:val="24"/>
              </w:rPr>
              <w:t>年毕业于                  学校            专业</w:t>
            </w:r>
          </w:p>
        </w:tc>
      </w:tr>
      <w:tr w14:paraId="47DCDA14">
        <w:tblPrEx>
          <w:tblCellMar>
            <w:top w:w="0" w:type="dxa"/>
            <w:left w:w="108" w:type="dxa"/>
            <w:bottom w:w="0" w:type="dxa"/>
            <w:right w:w="108" w:type="dxa"/>
          </w:tblCellMar>
        </w:tblPrEx>
        <w:trPr>
          <w:trHeight w:val="454" w:hRule="atLeast"/>
          <w:jc w:val="center"/>
        </w:trPr>
        <w:tc>
          <w:tcPr>
            <w:tcW w:w="9675" w:type="dxa"/>
            <w:gridSpan w:val="11"/>
            <w:tcBorders>
              <w:top w:val="single" w:color="000000" w:sz="4" w:space="0"/>
              <w:left w:val="single" w:color="000000" w:sz="4" w:space="0"/>
              <w:bottom w:val="single" w:color="000000" w:sz="4" w:space="0"/>
              <w:right w:val="single" w:color="000000" w:sz="4" w:space="0"/>
            </w:tcBorders>
            <w:vAlign w:val="center"/>
          </w:tcPr>
          <w:p w14:paraId="0AE27BDA">
            <w:pPr>
              <w:pStyle w:val="63"/>
              <w:jc w:val="center"/>
              <w:rPr>
                <w:rFonts w:ascii="宋体" w:hAnsi="宋体" w:cs="宋体"/>
                <w:sz w:val="24"/>
              </w:rPr>
            </w:pPr>
            <w:r>
              <w:rPr>
                <w:rFonts w:ascii="宋体" w:hAnsi="宋体" w:cs="宋体"/>
                <w:sz w:val="24"/>
              </w:rPr>
              <w:t>主要工作经历</w:t>
            </w:r>
          </w:p>
        </w:tc>
      </w:tr>
      <w:tr w14:paraId="42A9813D">
        <w:tblPrEx>
          <w:tblCellMar>
            <w:top w:w="0" w:type="dxa"/>
            <w:left w:w="108" w:type="dxa"/>
            <w:bottom w:w="0" w:type="dxa"/>
            <w:right w:w="108" w:type="dxa"/>
          </w:tblCellMar>
        </w:tblPrEx>
        <w:trPr>
          <w:trHeight w:val="454"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61E56E2C">
            <w:pPr>
              <w:pStyle w:val="63"/>
              <w:jc w:val="center"/>
              <w:rPr>
                <w:rFonts w:ascii="宋体" w:hAnsi="宋体" w:cs="宋体"/>
                <w:sz w:val="24"/>
              </w:rPr>
            </w:pPr>
            <w:r>
              <w:rPr>
                <w:rFonts w:ascii="宋体" w:hAnsi="宋体" w:cs="宋体"/>
                <w:sz w:val="24"/>
              </w:rPr>
              <w:t>时  间</w:t>
            </w:r>
          </w:p>
        </w:tc>
        <w:tc>
          <w:tcPr>
            <w:tcW w:w="3444" w:type="dxa"/>
            <w:gridSpan w:val="5"/>
            <w:tcBorders>
              <w:top w:val="single" w:color="000000" w:sz="4" w:space="0"/>
              <w:left w:val="single" w:color="000000" w:sz="4" w:space="0"/>
              <w:bottom w:val="single" w:color="000000" w:sz="4" w:space="0"/>
              <w:right w:val="single" w:color="000000" w:sz="4" w:space="0"/>
            </w:tcBorders>
            <w:vAlign w:val="center"/>
          </w:tcPr>
          <w:p w14:paraId="149BC48D">
            <w:pPr>
              <w:pStyle w:val="63"/>
              <w:jc w:val="center"/>
              <w:rPr>
                <w:rFonts w:ascii="宋体" w:hAnsi="宋体" w:cs="宋体"/>
                <w:sz w:val="24"/>
              </w:rPr>
            </w:pPr>
            <w:r>
              <w:rPr>
                <w:rFonts w:ascii="宋体" w:hAnsi="宋体" w:cs="宋体"/>
                <w:sz w:val="24"/>
              </w:rPr>
              <w:t>参加过的类似项目名称</w:t>
            </w: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0B99FEEE">
            <w:pPr>
              <w:pStyle w:val="63"/>
              <w:jc w:val="center"/>
              <w:rPr>
                <w:rFonts w:ascii="宋体" w:hAnsi="宋体" w:cs="宋体"/>
                <w:sz w:val="24"/>
              </w:rPr>
            </w:pPr>
            <w:r>
              <w:rPr>
                <w:rFonts w:ascii="宋体" w:hAnsi="宋体" w:cs="宋体"/>
                <w:sz w:val="24"/>
              </w:rPr>
              <w:t>工程概况说明</w:t>
            </w: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08780F2D">
            <w:pPr>
              <w:pStyle w:val="63"/>
              <w:jc w:val="center"/>
              <w:rPr>
                <w:rFonts w:ascii="宋体" w:hAnsi="宋体" w:cs="宋体"/>
                <w:sz w:val="24"/>
              </w:rPr>
            </w:pPr>
            <w:r>
              <w:rPr>
                <w:rFonts w:ascii="宋体" w:hAnsi="宋体" w:cs="宋体"/>
                <w:sz w:val="24"/>
              </w:rPr>
              <w:t>发包人及联系电话</w:t>
            </w:r>
          </w:p>
        </w:tc>
      </w:tr>
      <w:tr w14:paraId="13072339">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6DD6FCB1">
            <w:pPr>
              <w:pStyle w:val="63"/>
              <w:snapToGrid w:val="0"/>
              <w:jc w:val="center"/>
              <w:rPr>
                <w:rFonts w:ascii="宋体" w:hAnsi="宋体" w:cs="宋体"/>
                <w:sz w:val="24"/>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65ED5738">
            <w:pPr>
              <w:pStyle w:val="63"/>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19264846">
            <w:pPr>
              <w:pStyle w:val="63"/>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2403D2C0">
            <w:pPr>
              <w:pStyle w:val="63"/>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0FFDD5E7">
            <w:pPr>
              <w:pStyle w:val="63"/>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55346E1B">
            <w:pPr>
              <w:pStyle w:val="63"/>
              <w:snapToGrid w:val="0"/>
              <w:jc w:val="center"/>
              <w:rPr>
                <w:rFonts w:ascii="宋体" w:hAnsi="宋体" w:cs="宋体"/>
                <w:szCs w:val="21"/>
              </w:rPr>
            </w:pPr>
          </w:p>
        </w:tc>
      </w:tr>
      <w:tr w14:paraId="59123BB0">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6B52235B">
            <w:pPr>
              <w:pStyle w:val="63"/>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309C9272">
            <w:pPr>
              <w:pStyle w:val="63"/>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5E6F21CB">
            <w:pPr>
              <w:pStyle w:val="63"/>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1C06B389">
            <w:pPr>
              <w:pStyle w:val="63"/>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47032F4D">
            <w:pPr>
              <w:pStyle w:val="63"/>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1373A919">
            <w:pPr>
              <w:pStyle w:val="63"/>
              <w:snapToGrid w:val="0"/>
              <w:jc w:val="center"/>
              <w:rPr>
                <w:rFonts w:ascii="宋体" w:hAnsi="宋体" w:cs="宋体"/>
                <w:szCs w:val="21"/>
              </w:rPr>
            </w:pPr>
          </w:p>
        </w:tc>
      </w:tr>
      <w:tr w14:paraId="69CE524C">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09BEC15C">
            <w:pPr>
              <w:pStyle w:val="63"/>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6C9FF7A5">
            <w:pPr>
              <w:pStyle w:val="63"/>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3A59B060">
            <w:pPr>
              <w:pStyle w:val="63"/>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21DD30B6">
            <w:pPr>
              <w:pStyle w:val="63"/>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110F15F8">
            <w:pPr>
              <w:pStyle w:val="63"/>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0FA45D23">
            <w:pPr>
              <w:pStyle w:val="63"/>
              <w:snapToGrid w:val="0"/>
              <w:jc w:val="center"/>
              <w:rPr>
                <w:rFonts w:ascii="宋体" w:hAnsi="宋体" w:cs="宋体"/>
                <w:szCs w:val="21"/>
              </w:rPr>
            </w:pPr>
          </w:p>
        </w:tc>
      </w:tr>
      <w:tr w14:paraId="1A3E69BA">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3E42AB59">
            <w:pPr>
              <w:pStyle w:val="63"/>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3A162E5C">
            <w:pPr>
              <w:pStyle w:val="63"/>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70846B39">
            <w:pPr>
              <w:pStyle w:val="63"/>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5A2C390D">
            <w:pPr>
              <w:pStyle w:val="63"/>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7E8AB338">
            <w:pPr>
              <w:pStyle w:val="63"/>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06D93310">
            <w:pPr>
              <w:pStyle w:val="63"/>
              <w:snapToGrid w:val="0"/>
              <w:jc w:val="center"/>
              <w:rPr>
                <w:rFonts w:ascii="宋体" w:hAnsi="宋体" w:cs="宋体"/>
                <w:szCs w:val="21"/>
              </w:rPr>
            </w:pPr>
          </w:p>
        </w:tc>
      </w:tr>
      <w:tr w14:paraId="20BAC87A">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1CAAC76B">
            <w:pPr>
              <w:pStyle w:val="63"/>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1B135EC4">
            <w:pPr>
              <w:pStyle w:val="63"/>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4A3393EC">
            <w:pPr>
              <w:pStyle w:val="63"/>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50E52AC0">
            <w:pPr>
              <w:pStyle w:val="63"/>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27BD9A3B">
            <w:pPr>
              <w:pStyle w:val="63"/>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6361247F">
            <w:pPr>
              <w:pStyle w:val="63"/>
              <w:snapToGrid w:val="0"/>
              <w:jc w:val="center"/>
              <w:rPr>
                <w:rFonts w:ascii="宋体" w:hAnsi="宋体" w:cs="宋体"/>
                <w:szCs w:val="21"/>
              </w:rPr>
            </w:pPr>
          </w:p>
        </w:tc>
      </w:tr>
      <w:tr w14:paraId="34BA5201">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19363731">
            <w:pPr>
              <w:pStyle w:val="63"/>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0E73B9DE">
            <w:pPr>
              <w:pStyle w:val="63"/>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6D485377">
            <w:pPr>
              <w:pStyle w:val="63"/>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7C7F7BD4">
            <w:pPr>
              <w:pStyle w:val="63"/>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30241493">
            <w:pPr>
              <w:pStyle w:val="63"/>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7610A279">
            <w:pPr>
              <w:pStyle w:val="63"/>
              <w:snapToGrid w:val="0"/>
              <w:jc w:val="center"/>
              <w:rPr>
                <w:rFonts w:ascii="宋体" w:hAnsi="宋体" w:cs="宋体"/>
                <w:szCs w:val="21"/>
              </w:rPr>
            </w:pPr>
          </w:p>
        </w:tc>
      </w:tr>
      <w:tr w14:paraId="59BC5F0F">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7E1940A8">
            <w:pPr>
              <w:pStyle w:val="63"/>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0A4437D0">
            <w:pPr>
              <w:pStyle w:val="63"/>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674A0A76">
            <w:pPr>
              <w:pStyle w:val="63"/>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16E88B50">
            <w:pPr>
              <w:pStyle w:val="63"/>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65CD9334">
            <w:pPr>
              <w:pStyle w:val="63"/>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4B3D6AB8">
            <w:pPr>
              <w:pStyle w:val="63"/>
              <w:snapToGrid w:val="0"/>
              <w:jc w:val="center"/>
              <w:rPr>
                <w:rFonts w:ascii="宋体" w:hAnsi="宋体" w:cs="宋体"/>
                <w:szCs w:val="21"/>
              </w:rPr>
            </w:pPr>
          </w:p>
        </w:tc>
      </w:tr>
    </w:tbl>
    <w:p w14:paraId="10DA4C96">
      <w:pPr>
        <w:pStyle w:val="71"/>
        <w:snapToGrid w:val="0"/>
        <w:spacing w:line="360" w:lineRule="auto"/>
        <w:jc w:val="left"/>
        <w:rPr>
          <w:rFonts w:ascii="宋体" w:hAnsi="宋体" w:cs="宋体"/>
          <w:b/>
          <w:bCs/>
          <w:sz w:val="24"/>
          <w:szCs w:val="21"/>
        </w:rPr>
      </w:pPr>
    </w:p>
    <w:p w14:paraId="3CAA7061">
      <w:pPr>
        <w:pStyle w:val="71"/>
        <w:snapToGrid w:val="0"/>
        <w:spacing w:line="360" w:lineRule="auto"/>
        <w:jc w:val="left"/>
        <w:rPr>
          <w:rFonts w:ascii="宋体" w:hAnsi="宋体" w:cs="宋体"/>
          <w:b/>
          <w:bCs/>
          <w:sz w:val="24"/>
          <w:szCs w:val="24"/>
        </w:rPr>
      </w:pPr>
      <w:r>
        <w:rPr>
          <w:rFonts w:ascii="宋体" w:hAnsi="宋体" w:cs="宋体"/>
          <w:b/>
          <w:bCs/>
          <w:sz w:val="24"/>
          <w:szCs w:val="21"/>
        </w:rPr>
        <w:t>注：1.项目经理应附</w:t>
      </w:r>
      <w:r>
        <w:rPr>
          <w:rFonts w:ascii="宋体" w:hAnsi="宋体" w:cs="宋体"/>
          <w:b/>
          <w:bCs/>
          <w:sz w:val="24"/>
          <w:szCs w:val="21"/>
          <w:lang w:val="en-US" w:eastAsia="zh-CN"/>
        </w:rPr>
        <w:t>其</w:t>
      </w:r>
      <w:r>
        <w:rPr>
          <w:rFonts w:ascii="宋体" w:hAnsi="宋体" w:cs="宋体"/>
          <w:b/>
          <w:bCs/>
          <w:sz w:val="24"/>
          <w:szCs w:val="21"/>
        </w:rPr>
        <w:t>建造师执业资格证书、注册证书、安全生产考核合格证书、身份证</w:t>
      </w:r>
      <w:r>
        <w:rPr>
          <w:rFonts w:ascii="宋体" w:hAnsi="宋体" w:cs="宋体"/>
          <w:b/>
          <w:bCs/>
          <w:sz w:val="24"/>
          <w:szCs w:val="21"/>
          <w:lang w:val="en-US" w:eastAsia="zh-CN"/>
        </w:rPr>
        <w:t>等</w:t>
      </w:r>
      <w:r>
        <w:rPr>
          <w:rFonts w:ascii="宋体" w:hAnsi="宋体" w:cs="宋体"/>
          <w:b/>
          <w:bCs/>
          <w:sz w:val="24"/>
          <w:szCs w:val="21"/>
        </w:rPr>
        <w:t>复印件及未担任其他在施建设工程项目项目经理的承诺。</w:t>
      </w:r>
    </w:p>
    <w:p w14:paraId="19E99146">
      <w:pPr>
        <w:pStyle w:val="71"/>
        <w:snapToGrid w:val="0"/>
        <w:spacing w:line="360" w:lineRule="auto"/>
        <w:jc w:val="center"/>
        <w:rPr>
          <w:rFonts w:ascii="宋体" w:hAnsi="宋体" w:cs="宋体"/>
          <w:b/>
          <w:bCs/>
          <w:sz w:val="24"/>
          <w:szCs w:val="24"/>
        </w:rPr>
      </w:pPr>
    </w:p>
    <w:p w14:paraId="00C8F478">
      <w:pPr>
        <w:pStyle w:val="71"/>
        <w:snapToGrid w:val="0"/>
        <w:spacing w:line="360" w:lineRule="auto"/>
        <w:jc w:val="center"/>
        <w:rPr>
          <w:rFonts w:ascii="宋体" w:hAnsi="宋体" w:cs="宋体"/>
          <w:sz w:val="24"/>
          <w:szCs w:val="24"/>
        </w:rPr>
      </w:pPr>
    </w:p>
    <w:p w14:paraId="50EE41C2">
      <w:pPr>
        <w:pStyle w:val="71"/>
        <w:snapToGrid w:val="0"/>
        <w:spacing w:line="360" w:lineRule="auto"/>
        <w:jc w:val="center"/>
        <w:rPr>
          <w:rFonts w:ascii="宋体" w:hAnsi="宋体" w:cs="宋体"/>
          <w:sz w:val="24"/>
          <w:szCs w:val="24"/>
        </w:rPr>
      </w:pPr>
    </w:p>
    <w:p w14:paraId="6399862D">
      <w:pPr>
        <w:pStyle w:val="71"/>
        <w:snapToGrid w:val="0"/>
        <w:spacing w:line="360" w:lineRule="auto"/>
        <w:jc w:val="center"/>
        <w:rPr>
          <w:rFonts w:ascii="宋体" w:hAnsi="宋体" w:cs="宋体"/>
          <w:sz w:val="24"/>
          <w:szCs w:val="24"/>
        </w:rPr>
      </w:pPr>
    </w:p>
    <w:p w14:paraId="3293CC9A">
      <w:pPr>
        <w:pStyle w:val="71"/>
        <w:snapToGrid w:val="0"/>
        <w:spacing w:line="360" w:lineRule="auto"/>
        <w:jc w:val="center"/>
        <w:rPr>
          <w:rFonts w:ascii="宋体" w:hAnsi="宋体" w:cs="宋体"/>
          <w:sz w:val="24"/>
          <w:szCs w:val="24"/>
        </w:rPr>
      </w:pPr>
    </w:p>
    <w:p w14:paraId="4FC323B8">
      <w:pPr>
        <w:spacing w:before="162" w:after="162" w:line="440" w:lineRule="exact"/>
        <w:rPr>
          <w:rFonts w:ascii="宋体" w:hAnsi="宋体" w:cs="宋体"/>
          <w:b/>
          <w:sz w:val="24"/>
        </w:rPr>
      </w:pPr>
      <w:r>
        <w:rPr>
          <w:rFonts w:ascii="宋体" w:hAnsi="宋体" w:cs="宋体"/>
          <w:b/>
          <w:bCs/>
          <w:color w:val="000000"/>
          <w:sz w:val="24"/>
          <w:lang w:val="en-US" w:eastAsia="zh-CN"/>
        </w:rPr>
        <w:t>响应文件格式</w:t>
      </w:r>
      <w:r>
        <w:rPr>
          <w:rFonts w:ascii="宋体" w:hAnsi="宋体" w:eastAsia="宋体" w:cs="宋体"/>
          <w:b/>
          <w:bCs/>
          <w:color w:val="000000"/>
          <w:spacing w:val="0"/>
          <w:w w:val="100"/>
          <w:position w:val="0"/>
          <w:sz w:val="24"/>
          <w:szCs w:val="24"/>
          <w:vertAlign w:val="baseline"/>
          <w:lang w:val="en-US" w:eastAsia="zh-CN"/>
        </w:rPr>
        <w:t>1</w:t>
      </w:r>
      <w:r>
        <w:rPr>
          <w:rFonts w:ascii="宋体" w:hAnsi="宋体" w:cs="宋体"/>
          <w:b/>
          <w:bCs/>
          <w:color w:val="000000"/>
          <w:spacing w:val="0"/>
          <w:w w:val="100"/>
          <w:position w:val="0"/>
          <w:sz w:val="24"/>
          <w:szCs w:val="24"/>
          <w:vertAlign w:val="baseline"/>
          <w:lang w:val="en-US" w:eastAsia="zh-CN"/>
        </w:rPr>
        <w:t>3</w:t>
      </w:r>
      <w:r>
        <w:rPr>
          <w:rFonts w:ascii="宋体" w:hAnsi="宋体" w:cs="宋体"/>
          <w:b/>
          <w:bCs/>
          <w:color w:val="000000"/>
          <w:w w:val="90"/>
          <w:sz w:val="24"/>
          <w:szCs w:val="24"/>
          <w:lang w:val="en-US" w:eastAsia="zh-CN"/>
        </w:rPr>
        <w:t>、</w:t>
      </w:r>
    </w:p>
    <w:p w14:paraId="530DAAF6">
      <w:pPr>
        <w:spacing w:before="162" w:after="162" w:line="440" w:lineRule="exact"/>
        <w:ind w:left="973" w:hanging="969"/>
        <w:jc w:val="center"/>
        <w:rPr>
          <w:rFonts w:ascii="宋体" w:hAnsi="宋体" w:cs="宋体"/>
          <w:b/>
          <w:sz w:val="32"/>
          <w:szCs w:val="32"/>
        </w:rPr>
      </w:pPr>
    </w:p>
    <w:p w14:paraId="5C814BEE">
      <w:pPr>
        <w:spacing w:before="162" w:after="162" w:line="440" w:lineRule="exact"/>
        <w:ind w:left="973" w:hanging="849"/>
        <w:jc w:val="center"/>
        <w:rPr>
          <w:rFonts w:ascii="宋体" w:hAnsi="宋体" w:cs="宋体"/>
          <w:b/>
          <w:sz w:val="28"/>
          <w:szCs w:val="28"/>
        </w:rPr>
      </w:pPr>
      <w:r>
        <w:rPr>
          <w:rFonts w:ascii="宋体" w:hAnsi="宋体" w:cs="宋体"/>
          <w:b/>
          <w:sz w:val="28"/>
          <w:szCs w:val="28"/>
        </w:rPr>
        <w:t>项目经理无在建项目承诺函</w:t>
      </w:r>
    </w:p>
    <w:p w14:paraId="73781E9F">
      <w:pPr>
        <w:jc w:val="left"/>
        <w:rPr>
          <w:rFonts w:ascii="宋体" w:hAnsi="宋体" w:cs="宋体"/>
          <w:b/>
          <w:sz w:val="24"/>
          <w:szCs w:val="28"/>
          <w:u w:val="single"/>
          <w:shd w:val="clear" w:fill="FFFFFF"/>
        </w:rPr>
      </w:pPr>
    </w:p>
    <w:p w14:paraId="7B86A69E">
      <w:pPr>
        <w:jc w:val="left"/>
        <w:rPr>
          <w:rFonts w:ascii="宋体" w:hAnsi="宋体" w:cs="宋体"/>
          <w:sz w:val="24"/>
          <w:u w:val="single"/>
          <w:shd w:val="clear" w:fill="FFFFFF"/>
        </w:rPr>
      </w:pPr>
    </w:p>
    <w:p w14:paraId="6E3A4894">
      <w:pPr>
        <w:spacing w:line="480" w:lineRule="auto"/>
        <w:jc w:val="left"/>
        <w:rPr>
          <w:rFonts w:ascii="宋体" w:hAnsi="宋体" w:cs="宋体"/>
          <w:sz w:val="24"/>
          <w:shd w:val="clear" w:fill="FFFFFF"/>
        </w:rPr>
      </w:pPr>
      <w:r>
        <w:rPr>
          <w:rFonts w:ascii="宋体" w:hAnsi="宋体" w:cs="宋体"/>
          <w:sz w:val="24"/>
          <w:u w:val="single"/>
          <w:shd w:val="clear" w:fill="FFFFFF"/>
        </w:rPr>
        <w:t xml:space="preserve">                  </w:t>
      </w:r>
      <w:r>
        <w:rPr>
          <w:rFonts w:ascii="宋体" w:hAnsi="宋体" w:cs="宋体"/>
          <w:sz w:val="24"/>
          <w:shd w:val="clear" w:fill="FFFFFF"/>
        </w:rPr>
        <w:t>（采购人名称）：</w:t>
      </w:r>
    </w:p>
    <w:p w14:paraId="746ACA4E">
      <w:pPr>
        <w:spacing w:line="480" w:lineRule="auto"/>
        <w:ind w:firstLine="486"/>
        <w:jc w:val="left"/>
        <w:rPr>
          <w:rFonts w:ascii="宋体" w:hAnsi="宋体" w:cs="宋体"/>
          <w:sz w:val="24"/>
          <w:shd w:val="clear" w:fill="FFFFFF"/>
        </w:rPr>
      </w:pPr>
      <w:r>
        <w:rPr>
          <w:rFonts w:ascii="宋体" w:hAnsi="宋体" w:cs="宋体"/>
          <w:sz w:val="24"/>
          <w:shd w:val="clear" w:fill="FFFFFF"/>
        </w:rPr>
        <w:t>我方在此声明，我方拟派往</w:t>
      </w:r>
      <w:r>
        <w:rPr>
          <w:rFonts w:ascii="宋体" w:hAnsi="宋体" w:cs="宋体"/>
          <w:sz w:val="24"/>
          <w:u w:val="single"/>
          <w:shd w:val="clear" w:fill="FFFFFF"/>
        </w:rPr>
        <w:t xml:space="preserve">            （</w:t>
      </w:r>
      <w:r>
        <w:fldChar w:fldCharType="begin"/>
      </w:r>
      <w:r>
        <w:instrText xml:space="preserve"> HYPERLINK "https://www.baidu.com/s?wd=项目名称&amp;tn=SE_PcZhidaonwhc_ngpagmjz&amp;rsv_dl=gh_pc_zhidao" \t "https://zhidao.baidu.com/question/_blank" \h </w:instrText>
      </w:r>
      <w:r>
        <w:fldChar w:fldCharType="separate"/>
      </w:r>
      <w:r>
        <w:rPr>
          <w:rStyle w:val="26"/>
          <w:rFonts w:ascii="宋体" w:hAnsi="宋体" w:cs="宋体"/>
          <w:color w:val="000000"/>
          <w:sz w:val="24"/>
          <w:u w:val="single"/>
          <w:shd w:val="clear" w:fill="FFFFFF"/>
        </w:rPr>
        <w:t>项目名称</w:t>
      </w:r>
      <w:r>
        <w:rPr>
          <w:rStyle w:val="26"/>
          <w:rFonts w:ascii="宋体" w:hAnsi="宋体" w:cs="宋体"/>
          <w:color w:val="000000"/>
          <w:sz w:val="24"/>
          <w:u w:val="single"/>
          <w:shd w:val="clear" w:fill="FFFFFF"/>
        </w:rPr>
        <w:fldChar w:fldCharType="end"/>
      </w:r>
      <w:r>
        <w:rPr>
          <w:rFonts w:ascii="宋体" w:hAnsi="宋体" w:cs="宋体"/>
          <w:sz w:val="24"/>
          <w:u w:val="single"/>
          <w:shd w:val="clear" w:fill="FFFFFF"/>
        </w:rPr>
        <w:t xml:space="preserve">）              </w:t>
      </w:r>
      <w:r>
        <w:rPr>
          <w:rFonts w:ascii="宋体" w:hAnsi="宋体" w:cs="宋体"/>
          <w:sz w:val="24"/>
          <w:shd w:val="clear" w:fill="FFFFFF"/>
        </w:rPr>
        <w:t>的项目经理</w:t>
      </w:r>
      <w:r>
        <w:rPr>
          <w:rFonts w:ascii="宋体" w:hAnsi="宋体" w:cs="宋体"/>
          <w:sz w:val="24"/>
          <w:u w:val="single"/>
          <w:shd w:val="clear" w:fill="FFFFFF"/>
        </w:rPr>
        <w:t xml:space="preserve">            </w:t>
      </w:r>
      <w:r>
        <w:rPr>
          <w:rFonts w:ascii="宋体" w:hAnsi="宋体" w:cs="宋体"/>
          <w:sz w:val="24"/>
          <w:shd w:val="clear" w:fill="FFFFFF"/>
        </w:rPr>
        <w:t>（项目经理姓名）现阶段没有担任任何在建项目的项目经理。</w:t>
      </w:r>
    </w:p>
    <w:p w14:paraId="22B1DEEC">
      <w:pPr>
        <w:spacing w:line="480" w:lineRule="auto"/>
        <w:ind w:firstLine="486"/>
        <w:jc w:val="left"/>
        <w:rPr>
          <w:rFonts w:ascii="宋体" w:hAnsi="宋体" w:cs="宋体"/>
          <w:sz w:val="24"/>
          <w:shd w:val="clear" w:fill="FFFFFF"/>
        </w:rPr>
      </w:pPr>
      <w:r>
        <w:rPr>
          <w:rFonts w:ascii="宋体" w:hAnsi="宋体" w:cs="宋体"/>
          <w:sz w:val="24"/>
          <w:shd w:val="clear" w:fill="FFFFFF"/>
        </w:rPr>
        <w:t>我方保证上述信息的真实和准确，如若违反自愿被没收磋商保证金，并愿意承担因我方就此弄虚作假所引起的一切法律后果。</w:t>
      </w:r>
    </w:p>
    <w:p w14:paraId="2641D04E">
      <w:pPr>
        <w:ind w:firstLine="486"/>
        <w:jc w:val="left"/>
        <w:rPr>
          <w:rFonts w:ascii="宋体" w:hAnsi="宋体" w:cs="宋体"/>
          <w:sz w:val="24"/>
          <w:shd w:val="clear" w:fill="FFFFFF"/>
        </w:rPr>
      </w:pPr>
    </w:p>
    <w:p w14:paraId="352B2877">
      <w:pPr>
        <w:ind w:firstLine="486"/>
        <w:jc w:val="left"/>
        <w:rPr>
          <w:rFonts w:ascii="宋体" w:hAnsi="宋体" w:cs="宋体"/>
          <w:sz w:val="24"/>
          <w:shd w:val="clear" w:fill="FFFFFF"/>
        </w:rPr>
      </w:pPr>
      <w:r>
        <w:rPr>
          <w:rFonts w:ascii="宋体" w:hAnsi="宋体" w:cs="宋体"/>
          <w:sz w:val="24"/>
          <w:shd w:val="clear" w:fill="FFFFFF"/>
        </w:rPr>
        <w:t>特此承诺！</w:t>
      </w:r>
    </w:p>
    <w:p w14:paraId="5D0936F9">
      <w:pPr>
        <w:ind w:firstLine="486"/>
        <w:jc w:val="left"/>
        <w:rPr>
          <w:rFonts w:ascii="宋体" w:hAnsi="宋体" w:cs="宋体"/>
          <w:sz w:val="24"/>
          <w:shd w:val="clear" w:fill="FFFFFF"/>
        </w:rPr>
      </w:pPr>
    </w:p>
    <w:p w14:paraId="277E817F">
      <w:pPr>
        <w:ind w:firstLine="486"/>
        <w:jc w:val="left"/>
        <w:rPr>
          <w:rFonts w:ascii="宋体" w:hAnsi="宋体" w:cs="宋体"/>
          <w:sz w:val="24"/>
          <w:shd w:val="clear" w:fill="FFFFFF"/>
        </w:rPr>
      </w:pPr>
    </w:p>
    <w:p w14:paraId="075B8E46">
      <w:pPr>
        <w:ind w:left="2913" w:firstLine="0"/>
        <w:jc w:val="left"/>
        <w:rPr>
          <w:rFonts w:ascii="宋体" w:hAnsi="宋体" w:cs="宋体"/>
          <w:sz w:val="24"/>
          <w:shd w:val="clear" w:fill="FFFFFF"/>
        </w:rPr>
      </w:pPr>
      <w:r>
        <w:rPr>
          <w:rFonts w:ascii="宋体" w:hAnsi="宋体" w:cs="宋体"/>
          <w:sz w:val="24"/>
          <w:shd w:val="clear" w:fill="FFFFFF"/>
        </w:rPr>
        <w:t>供应商：</w:t>
      </w:r>
      <w:r>
        <w:rPr>
          <w:rFonts w:ascii="宋体" w:hAnsi="宋体" w:cs="宋体"/>
          <w:sz w:val="24"/>
          <w:u w:val="single"/>
          <w:shd w:val="clear" w:fill="FFFFFF"/>
        </w:rPr>
        <w:t xml:space="preserve">                  </w:t>
      </w:r>
      <w:r>
        <w:rPr>
          <w:rFonts w:ascii="宋体" w:hAnsi="宋体" w:cs="宋体"/>
          <w:sz w:val="24"/>
          <w:shd w:val="clear" w:fill="FFFFFF"/>
        </w:rPr>
        <w:t>（盖单位章）</w:t>
      </w:r>
    </w:p>
    <w:p w14:paraId="556398B3">
      <w:pPr>
        <w:pStyle w:val="8"/>
        <w:rPr>
          <w:rFonts w:ascii="宋体" w:hAnsi="宋体" w:cs="宋体"/>
          <w:sz w:val="24"/>
          <w:szCs w:val="32"/>
          <w:shd w:val="clear" w:fill="FFFFFF"/>
        </w:rPr>
      </w:pPr>
    </w:p>
    <w:p w14:paraId="28707D9F">
      <w:pPr>
        <w:ind w:firstLine="2430"/>
        <w:jc w:val="left"/>
        <w:rPr>
          <w:rFonts w:ascii="宋体" w:hAnsi="宋体" w:cs="宋体"/>
          <w:sz w:val="24"/>
          <w:shd w:val="clear" w:fill="FFFFFF"/>
        </w:rPr>
      </w:pPr>
      <w:r>
        <w:rPr>
          <w:rFonts w:ascii="宋体" w:hAnsi="宋体" w:cs="宋体"/>
          <w:sz w:val="24"/>
          <w:shd w:val="clear" w:fill="FFFFFF"/>
        </w:rPr>
        <w:t>法定代表人或其</w:t>
      </w:r>
      <w:r>
        <w:fldChar w:fldCharType="begin"/>
      </w:r>
      <w:r>
        <w:instrText xml:space="preserve"> HYPERLINK "https://www.baidu.com/s?wd=委托代理人&amp;tn=SE_PcZhidaonwhc_ngpagmjz&amp;rsv_dl=gh_pc_zhidao" \t "https://zhidao.baidu.com/question/_blank" \h </w:instrText>
      </w:r>
      <w:r>
        <w:fldChar w:fldCharType="separate"/>
      </w:r>
      <w:r>
        <w:rPr>
          <w:rStyle w:val="26"/>
          <w:rFonts w:ascii="宋体" w:hAnsi="宋体" w:cs="宋体"/>
          <w:color w:val="000000"/>
          <w:sz w:val="24"/>
          <w:u w:val="none"/>
          <w:shd w:val="clear" w:fill="FFFFFF"/>
        </w:rPr>
        <w:t>委托代理人</w:t>
      </w:r>
      <w:r>
        <w:rPr>
          <w:rStyle w:val="26"/>
          <w:rFonts w:ascii="宋体" w:hAnsi="宋体" w:cs="宋体"/>
          <w:color w:val="000000"/>
          <w:sz w:val="24"/>
          <w:u w:val="none"/>
          <w:shd w:val="clear" w:fill="FFFFFF"/>
        </w:rPr>
        <w:fldChar w:fldCharType="end"/>
      </w:r>
      <w:r>
        <w:rPr>
          <w:rFonts w:ascii="宋体" w:hAnsi="宋体" w:cs="宋体"/>
          <w:sz w:val="24"/>
          <w:shd w:val="clear" w:fill="FFFFFF"/>
        </w:rPr>
        <w:t>：</w:t>
      </w:r>
      <w:r>
        <w:rPr>
          <w:rFonts w:ascii="宋体" w:hAnsi="宋体" w:cs="宋体"/>
          <w:sz w:val="24"/>
          <w:u w:val="single"/>
          <w:shd w:val="clear" w:fill="FFFFFF"/>
        </w:rPr>
        <w:t xml:space="preserve">              </w:t>
      </w:r>
      <w:r>
        <w:rPr>
          <w:rFonts w:ascii="宋体" w:hAnsi="宋体" w:cs="宋体"/>
          <w:sz w:val="24"/>
          <w:shd w:val="clear" w:fill="FFFFFF"/>
        </w:rPr>
        <w:t>（签字）</w:t>
      </w:r>
    </w:p>
    <w:p w14:paraId="5CDACEB5">
      <w:pPr>
        <w:pStyle w:val="65"/>
        <w:rPr>
          <w:rFonts w:cs="宋体"/>
          <w:sz w:val="32"/>
          <w:szCs w:val="32"/>
          <w:u w:val="single"/>
          <w:shd w:val="clear" w:fill="FFFFFF"/>
        </w:rPr>
      </w:pPr>
      <w:r>
        <w:rPr>
          <w:rFonts w:cs="宋体"/>
          <w:szCs w:val="24"/>
          <w:shd w:val="clear" w:fill="FFFFFF"/>
        </w:rPr>
        <w:t xml:space="preserve">                          </w:t>
      </w:r>
    </w:p>
    <w:p w14:paraId="10B8F03F">
      <w:pPr>
        <w:pStyle w:val="65"/>
        <w:jc w:val="right"/>
        <w:rPr>
          <w:rFonts w:cs="宋体"/>
          <w:sz w:val="32"/>
          <w:szCs w:val="32"/>
          <w:u w:val="single"/>
          <w:shd w:val="clear" w:fill="FFFFFF"/>
        </w:rPr>
      </w:pPr>
    </w:p>
    <w:p w14:paraId="317D6F5B">
      <w:pPr>
        <w:ind w:left="2913" w:firstLine="0"/>
        <w:jc w:val="right"/>
        <w:rPr>
          <w:rFonts w:ascii="宋体" w:hAnsi="宋体" w:eastAsia="宋体" w:cs="宋体"/>
          <w:sz w:val="24"/>
          <w:u w:val="single"/>
          <w:shd w:val="clear" w:fill="FFFFFF"/>
        </w:rPr>
      </w:pPr>
      <w:r>
        <w:rPr>
          <w:rFonts w:ascii="宋体" w:hAnsi="宋体" w:eastAsia="宋体" w:cs="宋体"/>
          <w:sz w:val="24"/>
          <w:u w:val="single"/>
          <w:shd w:val="clear" w:fill="FFFFFF"/>
          <w:lang w:val="en-US" w:eastAsia="zh-CN"/>
        </w:rPr>
        <w:t xml:space="preserve"> </w:t>
      </w:r>
      <w:r>
        <w:rPr>
          <w:rFonts w:ascii="宋体" w:hAnsi="宋体" w:eastAsia="宋体" w:cs="宋体"/>
          <w:sz w:val="24"/>
          <w:u w:val="single"/>
          <w:shd w:val="clear" w:fill="FFFFFF"/>
        </w:rPr>
        <w:t xml:space="preserve">    </w:t>
      </w:r>
      <w:r>
        <w:rPr>
          <w:rFonts w:ascii="宋体" w:hAnsi="宋体" w:cs="宋体"/>
          <w:sz w:val="24"/>
          <w:u w:val="single"/>
          <w:shd w:val="clear" w:fill="FFFFFF"/>
        </w:rPr>
        <w:t>年     月    日</w:t>
      </w:r>
    </w:p>
    <w:p w14:paraId="70725670">
      <w:pPr>
        <w:pStyle w:val="89"/>
        <w:rPr>
          <w:rFonts w:ascii="宋体" w:hAnsi="宋体" w:eastAsia="宋体" w:cs="宋体"/>
          <w:sz w:val="32"/>
          <w:szCs w:val="32"/>
          <w:u w:val="single"/>
          <w:shd w:val="clear" w:fill="FFFFFF"/>
        </w:rPr>
      </w:pPr>
    </w:p>
    <w:p w14:paraId="348ED056">
      <w:pPr>
        <w:pStyle w:val="89"/>
        <w:rPr>
          <w:rFonts w:ascii="宋体" w:hAnsi="宋体" w:cs="宋体"/>
          <w:sz w:val="32"/>
          <w:szCs w:val="32"/>
        </w:rPr>
      </w:pPr>
    </w:p>
    <w:p w14:paraId="3A2D21EF">
      <w:pPr>
        <w:pStyle w:val="89"/>
        <w:rPr>
          <w:rFonts w:ascii="宋体" w:hAnsi="宋体" w:cs="宋体"/>
          <w:sz w:val="32"/>
          <w:szCs w:val="32"/>
        </w:rPr>
      </w:pPr>
    </w:p>
    <w:p w14:paraId="445AFD0B">
      <w:pPr>
        <w:pStyle w:val="89"/>
        <w:rPr>
          <w:rFonts w:ascii="宋体" w:hAnsi="宋体" w:cs="宋体"/>
          <w:sz w:val="32"/>
          <w:szCs w:val="32"/>
        </w:rPr>
      </w:pPr>
    </w:p>
    <w:p w14:paraId="6FF30F2A">
      <w:pPr>
        <w:pStyle w:val="71"/>
        <w:snapToGrid w:val="0"/>
        <w:spacing w:line="360" w:lineRule="auto"/>
        <w:jc w:val="center"/>
        <w:rPr>
          <w:rFonts w:ascii="宋体" w:hAnsi="宋体" w:cs="宋体"/>
          <w:sz w:val="24"/>
          <w:szCs w:val="24"/>
        </w:rPr>
      </w:pPr>
    </w:p>
    <w:p w14:paraId="2216F1CF">
      <w:pPr>
        <w:pStyle w:val="71"/>
        <w:snapToGrid w:val="0"/>
        <w:spacing w:line="360" w:lineRule="auto"/>
        <w:jc w:val="center"/>
        <w:rPr>
          <w:rFonts w:ascii="宋体" w:hAnsi="宋体" w:cs="宋体"/>
          <w:sz w:val="24"/>
          <w:szCs w:val="24"/>
        </w:rPr>
      </w:pPr>
    </w:p>
    <w:p w14:paraId="10B7FDAD">
      <w:pPr>
        <w:pStyle w:val="71"/>
        <w:snapToGrid w:val="0"/>
        <w:spacing w:line="360" w:lineRule="auto"/>
        <w:jc w:val="both"/>
        <w:rPr>
          <w:rFonts w:ascii="宋体" w:hAnsi="宋体" w:cs="宋体"/>
          <w:sz w:val="24"/>
          <w:szCs w:val="24"/>
          <w:lang w:val="en-US" w:eastAsia="zh-CN"/>
        </w:rPr>
      </w:pPr>
    </w:p>
    <w:sectPr>
      <w:headerReference r:id="rId25" w:type="default"/>
      <w:footerReference r:id="rId26" w:type="default"/>
      <w:pgSz w:w="11906" w:h="16838" w:orient="landscape"/>
      <w:pgMar w:top="1440" w:right="1797" w:bottom="1440" w:left="1797" w:header="850" w:footer="992" w:gutter="0"/>
      <w:pgNumType w:fmt="decimal"/>
      <w:cols w:space="720" w:num="1"/>
      <w:formProt w:val="0"/>
      <w:docGrid w:type="linesAndChars" w:linePitch="325" w:charSpace="6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ohit Devanagar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仿宋">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Liberation Sans">
    <w:altName w:val="Arial"/>
    <w:panose1 w:val="00000000000000000000"/>
    <w:charset w:val="01"/>
    <w:family w:val="swiss"/>
    <w:pitch w:val="default"/>
    <w:sig w:usb0="00000000" w:usb1="00000000" w:usb2="00000000" w:usb3="00000000" w:csb0="00000000" w:csb1="00000000"/>
  </w:font>
  <w:font w:name="Noto Sans CJK SC">
    <w:altName w:val="Segoe Print"/>
    <w:panose1 w:val="00000000000000000000"/>
    <w:charset w:val="00"/>
    <w:family w:val="auto"/>
    <w:pitch w:val="default"/>
    <w:sig w:usb0="00000000" w:usb1="00000000" w:usb2="00000000" w:usb3="00000000" w:csb0="00000000" w:csb1="00000000"/>
  </w:font>
  <w:font w:name="华文楷体;宋体">
    <w:altName w:val="宋体"/>
    <w:panose1 w:val="00000000000000000000"/>
    <w:charset w:val="00"/>
    <w:family w:val="auto"/>
    <w:pitch w:val="default"/>
    <w:sig w:usb0="00000000" w:usb1="00000000" w:usb2="00000000" w:usb3="00000000" w:csb0="00000000" w:csb1="00000000"/>
  </w:font>
  <w:font w:name="_x005F_x000B__x005F_x000C_;Cour">
    <w:altName w:val="Segoe Print"/>
    <w:panose1 w:val="00000000000000000000"/>
    <w:charset w:val="00"/>
    <w:family w:val="auto"/>
    <w:pitch w:val="default"/>
    <w:sig w:usb0="00000000" w:usb1="00000000" w:usb2="00000000" w:usb3="00000000" w:csb0="00000000" w:csb1="00000000"/>
  </w:font>
  <w:font w:name="Helvetica;Arial">
    <w:altName w:val="Segoe Print"/>
    <w:panose1 w:val="00000000000000000000"/>
    <w:charset w:val="00"/>
    <w:family w:val="auto"/>
    <w:pitch w:val="default"/>
    <w:sig w:usb0="00000000" w:usb1="00000000" w:usb2="00000000" w:usb3="00000000" w:csb0="00000000" w:csb1="00000000"/>
  </w:font>
  <w:font w:name="ヒラギノ角ゴ Pro W3;Yu Gothic">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203" w:usb1="288F0000" w:usb2="00000006" w:usb3="00000000" w:csb0="00040001" w:csb1="00000000"/>
  </w:font>
  <w:font w:name="叶根友毛笔行书2.0版;宋体">
    <w:altName w:val="宋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ˎ̥;Times New Roman">
    <w:altName w:val="Segoe Print"/>
    <w:panose1 w:val="00000000000000000000"/>
    <w:charset w:val="00"/>
    <w:family w:val="auto"/>
    <w:pitch w:val="default"/>
    <w:sig w:usb0="00000000" w:usb1="00000000" w:usb2="00000000" w:usb3="00000000" w:csb0="00000000" w:csb1="00000000"/>
  </w:font>
  <w:font w:name="华文中宋;宋体">
    <w:altName w:val="宋体"/>
    <w:panose1 w:val="00000000000000000000"/>
    <w:charset w:val="00"/>
    <w:family w:val="auto"/>
    <w:pitch w:val="default"/>
    <w:sig w:usb0="00000000" w:usb1="00000000" w:usb2="00000000" w:usb3="00000000" w:csb0="00000000" w:csb1="00000000"/>
  </w:font>
  <w:font w:name="楷体_GB2312;楷体">
    <w:altName w:val="宋体"/>
    <w:panose1 w:val="00000000000000000000"/>
    <w:charset w:val="00"/>
    <w:family w:val="auto"/>
    <w:pitch w:val="default"/>
    <w:sig w:usb0="00000000" w:usb1="00000000" w:usb2="00000000" w:usb3="00000000" w:csb0="00000000"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AFE12">
    <w:pPr>
      <w:pStyle w:val="13"/>
      <w:tabs>
        <w:tab w:val="center" w:pos="4927"/>
      </w:tabs>
      <w:ind w:right="360" w:firstLine="0"/>
      <w:jc w:val="both"/>
      <w:rPr>
        <w:rFonts w:eastAsia="Times New Roman"/>
        <w:color w:val="800000"/>
        <w:sz w:val="16"/>
        <w:szCs w:val="20"/>
        <w:lang w:val="en-US" w:eastAsia="zh-CN"/>
      </w:rPr>
    </w:pPr>
    <w:r>
      <w:rPr>
        <w:rFonts w:eastAsia="Times New Roman"/>
        <w:color w:val="800000"/>
        <w:sz w:val="16"/>
        <w:szCs w:val="20"/>
        <w:lang w:val="en-US" w:eastAsia="zh-CN"/>
      </w:rPr>
      <w:t xml:space="preserve">   </w:t>
    </w: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1" name="Frame2"/>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0AC71088">
                          <w:pPr>
                            <w:pStyle w:val="13"/>
                          </w:pPr>
                          <w:r>
                            <w:fldChar w:fldCharType="begin"/>
                          </w:r>
                          <w:r>
                            <w:instrText xml:space="preserve"> PAGE </w:instrText>
                          </w:r>
                          <w:r>
                            <w:fldChar w:fldCharType="separate"/>
                          </w:r>
                          <w:r>
                            <w:t>35</w:t>
                          </w:r>
                          <w:r>
                            <w:fldChar w:fldCharType="end"/>
                          </w:r>
                        </w:p>
                      </w:txbxContent>
                    </wps:txbx>
                    <wps:bodyPr lIns="635" tIns="635" rIns="635" bIns="635" anchor="t">
                      <a:spAutoFit/>
                    </wps:bodyPr>
                  </wps:wsp>
                </a:graphicData>
              </a:graphic>
            </wp:anchor>
          </w:drawing>
        </mc:Choice>
        <mc:Fallback>
          <w:pict>
            <v:shape id="Frame2"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TEcDB0gAAAAMBAAAPAAAAAAAAAAEAIAAAACIAAABkcnMvZG93bnJl&#10;di54bWxQSwECFAAUAAAACACHTuJAZDXwScoBAAC7AwAADgAAAAAAAAABACAAAAAhAQAAZHJzL2Uy&#10;b0RvYy54bWxQSwUGAAAAAAYABgBZAQAAXQUAAAAA&#10;">
              <v:fill on="t" opacity="0f" focussize="0,0"/>
              <v:stroke on="f"/>
              <v:imagedata o:title=""/>
              <o:lock v:ext="edit" aspectratio="f"/>
              <v:textbox inset="0.05pt,0.05pt,0.05pt,0.05pt" style="mso-fit-shape-to-text:t;">
                <w:txbxContent>
                  <w:p w14:paraId="0AC71088">
                    <w:pPr>
                      <w:pStyle w:val="13"/>
                    </w:pPr>
                    <w:r>
                      <w:fldChar w:fldCharType="begin"/>
                    </w:r>
                    <w:r>
                      <w:instrText xml:space="preserve"> PAGE </w:instrText>
                    </w:r>
                    <w:r>
                      <w:fldChar w:fldCharType="separate"/>
                    </w:r>
                    <w:r>
                      <w:t>35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4059C">
    <w:pPr>
      <w:pStyle w:val="13"/>
      <w:tabs>
        <w:tab w:val="center" w:pos="4927"/>
      </w:tabs>
      <w:ind w:right="360" w:firstLine="0"/>
      <w:jc w:val="both"/>
      <w:rPr>
        <w:rFonts w:eastAsia="Times New Roman"/>
        <w:color w:val="800000"/>
        <w:sz w:val="16"/>
        <w:szCs w:val="20"/>
        <w:lang w:val="en-US" w:eastAsia="zh-CN"/>
      </w:rPr>
    </w:pPr>
    <w:r>
      <w:rPr>
        <w:rFonts w:eastAsia="Times New Roman"/>
        <w:color w:val="800000"/>
        <w:sz w:val="16"/>
        <w:szCs w:val="20"/>
        <w:lang w:val="en-US" w:eastAsia="zh-CN"/>
      </w:rPr>
      <w:t xml:space="preserve">   </w:t>
    </w: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2" name="Frame7"/>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3E5A9F4D">
                          <w:pPr>
                            <w:pStyle w:val="13"/>
                          </w:pPr>
                          <w:r>
                            <w:fldChar w:fldCharType="begin"/>
                          </w:r>
                          <w:r>
                            <w:instrText xml:space="preserve"> PAGE </w:instrText>
                          </w:r>
                          <w:r>
                            <w:fldChar w:fldCharType="separate"/>
                          </w:r>
                          <w:r>
                            <w:t>39</w:t>
                          </w:r>
                          <w:r>
                            <w:fldChar w:fldCharType="end"/>
                          </w:r>
                        </w:p>
                      </w:txbxContent>
                    </wps:txbx>
                    <wps:bodyPr lIns="635" tIns="635" rIns="635" bIns="635" anchor="t">
                      <a:spAutoFit/>
                    </wps:bodyPr>
                  </wps:wsp>
                </a:graphicData>
              </a:graphic>
            </wp:anchor>
          </w:drawing>
        </mc:Choice>
        <mc:Fallback>
          <w:pict>
            <v:shape id="Frame7"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0xHAwdIAAAADAQAADwAAAAAAAAABACAAAAAiAAAAZHJzL2Rvd25y&#10;ZXYueG1sUEsBAhQAFAAAAAgAh07iQKg57jzLAQAAuwMAAA4AAAAAAAAAAQAgAAAAIQEAAGRycy9l&#10;Mm9Eb2MueG1sUEsFBgAAAAAGAAYAWQEAAF4FAAAAAA==&#10;">
              <v:fill on="t" opacity="0f" focussize="0,0"/>
              <v:stroke on="f"/>
              <v:imagedata o:title=""/>
              <o:lock v:ext="edit" aspectratio="f"/>
              <v:textbox inset="0.05pt,0.05pt,0.05pt,0.05pt" style="mso-fit-shape-to-text:t;">
                <w:txbxContent>
                  <w:p w14:paraId="3E5A9F4D">
                    <w:pPr>
                      <w:pStyle w:val="13"/>
                    </w:pPr>
                    <w:r>
                      <w:fldChar w:fldCharType="begin"/>
                    </w:r>
                    <w:r>
                      <w:instrText xml:space="preserve"> PAGE </w:instrText>
                    </w:r>
                    <w:r>
                      <w:fldChar w:fldCharType="separate"/>
                    </w:r>
                    <w:r>
                      <w:t>39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BDB43">
    <w:pPr>
      <w:pStyle w:val="13"/>
      <w:jc w:val="center"/>
      <w:rPr>
        <w:rFonts w:ascii="Times New Roman" w:hAnsi="Times New Roman" w:eastAsia="仿宋_GB2312;仿宋" w:cs="Times New Roman"/>
        <w:sz w:val="24"/>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4" name="Frame3"/>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4DEE9C30">
                          <w:pPr>
                            <w:pStyle w:val="13"/>
                          </w:pPr>
                          <w:r>
                            <w:fldChar w:fldCharType="begin"/>
                          </w:r>
                          <w:r>
                            <w:instrText xml:space="preserve"> PAGE </w:instrText>
                          </w:r>
                          <w:r>
                            <w:fldChar w:fldCharType="separate"/>
                          </w:r>
                          <w:r>
                            <w:t>44</w:t>
                          </w:r>
                          <w:r>
                            <w:fldChar w:fldCharType="end"/>
                          </w:r>
                        </w:p>
                      </w:txbxContent>
                    </wps:txbx>
                    <wps:bodyPr lIns="635" tIns="635" rIns="635" bIns="635" anchor="t">
                      <a:spAutoFit/>
                    </wps:bodyPr>
                  </wps:wsp>
                </a:graphicData>
              </a:graphic>
            </wp:anchor>
          </w:drawing>
        </mc:Choice>
        <mc:Fallback>
          <w:pict>
            <v:shape id="Frame3"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0xHAwdIAAAADAQAADwAAAAAAAAABACAAAAAiAAAAZHJzL2Rvd25y&#10;ZXYueG1sUEsBAhQAFAAAAAgAh07iQIeKcwfLAQAAuwMAAA4AAAAAAAAAAQAgAAAAIQEAAGRycy9l&#10;Mm9Eb2MueG1sUEsFBgAAAAAGAAYAWQEAAF4FAAAAAA==&#10;">
              <v:fill on="t" opacity="0f" focussize="0,0"/>
              <v:stroke on="f"/>
              <v:imagedata o:title=""/>
              <o:lock v:ext="edit" aspectratio="f"/>
              <v:textbox inset="0.05pt,0.05pt,0.05pt,0.05pt" style="mso-fit-shape-to-text:t;">
                <w:txbxContent>
                  <w:p w14:paraId="4DEE9C30">
                    <w:pPr>
                      <w:pStyle w:val="13"/>
                    </w:pPr>
                    <w:r>
                      <w:fldChar w:fldCharType="begin"/>
                    </w:r>
                    <w:r>
                      <w:instrText xml:space="preserve"> PAGE </w:instrText>
                    </w:r>
                    <w:r>
                      <w:fldChar w:fldCharType="separate"/>
                    </w:r>
                    <w:r>
                      <w:t>44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328D4">
    <w:pPr>
      <w:pStyle w:val="13"/>
      <w:jc w:val="center"/>
      <w:rPr>
        <w:lang w:val="en-US" w:eastAsia="zh-CN"/>
      </w:rPr>
    </w:pPr>
    <w:r>
      <w:rPr>
        <w:lang w:val="en-US" w:eastAsia="zh-CN"/>
      </w:rPr>
      <w:t>43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BE601">
    <w:pPr>
      <w:pStyle w:val="13"/>
      <w:jc w:val="center"/>
      <w:rPr>
        <w:rFonts w:ascii="Times New Roman" w:hAnsi="Times New Roman" w:eastAsia="仿宋_GB2312;仿宋" w:cs="Times New Roman"/>
        <w:sz w:val="24"/>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5" name="Frame8"/>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0BDB4B3F">
                          <w:pPr>
                            <w:pStyle w:val="13"/>
                          </w:pPr>
                          <w:r>
                            <w:fldChar w:fldCharType="begin"/>
                          </w:r>
                          <w:r>
                            <w:instrText xml:space="preserve"> PAGE </w:instrText>
                          </w:r>
                          <w:r>
                            <w:fldChar w:fldCharType="separate"/>
                          </w:r>
                          <w:r>
                            <w:t>52</w:t>
                          </w:r>
                          <w:r>
                            <w:fldChar w:fldCharType="end"/>
                          </w:r>
                        </w:p>
                      </w:txbxContent>
                    </wps:txbx>
                    <wps:bodyPr lIns="635" tIns="635" rIns="635" bIns="635" anchor="t">
                      <a:spAutoFit/>
                    </wps:bodyPr>
                  </wps:wsp>
                </a:graphicData>
              </a:graphic>
            </wp:anchor>
          </w:drawing>
        </mc:Choice>
        <mc:Fallback>
          <w:pict>
            <v:shape id="Frame8"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TEcDB0gAAAAMBAAAPAAAAAAAAAAEAIAAAACIAAABkcnMvZG93bnJl&#10;di54bWxQSwECFAAUAAAACACHTuJAowOqdMoBAAC7AwAADgAAAAAAAAABACAAAAAhAQAAZHJzL2Uy&#10;b0RvYy54bWxQSwUGAAAAAAYABgBZAQAAXQUAAAAA&#10;">
              <v:fill on="t" opacity="0f" focussize="0,0"/>
              <v:stroke on="f"/>
              <v:imagedata o:title=""/>
              <o:lock v:ext="edit" aspectratio="f"/>
              <v:textbox inset="0.05pt,0.05pt,0.05pt,0.05pt" style="mso-fit-shape-to-text:t;">
                <w:txbxContent>
                  <w:p w14:paraId="0BDB4B3F">
                    <w:pPr>
                      <w:pStyle w:val="13"/>
                    </w:pPr>
                    <w:r>
                      <w:fldChar w:fldCharType="begin"/>
                    </w:r>
                    <w:r>
                      <w:instrText xml:space="preserve"> PAGE </w:instrText>
                    </w:r>
                    <w:r>
                      <w:fldChar w:fldCharType="separate"/>
                    </w:r>
                    <w:r>
                      <w:t>52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20B4E">
    <w:pPr>
      <w:jc w:val="center"/>
      <w:rPr>
        <w:sz w:val="21"/>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6" name="Frame4"/>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70FC0013">
                          <w:pPr>
                            <w:pStyle w:val="13"/>
                          </w:pPr>
                          <w:r>
                            <w:fldChar w:fldCharType="begin"/>
                          </w:r>
                          <w:r>
                            <w:instrText xml:space="preserve"> PAGE </w:instrText>
                          </w:r>
                          <w:r>
                            <w:fldChar w:fldCharType="separate"/>
                          </w:r>
                          <w:r>
                            <w:t>45</w:t>
                          </w:r>
                          <w:r>
                            <w:fldChar w:fldCharType="end"/>
                          </w:r>
                        </w:p>
                      </w:txbxContent>
                    </wps:txbx>
                    <wps:bodyPr lIns="635" tIns="635" rIns="635" bIns="635" anchor="t">
                      <a:spAutoFit/>
                    </wps:bodyPr>
                  </wps:wsp>
                </a:graphicData>
              </a:graphic>
            </wp:anchor>
          </w:drawing>
        </mc:Choice>
        <mc:Fallback>
          <w:pict>
            <v:shape id="Frame4"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0xHAwdIAAAADAQAADwAAAAAAAAABACAAAAAiAAAAZHJzL2Rvd25y&#10;ZXYueG1sUEsBAhQAFAAAAAgAh07iQKPzfVXLAQAAuwMAAA4AAAAAAAAAAQAgAAAAIQEAAGRycy9l&#10;Mm9Eb2MueG1sUEsFBgAAAAAGAAYAWQEAAF4FAAAAAA==&#10;">
              <v:fill on="t" opacity="0f" focussize="0,0"/>
              <v:stroke on="f"/>
              <v:imagedata o:title=""/>
              <o:lock v:ext="edit" aspectratio="f"/>
              <v:textbox inset="0.05pt,0.05pt,0.05pt,0.05pt" style="mso-fit-shape-to-text:t;">
                <w:txbxContent>
                  <w:p w14:paraId="70FC0013">
                    <w:pPr>
                      <w:pStyle w:val="13"/>
                    </w:pPr>
                    <w:r>
                      <w:fldChar w:fldCharType="begin"/>
                    </w:r>
                    <w:r>
                      <w:instrText xml:space="preserve"> PAGE </w:instrText>
                    </w:r>
                    <w:r>
                      <w:fldChar w:fldCharType="separate"/>
                    </w:r>
                    <w:r>
                      <w:t>45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44B07">
    <w:pPr>
      <w:pStyle w:val="13"/>
      <w:jc w:val="center"/>
      <w:rPr>
        <w:rFonts w:ascii="Times New Roman" w:hAnsi="Times New Roman" w:eastAsia="仿宋_GB2312;仿宋" w:cs="Times New Roman"/>
        <w:sz w:val="24"/>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73355" cy="127635"/>
              <wp:effectExtent l="0" t="0" r="0" b="0"/>
              <wp:wrapNone/>
              <wp:docPr id="7" name="Frame10"/>
              <wp:cNvGraphicFramePr/>
              <a:graphic xmlns:a="http://schemas.openxmlformats.org/drawingml/2006/main">
                <a:graphicData uri="http://schemas.microsoft.com/office/word/2010/wordprocessingShape">
                  <wps:wsp>
                    <wps:cNvSpPr txBox="1"/>
                    <wps:spPr>
                      <a:xfrm>
                        <a:off x="0" y="0"/>
                        <a:ext cx="173355" cy="127635"/>
                      </a:xfrm>
                      <a:prstGeom prst="rect">
                        <a:avLst/>
                      </a:prstGeom>
                      <a:solidFill>
                        <a:srgbClr val="FFFFFF">
                          <a:alpha val="0"/>
                        </a:srgbClr>
                      </a:solidFill>
                    </wps:spPr>
                    <wps:txbx>
                      <w:txbxContent>
                        <w:p w14:paraId="6B085ADA">
                          <w:pPr>
                            <w:pStyle w:val="13"/>
                          </w:pPr>
                          <w:r>
                            <w:fldChar w:fldCharType="begin"/>
                          </w:r>
                          <w:r>
                            <w:instrText xml:space="preserve"> PAGE </w:instrText>
                          </w:r>
                          <w:r>
                            <w:fldChar w:fldCharType="separate"/>
                          </w:r>
                          <w:r>
                            <w:t>205</w:t>
                          </w:r>
                          <w:r>
                            <w:fldChar w:fldCharType="end"/>
                          </w:r>
                        </w:p>
                      </w:txbxContent>
                    </wps:txbx>
                    <wps:bodyPr lIns="635" tIns="635" rIns="635" bIns="635" anchor="t">
                      <a:spAutoFit/>
                    </wps:bodyPr>
                  </wps:wsp>
                </a:graphicData>
              </a:graphic>
            </wp:anchor>
          </w:drawing>
        </mc:Choice>
        <mc:Fallback>
          <w:pict>
            <v:shape id="Frame10" o:spid="_x0000_s1026" o:spt="202" type="#_x0000_t202" style="position:absolute;left:0pt;margin-top:0.05pt;height:10.05pt;width:13.65pt;mso-position-horizontal:center;mso-position-horizontal-relative:margin;z-index:-251656192;mso-width-relative:page;mso-height-relative:page;" fillcolor="#FFFFFF" filled="t" stroked="f" coordsize="21600,21600" o:allowincell="f" o:gfxdata="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BGFubdMAAAADAQAADwAAAAAAAAABACAAAAAiAAAAZHJzL2Rvd25y&#10;ZXYueG1sUEsBAhQAFAAAAAgAh07iQMpXscbKAQAAvAMAAA4AAAAAAAAAAQAgAAAAIgEAAGRycy9l&#10;Mm9Eb2MueG1sUEsFBgAAAAAGAAYAWQEAAF4FAAAAAA==&#10;">
              <v:fill on="t" opacity="0f" focussize="0,0"/>
              <v:stroke on="f"/>
              <v:imagedata o:title=""/>
              <o:lock v:ext="edit" aspectratio="f"/>
              <v:textbox inset="0.05pt,0.05pt,0.05pt,0.05pt" style="mso-fit-shape-to-text:t;">
                <w:txbxContent>
                  <w:p w14:paraId="6B085ADA">
                    <w:pPr>
                      <w:pStyle w:val="13"/>
                    </w:pPr>
                    <w:r>
                      <w:fldChar w:fldCharType="begin"/>
                    </w:r>
                    <w:r>
                      <w:instrText xml:space="preserve"> PAGE </w:instrText>
                    </w:r>
                    <w:r>
                      <w:fldChar w:fldCharType="separate"/>
                    </w:r>
                    <w:r>
                      <w:t>205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7558B">
    <w:pPr>
      <w:jc w:val="center"/>
      <w:rPr>
        <w:sz w:val="21"/>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8" name="Frame9"/>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0F9966CD">
                          <w:pPr>
                            <w:pStyle w:val="13"/>
                          </w:pPr>
                          <w:r>
                            <w:fldChar w:fldCharType="begin"/>
                          </w:r>
                          <w:r>
                            <w:instrText xml:space="preserve"> PAGE </w:instrText>
                          </w:r>
                          <w:r>
                            <w:fldChar w:fldCharType="separate"/>
                          </w:r>
                          <w:r>
                            <w:t>53</w:t>
                          </w:r>
                          <w:r>
                            <w:fldChar w:fldCharType="end"/>
                          </w:r>
                        </w:p>
                      </w:txbxContent>
                    </wps:txbx>
                    <wps:bodyPr lIns="635" tIns="635" rIns="635" bIns="635" anchor="t">
                      <a:spAutoFit/>
                    </wps:bodyPr>
                  </wps:wsp>
                </a:graphicData>
              </a:graphic>
            </wp:anchor>
          </w:drawing>
        </mc:Choice>
        <mc:Fallback>
          <w:pict>
            <v:shape id="Frame9"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TEcDB0gAAAAMBAAAPAAAAAAAAAAEAIAAAACIAAABkcnMvZG93bnJl&#10;di54bWxQSwECFAAUAAAACACHTuJAvg1T0coBAAC7AwAADgAAAAAAAAABACAAAAAhAQAAZHJzL2Uy&#10;b0RvYy54bWxQSwUGAAAAAAYABgBZAQAAXQUAAAAA&#10;">
              <v:fill on="t" opacity="0f" focussize="0,0"/>
              <v:stroke on="f"/>
              <v:imagedata o:title=""/>
              <o:lock v:ext="edit" aspectratio="f"/>
              <v:textbox inset="0.05pt,0.05pt,0.05pt,0.05pt" style="mso-fit-shape-to-text:t;">
                <w:txbxContent>
                  <w:p w14:paraId="0F9966CD">
                    <w:pPr>
                      <w:pStyle w:val="13"/>
                    </w:pPr>
                    <w:r>
                      <w:fldChar w:fldCharType="begin"/>
                    </w:r>
                    <w:r>
                      <w:instrText xml:space="preserve"> PAGE </w:instrText>
                    </w:r>
                    <w:r>
                      <w:fldChar w:fldCharType="separate"/>
                    </w:r>
                    <w:r>
                      <w:t>53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6B676">
    <w:pPr>
      <w:pStyle w:val="13"/>
      <w:jc w:val="center"/>
      <w:rPr>
        <w:rFonts w:ascii="Times New Roman" w:hAnsi="Times New Roman" w:eastAsia="仿宋_GB2312;仿宋" w:cs="Times New Roman"/>
        <w:sz w:val="24"/>
      </w:rPr>
    </w:pPr>
    <w:r>
      <mc:AlternateContent>
        <mc:Choice Requires="wps">
          <w:drawing>
            <wp:anchor distT="0" distB="0" distL="114935" distR="114935" simplePos="0" relativeHeight="251659264" behindDoc="1" locked="0" layoutInCell="1" allowOverlap="1">
              <wp:simplePos x="0" y="0"/>
              <wp:positionH relativeFrom="margin">
                <wp:align>center</wp:align>
              </wp:positionH>
              <wp:positionV relativeFrom="paragraph">
                <wp:posOffset>635</wp:posOffset>
              </wp:positionV>
              <wp:extent cx="1828800" cy="1828800"/>
              <wp:effectExtent l="0" t="0" r="0" b="0"/>
              <wp:wrapNone/>
              <wp:docPr id="9" name="Frame12"/>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rgbClr val="FFFFFF">
                          <a:alpha val="0"/>
                        </a:srgbClr>
                      </a:solidFill>
                    </wps:spPr>
                    <wps:txbx>
                      <w:txbxContent>
                        <w:p w14:paraId="6D4BFD69">
                          <w:pPr>
                            <w:pStyle w:val="13"/>
                          </w:pPr>
                          <w:r>
                            <w:fldChar w:fldCharType="begin"/>
                          </w:r>
                          <w:r>
                            <w:instrText xml:space="preserve"> PAGE </w:instrText>
                          </w:r>
                          <w:r>
                            <w:fldChar w:fldCharType="separate"/>
                          </w:r>
                          <w:r>
                            <w:t>0</w:t>
                          </w:r>
                          <w:r>
                            <w:fldChar w:fldCharType="end"/>
                          </w:r>
                        </w:p>
                      </w:txbxContent>
                    </wps:txbx>
                    <wps:bodyPr lIns="635" tIns="635" rIns="635" bIns="635" anchor="t">
                      <a:spAutoFit/>
                    </wps:bodyPr>
                  </wps:wsp>
                </a:graphicData>
              </a:graphic>
            </wp:anchor>
          </w:drawing>
        </mc:Choice>
        <mc:Fallback>
          <w:pict>
            <v:shape id="Frame12" o:spid="_x0000_s1026" o:spt="202" type="#_x0000_t202" style="position:absolute;left:0pt;margin-top:0.05pt;height:144pt;width:144pt;mso-position-horizontal:center;mso-position-horizontal-relative:margin;z-index:-251657216;mso-width-relative:page;mso-height-relative:page;" fillcolor="#FFFFFF" filled="t" stroked="f" coordsize="21600,21600" o:gfxdata="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FooJu7SAAAABQEAAA8AAAAAAAAAAQAgAAAAIgAAAGRycy9kb3ducmV2&#10;LnhtbFBLAQIUABQAAAAIAIdO4kB6GrnpyQEAAL4DAAAOAAAAAAAAAAEAIAAAACEBAABkcnMvZTJv&#10;RG9jLnhtbFBLBQYAAAAABgAGAFkBAABcBQAAAAA=&#10;">
              <v:fill on="t" opacity="0f" focussize="0,0"/>
              <v:stroke on="f"/>
              <v:imagedata o:title=""/>
              <o:lock v:ext="edit" aspectratio="f"/>
              <v:textbox inset="0.05pt,0.05pt,0.05pt,0.05pt" style="mso-fit-shape-to-text:t;">
                <w:txbxContent>
                  <w:p w14:paraId="6D4BFD69">
                    <w:pPr>
                      <w:pStyle w:val="13"/>
                    </w:pPr>
                    <w:r>
                      <w:fldChar w:fldCharType="begin"/>
                    </w:r>
                    <w:r>
                      <w:instrText xml:space="preserve"> PAGE </w:instrText>
                    </w:r>
                    <w:r>
                      <w:fldChar w:fldCharType="separate"/>
                    </w:r>
                    <w:r>
                      <w:t>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12FE2">
    <w:pPr>
      <w:jc w:val="center"/>
      <w:rPr>
        <w:sz w:val="21"/>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73355" cy="127635"/>
              <wp:effectExtent l="0" t="0" r="0" b="0"/>
              <wp:wrapNone/>
              <wp:docPr id="10" name="Frame11"/>
              <wp:cNvGraphicFramePr/>
              <a:graphic xmlns:a="http://schemas.openxmlformats.org/drawingml/2006/main">
                <a:graphicData uri="http://schemas.microsoft.com/office/word/2010/wordprocessingShape">
                  <wps:wsp>
                    <wps:cNvSpPr txBox="1"/>
                    <wps:spPr>
                      <a:xfrm>
                        <a:off x="0" y="0"/>
                        <a:ext cx="173355" cy="127635"/>
                      </a:xfrm>
                      <a:prstGeom prst="rect">
                        <a:avLst/>
                      </a:prstGeom>
                      <a:solidFill>
                        <a:srgbClr val="FFFFFF">
                          <a:alpha val="0"/>
                        </a:srgbClr>
                      </a:solidFill>
                    </wps:spPr>
                    <wps:txbx>
                      <w:txbxContent>
                        <w:p w14:paraId="79C589E3">
                          <w:pPr>
                            <w:pStyle w:val="13"/>
                          </w:pPr>
                          <w:r>
                            <w:fldChar w:fldCharType="begin"/>
                          </w:r>
                          <w:r>
                            <w:instrText xml:space="preserve"> PAGE </w:instrText>
                          </w:r>
                          <w:r>
                            <w:fldChar w:fldCharType="separate"/>
                          </w:r>
                          <w:r>
                            <w:t>206</w:t>
                          </w:r>
                          <w:r>
                            <w:fldChar w:fldCharType="end"/>
                          </w:r>
                        </w:p>
                      </w:txbxContent>
                    </wps:txbx>
                    <wps:bodyPr lIns="635" tIns="635" rIns="635" bIns="635" anchor="t">
                      <a:spAutoFit/>
                    </wps:bodyPr>
                  </wps:wsp>
                </a:graphicData>
              </a:graphic>
            </wp:anchor>
          </w:drawing>
        </mc:Choice>
        <mc:Fallback>
          <w:pict>
            <v:shape id="Frame11" o:spid="_x0000_s1026" o:spt="202" type="#_x0000_t202" style="position:absolute;left:0pt;margin-top:0.05pt;height:10.05pt;width:13.65pt;mso-position-horizontal:center;mso-position-horizontal-relative:margin;z-index:-251656192;mso-width-relative:page;mso-height-relative:page;" fillcolor="#FFFFFF" filled="t" stroked="f" coordsize="21600,21600" o:allowincell="f" o:gfxdata="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ARhbm3TAAAAAwEAAA8AAAAAAAAAAQAgAAAAIgAAAGRycy9kb3du&#10;cmV2LnhtbFBLAQIUABQAAAAIAIdO4kCxmqm5ywEAAL0DAAAOAAAAAAAAAAEAIAAAACIBAABkcnMv&#10;ZTJvRG9jLnhtbFBLBQYAAAAABgAGAFkBAABfBQAAAAA=&#10;">
              <v:fill on="t" opacity="0f" focussize="0,0"/>
              <v:stroke on="f"/>
              <v:imagedata o:title=""/>
              <o:lock v:ext="edit" aspectratio="f"/>
              <v:textbox inset="0.05pt,0.05pt,0.05pt,0.05pt" style="mso-fit-shape-to-text:t;">
                <w:txbxContent>
                  <w:p w14:paraId="79C589E3">
                    <w:pPr>
                      <w:pStyle w:val="13"/>
                    </w:pPr>
                    <w:r>
                      <w:fldChar w:fldCharType="begin"/>
                    </w:r>
                    <w:r>
                      <w:instrText xml:space="preserve"> PAGE </w:instrText>
                    </w:r>
                    <w:r>
                      <w:fldChar w:fldCharType="separate"/>
                    </w:r>
                    <w:r>
                      <w:t>206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CD5C7">
    <w:pPr>
      <w:spacing w:line="168" w:lineRule="auto"/>
      <w:ind w:left="4787" w:firstLine="0"/>
      <w:rPr>
        <w:rFonts w:ascii="Calibri" w:hAnsi="Calibri" w:eastAsia="Calibri" w:cs="Calibri"/>
        <w:sz w:val="18"/>
        <w:szCs w:val="18"/>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73355" cy="127635"/>
              <wp:effectExtent l="0" t="0" r="0" b="0"/>
              <wp:wrapNone/>
              <wp:docPr id="17" name="Frame5"/>
              <wp:cNvGraphicFramePr/>
              <a:graphic xmlns:a="http://schemas.openxmlformats.org/drawingml/2006/main">
                <a:graphicData uri="http://schemas.microsoft.com/office/word/2010/wordprocessingShape">
                  <wps:wsp>
                    <wps:cNvSpPr txBox="1"/>
                    <wps:spPr>
                      <a:xfrm>
                        <a:off x="0" y="0"/>
                        <a:ext cx="173355" cy="127635"/>
                      </a:xfrm>
                      <a:prstGeom prst="rect">
                        <a:avLst/>
                      </a:prstGeom>
                      <a:solidFill>
                        <a:srgbClr val="FFFFFF">
                          <a:alpha val="0"/>
                        </a:srgbClr>
                      </a:solidFill>
                    </wps:spPr>
                    <wps:txbx>
                      <w:txbxContent>
                        <w:p w14:paraId="119AC84F">
                          <w:pPr>
                            <w:pStyle w:val="13"/>
                          </w:pPr>
                          <w:r>
                            <w:fldChar w:fldCharType="begin"/>
                          </w:r>
                          <w:r>
                            <w:instrText xml:space="preserve"> PAGE </w:instrText>
                          </w:r>
                          <w:r>
                            <w:fldChar w:fldCharType="separate"/>
                          </w:r>
                          <w:r>
                            <w:t>227</w:t>
                          </w:r>
                          <w:r>
                            <w:fldChar w:fldCharType="end"/>
                          </w:r>
                        </w:p>
                      </w:txbxContent>
                    </wps:txbx>
                    <wps:bodyPr lIns="635" tIns="635" rIns="635" bIns="635" anchor="t">
                      <a:spAutoFit/>
                    </wps:bodyPr>
                  </wps:wsp>
                </a:graphicData>
              </a:graphic>
            </wp:anchor>
          </w:drawing>
        </mc:Choice>
        <mc:Fallback>
          <w:pict>
            <v:shape id="Frame5" o:spid="_x0000_s1026" o:spt="202" type="#_x0000_t202" style="position:absolute;left:0pt;margin-top:0.05pt;height:10.05pt;width:13.65pt;mso-position-horizontal:center;mso-position-horizontal-relative:margin;z-index:-251656192;mso-width-relative:page;mso-height-relative:page;" fillcolor="#FFFFFF" filled="t" stroked="f" coordsize="21600,21600" o:allowincell="f" o:gfxdata="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ARhbm3TAAAAAwEAAA8AAAAAAAAAAQAgAAAAIgAAAGRycy9kb3du&#10;cmV2LnhtbFBLAQIUABQAAAAIAIdO4kAzlP71ywEAALwDAAAOAAAAAAAAAAEAIAAAACIBAABkcnMv&#10;ZTJvRG9jLnhtbFBLBQYAAAAABgAGAFkBAABfBQAAAAA=&#10;">
              <v:fill on="t" opacity="0f" focussize="0,0"/>
              <v:stroke on="f"/>
              <v:imagedata o:title=""/>
              <o:lock v:ext="edit" aspectratio="f"/>
              <v:textbox inset="0.05pt,0.05pt,0.05pt,0.05pt" style="mso-fit-shape-to-text:t;">
                <w:txbxContent>
                  <w:p w14:paraId="119AC84F">
                    <w:pPr>
                      <w:pStyle w:val="13"/>
                    </w:pPr>
                    <w:r>
                      <w:fldChar w:fldCharType="begin"/>
                    </w:r>
                    <w:r>
                      <w:instrText xml:space="preserve"> PAGE </w:instrText>
                    </w:r>
                    <w:r>
                      <w:fldChar w:fldCharType="separate"/>
                    </w:r>
                    <w:r>
                      <w:t>227</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E8D0F">
    <w:pPr>
      <w:spacing w:line="168" w:lineRule="auto"/>
      <w:ind w:left="4787" w:firstLine="0"/>
      <w:rPr>
        <w:rFonts w:ascii="Calibri" w:hAnsi="Calibri" w:eastAsia="Calibri" w:cs="Calibri"/>
        <w:sz w:val="18"/>
        <w:szCs w:val="18"/>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73355" cy="127635"/>
              <wp:effectExtent l="0" t="0" r="0" b="0"/>
              <wp:wrapNone/>
              <wp:docPr id="18" name="Frame6"/>
              <wp:cNvGraphicFramePr/>
              <a:graphic xmlns:a="http://schemas.openxmlformats.org/drawingml/2006/main">
                <a:graphicData uri="http://schemas.microsoft.com/office/word/2010/wordprocessingShape">
                  <wps:wsp>
                    <wps:cNvSpPr txBox="1"/>
                    <wps:spPr>
                      <a:xfrm>
                        <a:off x="0" y="0"/>
                        <a:ext cx="173355" cy="127635"/>
                      </a:xfrm>
                      <a:prstGeom prst="rect">
                        <a:avLst/>
                      </a:prstGeom>
                      <a:solidFill>
                        <a:srgbClr val="FFFFFF">
                          <a:alpha val="0"/>
                        </a:srgbClr>
                      </a:solidFill>
                    </wps:spPr>
                    <wps:txbx>
                      <w:txbxContent>
                        <w:p w14:paraId="338061F8">
                          <w:pPr>
                            <w:pStyle w:val="13"/>
                          </w:pPr>
                          <w:r>
                            <w:fldChar w:fldCharType="begin"/>
                          </w:r>
                          <w:r>
                            <w:instrText xml:space="preserve"> PAGE </w:instrText>
                          </w:r>
                          <w:r>
                            <w:fldChar w:fldCharType="separate"/>
                          </w:r>
                          <w:r>
                            <w:t>246</w:t>
                          </w:r>
                          <w:r>
                            <w:fldChar w:fldCharType="end"/>
                          </w:r>
                        </w:p>
                      </w:txbxContent>
                    </wps:txbx>
                    <wps:bodyPr lIns="635" tIns="635" rIns="635" bIns="635" anchor="t">
                      <a:spAutoFit/>
                    </wps:bodyPr>
                  </wps:wsp>
                </a:graphicData>
              </a:graphic>
            </wp:anchor>
          </w:drawing>
        </mc:Choice>
        <mc:Fallback>
          <w:pict>
            <v:shape id="Frame6" o:spid="_x0000_s1026" o:spt="202" type="#_x0000_t202" style="position:absolute;left:0pt;margin-top:0.05pt;height:10.05pt;width:13.65pt;mso-position-horizontal:center;mso-position-horizontal-relative:margin;z-index:-251656192;mso-width-relative:page;mso-height-relative:page;" fillcolor="#FFFFFF" filled="t" stroked="f" coordsize="21600,21600" o:allowincell="f" o:gfxdata="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BGFubdMAAAADAQAADwAAAAAAAAABACAAAAAiAAAAZHJzL2Rvd25y&#10;ZXYueG1sUEsBAhQAFAAAAAgAh07iQBZUeibKAQAAvAMAAA4AAAAAAAAAAQAgAAAAIgEAAGRycy9l&#10;Mm9Eb2MueG1sUEsFBgAAAAAGAAYAWQEAAF4FAAAAAA==&#10;">
              <v:fill on="t" opacity="0f" focussize="0,0"/>
              <v:stroke on="f"/>
              <v:imagedata o:title=""/>
              <o:lock v:ext="edit" aspectratio="f"/>
              <v:textbox inset="0.05pt,0.05pt,0.05pt,0.05pt" style="mso-fit-shape-to-text:t;">
                <w:txbxContent>
                  <w:p w14:paraId="338061F8">
                    <w:pPr>
                      <w:pStyle w:val="13"/>
                    </w:pPr>
                    <w:r>
                      <w:fldChar w:fldCharType="begin"/>
                    </w:r>
                    <w:r>
                      <w:instrText xml:space="preserve"> PAGE </w:instrText>
                    </w:r>
                    <w:r>
                      <w:fldChar w:fldCharType="separate"/>
                    </w:r>
                    <w:r>
                      <w:t>246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34D47">
    <w:pPr>
      <w:pStyle w:val="14"/>
      <w:pBdr>
        <w:bottom w:val="none" w:color="auto" w:sz="0" w:space="0"/>
      </w:pBdr>
      <w:tabs>
        <w:tab w:val="clear" w:pos="4153"/>
        <w:tab w:val="clear" w:pos="8306"/>
      </w:tabs>
      <w:rPr>
        <w:rFonts w:eastAsia="宋体"/>
        <w:u w:val="none"/>
        <w:lang w:eastAsia="zh-CN"/>
      </w:rPr>
    </w:pPr>
    <w:r>
      <w:rPr>
        <w:rFonts w:eastAsia="Times New Roman"/>
        <w:u w:val="none"/>
        <w:lang w:val="en-US" w:eastAsia="zh-CN"/>
      </w:rPr>
      <w:t xml:space="preserve">           </w:t>
    </w:r>
    <w:r>
      <w:rPr>
        <w:rFonts w:eastAsia="Times New Roman"/>
        <w:u w:val="none"/>
        <w:lang w:eastAsia="zh-CN"/>
      </w:rPr>
      <w:t xml:space="preserve"> </w:t>
    </w:r>
  </w:p>
  <w:p w14:paraId="5E5C828A">
    <w:pPr>
      <w:pStyle w:val="14"/>
      <w:pBdr>
        <w:bottom w:val="none" w:color="auto" w:sz="0" w:space="0"/>
      </w:pBdr>
      <w:tabs>
        <w:tab w:val="clear" w:pos="4153"/>
        <w:tab w:val="clear" w:pos="8306"/>
      </w:tabs>
      <w:rPr>
        <w:rFonts w:eastAsia="宋体"/>
        <w:u w:val="none"/>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41C3A">
    <w:pPr>
      <w:pStyle w:val="14"/>
      <w:pBdr>
        <w:bottom w:val="none" w:color="auto" w:sz="0" w:space="0"/>
      </w:pBdr>
      <w:tabs>
        <w:tab w:val="clear" w:pos="4153"/>
        <w:tab w:val="clear" w:pos="8306"/>
      </w:tabs>
      <w:rPr>
        <w:rFonts w:eastAsia="宋体"/>
        <w:u w:val="none"/>
        <w:lang w:eastAsia="zh-CN"/>
      </w:rPr>
    </w:pPr>
    <w:r>
      <w:rPr>
        <w:rFonts w:eastAsia="Times New Roman"/>
        <w:u w:val="none"/>
        <w:lang w:val="en-US" w:eastAsia="zh-CN"/>
      </w:rPr>
      <w:t xml:space="preserve">           </w:t>
    </w:r>
    <w:r>
      <w:rPr>
        <w:rFonts w:eastAsia="Times New Roman"/>
        <w:u w:val="none"/>
        <w:lang w:eastAsia="zh-CN"/>
      </w:rPr>
      <w:t xml:space="preserve"> </w:t>
    </w:r>
  </w:p>
  <w:p w14:paraId="0E3C9413">
    <w:pPr>
      <w:pStyle w:val="14"/>
      <w:pBdr>
        <w:bottom w:val="none" w:color="auto" w:sz="0" w:space="0"/>
      </w:pBdr>
      <w:tabs>
        <w:tab w:val="clear" w:pos="4153"/>
        <w:tab w:val="clear" w:pos="8306"/>
      </w:tabs>
      <w:rPr>
        <w:rFonts w:eastAsia="宋体"/>
        <w:u w:val="none"/>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55A47">
    <w:pPr>
      <w:pStyle w:val="14"/>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3272C8EA">
    <w:pPr>
      <w:pStyle w:val="14"/>
      <w:pBdr>
        <w:bottom w:val="none" w:color="auto" w:sz="0" w:space="0"/>
      </w:pBdr>
      <w:tabs>
        <w:tab w:val="clear" w:pos="4153"/>
        <w:tab w:val="clear" w:pos="8306"/>
      </w:tabs>
      <w:rPr>
        <w:rFonts w:eastAsia="宋体"/>
        <w:u w:val="none"/>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1AF75">
    <w:pPr>
      <w:pStyle w:val="9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2BD15">
    <w:pPr>
      <w:pStyle w:val="14"/>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22A6307A">
    <w:pPr>
      <w:pStyle w:val="14"/>
      <w:pBdr>
        <w:bottom w:val="none" w:color="auto" w:sz="0" w:space="0"/>
      </w:pBdr>
      <w:tabs>
        <w:tab w:val="clear" w:pos="4153"/>
        <w:tab w:val="clear" w:pos="8306"/>
      </w:tabs>
      <w:rPr>
        <w:rFonts w:eastAsia="宋体"/>
        <w:u w:val="none"/>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FCD34">
    <w:pPr>
      <w:pStyle w:val="9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F7865">
    <w:pPr>
      <w:pStyle w:val="14"/>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7114D027">
    <w:pPr>
      <w:pStyle w:val="14"/>
      <w:pBdr>
        <w:bottom w:val="none" w:color="auto" w:sz="0" w:space="0"/>
      </w:pBdr>
      <w:tabs>
        <w:tab w:val="clear" w:pos="4153"/>
        <w:tab w:val="clear" w:pos="8306"/>
      </w:tabs>
      <w:rPr>
        <w:rFonts w:eastAsia="宋体"/>
        <w:u w:val="none"/>
        <w:lang w:eastAsia="zh-C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CF27D">
    <w:pPr>
      <w:pStyle w:val="94"/>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5DD85">
    <w:pPr>
      <w:pStyle w:val="14"/>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168BB047">
    <w:pPr>
      <w:pStyle w:val="14"/>
      <w:pBdr>
        <w:bottom w:val="none" w:color="auto" w:sz="0" w:space="0"/>
      </w:pBdr>
      <w:tabs>
        <w:tab w:val="clear" w:pos="4153"/>
        <w:tab w:val="clear" w:pos="8306"/>
      </w:tabs>
      <w:rPr>
        <w:rFonts w:eastAsia="宋体"/>
        <w:u w:val="none"/>
        <w:lang w:eastAsia="zh-C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F07AF">
    <w:pPr>
      <w:pStyle w:val="94"/>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27D84">
    <w:pPr>
      <w:pStyle w:val="14"/>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5B0C6A27">
    <w:pPr>
      <w:pStyle w:val="14"/>
      <w:pBdr>
        <w:bottom w:val="none" w:color="auto" w:sz="0" w:space="0"/>
      </w:pBdr>
      <w:tabs>
        <w:tab w:val="clear" w:pos="4153"/>
        <w:tab w:val="clear" w:pos="8306"/>
      </w:tabs>
      <w:rPr>
        <w:rFonts w:eastAsia="宋体"/>
        <w:u w:val="none"/>
        <w:lang w:eastAsia="zh-C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A52F0">
    <w:pPr>
      <w:pStyle w:val="14"/>
      <w:rPr>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5EA713"/>
    <w:multiLevelType w:val="singleLevel"/>
    <w:tmpl w:val="805EA713"/>
    <w:lvl w:ilvl="0" w:tentative="0">
      <w:start w:val="1"/>
      <w:numFmt w:val="chineseCountingThousand"/>
      <w:suff w:val="nothing"/>
      <w:lvlText w:val="（%1）"/>
      <w:lvlJc w:val="left"/>
      <w:pPr>
        <w:tabs>
          <w:tab w:val="left" w:pos="0"/>
        </w:tabs>
        <w:ind w:left="0" w:firstLine="0"/>
      </w:pPr>
    </w:lvl>
  </w:abstractNum>
  <w:abstractNum w:abstractNumId="1">
    <w:nsid w:val="81BCDDB8"/>
    <w:multiLevelType w:val="singleLevel"/>
    <w:tmpl w:val="81BCDDB8"/>
    <w:lvl w:ilvl="0" w:tentative="0">
      <w:start w:val="5"/>
      <w:numFmt w:val="decimal"/>
      <w:suff w:val="nothing"/>
      <w:lvlText w:val="（%1）"/>
      <w:lvlJc w:val="left"/>
      <w:pPr>
        <w:tabs>
          <w:tab w:val="left" w:pos="0"/>
        </w:tabs>
        <w:ind w:left="0" w:firstLine="0"/>
      </w:pPr>
    </w:lvl>
  </w:abstractNum>
  <w:abstractNum w:abstractNumId="2">
    <w:nsid w:val="88E74945"/>
    <w:multiLevelType w:val="singleLevel"/>
    <w:tmpl w:val="88E74945"/>
    <w:lvl w:ilvl="0" w:tentative="0">
      <w:start w:val="1"/>
      <w:numFmt w:val="decimal"/>
      <w:suff w:val="nothing"/>
      <w:lvlText w:val="%1、"/>
      <w:lvlJc w:val="left"/>
      <w:pPr>
        <w:tabs>
          <w:tab w:val="left" w:pos="0"/>
        </w:tabs>
        <w:ind w:left="0" w:firstLine="0"/>
      </w:pPr>
    </w:lvl>
  </w:abstractNum>
  <w:abstractNum w:abstractNumId="3">
    <w:nsid w:val="9FD4E7DC"/>
    <w:multiLevelType w:val="singleLevel"/>
    <w:tmpl w:val="9FD4E7DC"/>
    <w:lvl w:ilvl="0" w:tentative="0">
      <w:start w:val="4"/>
      <w:numFmt w:val="chineseCountingThousand"/>
      <w:suff w:val="space"/>
      <w:lvlText w:val="第%1章"/>
      <w:lvlJc w:val="left"/>
      <w:pPr>
        <w:tabs>
          <w:tab w:val="left" w:pos="0"/>
        </w:tabs>
        <w:ind w:left="0" w:firstLine="0"/>
      </w:pPr>
    </w:lvl>
  </w:abstractNum>
  <w:abstractNum w:abstractNumId="4">
    <w:nsid w:val="CF092B84"/>
    <w:multiLevelType w:val="multilevel"/>
    <w:tmpl w:val="CF092B84"/>
    <w:lvl w:ilvl="0" w:tentative="0">
      <w:start w:val="1"/>
      <w:numFmt w:val="chineseCountingThousand"/>
      <w:pStyle w:val="68"/>
      <w:suff w:val="space"/>
      <w:lvlText w:val="%1. "/>
      <w:lvlJc w:val="left"/>
      <w:pPr>
        <w:tabs>
          <w:tab w:val="left" w:pos="0"/>
        </w:tabs>
        <w:ind w:left="907" w:hanging="907"/>
      </w:pPr>
    </w:lvl>
    <w:lvl w:ilvl="1" w:tentative="0">
      <w:start w:val="1"/>
      <w:numFmt w:val="decimal"/>
      <w:suff w:val="space"/>
      <w:lvlText w:val="%1.%2 "/>
      <w:lvlJc w:val="left"/>
      <w:pPr>
        <w:tabs>
          <w:tab w:val="left" w:pos="0"/>
        </w:tabs>
        <w:ind w:left="794" w:hanging="794"/>
      </w:pPr>
    </w:lvl>
    <w:lvl w:ilvl="2" w:tentative="0">
      <w:start w:val="0"/>
      <w:numFmt w:val="none"/>
      <w:suff w:val="nothing"/>
      <w:lvlText w:val=""/>
      <w:lvlJc w:val="left"/>
      <w:pPr>
        <w:tabs>
          <w:tab w:val="left" w:pos="0"/>
        </w:tabs>
        <w:ind w:left="0" w:firstLine="0"/>
      </w:pPr>
      <w:rPr>
        <w:rFonts w:cs="Times New Roman"/>
      </w:rPr>
    </w:lvl>
    <w:lvl w:ilvl="3" w:tentative="0">
      <w:start w:val="0"/>
      <w:numFmt w:val="none"/>
      <w:suff w:val="nothing"/>
      <w:lvlText w:val=""/>
      <w:lvlJc w:val="left"/>
      <w:pPr>
        <w:tabs>
          <w:tab w:val="left" w:pos="0"/>
        </w:tabs>
        <w:ind w:left="0" w:firstLine="0"/>
      </w:pPr>
      <w:rPr>
        <w:rFonts w:cs="Times New Roman"/>
      </w:rPr>
    </w:lvl>
    <w:lvl w:ilvl="4" w:tentative="0">
      <w:start w:val="0"/>
      <w:numFmt w:val="decimal"/>
      <w:lvlText w:val=""/>
      <w:lvlJc w:val="left"/>
      <w:pPr>
        <w:tabs>
          <w:tab w:val="left" w:pos="0"/>
        </w:tabs>
        <w:ind w:left="0" w:firstLine="0"/>
      </w:pPr>
      <w:rPr>
        <w:rFonts w:cs="Times New Roman"/>
      </w:rPr>
    </w:lvl>
    <w:lvl w:ilvl="5" w:tentative="0">
      <w:start w:val="0"/>
      <w:numFmt w:val="decimal"/>
      <w:lvlText w:val=""/>
      <w:lvlJc w:val="left"/>
      <w:pPr>
        <w:tabs>
          <w:tab w:val="left" w:pos="0"/>
        </w:tabs>
        <w:ind w:left="0" w:firstLine="0"/>
      </w:pPr>
      <w:rPr>
        <w:rFonts w:cs="Times New Roman"/>
      </w:rPr>
    </w:lvl>
    <w:lvl w:ilvl="6" w:tentative="0">
      <w:start w:val="0"/>
      <w:numFmt w:val="decimal"/>
      <w:lvlText w:val=""/>
      <w:lvlJc w:val="left"/>
      <w:pPr>
        <w:tabs>
          <w:tab w:val="left" w:pos="0"/>
        </w:tabs>
        <w:ind w:left="0" w:firstLine="0"/>
      </w:pPr>
      <w:rPr>
        <w:rFonts w:cs="Times New Roman"/>
      </w:rPr>
    </w:lvl>
    <w:lvl w:ilvl="7" w:tentative="0">
      <w:start w:val="0"/>
      <w:numFmt w:val="decimal"/>
      <w:lvlText w:val=""/>
      <w:lvlJc w:val="left"/>
      <w:pPr>
        <w:tabs>
          <w:tab w:val="left" w:pos="0"/>
        </w:tabs>
        <w:ind w:left="0" w:firstLine="0"/>
      </w:pPr>
      <w:rPr>
        <w:rFonts w:cs="Times New Roman"/>
      </w:rPr>
    </w:lvl>
    <w:lvl w:ilvl="8" w:tentative="0">
      <w:start w:val="0"/>
      <w:numFmt w:val="decimal"/>
      <w:lvlText w:val=""/>
      <w:lvlJc w:val="left"/>
      <w:pPr>
        <w:tabs>
          <w:tab w:val="left" w:pos="0"/>
        </w:tabs>
        <w:ind w:left="0" w:firstLine="0"/>
      </w:pPr>
      <w:rPr>
        <w:rFonts w:cs="Times New Roman"/>
      </w:rPr>
    </w:lvl>
  </w:abstractNum>
  <w:abstractNum w:abstractNumId="5">
    <w:nsid w:val="D0EF5EA8"/>
    <w:multiLevelType w:val="singleLevel"/>
    <w:tmpl w:val="D0EF5EA8"/>
    <w:lvl w:ilvl="0" w:tentative="0">
      <w:start w:val="5"/>
      <w:numFmt w:val="chineseCountingThousand"/>
      <w:suff w:val="space"/>
      <w:lvlText w:val="第%1章"/>
      <w:lvlJc w:val="left"/>
      <w:pPr>
        <w:tabs>
          <w:tab w:val="left" w:pos="0"/>
        </w:tabs>
        <w:ind w:left="0" w:firstLine="0"/>
      </w:pPr>
    </w:lvl>
  </w:abstractNum>
  <w:abstractNum w:abstractNumId="6">
    <w:nsid w:val="FD8978B6"/>
    <w:multiLevelType w:val="multilevel"/>
    <w:tmpl w:val="FD8978B6"/>
    <w:lvl w:ilvl="0" w:tentative="0">
      <w:start w:val="1"/>
      <w:numFmt w:val="chineseCountingThousand"/>
      <w:lvlText w:val="第%1章"/>
      <w:lvlJc w:val="left"/>
      <w:pPr>
        <w:tabs>
          <w:tab w:val="left" w:pos="0"/>
        </w:tabs>
        <w:ind w:left="1125" w:hanging="1125"/>
      </w:p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7">
    <w:nsid w:val="0053208E"/>
    <w:multiLevelType w:val="multilevel"/>
    <w:tmpl w:val="0053208E"/>
    <w:lvl w:ilvl="0" w:tentative="0">
      <w:start w:val="1"/>
      <w:numFmt w:val="decimal"/>
      <w:lvlText w:val="%1、"/>
      <w:lvlJc w:val="left"/>
      <w:pPr>
        <w:tabs>
          <w:tab w:val="left" w:pos="0"/>
        </w:tabs>
        <w:ind w:left="371" w:hanging="360"/>
      </w:pPr>
    </w:lvl>
    <w:lvl w:ilvl="1" w:tentative="0">
      <w:start w:val="1"/>
      <w:numFmt w:val="lowerLetter"/>
      <w:pStyle w:val="3"/>
      <w:lvlText w:val="%2)"/>
      <w:lvlJc w:val="left"/>
      <w:pPr>
        <w:tabs>
          <w:tab w:val="left" w:pos="0"/>
        </w:tabs>
        <w:ind w:left="851" w:hanging="420"/>
      </w:pPr>
    </w:lvl>
    <w:lvl w:ilvl="2" w:tentative="0">
      <w:start w:val="1"/>
      <w:numFmt w:val="lowerRoman"/>
      <w:lvlText w:val="%3."/>
      <w:lvlJc w:val="right"/>
      <w:pPr>
        <w:tabs>
          <w:tab w:val="left" w:pos="0"/>
        </w:tabs>
        <w:ind w:left="1271" w:hanging="420"/>
      </w:pPr>
    </w:lvl>
    <w:lvl w:ilvl="3" w:tentative="0">
      <w:start w:val="1"/>
      <w:numFmt w:val="decimal"/>
      <w:lvlText w:val="%4."/>
      <w:lvlJc w:val="left"/>
      <w:pPr>
        <w:tabs>
          <w:tab w:val="left" w:pos="0"/>
        </w:tabs>
        <w:ind w:left="1691" w:hanging="420"/>
      </w:pPr>
    </w:lvl>
    <w:lvl w:ilvl="4" w:tentative="0">
      <w:start w:val="1"/>
      <w:numFmt w:val="lowerLetter"/>
      <w:lvlText w:val="%5)"/>
      <w:lvlJc w:val="left"/>
      <w:pPr>
        <w:tabs>
          <w:tab w:val="left" w:pos="0"/>
        </w:tabs>
        <w:ind w:left="2111" w:hanging="420"/>
      </w:pPr>
    </w:lvl>
    <w:lvl w:ilvl="5" w:tentative="0">
      <w:start w:val="1"/>
      <w:numFmt w:val="lowerRoman"/>
      <w:lvlText w:val="%6."/>
      <w:lvlJc w:val="right"/>
      <w:pPr>
        <w:tabs>
          <w:tab w:val="left" w:pos="0"/>
        </w:tabs>
        <w:ind w:left="2531" w:hanging="420"/>
      </w:pPr>
    </w:lvl>
    <w:lvl w:ilvl="6" w:tentative="0">
      <w:start w:val="1"/>
      <w:numFmt w:val="decimal"/>
      <w:lvlText w:val="%7."/>
      <w:lvlJc w:val="left"/>
      <w:pPr>
        <w:tabs>
          <w:tab w:val="left" w:pos="0"/>
        </w:tabs>
        <w:ind w:left="2951" w:hanging="420"/>
      </w:pPr>
    </w:lvl>
    <w:lvl w:ilvl="7" w:tentative="0">
      <w:start w:val="1"/>
      <w:numFmt w:val="lowerLetter"/>
      <w:lvlText w:val="%8)"/>
      <w:lvlJc w:val="left"/>
      <w:pPr>
        <w:tabs>
          <w:tab w:val="left" w:pos="0"/>
        </w:tabs>
        <w:ind w:left="3371" w:hanging="420"/>
      </w:pPr>
    </w:lvl>
    <w:lvl w:ilvl="8" w:tentative="0">
      <w:start w:val="1"/>
      <w:numFmt w:val="lowerRoman"/>
      <w:lvlText w:val="%9."/>
      <w:lvlJc w:val="right"/>
      <w:pPr>
        <w:tabs>
          <w:tab w:val="left" w:pos="0"/>
        </w:tabs>
        <w:ind w:left="3791" w:hanging="420"/>
      </w:pPr>
    </w:lvl>
  </w:abstractNum>
  <w:abstractNum w:abstractNumId="8">
    <w:nsid w:val="124EFEF3"/>
    <w:multiLevelType w:val="singleLevel"/>
    <w:tmpl w:val="124EFEF3"/>
    <w:lvl w:ilvl="0" w:tentative="0">
      <w:start w:val="2"/>
      <w:numFmt w:val="decimal"/>
      <w:suff w:val="nothing"/>
      <w:lvlText w:val="（%1）"/>
      <w:lvlJc w:val="left"/>
      <w:pPr>
        <w:tabs>
          <w:tab w:val="left" w:pos="0"/>
        </w:tabs>
        <w:ind w:left="0" w:firstLine="0"/>
      </w:pPr>
    </w:lvl>
  </w:abstractNum>
  <w:abstractNum w:abstractNumId="9">
    <w:nsid w:val="236EC7F0"/>
    <w:multiLevelType w:val="multilevel"/>
    <w:tmpl w:val="236EC7F0"/>
    <w:lvl w:ilvl="0" w:tentative="0">
      <w:start w:val="1"/>
      <w:numFmt w:val="chineseCountingThousand"/>
      <w:lvlText w:val="（%1）"/>
      <w:lvlJc w:val="left"/>
      <w:pPr>
        <w:tabs>
          <w:tab w:val="left" w:pos="0"/>
        </w:tabs>
        <w:ind w:left="1725" w:hanging="1080"/>
      </w:pPr>
      <w:rPr>
        <w:lang w:val="en-US"/>
      </w:rPr>
    </w:lvl>
    <w:lvl w:ilvl="1" w:tentative="0">
      <w:start w:val="1"/>
      <w:numFmt w:val="lowerLetter"/>
      <w:lvlText w:val="%2)"/>
      <w:lvlJc w:val="left"/>
      <w:pPr>
        <w:tabs>
          <w:tab w:val="left" w:pos="0"/>
        </w:tabs>
        <w:ind w:left="1485" w:hanging="420"/>
      </w:pPr>
    </w:lvl>
    <w:lvl w:ilvl="2" w:tentative="0">
      <w:start w:val="1"/>
      <w:numFmt w:val="lowerRoman"/>
      <w:lvlText w:val="%3."/>
      <w:lvlJc w:val="right"/>
      <w:pPr>
        <w:tabs>
          <w:tab w:val="left" w:pos="0"/>
        </w:tabs>
        <w:ind w:left="1905" w:hanging="420"/>
      </w:pPr>
    </w:lvl>
    <w:lvl w:ilvl="3" w:tentative="0">
      <w:start w:val="1"/>
      <w:numFmt w:val="decimal"/>
      <w:lvlText w:val="%4."/>
      <w:lvlJc w:val="left"/>
      <w:pPr>
        <w:tabs>
          <w:tab w:val="left" w:pos="0"/>
        </w:tabs>
        <w:ind w:left="2325" w:hanging="420"/>
      </w:pPr>
    </w:lvl>
    <w:lvl w:ilvl="4" w:tentative="0">
      <w:start w:val="1"/>
      <w:numFmt w:val="lowerLetter"/>
      <w:lvlText w:val="%5)"/>
      <w:lvlJc w:val="left"/>
      <w:pPr>
        <w:tabs>
          <w:tab w:val="left" w:pos="0"/>
        </w:tabs>
        <w:ind w:left="2745" w:hanging="420"/>
      </w:pPr>
    </w:lvl>
    <w:lvl w:ilvl="5" w:tentative="0">
      <w:start w:val="1"/>
      <w:numFmt w:val="lowerRoman"/>
      <w:lvlText w:val="%6."/>
      <w:lvlJc w:val="right"/>
      <w:pPr>
        <w:tabs>
          <w:tab w:val="left" w:pos="0"/>
        </w:tabs>
        <w:ind w:left="3165" w:hanging="420"/>
      </w:pPr>
    </w:lvl>
    <w:lvl w:ilvl="6" w:tentative="0">
      <w:start w:val="1"/>
      <w:numFmt w:val="decimal"/>
      <w:lvlText w:val="%7."/>
      <w:lvlJc w:val="left"/>
      <w:pPr>
        <w:tabs>
          <w:tab w:val="left" w:pos="0"/>
        </w:tabs>
        <w:ind w:left="3585" w:hanging="420"/>
      </w:pPr>
    </w:lvl>
    <w:lvl w:ilvl="7" w:tentative="0">
      <w:start w:val="1"/>
      <w:numFmt w:val="lowerLetter"/>
      <w:lvlText w:val="%8)"/>
      <w:lvlJc w:val="left"/>
      <w:pPr>
        <w:tabs>
          <w:tab w:val="left" w:pos="0"/>
        </w:tabs>
        <w:ind w:left="4005" w:hanging="420"/>
      </w:pPr>
    </w:lvl>
    <w:lvl w:ilvl="8" w:tentative="0">
      <w:start w:val="1"/>
      <w:numFmt w:val="lowerRoman"/>
      <w:lvlText w:val="%9."/>
      <w:lvlJc w:val="right"/>
      <w:pPr>
        <w:tabs>
          <w:tab w:val="left" w:pos="0"/>
        </w:tabs>
        <w:ind w:left="4425" w:hanging="420"/>
      </w:pPr>
    </w:lvl>
  </w:abstractNum>
  <w:abstractNum w:abstractNumId="10">
    <w:nsid w:val="249A2C6E"/>
    <w:multiLevelType w:val="singleLevel"/>
    <w:tmpl w:val="249A2C6E"/>
    <w:lvl w:ilvl="0" w:tentative="0">
      <w:start w:val="1"/>
      <w:numFmt w:val="decimal"/>
      <w:suff w:val="nothing"/>
      <w:lvlText w:val="%1、"/>
      <w:lvlJc w:val="left"/>
      <w:pPr>
        <w:tabs>
          <w:tab w:val="left" w:pos="0"/>
        </w:tabs>
        <w:ind w:left="0" w:firstLine="0"/>
      </w:pPr>
    </w:lvl>
  </w:abstractNum>
  <w:abstractNum w:abstractNumId="11">
    <w:nsid w:val="29720B70"/>
    <w:multiLevelType w:val="multilevel"/>
    <w:tmpl w:val="29720B70"/>
    <w:lvl w:ilvl="0" w:tentative="0">
      <w:start w:val="1"/>
      <w:numFmt w:val="chineseCountingThousand"/>
      <w:lvlText w:val="（%1）"/>
      <w:lvlJc w:val="left"/>
      <w:pPr>
        <w:tabs>
          <w:tab w:val="left" w:pos="0"/>
        </w:tabs>
        <w:ind w:left="1725" w:hanging="1080"/>
      </w:pPr>
    </w:lvl>
    <w:lvl w:ilvl="1" w:tentative="0">
      <w:start w:val="1"/>
      <w:numFmt w:val="lowerLetter"/>
      <w:lvlText w:val="%2)"/>
      <w:lvlJc w:val="left"/>
      <w:pPr>
        <w:tabs>
          <w:tab w:val="left" w:pos="0"/>
        </w:tabs>
        <w:ind w:left="1485" w:hanging="420"/>
      </w:pPr>
    </w:lvl>
    <w:lvl w:ilvl="2" w:tentative="0">
      <w:start w:val="1"/>
      <w:numFmt w:val="lowerRoman"/>
      <w:lvlText w:val="%3."/>
      <w:lvlJc w:val="right"/>
      <w:pPr>
        <w:tabs>
          <w:tab w:val="left" w:pos="0"/>
        </w:tabs>
        <w:ind w:left="1905" w:hanging="420"/>
      </w:pPr>
    </w:lvl>
    <w:lvl w:ilvl="3" w:tentative="0">
      <w:start w:val="1"/>
      <w:numFmt w:val="decimal"/>
      <w:lvlText w:val="%4."/>
      <w:lvlJc w:val="left"/>
      <w:pPr>
        <w:tabs>
          <w:tab w:val="left" w:pos="0"/>
        </w:tabs>
        <w:ind w:left="2325" w:hanging="420"/>
      </w:pPr>
    </w:lvl>
    <w:lvl w:ilvl="4" w:tentative="0">
      <w:start w:val="1"/>
      <w:numFmt w:val="lowerLetter"/>
      <w:lvlText w:val="%5)"/>
      <w:lvlJc w:val="left"/>
      <w:pPr>
        <w:tabs>
          <w:tab w:val="left" w:pos="0"/>
        </w:tabs>
        <w:ind w:left="2745" w:hanging="420"/>
      </w:pPr>
    </w:lvl>
    <w:lvl w:ilvl="5" w:tentative="0">
      <w:start w:val="1"/>
      <w:numFmt w:val="lowerRoman"/>
      <w:lvlText w:val="%6."/>
      <w:lvlJc w:val="right"/>
      <w:pPr>
        <w:tabs>
          <w:tab w:val="left" w:pos="0"/>
        </w:tabs>
        <w:ind w:left="3165" w:hanging="420"/>
      </w:pPr>
    </w:lvl>
    <w:lvl w:ilvl="6" w:tentative="0">
      <w:start w:val="1"/>
      <w:numFmt w:val="decimal"/>
      <w:lvlText w:val="%7."/>
      <w:lvlJc w:val="left"/>
      <w:pPr>
        <w:tabs>
          <w:tab w:val="left" w:pos="0"/>
        </w:tabs>
        <w:ind w:left="3585" w:hanging="420"/>
      </w:pPr>
    </w:lvl>
    <w:lvl w:ilvl="7" w:tentative="0">
      <w:start w:val="1"/>
      <w:numFmt w:val="lowerLetter"/>
      <w:lvlText w:val="%8)"/>
      <w:lvlJc w:val="left"/>
      <w:pPr>
        <w:tabs>
          <w:tab w:val="left" w:pos="0"/>
        </w:tabs>
        <w:ind w:left="4005" w:hanging="420"/>
      </w:pPr>
    </w:lvl>
    <w:lvl w:ilvl="8" w:tentative="0">
      <w:start w:val="1"/>
      <w:numFmt w:val="lowerRoman"/>
      <w:lvlText w:val="%9."/>
      <w:lvlJc w:val="right"/>
      <w:pPr>
        <w:tabs>
          <w:tab w:val="left" w:pos="0"/>
        </w:tabs>
        <w:ind w:left="4425" w:hanging="420"/>
      </w:pPr>
    </w:lvl>
  </w:abstractNum>
  <w:abstractNum w:abstractNumId="12">
    <w:nsid w:val="2BCE5299"/>
    <w:multiLevelType w:val="singleLevel"/>
    <w:tmpl w:val="2BCE5299"/>
    <w:lvl w:ilvl="0" w:tentative="0">
      <w:start w:val="1"/>
      <w:numFmt w:val="decimal"/>
      <w:suff w:val="nothing"/>
      <w:lvlText w:val="（%1）"/>
      <w:lvlJc w:val="left"/>
      <w:pPr>
        <w:tabs>
          <w:tab w:val="left" w:pos="0"/>
        </w:tabs>
        <w:ind w:left="0" w:firstLine="0"/>
      </w:pPr>
    </w:lvl>
  </w:abstractNum>
  <w:abstractNum w:abstractNumId="13">
    <w:nsid w:val="3AED927E"/>
    <w:multiLevelType w:val="singleLevel"/>
    <w:tmpl w:val="3AED927E"/>
    <w:lvl w:ilvl="0" w:tentative="0">
      <w:start w:val="1"/>
      <w:numFmt w:val="taiwaneseCountingThousand"/>
      <w:suff w:val="nothing"/>
      <w:lvlText w:val="%1、"/>
      <w:lvlJc w:val="left"/>
      <w:pPr>
        <w:tabs>
          <w:tab w:val="left" w:pos="0"/>
        </w:tabs>
        <w:ind w:left="0" w:firstLine="0"/>
      </w:pPr>
    </w:lvl>
  </w:abstractNum>
  <w:abstractNum w:abstractNumId="14">
    <w:nsid w:val="43FFD817"/>
    <w:multiLevelType w:val="singleLevel"/>
    <w:tmpl w:val="43FFD817"/>
    <w:lvl w:ilvl="0" w:tentative="0">
      <w:start w:val="2"/>
      <w:numFmt w:val="decimal"/>
      <w:lvlText w:val="%1."/>
      <w:lvlJc w:val="left"/>
      <w:pPr>
        <w:tabs>
          <w:tab w:val="left" w:pos="420"/>
        </w:tabs>
        <w:ind w:left="0" w:firstLine="0"/>
      </w:pPr>
    </w:lvl>
  </w:abstractNum>
  <w:abstractNum w:abstractNumId="15">
    <w:nsid w:val="72B8E692"/>
    <w:multiLevelType w:val="singleLevel"/>
    <w:tmpl w:val="72B8E692"/>
    <w:lvl w:ilvl="0" w:tentative="0">
      <w:start w:val="11"/>
      <w:numFmt w:val="chineseCountingThousand"/>
      <w:suff w:val="nothing"/>
      <w:lvlText w:val="（%1）"/>
      <w:lvlJc w:val="left"/>
      <w:pPr>
        <w:tabs>
          <w:tab w:val="left" w:pos="0"/>
        </w:tabs>
        <w:ind w:left="0" w:firstLine="0"/>
      </w:pPr>
    </w:lvl>
  </w:abstractNum>
  <w:num w:numId="1">
    <w:abstractNumId w:val="7"/>
  </w:num>
  <w:num w:numId="2">
    <w:abstractNumId w:val="4"/>
  </w:num>
  <w:num w:numId="3">
    <w:abstractNumId w:val="6"/>
  </w:num>
  <w:num w:numId="4">
    <w:abstractNumId w:val="2"/>
  </w:num>
  <w:num w:numId="5">
    <w:abstractNumId w:val="10"/>
  </w:num>
  <w:num w:numId="6">
    <w:abstractNumId w:val="13"/>
  </w:num>
  <w:num w:numId="7">
    <w:abstractNumId w:val="11"/>
  </w:num>
  <w:num w:numId="8">
    <w:abstractNumId w:val="9"/>
  </w:num>
  <w:num w:numId="9">
    <w:abstractNumId w:val="3"/>
  </w:num>
  <w:num w:numId="10">
    <w:abstractNumId w:val="8"/>
  </w:num>
  <w:num w:numId="11">
    <w:abstractNumId w:val="5"/>
  </w:num>
  <w:num w:numId="12">
    <w:abstractNumId w:val="12"/>
  </w:num>
  <w:num w:numId="13">
    <w:abstractNumId w:val="1"/>
  </w:num>
  <w:num w:numId="14">
    <w:abstractNumId w:val="0"/>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displayBackgroundShape w:val="1"/>
  <w:bordersDoNotSurroundHeader w:val="0"/>
  <w:bordersDoNotSurroundFooter w:val="0"/>
  <w:documentProtection w:enforcement="0"/>
  <w:defaultTabStop w:val="709"/>
  <w:autoHyphenation/>
  <w:displayHorizontalDrawingGridEvery w:val="1"/>
  <w:displayVerticalDrawingGridEvery w:val="1"/>
  <w:noPunctuationKerning w:val="1"/>
  <w:compat>
    <w:noLeading/>
    <w:doNotExpandShiftReturn/>
    <w:doNotWrapTextWithPunct/>
    <w:doNotUseEastAsianBreakRules/>
    <w:useFELayout/>
    <w:compatSetting w:name="compatibilityMode" w:uri="http://schemas.microsoft.com/office/word" w:val="14"/>
  </w:compat>
  <w:rsids>
    <w:rsidRoot w:val="00000000"/>
    <w:rsid w:val="01F275D4"/>
    <w:rsid w:val="02DB1785"/>
    <w:rsid w:val="05BF3F2F"/>
    <w:rsid w:val="08B51480"/>
    <w:rsid w:val="09CB6A81"/>
    <w:rsid w:val="09F506BC"/>
    <w:rsid w:val="12834A30"/>
    <w:rsid w:val="129B16E6"/>
    <w:rsid w:val="12E84200"/>
    <w:rsid w:val="13AE23C3"/>
    <w:rsid w:val="149C406F"/>
    <w:rsid w:val="162C57E5"/>
    <w:rsid w:val="20CE2C87"/>
    <w:rsid w:val="21EF7359"/>
    <w:rsid w:val="289E5635"/>
    <w:rsid w:val="290216B2"/>
    <w:rsid w:val="2B0A0BD5"/>
    <w:rsid w:val="2DCA6ECC"/>
    <w:rsid w:val="2EFC5B82"/>
    <w:rsid w:val="2F503401"/>
    <w:rsid w:val="2FA96499"/>
    <w:rsid w:val="31F6028F"/>
    <w:rsid w:val="32ED1692"/>
    <w:rsid w:val="34F767F8"/>
    <w:rsid w:val="3701395E"/>
    <w:rsid w:val="37DE08EF"/>
    <w:rsid w:val="39F547F6"/>
    <w:rsid w:val="3A540249"/>
    <w:rsid w:val="3C9568F7"/>
    <w:rsid w:val="45C36283"/>
    <w:rsid w:val="4B3043BA"/>
    <w:rsid w:val="4CDD6098"/>
    <w:rsid w:val="51361FFF"/>
    <w:rsid w:val="54660E4D"/>
    <w:rsid w:val="556F1F83"/>
    <w:rsid w:val="55A94F13"/>
    <w:rsid w:val="57384303"/>
    <w:rsid w:val="57B82610"/>
    <w:rsid w:val="583A6878"/>
    <w:rsid w:val="624D53FA"/>
    <w:rsid w:val="65F22540"/>
    <w:rsid w:val="6C6C4257"/>
    <w:rsid w:val="6CC52A71"/>
    <w:rsid w:val="6E8F1FB0"/>
    <w:rsid w:val="70327E28"/>
    <w:rsid w:val="72C13C62"/>
    <w:rsid w:val="74687E72"/>
    <w:rsid w:val="75BD51FF"/>
    <w:rsid w:val="76DA5EF6"/>
    <w:rsid w:val="799A287B"/>
    <w:rsid w:val="79D25219"/>
    <w:rsid w:val="7AD85D51"/>
    <w:rsid w:val="7C7D686C"/>
    <w:rsid w:val="7CB86B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2"/>
      <w:sz w:val="44"/>
      <w:szCs w:val="44"/>
    </w:rPr>
  </w:style>
  <w:style w:type="paragraph" w:styleId="3">
    <w:name w:val="heading 2"/>
    <w:basedOn w:val="1"/>
    <w:next w:val="1"/>
    <w:qFormat/>
    <w:uiPriority w:val="0"/>
    <w:pPr>
      <w:keepNext/>
      <w:keepLines/>
      <w:numPr>
        <w:ilvl w:val="1"/>
        <w:numId w:val="1"/>
      </w:numPr>
      <w:spacing w:line="360" w:lineRule="atLeast"/>
      <w:textAlignment w:val="baseline"/>
      <w:outlineLvl w:val="1"/>
    </w:pPr>
    <w:rPr>
      <w:kern w:val="0"/>
      <w:sz w:val="24"/>
      <w:szCs w:val="20"/>
    </w:rPr>
  </w:style>
  <w:style w:type="paragraph" w:styleId="4">
    <w:name w:val="heading 3"/>
    <w:basedOn w:val="1"/>
    <w:next w:val="1"/>
    <w:qFormat/>
    <w:uiPriority w:val="0"/>
    <w:pPr>
      <w:keepNext/>
      <w:keepLines/>
      <w:spacing w:before="260" w:after="260" w:line="416" w:lineRule="atLeast"/>
      <w:jc w:val="both"/>
      <w:textAlignment w:val="baseline"/>
      <w:outlineLvl w:val="2"/>
    </w:pPr>
    <w:rPr>
      <w:b/>
      <w:bCs/>
      <w:color w:val="000000"/>
      <w:sz w:val="32"/>
      <w:szCs w:val="32"/>
      <w:lang w:val="en-US" w:eastAsia="zh-CN" w:bidi="ar-SA"/>
    </w:rPr>
  </w:style>
  <w:style w:type="paragraph" w:styleId="5">
    <w:name w:val="heading 4"/>
    <w:basedOn w:val="1"/>
    <w:next w:val="1"/>
    <w:qFormat/>
    <w:uiPriority w:val="0"/>
    <w:pPr>
      <w:keepNext/>
      <w:keepLines/>
      <w:spacing w:before="280" w:after="290" w:line="374" w:lineRule="auto"/>
      <w:outlineLvl w:val="3"/>
    </w:pPr>
    <w:rPr>
      <w:rFonts w:ascii="Arial" w:hAnsi="Arial" w:eastAsia="黑体" w:cs="Arial"/>
      <w:b/>
      <w:bCs/>
      <w:sz w:val="28"/>
      <w:szCs w:val="28"/>
    </w:rPr>
  </w:style>
  <w:style w:type="paragraph" w:styleId="6">
    <w:name w:val="heading 5"/>
    <w:basedOn w:val="1"/>
    <w:next w:val="1"/>
    <w:qFormat/>
    <w:uiPriority w:val="0"/>
    <w:pPr>
      <w:keepNext/>
      <w:keepLines/>
      <w:spacing w:before="280" w:after="290" w:line="372" w:lineRule="auto"/>
      <w:outlineLvl w:val="4"/>
    </w:pPr>
    <w:rPr>
      <w:b/>
      <w:bCs/>
      <w:sz w:val="28"/>
      <w:szCs w:val="28"/>
    </w:rPr>
  </w:style>
  <w:style w:type="character" w:default="1" w:styleId="21">
    <w:name w:val="Default Paragraph Font"/>
    <w:semiHidden/>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7">
    <w:name w:val="caption"/>
    <w:basedOn w:val="1"/>
    <w:qFormat/>
    <w:uiPriority w:val="0"/>
    <w:pPr>
      <w:suppressLineNumbers/>
      <w:spacing w:before="120" w:after="120"/>
    </w:pPr>
    <w:rPr>
      <w:rFonts w:cs="Lohit Devanagari"/>
      <w:i/>
      <w:iCs/>
      <w:sz w:val="24"/>
      <w:szCs w:val="24"/>
    </w:rPr>
  </w:style>
  <w:style w:type="paragraph" w:styleId="8">
    <w:name w:val="Body Text"/>
    <w:basedOn w:val="1"/>
    <w:next w:val="1"/>
    <w:qFormat/>
    <w:uiPriority w:val="0"/>
    <w:pPr>
      <w:spacing w:before="0" w:after="120"/>
    </w:pPr>
  </w:style>
  <w:style w:type="paragraph" w:styleId="9">
    <w:name w:val="Body Text Indent"/>
    <w:basedOn w:val="1"/>
    <w:next w:val="10"/>
    <w:qFormat/>
    <w:uiPriority w:val="0"/>
    <w:pPr>
      <w:spacing w:before="0" w:after="120"/>
      <w:ind w:left="200" w:firstLine="0"/>
    </w:pPr>
  </w:style>
  <w:style w:type="paragraph" w:customStyle="1" w:styleId="10">
    <w:name w:val="普通(网站)1"/>
    <w:basedOn w:val="1"/>
    <w:qFormat/>
    <w:uiPriority w:val="0"/>
    <w:pPr>
      <w:widowControl/>
      <w:spacing w:before="100" w:after="100"/>
      <w:jc w:val="left"/>
    </w:pPr>
    <w:rPr>
      <w:rFonts w:ascii="宋体" w:hAnsi="宋体" w:cs="宋体"/>
      <w:kern w:val="0"/>
      <w:sz w:val="24"/>
    </w:rPr>
  </w:style>
  <w:style w:type="paragraph" w:styleId="11">
    <w:name w:val="toc 5"/>
    <w:basedOn w:val="1"/>
    <w:next w:val="1"/>
    <w:qFormat/>
    <w:uiPriority w:val="0"/>
    <w:pPr>
      <w:ind w:left="1680" w:firstLine="0"/>
    </w:pPr>
  </w:style>
  <w:style w:type="paragraph" w:styleId="12">
    <w:name w:val="toc 3"/>
    <w:basedOn w:val="1"/>
    <w:next w:val="1"/>
    <w:qFormat/>
    <w:uiPriority w:val="0"/>
    <w:pPr>
      <w:tabs>
        <w:tab w:val="right" w:leader="dot" w:pos="9288"/>
      </w:tabs>
      <w:ind w:left="400" w:firstLine="0"/>
    </w:pPr>
    <w:rPr>
      <w:rFonts w:ascii="宋体" w:hAnsi="宋体"/>
      <w:lang w:val="en-US" w:eastAsia="en-US"/>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5">
    <w:name w:val="toc 1"/>
    <w:basedOn w:val="1"/>
    <w:next w:val="1"/>
    <w:qFormat/>
    <w:uiPriority w:val="0"/>
  </w:style>
  <w:style w:type="paragraph" w:styleId="16">
    <w:name w:val="toc 4"/>
    <w:basedOn w:val="1"/>
    <w:next w:val="1"/>
    <w:qFormat/>
    <w:uiPriority w:val="0"/>
    <w:pPr>
      <w:ind w:left="1260" w:firstLine="0"/>
    </w:pPr>
  </w:style>
  <w:style w:type="paragraph" w:styleId="17">
    <w:name w:val="List"/>
    <w:basedOn w:val="1"/>
    <w:qFormat/>
    <w:uiPriority w:val="0"/>
    <w:pPr>
      <w:keepNext w:val="0"/>
      <w:keepLines w:val="0"/>
      <w:widowControl w:val="0"/>
      <w:snapToGrid w:val="0"/>
      <w:spacing w:before="0" w:after="0" w:line="360" w:lineRule="auto"/>
      <w:ind w:left="200" w:right="0" w:hanging="200"/>
      <w:contextualSpacing/>
      <w:jc w:val="both"/>
    </w:pPr>
    <w:rPr>
      <w:rFonts w:ascii="宋体" w:hAnsi="宋体" w:eastAsia="宋体" w:cs="Times New Roman"/>
      <w:kern w:val="0"/>
      <w:sz w:val="24"/>
      <w:szCs w:val="20"/>
      <w:lang w:val="en-US" w:eastAsia="zh-CN" w:bidi="ar"/>
    </w:rPr>
  </w:style>
  <w:style w:type="paragraph" w:styleId="18">
    <w:name w:val="toc 2"/>
    <w:basedOn w:val="1"/>
    <w:next w:val="1"/>
    <w:qFormat/>
    <w:uiPriority w:val="0"/>
    <w:pPr>
      <w:ind w:left="200" w:firstLine="0"/>
    </w:pPr>
  </w:style>
  <w:style w:type="paragraph" w:styleId="19">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22">
    <w:name w:val="Strong"/>
    <w:basedOn w:val="21"/>
    <w:qFormat/>
    <w:uiPriority w:val="0"/>
    <w:rPr>
      <w:b/>
    </w:rPr>
  </w:style>
  <w:style w:type="character" w:styleId="23">
    <w:name w:val="page number"/>
    <w:basedOn w:val="24"/>
    <w:qFormat/>
    <w:uiPriority w:val="0"/>
  </w:style>
  <w:style w:type="character" w:customStyle="1" w:styleId="24">
    <w:name w:val="默认段落字体1"/>
    <w:qFormat/>
    <w:uiPriority w:val="0"/>
  </w:style>
  <w:style w:type="character" w:styleId="25">
    <w:name w:val="FollowedHyperlink"/>
    <w:qFormat/>
    <w:uiPriority w:val="0"/>
    <w:rPr>
      <w:color w:val="333333"/>
      <w:u w:val="none"/>
    </w:rPr>
  </w:style>
  <w:style w:type="character" w:styleId="26">
    <w:name w:val="Hyperlink"/>
    <w:basedOn w:val="24"/>
    <w:qFormat/>
    <w:uiPriority w:val="0"/>
    <w:rPr>
      <w:color w:val="0000FF"/>
      <w:u w:val="single"/>
    </w:rPr>
  </w:style>
  <w:style w:type="character" w:styleId="27">
    <w:name w:val="HTML Sample"/>
    <w:basedOn w:val="21"/>
    <w:qFormat/>
    <w:uiPriority w:val="0"/>
    <w:rPr>
      <w:rFonts w:ascii="Courier New" w:hAnsi="Courier New"/>
    </w:rPr>
  </w:style>
  <w:style w:type="character" w:customStyle="1" w:styleId="28">
    <w:name w:val="WW8Num2z0"/>
    <w:qFormat/>
    <w:uiPriority w:val="0"/>
  </w:style>
  <w:style w:type="character" w:customStyle="1" w:styleId="29">
    <w:name w:val="WW8Num4z0"/>
    <w:qFormat/>
    <w:uiPriority w:val="0"/>
  </w:style>
  <w:style w:type="character" w:customStyle="1" w:styleId="30">
    <w:name w:val="WW8Num5z0"/>
    <w:qFormat/>
    <w:uiPriority w:val="0"/>
  </w:style>
  <w:style w:type="character" w:customStyle="1" w:styleId="31">
    <w:name w:val="WW8Num8z0"/>
    <w:qFormat/>
    <w:uiPriority w:val="0"/>
  </w:style>
  <w:style w:type="character" w:customStyle="1" w:styleId="32">
    <w:name w:val="WW8Num9z0"/>
    <w:qFormat/>
    <w:uiPriority w:val="0"/>
  </w:style>
  <w:style w:type="character" w:customStyle="1" w:styleId="33">
    <w:name w:val="WW8Num10z0"/>
    <w:qFormat/>
    <w:uiPriority w:val="0"/>
  </w:style>
  <w:style w:type="character" w:customStyle="1" w:styleId="34">
    <w:name w:val="WW8Num11z0"/>
    <w:qFormat/>
    <w:uiPriority w:val="0"/>
  </w:style>
  <w:style w:type="character" w:customStyle="1" w:styleId="35">
    <w:name w:val="WW8Num13z0"/>
    <w:qFormat/>
    <w:uiPriority w:val="0"/>
  </w:style>
  <w:style w:type="character" w:customStyle="1" w:styleId="36">
    <w:name w:val="WW8Num13z2"/>
    <w:qFormat/>
    <w:uiPriority w:val="0"/>
    <w:rPr>
      <w:rFonts w:cs="Times New Roman"/>
    </w:rPr>
  </w:style>
  <w:style w:type="character" w:customStyle="1" w:styleId="37">
    <w:name w:val="WW8Num16z0"/>
    <w:qFormat/>
    <w:uiPriority w:val="0"/>
    <w:rPr>
      <w:lang w:val="en-US"/>
    </w:rPr>
  </w:style>
  <w:style w:type="character" w:customStyle="1" w:styleId="38">
    <w:name w:val="正文文本 Char"/>
    <w:qFormat/>
    <w:uiPriority w:val="0"/>
    <w:rPr>
      <w:rFonts w:eastAsia="宋体"/>
      <w:kern w:val="2"/>
      <w:sz w:val="21"/>
      <w:szCs w:val="24"/>
      <w:lang w:val="en-US" w:eastAsia="zh-CN" w:bidi="ar-SA"/>
    </w:rPr>
  </w:style>
  <w:style w:type="character" w:customStyle="1" w:styleId="39">
    <w:name w:val="纯文本 Char"/>
    <w:qFormat/>
    <w:uiPriority w:val="0"/>
    <w:rPr>
      <w:rFonts w:ascii="宋体" w:hAnsi="宋体"/>
      <w:color w:val="000000"/>
      <w:kern w:val="2"/>
      <w:sz w:val="21"/>
    </w:rPr>
  </w:style>
  <w:style w:type="character" w:customStyle="1" w:styleId="40">
    <w:name w:val="日期 Char"/>
    <w:qFormat/>
    <w:uiPriority w:val="0"/>
    <w:rPr>
      <w:rFonts w:ascii="Arial" w:hAnsi="Arial" w:eastAsia="仿宋_GB2312;仿宋" w:cs="Arial"/>
      <w:color w:val="000000"/>
      <w:kern w:val="2"/>
      <w:sz w:val="32"/>
      <w:lang w:val="en-US" w:eastAsia="zh-CN" w:bidi="ar-SA"/>
    </w:rPr>
  </w:style>
  <w:style w:type="character" w:customStyle="1" w:styleId="41">
    <w:name w:val="页脚 Char"/>
    <w:qFormat/>
    <w:uiPriority w:val="0"/>
    <w:rPr>
      <w:rFonts w:eastAsia="宋体"/>
      <w:kern w:val="2"/>
      <w:sz w:val="18"/>
      <w:szCs w:val="18"/>
      <w:lang w:val="en-US" w:eastAsia="zh-CN" w:bidi="ar-SA"/>
    </w:rPr>
  </w:style>
  <w:style w:type="character" w:customStyle="1" w:styleId="42">
    <w:name w:val="页眉 Char"/>
    <w:qFormat/>
    <w:uiPriority w:val="0"/>
    <w:rPr>
      <w:rFonts w:eastAsia="宋体"/>
      <w:kern w:val="2"/>
      <w:sz w:val="18"/>
      <w:szCs w:val="18"/>
      <w:lang w:val="en-US" w:eastAsia="zh-CN" w:bidi="ar-SA"/>
    </w:rPr>
  </w:style>
  <w:style w:type="character" w:customStyle="1" w:styleId="43">
    <w:name w:val="Strong Emphasis"/>
    <w:basedOn w:val="24"/>
    <w:qFormat/>
    <w:uiPriority w:val="0"/>
    <w:rPr>
      <w:b/>
    </w:rPr>
  </w:style>
  <w:style w:type="character" w:customStyle="1" w:styleId="44">
    <w:name w:val="HTML 样本1"/>
    <w:basedOn w:val="24"/>
    <w:qFormat/>
    <w:uiPriority w:val="0"/>
    <w:rPr>
      <w:rFonts w:ascii="Courier New" w:hAnsi="Courier New" w:cs="Courier New"/>
    </w:rPr>
  </w:style>
  <w:style w:type="character" w:customStyle="1" w:styleId="45">
    <w:name w:val="Body Text Char"/>
    <w:qFormat/>
    <w:uiPriority w:val="0"/>
    <w:rPr>
      <w:rFonts w:ascii="宋体" w:hAnsi="宋体" w:cs="Arial"/>
      <w:sz w:val="28"/>
    </w:rPr>
  </w:style>
  <w:style w:type="character" w:customStyle="1" w:styleId="46">
    <w:name w:val="Index Link"/>
    <w:qFormat/>
    <w:uiPriority w:val="0"/>
  </w:style>
  <w:style w:type="paragraph" w:customStyle="1" w:styleId="47">
    <w:name w:val="Heading"/>
    <w:basedOn w:val="1"/>
    <w:next w:val="8"/>
    <w:qFormat/>
    <w:uiPriority w:val="0"/>
    <w:pPr>
      <w:keepNext/>
      <w:spacing w:before="240" w:after="120"/>
    </w:pPr>
    <w:rPr>
      <w:rFonts w:ascii="Liberation Sans" w:hAnsi="Liberation Sans" w:eastAsia="Noto Sans CJK SC" w:cs="Lohit Devanagari"/>
      <w:sz w:val="28"/>
      <w:szCs w:val="28"/>
    </w:rPr>
  </w:style>
  <w:style w:type="paragraph" w:customStyle="1" w:styleId="48">
    <w:name w:val="Index"/>
    <w:basedOn w:val="1"/>
    <w:qFormat/>
    <w:uiPriority w:val="0"/>
    <w:pPr>
      <w:suppressLineNumbers/>
    </w:pPr>
    <w:rPr>
      <w:rFonts w:cs="Lohit Devanagari"/>
    </w:rPr>
  </w:style>
  <w:style w:type="paragraph" w:customStyle="1" w:styleId="49">
    <w:name w:val="正文缩进1"/>
    <w:basedOn w:val="1"/>
    <w:qFormat/>
    <w:uiPriority w:val="0"/>
    <w:pPr>
      <w:spacing w:line="360" w:lineRule="atLeast"/>
      <w:ind w:firstLine="482"/>
      <w:textAlignment w:val="baseline"/>
    </w:pPr>
    <w:rPr>
      <w:kern w:val="0"/>
      <w:sz w:val="24"/>
      <w:szCs w:val="20"/>
    </w:rPr>
  </w:style>
  <w:style w:type="paragraph" w:customStyle="1" w:styleId="50">
    <w:name w:val="引文目录标题1"/>
    <w:basedOn w:val="1"/>
    <w:next w:val="1"/>
    <w:qFormat/>
    <w:uiPriority w:val="0"/>
    <w:pPr>
      <w:autoSpaceDE w:val="0"/>
      <w:snapToGrid w:val="0"/>
      <w:spacing w:before="120" w:after="0" w:line="360" w:lineRule="auto"/>
    </w:pPr>
    <w:rPr>
      <w:rFonts w:ascii="Arial" w:hAnsi="Arial" w:cs="Arial"/>
      <w:color w:val="000000"/>
      <w:kern w:val="0"/>
      <w:szCs w:val="20"/>
    </w:rPr>
  </w:style>
  <w:style w:type="paragraph" w:customStyle="1" w:styleId="51">
    <w:name w:val="批注文字1"/>
    <w:basedOn w:val="1"/>
    <w:qFormat/>
    <w:uiPriority w:val="0"/>
    <w:pPr>
      <w:jc w:val="left"/>
    </w:pPr>
  </w:style>
  <w:style w:type="paragraph" w:customStyle="1" w:styleId="52">
    <w:name w:val="纯文本1"/>
    <w:basedOn w:val="1"/>
    <w:qFormat/>
    <w:uiPriority w:val="0"/>
    <w:rPr>
      <w:rFonts w:ascii="宋体" w:hAnsi="宋体"/>
      <w:color w:val="000000"/>
      <w:szCs w:val="20"/>
    </w:rPr>
  </w:style>
  <w:style w:type="paragraph" w:customStyle="1" w:styleId="53">
    <w:name w:val="日期1"/>
    <w:basedOn w:val="1"/>
    <w:next w:val="1"/>
    <w:qFormat/>
    <w:uiPriority w:val="0"/>
    <w:rPr>
      <w:rFonts w:ascii="Arial" w:hAnsi="Arial" w:eastAsia="仿宋_GB2312;仿宋" w:cs="Arial"/>
      <w:color w:val="000000"/>
      <w:sz w:val="32"/>
      <w:szCs w:val="20"/>
    </w:rPr>
  </w:style>
  <w:style w:type="paragraph" w:customStyle="1" w:styleId="54">
    <w:name w:val="Header and Footer"/>
    <w:basedOn w:val="1"/>
    <w:qFormat/>
    <w:uiPriority w:val="0"/>
    <w:pPr>
      <w:suppressLineNumbers/>
      <w:tabs>
        <w:tab w:val="center" w:pos="4986"/>
        <w:tab w:val="right" w:pos="9972"/>
      </w:tabs>
    </w:pPr>
  </w:style>
  <w:style w:type="paragraph" w:customStyle="1" w:styleId="55">
    <w:name w:val="索引 71"/>
    <w:basedOn w:val="1"/>
    <w:next w:val="1"/>
    <w:qFormat/>
    <w:uiPriority w:val="0"/>
    <w:pPr>
      <w:autoSpaceDE/>
      <w:ind w:left="1200" w:firstLine="0"/>
    </w:pPr>
    <w:rPr>
      <w:color w:val="000000"/>
      <w:kern w:val="2"/>
      <w:szCs w:val="24"/>
    </w:rPr>
  </w:style>
  <w:style w:type="paragraph" w:customStyle="1" w:styleId="56">
    <w:name w:val="正文文本 21"/>
    <w:basedOn w:val="1"/>
    <w:qFormat/>
    <w:uiPriority w:val="0"/>
    <w:pPr>
      <w:tabs>
        <w:tab w:val="left" w:pos="0"/>
      </w:tabs>
      <w:spacing w:line="400" w:lineRule="atLeast"/>
    </w:pPr>
    <w:rPr>
      <w:rFonts w:ascii="Arial" w:hAnsi="Arial" w:cs="Arial"/>
      <w:color w:val="000000"/>
    </w:rPr>
  </w:style>
  <w:style w:type="paragraph" w:customStyle="1" w:styleId="57">
    <w:name w:val="正文首行缩进1"/>
    <w:basedOn w:val="8"/>
    <w:next w:val="1"/>
    <w:qFormat/>
    <w:uiPriority w:val="0"/>
    <w:pPr>
      <w:spacing w:before="0" w:after="120" w:line="240" w:lineRule="auto"/>
      <w:ind w:firstLine="420"/>
      <w:jc w:val="both"/>
    </w:pPr>
    <w:rPr>
      <w:rFonts w:ascii="Times New Roman" w:hAnsi="Times New Roman"/>
      <w:kern w:val="2"/>
      <w:sz w:val="21"/>
      <w:szCs w:val="24"/>
    </w:rPr>
  </w:style>
  <w:style w:type="paragraph" w:customStyle="1" w:styleId="58">
    <w:name w:val="正文首行缩进 21"/>
    <w:basedOn w:val="9"/>
    <w:next w:val="49"/>
    <w:qFormat/>
    <w:uiPriority w:val="0"/>
    <w:pPr>
      <w:spacing w:before="0" w:after="120" w:line="240" w:lineRule="auto"/>
      <w:ind w:left="420" w:firstLine="420"/>
    </w:pPr>
    <w:rPr>
      <w:rFonts w:cs="宋体"/>
      <w:sz w:val="21"/>
      <w:szCs w:val="21"/>
    </w:rPr>
  </w:style>
  <w:style w:type="paragraph" w:customStyle="1" w:styleId="59">
    <w:name w:val="_Style 2"/>
    <w:basedOn w:val="1"/>
    <w:next w:val="1"/>
    <w:qFormat/>
    <w:uiPriority w:val="0"/>
    <w:pPr>
      <w:ind w:firstLine="200"/>
    </w:pPr>
    <w:rPr>
      <w:rFonts w:ascii="Calibri" w:hAnsi="Calibri" w:cs="Calibri"/>
      <w:sz w:val="28"/>
      <w:szCs w:val="22"/>
    </w:rPr>
  </w:style>
  <w:style w:type="paragraph" w:customStyle="1" w:styleId="60">
    <w:name w:val="样式 样式 样式 左侧:  2 字符1 + 首行缩进:  2 字符1 + 首行缩进:  2 字符"/>
    <w:basedOn w:val="1"/>
    <w:qFormat/>
    <w:uiPriority w:val="0"/>
    <w:pPr>
      <w:widowControl/>
      <w:spacing w:before="60" w:after="120" w:line="440" w:lineRule="atLeast"/>
      <w:ind w:firstLine="480"/>
    </w:pPr>
    <w:rPr>
      <w:sz w:val="24"/>
    </w:rPr>
  </w:style>
  <w:style w:type="paragraph" w:customStyle="1" w:styleId="61">
    <w:name w:val="Body text|1"/>
    <w:basedOn w:val="1"/>
    <w:qFormat/>
    <w:uiPriority w:val="0"/>
    <w:pPr>
      <w:widowControl w:val="0"/>
      <w:spacing w:line="453" w:lineRule="auto"/>
      <w:ind w:firstLine="140"/>
    </w:pPr>
    <w:rPr>
      <w:rFonts w:ascii="宋体" w:hAnsi="宋体" w:eastAsia="宋体" w:cs="宋体"/>
      <w:sz w:val="22"/>
      <w:szCs w:val="22"/>
      <w:u w:val="none"/>
      <w:shd w:val="clear" w:fill="auto"/>
      <w:lang w:val="zh-TW" w:eastAsia="zh-TW" w:bidi="zh-TW"/>
    </w:rPr>
  </w:style>
  <w:style w:type="paragraph" w:customStyle="1" w:styleId="62">
    <w:name w:val="WPS Plain"/>
    <w:qFormat/>
    <w:uiPriority w:val="0"/>
    <w:pPr>
      <w:widowControl/>
      <w:suppressAutoHyphens/>
      <w:bidi w:val="0"/>
    </w:pPr>
    <w:rPr>
      <w:rFonts w:ascii="Times New Roman" w:hAnsi="Times New Roman" w:eastAsia="宋体" w:cs="Times New Roman"/>
      <w:color w:val="auto"/>
      <w:sz w:val="20"/>
      <w:szCs w:val="20"/>
      <w:lang w:val="en-US" w:eastAsia="zh-CN" w:bidi="ar-SA"/>
    </w:rPr>
  </w:style>
  <w:style w:type="paragraph" w:customStyle="1" w:styleId="63">
    <w:name w:val="正文_7"/>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customStyle="1" w:styleId="64">
    <w:name w:val="标书正文"/>
    <w:basedOn w:val="1"/>
    <w:qFormat/>
    <w:uiPriority w:val="0"/>
    <w:pPr>
      <w:spacing w:line="560" w:lineRule="exact"/>
      <w:ind w:firstLine="723"/>
      <w:jc w:val="center"/>
    </w:pPr>
    <w:rPr>
      <w:rFonts w:ascii="仿宋_GB2312;仿宋" w:hAnsi="仿宋_GB2312;仿宋" w:eastAsia="仿宋_GB2312;仿宋"/>
      <w:b/>
      <w:sz w:val="36"/>
    </w:rPr>
  </w:style>
  <w:style w:type="paragraph" w:customStyle="1" w:styleId="65">
    <w:name w:val="无间隔1"/>
    <w:qFormat/>
    <w:uiPriority w:val="0"/>
    <w:pPr>
      <w:widowControl w:val="0"/>
      <w:suppressAutoHyphens/>
      <w:bidi w:val="0"/>
      <w:jc w:val="center"/>
    </w:pPr>
    <w:rPr>
      <w:rFonts w:ascii="宋体" w:hAnsi="宋体" w:eastAsia="宋体" w:cs="Times New Roman"/>
      <w:color w:val="auto"/>
      <w:kern w:val="2"/>
      <w:sz w:val="24"/>
      <w:szCs w:val="22"/>
      <w:lang w:val="en-US" w:eastAsia="zh-CN" w:bidi="ar-SA"/>
    </w:rPr>
  </w:style>
  <w:style w:type="paragraph" w:customStyle="1" w:styleId="66">
    <w:name w:val="AONormal"/>
    <w:qFormat/>
    <w:uiPriority w:val="0"/>
    <w:pPr>
      <w:widowControl/>
      <w:suppressAutoHyphens/>
      <w:autoSpaceDE w:val="0"/>
      <w:bidi w:val="0"/>
      <w:spacing w:line="400" w:lineRule="exact"/>
      <w:ind w:firstLine="440"/>
    </w:pPr>
    <w:rPr>
      <w:rFonts w:ascii="华文楷体;宋体" w:hAnsi="华文楷体;宋体" w:eastAsia="华文楷体;宋体" w:cs="华文楷体;宋体"/>
      <w:color w:val="auto"/>
      <w:sz w:val="22"/>
      <w:szCs w:val="21"/>
      <w:lang w:val="en-US" w:eastAsia="zh-CN" w:bidi="ar-SA"/>
    </w:rPr>
  </w:style>
  <w:style w:type="paragraph" w:customStyle="1" w:styleId="67">
    <w:name w:val="正文（绿盟科技）"/>
    <w:qFormat/>
    <w:uiPriority w:val="0"/>
    <w:pPr>
      <w:widowControl/>
      <w:suppressAutoHyphens/>
      <w:bidi w:val="0"/>
      <w:spacing w:line="300" w:lineRule="auto"/>
    </w:pPr>
    <w:rPr>
      <w:rFonts w:ascii="Arial" w:hAnsi="Arial" w:eastAsia="宋体" w:cs="黑体"/>
      <w:color w:val="auto"/>
      <w:sz w:val="21"/>
      <w:szCs w:val="21"/>
      <w:lang w:val="en-US" w:eastAsia="zh-CN" w:bidi="ar-SA"/>
    </w:rPr>
  </w:style>
  <w:style w:type="paragraph" w:customStyle="1" w:styleId="68">
    <w:name w:val="标题 5（有编号）（绿盟科技）"/>
    <w:basedOn w:val="1"/>
    <w:next w:val="67"/>
    <w:qFormat/>
    <w:uiPriority w:val="0"/>
    <w:pPr>
      <w:keepNext/>
      <w:keepLines/>
      <w:numPr>
        <w:ilvl w:val="0"/>
        <w:numId w:val="2"/>
      </w:numPr>
      <w:spacing w:before="280" w:after="156" w:line="376" w:lineRule="auto"/>
      <w:jc w:val="left"/>
      <w:outlineLvl w:val="4"/>
    </w:pPr>
    <w:rPr>
      <w:rFonts w:ascii="Arial" w:hAnsi="Arial" w:eastAsia="黑体" w:cs="Arial"/>
      <w:b/>
      <w:sz w:val="24"/>
      <w:szCs w:val="28"/>
    </w:rPr>
  </w:style>
  <w:style w:type="paragraph" w:styleId="69">
    <w:name w:val="No Spacing"/>
    <w:basedOn w:val="1"/>
    <w:qFormat/>
    <w:uiPriority w:val="0"/>
    <w:pPr>
      <w:widowControl w:val="0"/>
      <w:jc w:val="both"/>
    </w:pPr>
    <w:rPr>
      <w:rFonts w:ascii="Times New Roman" w:hAnsi="Times New Roman" w:eastAsia="Times New Roman" w:cs="Times New Roman"/>
      <w:kern w:val="2"/>
      <w:sz w:val="21"/>
      <w:lang w:val="en-US" w:eastAsia="zh-CN" w:bidi="ar-SA"/>
    </w:rPr>
  </w:style>
  <w:style w:type="paragraph" w:customStyle="1" w:styleId="70">
    <w:name w:val="Normal_9"/>
    <w:qFormat/>
    <w:uiPriority w:val="0"/>
    <w:pPr>
      <w:widowControl/>
      <w:suppressAutoHyphens/>
      <w:bidi w:val="0"/>
    </w:pPr>
    <w:rPr>
      <w:rFonts w:ascii="黑体" w:hAnsi="黑体" w:eastAsia="黑体" w:cs="Times New Roman"/>
      <w:b/>
      <w:color w:val="auto"/>
      <w:sz w:val="32"/>
      <w:szCs w:val="24"/>
      <w:lang w:val="en-US" w:eastAsia="zh-CN" w:bidi="ar-SA"/>
    </w:rPr>
  </w:style>
  <w:style w:type="paragraph" w:customStyle="1" w:styleId="71">
    <w:name w:val="正文_17"/>
    <w:qFormat/>
    <w:uiPriority w:val="0"/>
    <w:pPr>
      <w:widowControl w:val="0"/>
      <w:suppressAutoHyphens/>
      <w:bidi w:val="0"/>
      <w:jc w:val="both"/>
    </w:pPr>
    <w:rPr>
      <w:rFonts w:ascii="Calibri" w:hAnsi="Calibri" w:eastAsia="宋体" w:cs="Times New Roman"/>
      <w:color w:val="auto"/>
      <w:kern w:val="2"/>
      <w:sz w:val="21"/>
      <w:szCs w:val="22"/>
      <w:lang w:val="en-US" w:eastAsia="zh-CN" w:bidi="ar-SA"/>
    </w:rPr>
  </w:style>
  <w:style w:type="paragraph" w:customStyle="1" w:styleId="72">
    <w:name w:val="正文_6"/>
    <w:qFormat/>
    <w:uiPriority w:val="0"/>
    <w:pPr>
      <w:widowControl w:val="0"/>
      <w:suppressAutoHyphens/>
      <w:bidi w:val="0"/>
      <w:jc w:val="both"/>
    </w:pPr>
    <w:rPr>
      <w:rFonts w:ascii="Times New Roman" w:hAnsi="Times New Roman" w:eastAsia="宋体" w:cs="Times New Roman"/>
      <w:color w:val="auto"/>
      <w:kern w:val="2"/>
      <w:sz w:val="21"/>
      <w:szCs w:val="22"/>
      <w:lang w:val="en-US" w:eastAsia="zh-CN" w:bidi="ar-SA"/>
    </w:rPr>
  </w:style>
  <w:style w:type="paragraph" w:customStyle="1" w:styleId="73">
    <w:name w:val="Other|1"/>
    <w:basedOn w:val="1"/>
    <w:qFormat/>
    <w:uiPriority w:val="0"/>
    <w:pPr>
      <w:widowControl w:val="0"/>
      <w:spacing w:line="453" w:lineRule="auto"/>
      <w:ind w:firstLine="140"/>
    </w:pPr>
    <w:rPr>
      <w:rFonts w:ascii="宋体" w:hAnsi="宋体" w:eastAsia="宋体" w:cs="宋体"/>
      <w:sz w:val="22"/>
      <w:szCs w:val="22"/>
      <w:u w:val="none"/>
      <w:shd w:val="clear" w:fill="auto"/>
      <w:lang w:val="zh-TW" w:eastAsia="zh-TW" w:bidi="zh-TW"/>
    </w:rPr>
  </w:style>
  <w:style w:type="paragraph" w:customStyle="1" w:styleId="74">
    <w:name w:val="Char"/>
    <w:basedOn w:val="1"/>
    <w:next w:val="1"/>
    <w:qFormat/>
    <w:uiPriority w:val="0"/>
    <w:pPr>
      <w:widowControl/>
      <w:spacing w:line="360" w:lineRule="auto"/>
      <w:jc w:val="left"/>
    </w:pPr>
    <w:rPr>
      <w:kern w:val="0"/>
      <w:szCs w:val="20"/>
      <w:lang w:eastAsia="en-US"/>
    </w:rPr>
  </w:style>
  <w:style w:type="paragraph" w:customStyle="1" w:styleId="75">
    <w:name w:val="Table Text"/>
    <w:basedOn w:val="1"/>
    <w:qFormat/>
    <w:uiPriority w:val="0"/>
    <w:rPr>
      <w:rFonts w:ascii="宋体" w:hAnsi="宋体" w:eastAsia="宋体" w:cs="宋体"/>
      <w:sz w:val="24"/>
      <w:szCs w:val="24"/>
      <w:lang w:val="en-US" w:eastAsia="en-US" w:bidi="ar-SA"/>
    </w:rPr>
  </w:style>
  <w:style w:type="paragraph" w:customStyle="1" w:styleId="76">
    <w:name w:val="列出段落1"/>
    <w:basedOn w:val="1"/>
    <w:qFormat/>
    <w:uiPriority w:val="0"/>
    <w:pPr>
      <w:ind w:firstLine="420"/>
    </w:pPr>
    <w:rPr>
      <w:rFonts w:ascii="Calibri" w:hAnsi="Calibri" w:cs="Calibri"/>
      <w:szCs w:val="22"/>
    </w:rPr>
  </w:style>
  <w:style w:type="paragraph" w:customStyle="1" w:styleId="77">
    <w:name w:val="black1"/>
    <w:basedOn w:val="1"/>
    <w:qFormat/>
    <w:uiPriority w:val="0"/>
    <w:pPr>
      <w:widowControl/>
      <w:spacing w:before="100" w:after="100" w:line="280" w:lineRule="atLeast"/>
      <w:jc w:val="left"/>
    </w:pPr>
    <w:rPr>
      <w:rFonts w:ascii="_x005F_x000B__x005F_x000C_;Cour" w:hAnsi="_x005F_x000B__x005F_x000C_;Cour" w:cs="_x005F_x000B__x005F_x000C_;Cour"/>
      <w:color w:val="000000"/>
      <w:kern w:val="0"/>
      <w:sz w:val="18"/>
      <w:szCs w:val="18"/>
    </w:rPr>
  </w:style>
  <w:style w:type="paragraph" w:customStyle="1" w:styleId="78">
    <w:name w:val="图例"/>
    <w:basedOn w:val="1"/>
    <w:qFormat/>
    <w:uiPriority w:val="0"/>
    <w:pPr>
      <w:spacing w:before="120" w:after="120" w:line="360" w:lineRule="auto"/>
      <w:jc w:val="center"/>
    </w:pPr>
    <w:rPr>
      <w:rFonts w:eastAsia="仿宋_GB2312;仿宋"/>
      <w:b/>
      <w:sz w:val="24"/>
    </w:rPr>
  </w:style>
  <w:style w:type="paragraph" w:customStyle="1" w:styleId="79">
    <w:name w:val="p0"/>
    <w:basedOn w:val="1"/>
    <w:qFormat/>
    <w:uiPriority w:val="0"/>
    <w:pPr>
      <w:widowControl/>
      <w:jc w:val="left"/>
    </w:pPr>
    <w:rPr>
      <w:rFonts w:ascii="宋体" w:hAnsi="宋体" w:cs="宋体"/>
      <w:kern w:val="0"/>
      <w:sz w:val="18"/>
      <w:szCs w:val="18"/>
    </w:rPr>
  </w:style>
  <w:style w:type="paragraph" w:customStyle="1" w:styleId="80">
    <w:name w:val="Table Paragraph"/>
    <w:basedOn w:val="1"/>
    <w:qFormat/>
    <w:uiPriority w:val="0"/>
  </w:style>
  <w:style w:type="paragraph" w:customStyle="1" w:styleId="81">
    <w:name w:val="节标题"/>
    <w:basedOn w:val="1"/>
    <w:next w:val="1"/>
    <w:qFormat/>
    <w:uiPriority w:val="0"/>
    <w:pPr>
      <w:widowControl/>
      <w:spacing w:line="289" w:lineRule="atLeast"/>
      <w:jc w:val="center"/>
      <w:textAlignment w:val="baseline"/>
    </w:pPr>
    <w:rPr>
      <w:color w:val="000000"/>
      <w:kern w:val="0"/>
      <w:sz w:val="28"/>
      <w:szCs w:val="20"/>
    </w:rPr>
  </w:style>
  <w:style w:type="paragraph" w:customStyle="1" w:styleId="82">
    <w:name w:val="Default"/>
    <w:qFormat/>
    <w:uiPriority w:val="0"/>
    <w:pPr>
      <w:widowControl w:val="0"/>
      <w:suppressAutoHyphens/>
      <w:autoSpaceDE w:val="0"/>
      <w:bidi w:val="0"/>
    </w:pPr>
    <w:rPr>
      <w:rFonts w:ascii="宋体" w:hAnsi="宋体" w:eastAsia="宋体" w:cs="宋体"/>
      <w:color w:val="000000"/>
      <w:sz w:val="24"/>
      <w:szCs w:val="24"/>
      <w:lang w:val="en-US" w:eastAsia="zh-CN" w:bidi="ar-SA"/>
    </w:rPr>
  </w:style>
  <w:style w:type="paragraph" w:customStyle="1" w:styleId="83">
    <w:name w:val="_Style 6"/>
    <w:basedOn w:val="2"/>
    <w:next w:val="1"/>
    <w:qFormat/>
    <w:uiPriority w:val="0"/>
    <w:pPr>
      <w:tabs>
        <w:tab w:val="left" w:pos="540"/>
      </w:tabs>
      <w:outlineLvl w:val="9"/>
    </w:pPr>
  </w:style>
  <w:style w:type="paragraph" w:customStyle="1" w:styleId="84">
    <w:name w:val="样式 左侧:  0 厘米 悬挂缩进: 2.5 字符"/>
    <w:basedOn w:val="1"/>
    <w:qFormat/>
    <w:uiPriority w:val="0"/>
    <w:pPr>
      <w:ind w:left="525" w:hanging="525"/>
    </w:pPr>
    <w:rPr>
      <w:szCs w:val="20"/>
    </w:rPr>
  </w:style>
  <w:style w:type="paragraph" w:customStyle="1" w:styleId="85">
    <w:name w:val="无间隔2"/>
    <w:qFormat/>
    <w:uiPriority w:val="0"/>
    <w:pPr>
      <w:widowControl w:val="0"/>
      <w:suppressAutoHyphens/>
      <w:bidi w:val="0"/>
      <w:jc w:val="both"/>
    </w:pPr>
    <w:rPr>
      <w:rFonts w:ascii="Calibri" w:hAnsi="Calibri" w:eastAsia="Times New Roman" w:cs="Times New Roman"/>
      <w:color w:val="auto"/>
      <w:kern w:val="2"/>
      <w:sz w:val="21"/>
      <w:szCs w:val="20"/>
      <w:lang w:val="en-US" w:eastAsia="zh-CN" w:bidi="ar-SA"/>
    </w:rPr>
  </w:style>
  <w:style w:type="paragraph" w:customStyle="1" w:styleId="86">
    <w:name w:val="列出段落"/>
    <w:basedOn w:val="1"/>
    <w:qFormat/>
    <w:uiPriority w:val="0"/>
    <w:pPr>
      <w:spacing w:line="360" w:lineRule="auto"/>
      <w:ind w:firstLine="420"/>
    </w:pPr>
    <w:rPr>
      <w:rFonts w:ascii="宋体" w:hAnsi="宋体" w:cs="宋体"/>
      <w:sz w:val="24"/>
    </w:rPr>
  </w:style>
  <w:style w:type="paragraph" w:customStyle="1" w:styleId="87">
    <w:name w:val="Body 1"/>
    <w:qFormat/>
    <w:uiPriority w:val="0"/>
    <w:pPr>
      <w:widowControl/>
      <w:suppressAutoHyphens/>
      <w:bidi w:val="0"/>
      <w:outlineLvl w:val="0"/>
    </w:pPr>
    <w:rPr>
      <w:rFonts w:ascii="Helvetica;Arial" w:hAnsi="Helvetica;Arial" w:eastAsia="ヒラギノ角ゴ Pro W3;Yu Gothic" w:cs="Helvetica;Arial"/>
      <w:color w:val="000000"/>
      <w:sz w:val="22"/>
      <w:szCs w:val="20"/>
      <w:lang w:val="en-US" w:eastAsia="zh-CN" w:bidi="ar-SA"/>
    </w:rPr>
  </w:style>
  <w:style w:type="paragraph" w:customStyle="1" w:styleId="88">
    <w:name w:val="正文1"/>
    <w:qFormat/>
    <w:uiPriority w:val="0"/>
    <w:pPr>
      <w:widowControl/>
      <w:suppressAutoHyphens/>
      <w:bidi w:val="0"/>
    </w:pPr>
    <w:rPr>
      <w:rFonts w:ascii="Calibri" w:hAnsi="Calibri" w:eastAsia="Times New Roman" w:cs="Times New Roman"/>
      <w:color w:val="auto"/>
      <w:sz w:val="24"/>
      <w:szCs w:val="24"/>
      <w:lang w:val="en-US" w:eastAsia="zh-CN" w:bidi="ar-SA"/>
    </w:rPr>
  </w:style>
  <w:style w:type="paragraph" w:customStyle="1" w:styleId="89">
    <w:name w:val="正文格式"/>
    <w:basedOn w:val="1"/>
    <w:qFormat/>
    <w:uiPriority w:val="0"/>
    <w:pPr>
      <w:widowControl/>
      <w:snapToGrid w:val="0"/>
      <w:spacing w:line="400" w:lineRule="atLeast"/>
      <w:ind w:firstLine="482"/>
      <w:textAlignment w:val="baseline"/>
    </w:pPr>
    <w:rPr>
      <w:rFonts w:ascii="Times New Roman" w:hAnsi="Times New Roman" w:cs="Times New Roman"/>
      <w:kern w:val="0"/>
      <w:sz w:val="24"/>
    </w:rPr>
  </w:style>
  <w:style w:type="paragraph" w:customStyle="1" w:styleId="90">
    <w:name w:val="Body text|2"/>
    <w:basedOn w:val="1"/>
    <w:qFormat/>
    <w:uiPriority w:val="0"/>
    <w:pPr>
      <w:widowControl w:val="0"/>
      <w:spacing w:before="0" w:after="260"/>
      <w:ind w:firstLine="140"/>
    </w:pPr>
    <w:rPr>
      <w:rFonts w:ascii="宋体" w:hAnsi="宋体" w:eastAsia="宋体" w:cs="宋体"/>
      <w:sz w:val="30"/>
      <w:szCs w:val="30"/>
      <w:u w:val="none"/>
      <w:shd w:val="clear" w:fill="auto"/>
      <w:lang w:val="zh-TW" w:eastAsia="zh-TW" w:bidi="zh-TW"/>
    </w:rPr>
  </w:style>
  <w:style w:type="paragraph" w:customStyle="1" w:styleId="91">
    <w:name w:val="Table Contents"/>
    <w:basedOn w:val="1"/>
    <w:qFormat/>
    <w:uiPriority w:val="0"/>
    <w:pPr>
      <w:widowControl w:val="0"/>
      <w:suppressLineNumbers/>
    </w:pPr>
  </w:style>
  <w:style w:type="paragraph" w:customStyle="1" w:styleId="92">
    <w:name w:val="Table Heading"/>
    <w:basedOn w:val="91"/>
    <w:qFormat/>
    <w:uiPriority w:val="0"/>
    <w:pPr>
      <w:suppressLineNumbers/>
      <w:jc w:val="center"/>
    </w:pPr>
    <w:rPr>
      <w:b/>
      <w:bCs/>
    </w:rPr>
  </w:style>
  <w:style w:type="paragraph" w:customStyle="1" w:styleId="93">
    <w:name w:val="Frame Contents"/>
    <w:basedOn w:val="1"/>
    <w:qFormat/>
    <w:uiPriority w:val="0"/>
  </w:style>
  <w:style w:type="paragraph" w:customStyle="1" w:styleId="94">
    <w:name w:val="Header Left"/>
    <w:basedOn w:val="14"/>
    <w:qFormat/>
    <w:uiPriority w:val="0"/>
    <w:pPr>
      <w:suppressLineNumbers/>
      <w:tabs>
        <w:tab w:val="center" w:pos="4927"/>
        <w:tab w:val="right" w:pos="9854"/>
        <w:tab w:val="clear" w:pos="4153"/>
        <w:tab w:val="clear" w:pos="8306"/>
      </w:tabs>
    </w:pPr>
  </w:style>
  <w:style w:type="table" w:customStyle="1" w:styleId="9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theme" Target="theme/theme1.xml"/><Relationship Id="rId26" Type="http://schemas.openxmlformats.org/officeDocument/2006/relationships/footer" Target="footer12.xml"/><Relationship Id="rId25" Type="http://schemas.openxmlformats.org/officeDocument/2006/relationships/header" Target="header12.xml"/><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171</Pages>
  <Words>873</Words>
  <Characters>1006</Characters>
  <TotalTime>26</TotalTime>
  <ScaleCrop>false</ScaleCrop>
  <LinksUpToDate>false</LinksUpToDate>
  <CharactersWithSpaces>1169</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2014-07-12T08:56:00Z</dcterms:created>
  <dc:creator>陈倩倩</dc:creator>
  <cp:lastModifiedBy>雯姐 </cp:lastModifiedBy>
  <cp:lastPrinted>2026-10-21T11:43:00Z</cp:lastPrinted>
  <dcterms:modified xsi:type="dcterms:W3CDTF">2026-10-29T02:38:43Z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BC71388A9F2C4CCB8539290CE00A888B_13</vt:lpwstr>
  </property>
  <property fmtid="{D5CDD505-2E9C-101B-9397-08002B2CF9AE}" pid="3" name="KSOProductBuildVer">
    <vt:lpwstr>2052-12.1.0.28043</vt:lpwstr>
  </property>
  <property fmtid="{D5CDD505-2E9C-101B-9397-08002B2CF9AE}" pid="4" name="KSOTemplateDocerSaveRecord">
    <vt:lpwstr>eyJoZGlkIjoiZDNjMTAyY2M4MWE1NmI1MTVjOGJjYTM4Y2RhNDBkMzEiLCJ1c2VySWQiOiIzNDIxNDk0ODMifQ==</vt:lpwstr>
  </property>
  <property fmtid="{D5CDD505-2E9C-101B-9397-08002B2CF9AE}" pid="5" name="commondata">
    <vt:lpwstr>commondata</vt:lpwstr>
  </property>
</Properties>
</file>