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C0098A">
      <w:pPr>
        <w:pStyle w:val="39"/>
        <w:spacing w:line="400" w:lineRule="atLeast"/>
        <w:jc w:val="center"/>
        <w:rPr>
          <w:rFonts w:ascii="Arial" w:hAnsi="Arial" w:cs="Arial"/>
          <w:b/>
          <w:sz w:val="84"/>
        </w:rPr>
      </w:pPr>
    </w:p>
    <w:p w14:paraId="0C3ACF26">
      <w:pPr>
        <w:pStyle w:val="39"/>
        <w:spacing w:line="400" w:lineRule="atLeast"/>
        <w:jc w:val="center"/>
        <w:rPr>
          <w:rFonts w:ascii="Arial" w:hAnsi="Arial" w:cs="Arial"/>
          <w:b/>
          <w:sz w:val="84"/>
        </w:rPr>
      </w:pPr>
    </w:p>
    <w:p w14:paraId="47299A61">
      <w:pPr>
        <w:pStyle w:val="39"/>
        <w:spacing w:line="400" w:lineRule="atLeast"/>
        <w:jc w:val="center"/>
        <w:rPr>
          <w:rFonts w:ascii="Arial" w:hAnsi="Arial" w:cs="Arial"/>
          <w:b/>
          <w:sz w:val="84"/>
        </w:rPr>
      </w:pPr>
    </w:p>
    <w:p w14:paraId="22145036">
      <w:pPr>
        <w:pStyle w:val="39"/>
        <w:spacing w:line="400" w:lineRule="atLeast"/>
        <w:jc w:val="center"/>
        <w:rPr>
          <w:rFonts w:ascii="Arial" w:hAnsi="Arial" w:cs="Arial"/>
          <w:b/>
          <w:sz w:val="84"/>
        </w:rPr>
      </w:pPr>
      <w:r>
        <w:rPr>
          <w:rFonts w:hint="eastAsia" w:ascii="Arial" w:hAnsi="Arial" w:cs="Arial"/>
          <w:b/>
          <w:sz w:val="84"/>
        </w:rPr>
        <w:t>谈</w:t>
      </w:r>
      <w:r>
        <w:rPr>
          <w:rFonts w:ascii="Arial" w:hAnsi="Arial" w:cs="Arial"/>
          <w:b/>
          <w:sz w:val="84"/>
        </w:rPr>
        <w:t xml:space="preserve">  </w:t>
      </w:r>
      <w:r>
        <w:rPr>
          <w:rFonts w:hint="eastAsia" w:ascii="Arial" w:hAnsi="Arial" w:cs="Arial"/>
          <w:b/>
          <w:sz w:val="84"/>
        </w:rPr>
        <w:t>判</w:t>
      </w:r>
      <w:r>
        <w:rPr>
          <w:rFonts w:ascii="Arial" w:hAnsi="Arial" w:cs="Arial"/>
          <w:b/>
          <w:sz w:val="84"/>
        </w:rPr>
        <w:t xml:space="preserve">  文  件</w:t>
      </w:r>
    </w:p>
    <w:p w14:paraId="0055DA59">
      <w:pPr>
        <w:pStyle w:val="39"/>
        <w:spacing w:line="400" w:lineRule="atLeast"/>
        <w:jc w:val="center"/>
        <w:rPr>
          <w:rFonts w:ascii="Arial" w:hAnsi="Arial" w:cs="Arial"/>
          <w:b/>
          <w:sz w:val="52"/>
        </w:rPr>
      </w:pPr>
    </w:p>
    <w:p w14:paraId="78A63AAE">
      <w:pPr>
        <w:pStyle w:val="39"/>
        <w:spacing w:line="400" w:lineRule="atLeast"/>
        <w:rPr>
          <w:rFonts w:ascii="Arial" w:hAnsi="Arial" w:cs="Arial"/>
          <w:b/>
          <w:sz w:val="52"/>
        </w:rPr>
      </w:pPr>
    </w:p>
    <w:p w14:paraId="1C2627D1">
      <w:pPr>
        <w:pStyle w:val="39"/>
        <w:spacing w:line="400" w:lineRule="atLeast"/>
        <w:rPr>
          <w:rFonts w:ascii="Arial" w:hAnsi="Arial" w:cs="Arial"/>
          <w:b/>
          <w:sz w:val="52"/>
        </w:rPr>
      </w:pPr>
    </w:p>
    <w:p w14:paraId="7ED22F80">
      <w:pPr>
        <w:pStyle w:val="39"/>
        <w:spacing w:line="400" w:lineRule="atLeast"/>
        <w:rPr>
          <w:rFonts w:ascii="Arial" w:hAnsi="Arial" w:cs="Arial"/>
          <w:b/>
          <w:sz w:val="52"/>
        </w:rPr>
      </w:pPr>
    </w:p>
    <w:p w14:paraId="607532A4">
      <w:pPr>
        <w:pStyle w:val="39"/>
        <w:spacing w:line="400" w:lineRule="atLeast"/>
        <w:rPr>
          <w:rFonts w:ascii="Arial" w:hAnsi="Arial" w:cs="Arial"/>
          <w:b/>
          <w:sz w:val="52"/>
        </w:rPr>
      </w:pPr>
    </w:p>
    <w:p w14:paraId="0B24A236">
      <w:pPr>
        <w:pStyle w:val="39"/>
        <w:spacing w:line="400" w:lineRule="atLeast"/>
        <w:ind w:firstLine="1058" w:firstLineChars="294"/>
        <w:rPr>
          <w:rFonts w:hint="eastAsia" w:ascii="Arial" w:hAnsi="Arial" w:eastAsia="宋体" w:cs="Arial"/>
          <w:b/>
          <w:sz w:val="36"/>
          <w:lang w:eastAsia="zh-CN"/>
        </w:rPr>
      </w:pPr>
      <w:r>
        <w:rPr>
          <w:rFonts w:ascii="Arial" w:hAnsi="Arial" w:cs="Arial"/>
          <w:b/>
          <w:sz w:val="36"/>
        </w:rPr>
        <w:t>项目编号：</w:t>
      </w:r>
      <w:r>
        <w:rPr>
          <w:rFonts w:hint="eastAsia" w:ascii="Arial" w:hAnsi="Arial" w:cs="Arial"/>
          <w:b/>
          <w:sz w:val="36"/>
          <w:lang w:eastAsia="zh-CN"/>
        </w:rPr>
        <w:t>0634—264XZAKSZH0035</w:t>
      </w:r>
    </w:p>
    <w:p w14:paraId="176FA2EC">
      <w:pPr>
        <w:pStyle w:val="39"/>
        <w:spacing w:line="400" w:lineRule="atLeast"/>
        <w:ind w:left="2856" w:leftChars="503" w:hanging="1800" w:hangingChars="500"/>
        <w:rPr>
          <w:rFonts w:hint="eastAsia" w:ascii="Arial" w:hAnsi="Arial" w:eastAsia="宋体" w:cs="Arial"/>
          <w:b/>
          <w:sz w:val="36"/>
          <w:szCs w:val="22"/>
          <w:lang w:eastAsia="zh-CN"/>
        </w:rPr>
      </w:pPr>
      <w:r>
        <w:rPr>
          <w:rFonts w:ascii="Arial" w:hAnsi="Arial" w:cs="Arial"/>
          <w:b/>
          <w:sz w:val="36"/>
        </w:rPr>
        <w:t>项目名称：</w:t>
      </w:r>
      <w:r>
        <w:rPr>
          <w:rFonts w:hint="eastAsia" w:ascii="Arial" w:hAnsi="Arial" w:cs="Arial"/>
          <w:b/>
          <w:sz w:val="36"/>
          <w:szCs w:val="22"/>
          <w:lang w:eastAsia="zh-CN"/>
        </w:rPr>
        <w:t>新疆阿克苏地区温宿县台兰河水土保持风蚀观测场(设备采购及安装标段)（二次）</w:t>
      </w:r>
    </w:p>
    <w:p w14:paraId="30C9FF24">
      <w:pPr>
        <w:pStyle w:val="39"/>
        <w:spacing w:line="400" w:lineRule="atLeast"/>
        <w:ind w:firstLine="1058" w:firstLineChars="294"/>
        <w:rPr>
          <w:rFonts w:ascii="Arial" w:hAnsi="Arial" w:cs="Arial"/>
          <w:b/>
          <w:sz w:val="36"/>
        </w:rPr>
      </w:pPr>
      <w:r>
        <w:rPr>
          <w:rFonts w:ascii="Arial" w:hAnsi="Arial" w:cs="Arial"/>
          <w:b/>
          <w:sz w:val="36"/>
        </w:rPr>
        <w:t>委托单位：</w:t>
      </w:r>
      <w:r>
        <w:rPr>
          <w:rFonts w:hint="eastAsia" w:ascii="Arial" w:hAnsi="Arial" w:cs="Arial"/>
          <w:b/>
          <w:sz w:val="36"/>
        </w:rPr>
        <w:t>阿克苏地区水资源总站</w:t>
      </w:r>
    </w:p>
    <w:p w14:paraId="504DE5E3">
      <w:pPr>
        <w:pStyle w:val="39"/>
        <w:spacing w:line="400" w:lineRule="atLeast"/>
        <w:ind w:firstLine="1058" w:firstLineChars="294"/>
        <w:rPr>
          <w:rFonts w:ascii="Arial" w:hAnsi="Arial" w:cs="Arial"/>
          <w:b/>
          <w:sz w:val="36"/>
        </w:rPr>
      </w:pPr>
      <w:r>
        <w:rPr>
          <w:rFonts w:ascii="Arial" w:hAnsi="Arial" w:cs="Arial"/>
          <w:b/>
          <w:sz w:val="36"/>
        </w:rPr>
        <w:t>采购代理：新疆招标有限公司</w:t>
      </w:r>
    </w:p>
    <w:p w14:paraId="57791F30">
      <w:pPr>
        <w:pStyle w:val="39"/>
        <w:spacing w:line="400" w:lineRule="atLeast"/>
        <w:rPr>
          <w:rFonts w:ascii="Arial" w:hAnsi="Arial" w:cs="Arial"/>
          <w:b/>
          <w:sz w:val="52"/>
        </w:rPr>
      </w:pPr>
    </w:p>
    <w:p w14:paraId="5CAE5997">
      <w:pPr>
        <w:pStyle w:val="39"/>
        <w:spacing w:line="400" w:lineRule="atLeast"/>
        <w:rPr>
          <w:rFonts w:ascii="Arial" w:hAnsi="Arial" w:cs="Arial"/>
          <w:b/>
          <w:sz w:val="52"/>
        </w:rPr>
      </w:pPr>
    </w:p>
    <w:p w14:paraId="27AFD7F0">
      <w:pPr>
        <w:pStyle w:val="39"/>
        <w:spacing w:line="400" w:lineRule="atLeast"/>
        <w:rPr>
          <w:rFonts w:ascii="Arial" w:hAnsi="Arial" w:cs="Arial"/>
          <w:b/>
          <w:sz w:val="52"/>
        </w:rPr>
      </w:pPr>
    </w:p>
    <w:p w14:paraId="1FFBE31D">
      <w:pPr>
        <w:pStyle w:val="39"/>
        <w:spacing w:line="400" w:lineRule="atLeast"/>
        <w:rPr>
          <w:rFonts w:ascii="Arial" w:hAnsi="Arial" w:cs="Arial"/>
          <w:b/>
        </w:rPr>
      </w:pPr>
    </w:p>
    <w:tbl>
      <w:tblPr>
        <w:tblStyle w:val="78"/>
        <w:tblW w:w="9962" w:type="dxa"/>
        <w:tblInd w:w="0" w:type="dxa"/>
        <w:tblBorders>
          <w:top w:val="single" w:color="auto" w:sz="8"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962"/>
      </w:tblGrid>
      <w:tr w14:paraId="695FD061">
        <w:tblPrEx>
          <w:tblBorders>
            <w:top w:val="single" w:color="auto" w:sz="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9962" w:type="dxa"/>
          </w:tcPr>
          <w:p w14:paraId="1D44899B">
            <w:pPr>
              <w:pStyle w:val="39"/>
              <w:spacing w:line="400" w:lineRule="atLeast"/>
              <w:rPr>
                <w:rFonts w:ascii="Arial" w:hAnsi="Arial" w:cs="Arial"/>
                <w:b/>
              </w:rPr>
            </w:pPr>
          </w:p>
        </w:tc>
      </w:tr>
    </w:tbl>
    <w:p w14:paraId="3092B481">
      <w:pPr>
        <w:spacing w:line="400" w:lineRule="atLeast"/>
        <w:jc w:val="center"/>
        <w:rPr>
          <w:rFonts w:ascii="Arial" w:hAnsi="Arial" w:cs="Arial"/>
          <w:b/>
          <w:sz w:val="36"/>
        </w:rPr>
      </w:pPr>
      <w:r>
        <w:rPr>
          <w:rFonts w:ascii="Arial" w:hAnsi="Arial" w:cs="Arial"/>
          <w:b/>
          <w:sz w:val="24"/>
        </w:rPr>
        <w:t>新疆招标有限公司编制</w:t>
      </w:r>
      <w:r>
        <w:rPr>
          <w:rFonts w:ascii="Arial" w:hAnsi="Arial" w:cs="Arial"/>
        </w:rPr>
        <w:br w:type="page"/>
      </w:r>
      <w:r>
        <w:rPr>
          <w:rFonts w:ascii="Arial" w:hAnsi="Arial" w:cs="Arial"/>
          <w:b/>
          <w:sz w:val="36"/>
        </w:rPr>
        <w:t>目     录</w:t>
      </w:r>
    </w:p>
    <w:p w14:paraId="4F794BB0">
      <w:pPr>
        <w:pStyle w:val="65"/>
      </w:pPr>
      <w:r>
        <w:rPr>
          <w:rFonts w:hint="eastAsia" w:ascii="宋体" w:hAnsi="宋体" w:cs="宋体"/>
          <w:sz w:val="24"/>
          <w:szCs w:val="24"/>
        </w:rPr>
        <w:fldChar w:fldCharType="begin"/>
      </w:r>
      <w:r>
        <w:rPr>
          <w:rFonts w:hint="eastAsia" w:ascii="宋体" w:hAnsi="宋体" w:cs="宋体"/>
          <w:sz w:val="24"/>
          <w:szCs w:val="24"/>
        </w:rPr>
        <w:instrText xml:space="preserve"> TOC \o "1-2" \h \z \u </w:instrText>
      </w:r>
      <w:r>
        <w:rPr>
          <w:rFonts w:hint="eastAsia" w:ascii="宋体" w:hAnsi="宋体" w:cs="宋体"/>
          <w:sz w:val="24"/>
          <w:szCs w:val="24"/>
        </w:rPr>
        <w:fldChar w:fldCharType="separate"/>
      </w:r>
      <w:r>
        <w:rPr>
          <w:rFonts w:hint="eastAsia" w:ascii="宋体" w:hAnsi="宋体" w:cs="宋体"/>
          <w:szCs w:val="24"/>
        </w:rPr>
        <w:fldChar w:fldCharType="begin"/>
      </w:r>
      <w:r>
        <w:rPr>
          <w:rFonts w:hint="eastAsia" w:ascii="宋体" w:hAnsi="宋体" w:cs="宋体"/>
          <w:szCs w:val="24"/>
        </w:rPr>
        <w:instrText xml:space="preserve"> HYPERLINK \l _Toc17858 </w:instrText>
      </w:r>
      <w:r>
        <w:rPr>
          <w:rFonts w:hint="eastAsia" w:ascii="宋体" w:hAnsi="宋体" w:cs="宋体"/>
          <w:szCs w:val="24"/>
        </w:rPr>
        <w:fldChar w:fldCharType="separate"/>
      </w:r>
      <w:r>
        <w:t>第一部分　谈判邀请</w:t>
      </w:r>
      <w:r>
        <w:tab/>
      </w:r>
      <w:r>
        <w:fldChar w:fldCharType="begin"/>
      </w:r>
      <w:r>
        <w:instrText xml:space="preserve"> PAGEREF _Toc17858 \h </w:instrText>
      </w:r>
      <w:r>
        <w:fldChar w:fldCharType="separate"/>
      </w:r>
      <w:r>
        <w:t>1</w:t>
      </w:r>
      <w:r>
        <w:fldChar w:fldCharType="end"/>
      </w:r>
      <w:r>
        <w:rPr>
          <w:rFonts w:hint="eastAsia" w:ascii="宋体" w:hAnsi="宋体" w:cs="宋体"/>
          <w:szCs w:val="24"/>
        </w:rPr>
        <w:fldChar w:fldCharType="end"/>
      </w:r>
    </w:p>
    <w:p w14:paraId="147E7814">
      <w:pPr>
        <w:pStyle w:val="65"/>
      </w:pPr>
      <w:r>
        <w:rPr>
          <w:rFonts w:hint="eastAsia" w:ascii="宋体" w:hAnsi="宋体" w:cs="宋体"/>
          <w:szCs w:val="24"/>
        </w:rPr>
        <w:fldChar w:fldCharType="begin"/>
      </w:r>
      <w:r>
        <w:rPr>
          <w:rFonts w:hint="eastAsia" w:ascii="宋体" w:hAnsi="宋体" w:cs="宋体"/>
          <w:szCs w:val="24"/>
        </w:rPr>
        <w:instrText xml:space="preserve"> HYPERLINK \l _Toc27803 </w:instrText>
      </w:r>
      <w:r>
        <w:rPr>
          <w:rFonts w:hint="eastAsia" w:ascii="宋体" w:hAnsi="宋体" w:cs="宋体"/>
          <w:szCs w:val="24"/>
        </w:rPr>
        <w:fldChar w:fldCharType="separate"/>
      </w:r>
      <w:r>
        <w:t>第二部分　供应商须知</w:t>
      </w:r>
      <w:r>
        <w:tab/>
      </w:r>
      <w:r>
        <w:fldChar w:fldCharType="begin"/>
      </w:r>
      <w:r>
        <w:instrText xml:space="preserve"> PAGEREF _Toc27803 \h </w:instrText>
      </w:r>
      <w:r>
        <w:fldChar w:fldCharType="separate"/>
      </w:r>
      <w:r>
        <w:t>4</w:t>
      </w:r>
      <w:r>
        <w:fldChar w:fldCharType="end"/>
      </w:r>
      <w:r>
        <w:rPr>
          <w:rFonts w:hint="eastAsia" w:ascii="宋体" w:hAnsi="宋体" w:cs="宋体"/>
          <w:szCs w:val="24"/>
        </w:rPr>
        <w:fldChar w:fldCharType="end"/>
      </w:r>
    </w:p>
    <w:p w14:paraId="7EF8F12F">
      <w:pPr>
        <w:pStyle w:val="65"/>
      </w:pPr>
      <w:r>
        <w:rPr>
          <w:rFonts w:hint="eastAsia" w:ascii="宋体" w:hAnsi="宋体" w:cs="宋体"/>
          <w:szCs w:val="24"/>
        </w:rPr>
        <w:fldChar w:fldCharType="begin"/>
      </w:r>
      <w:r>
        <w:rPr>
          <w:rFonts w:hint="eastAsia" w:ascii="宋体" w:hAnsi="宋体" w:cs="宋体"/>
          <w:szCs w:val="24"/>
        </w:rPr>
        <w:instrText xml:space="preserve"> HYPERLINK \l _Toc18062 </w:instrText>
      </w:r>
      <w:r>
        <w:rPr>
          <w:rFonts w:hint="eastAsia" w:ascii="宋体" w:hAnsi="宋体" w:cs="宋体"/>
          <w:szCs w:val="24"/>
        </w:rPr>
        <w:fldChar w:fldCharType="separate"/>
      </w:r>
      <w:r>
        <w:rPr>
          <w:rFonts w:eastAsia="宋体" w:cs="Arial"/>
          <w:szCs w:val="28"/>
        </w:rPr>
        <w:t>供应商须知附表</w:t>
      </w:r>
      <w:r>
        <w:tab/>
      </w:r>
      <w:r>
        <w:fldChar w:fldCharType="begin"/>
      </w:r>
      <w:r>
        <w:instrText xml:space="preserve"> PAGEREF _Toc18062 \h </w:instrText>
      </w:r>
      <w:r>
        <w:fldChar w:fldCharType="separate"/>
      </w:r>
      <w:r>
        <w:t>6</w:t>
      </w:r>
      <w:r>
        <w:fldChar w:fldCharType="end"/>
      </w:r>
      <w:r>
        <w:rPr>
          <w:rFonts w:hint="eastAsia" w:ascii="宋体" w:hAnsi="宋体" w:cs="宋体"/>
          <w:szCs w:val="24"/>
        </w:rPr>
        <w:fldChar w:fldCharType="end"/>
      </w:r>
    </w:p>
    <w:p w14:paraId="42FFF0DB">
      <w:pPr>
        <w:pStyle w:val="65"/>
      </w:pPr>
      <w:r>
        <w:rPr>
          <w:rFonts w:hint="eastAsia" w:ascii="宋体" w:hAnsi="宋体" w:cs="宋体"/>
          <w:szCs w:val="24"/>
        </w:rPr>
        <w:fldChar w:fldCharType="begin"/>
      </w:r>
      <w:r>
        <w:rPr>
          <w:rFonts w:hint="eastAsia" w:ascii="宋体" w:hAnsi="宋体" w:cs="宋体"/>
          <w:szCs w:val="24"/>
        </w:rPr>
        <w:instrText xml:space="preserve"> HYPERLINK \l _Toc7021 </w:instrText>
      </w:r>
      <w:r>
        <w:rPr>
          <w:rFonts w:hint="eastAsia" w:ascii="宋体" w:hAnsi="宋体" w:cs="宋体"/>
          <w:szCs w:val="24"/>
        </w:rPr>
        <w:fldChar w:fldCharType="separate"/>
      </w:r>
      <w:r>
        <w:rPr>
          <w:rFonts w:eastAsia="宋体" w:cs="Arial"/>
          <w:szCs w:val="28"/>
        </w:rPr>
        <w:t>A  说　明</w:t>
      </w:r>
      <w:r>
        <w:tab/>
      </w:r>
      <w:r>
        <w:fldChar w:fldCharType="begin"/>
      </w:r>
      <w:r>
        <w:instrText xml:space="preserve"> PAGEREF _Toc7021 \h </w:instrText>
      </w:r>
      <w:r>
        <w:fldChar w:fldCharType="separate"/>
      </w:r>
      <w:r>
        <w:t>9</w:t>
      </w:r>
      <w:r>
        <w:fldChar w:fldCharType="end"/>
      </w:r>
      <w:r>
        <w:rPr>
          <w:rFonts w:hint="eastAsia" w:ascii="宋体" w:hAnsi="宋体" w:cs="宋体"/>
          <w:szCs w:val="24"/>
        </w:rPr>
        <w:fldChar w:fldCharType="end"/>
      </w:r>
    </w:p>
    <w:p w14:paraId="5AF72E83">
      <w:pPr>
        <w:pStyle w:val="65"/>
      </w:pPr>
      <w:r>
        <w:rPr>
          <w:rFonts w:hint="eastAsia" w:ascii="宋体" w:hAnsi="宋体" w:cs="宋体"/>
          <w:szCs w:val="24"/>
        </w:rPr>
        <w:fldChar w:fldCharType="begin"/>
      </w:r>
      <w:r>
        <w:rPr>
          <w:rFonts w:hint="eastAsia" w:ascii="宋体" w:hAnsi="宋体" w:cs="宋体"/>
          <w:szCs w:val="24"/>
        </w:rPr>
        <w:instrText xml:space="preserve"> HYPERLINK \l _Toc18973 </w:instrText>
      </w:r>
      <w:r>
        <w:rPr>
          <w:rFonts w:hint="eastAsia" w:ascii="宋体" w:hAnsi="宋体" w:cs="宋体"/>
          <w:szCs w:val="24"/>
        </w:rPr>
        <w:fldChar w:fldCharType="separate"/>
      </w:r>
      <w:r>
        <w:rPr>
          <w:rFonts w:eastAsia="宋体" w:cs="Arial"/>
          <w:szCs w:val="28"/>
        </w:rPr>
        <w:t>B  谈判文件</w:t>
      </w:r>
      <w:r>
        <w:tab/>
      </w:r>
      <w:r>
        <w:fldChar w:fldCharType="begin"/>
      </w:r>
      <w:r>
        <w:instrText xml:space="preserve"> PAGEREF _Toc18973 \h </w:instrText>
      </w:r>
      <w:r>
        <w:fldChar w:fldCharType="separate"/>
      </w:r>
      <w:r>
        <w:t>10</w:t>
      </w:r>
      <w:r>
        <w:fldChar w:fldCharType="end"/>
      </w:r>
      <w:r>
        <w:rPr>
          <w:rFonts w:hint="eastAsia" w:ascii="宋体" w:hAnsi="宋体" w:cs="宋体"/>
          <w:szCs w:val="24"/>
        </w:rPr>
        <w:fldChar w:fldCharType="end"/>
      </w:r>
    </w:p>
    <w:p w14:paraId="32E1B499">
      <w:pPr>
        <w:pStyle w:val="65"/>
      </w:pPr>
      <w:r>
        <w:rPr>
          <w:rFonts w:hint="eastAsia" w:ascii="宋体" w:hAnsi="宋体" w:cs="宋体"/>
          <w:szCs w:val="24"/>
        </w:rPr>
        <w:fldChar w:fldCharType="begin"/>
      </w:r>
      <w:r>
        <w:rPr>
          <w:rFonts w:hint="eastAsia" w:ascii="宋体" w:hAnsi="宋体" w:cs="宋体"/>
          <w:szCs w:val="24"/>
        </w:rPr>
        <w:instrText xml:space="preserve"> HYPERLINK \l _Toc30168 </w:instrText>
      </w:r>
      <w:r>
        <w:rPr>
          <w:rFonts w:hint="eastAsia" w:ascii="宋体" w:hAnsi="宋体" w:cs="宋体"/>
          <w:szCs w:val="24"/>
        </w:rPr>
        <w:fldChar w:fldCharType="separate"/>
      </w:r>
      <w:r>
        <w:rPr>
          <w:rFonts w:eastAsia="宋体" w:cs="Arial"/>
          <w:szCs w:val="28"/>
        </w:rPr>
        <w:t>C  谈判响应文件的编写</w:t>
      </w:r>
      <w:r>
        <w:tab/>
      </w:r>
      <w:r>
        <w:fldChar w:fldCharType="begin"/>
      </w:r>
      <w:r>
        <w:instrText xml:space="preserve"> PAGEREF _Toc30168 \h </w:instrText>
      </w:r>
      <w:r>
        <w:fldChar w:fldCharType="separate"/>
      </w:r>
      <w:r>
        <w:t>11</w:t>
      </w:r>
      <w:r>
        <w:fldChar w:fldCharType="end"/>
      </w:r>
      <w:r>
        <w:rPr>
          <w:rFonts w:hint="eastAsia" w:ascii="宋体" w:hAnsi="宋体" w:cs="宋体"/>
          <w:szCs w:val="24"/>
        </w:rPr>
        <w:fldChar w:fldCharType="end"/>
      </w:r>
    </w:p>
    <w:p w14:paraId="4224B1BF">
      <w:pPr>
        <w:pStyle w:val="65"/>
      </w:pPr>
      <w:r>
        <w:rPr>
          <w:rFonts w:hint="eastAsia" w:ascii="宋体" w:hAnsi="宋体" w:cs="宋体"/>
          <w:szCs w:val="24"/>
        </w:rPr>
        <w:fldChar w:fldCharType="begin"/>
      </w:r>
      <w:r>
        <w:rPr>
          <w:rFonts w:hint="eastAsia" w:ascii="宋体" w:hAnsi="宋体" w:cs="宋体"/>
          <w:szCs w:val="24"/>
        </w:rPr>
        <w:instrText xml:space="preserve"> HYPERLINK \l _Toc19508 </w:instrText>
      </w:r>
      <w:r>
        <w:rPr>
          <w:rFonts w:hint="eastAsia" w:ascii="宋体" w:hAnsi="宋体" w:cs="宋体"/>
          <w:szCs w:val="24"/>
        </w:rPr>
        <w:fldChar w:fldCharType="separate"/>
      </w:r>
      <w:r>
        <w:rPr>
          <w:rFonts w:eastAsia="宋体" w:cs="Arial"/>
          <w:szCs w:val="28"/>
        </w:rPr>
        <w:t>D  谈判响应文件的递交</w:t>
      </w:r>
      <w:r>
        <w:tab/>
      </w:r>
      <w:r>
        <w:fldChar w:fldCharType="begin"/>
      </w:r>
      <w:r>
        <w:instrText xml:space="preserve"> PAGEREF _Toc19508 \h </w:instrText>
      </w:r>
      <w:r>
        <w:fldChar w:fldCharType="separate"/>
      </w:r>
      <w:r>
        <w:t>15</w:t>
      </w:r>
      <w:r>
        <w:fldChar w:fldCharType="end"/>
      </w:r>
      <w:r>
        <w:rPr>
          <w:rFonts w:hint="eastAsia" w:ascii="宋体" w:hAnsi="宋体" w:cs="宋体"/>
          <w:szCs w:val="24"/>
        </w:rPr>
        <w:fldChar w:fldCharType="end"/>
      </w:r>
    </w:p>
    <w:p w14:paraId="72B723E1">
      <w:pPr>
        <w:pStyle w:val="65"/>
      </w:pPr>
      <w:r>
        <w:rPr>
          <w:rFonts w:hint="eastAsia" w:ascii="宋体" w:hAnsi="宋体" w:cs="宋体"/>
          <w:szCs w:val="24"/>
        </w:rPr>
        <w:fldChar w:fldCharType="begin"/>
      </w:r>
      <w:r>
        <w:rPr>
          <w:rFonts w:hint="eastAsia" w:ascii="宋体" w:hAnsi="宋体" w:cs="宋体"/>
          <w:szCs w:val="24"/>
        </w:rPr>
        <w:instrText xml:space="preserve"> HYPERLINK \l _Toc31142 </w:instrText>
      </w:r>
      <w:r>
        <w:rPr>
          <w:rFonts w:hint="eastAsia" w:ascii="宋体" w:hAnsi="宋体" w:cs="宋体"/>
          <w:szCs w:val="24"/>
        </w:rPr>
        <w:fldChar w:fldCharType="separate"/>
      </w:r>
      <w:r>
        <w:rPr>
          <w:rFonts w:eastAsia="宋体" w:cs="Arial"/>
          <w:szCs w:val="28"/>
        </w:rPr>
        <w:t xml:space="preserve">E  </w:t>
      </w:r>
      <w:r>
        <w:rPr>
          <w:rFonts w:hint="eastAsia" w:eastAsia="宋体" w:cs="Arial"/>
          <w:szCs w:val="28"/>
        </w:rPr>
        <w:t>谈判</w:t>
      </w:r>
      <w:r>
        <w:rPr>
          <w:rFonts w:eastAsia="宋体" w:cs="Arial"/>
          <w:szCs w:val="28"/>
        </w:rPr>
        <w:t>程序</w:t>
      </w:r>
      <w:r>
        <w:tab/>
      </w:r>
      <w:r>
        <w:fldChar w:fldCharType="begin"/>
      </w:r>
      <w:r>
        <w:instrText xml:space="preserve"> PAGEREF _Toc31142 \h </w:instrText>
      </w:r>
      <w:r>
        <w:fldChar w:fldCharType="separate"/>
      </w:r>
      <w:r>
        <w:t>15</w:t>
      </w:r>
      <w:r>
        <w:fldChar w:fldCharType="end"/>
      </w:r>
      <w:r>
        <w:rPr>
          <w:rFonts w:hint="eastAsia" w:ascii="宋体" w:hAnsi="宋体" w:cs="宋体"/>
          <w:szCs w:val="24"/>
        </w:rPr>
        <w:fldChar w:fldCharType="end"/>
      </w:r>
    </w:p>
    <w:p w14:paraId="4D86D995">
      <w:pPr>
        <w:pStyle w:val="65"/>
      </w:pPr>
      <w:r>
        <w:rPr>
          <w:rFonts w:hint="eastAsia" w:ascii="宋体" w:hAnsi="宋体" w:cs="宋体"/>
          <w:szCs w:val="24"/>
        </w:rPr>
        <w:fldChar w:fldCharType="begin"/>
      </w:r>
      <w:r>
        <w:rPr>
          <w:rFonts w:hint="eastAsia" w:ascii="宋体" w:hAnsi="宋体" w:cs="宋体"/>
          <w:szCs w:val="24"/>
        </w:rPr>
        <w:instrText xml:space="preserve"> HYPERLINK \l _Toc26666 </w:instrText>
      </w:r>
      <w:r>
        <w:rPr>
          <w:rFonts w:hint="eastAsia" w:ascii="宋体" w:hAnsi="宋体" w:cs="宋体"/>
          <w:szCs w:val="24"/>
        </w:rPr>
        <w:fldChar w:fldCharType="separate"/>
      </w:r>
      <w:r>
        <w:rPr>
          <w:rFonts w:eastAsia="宋体" w:cs="Arial"/>
          <w:szCs w:val="28"/>
        </w:rPr>
        <w:t>F  授予合同</w:t>
      </w:r>
      <w:r>
        <w:tab/>
      </w:r>
      <w:r>
        <w:fldChar w:fldCharType="begin"/>
      </w:r>
      <w:r>
        <w:instrText xml:space="preserve"> PAGEREF _Toc26666 \h </w:instrText>
      </w:r>
      <w:r>
        <w:fldChar w:fldCharType="separate"/>
      </w:r>
      <w:r>
        <w:t>19</w:t>
      </w:r>
      <w:r>
        <w:fldChar w:fldCharType="end"/>
      </w:r>
      <w:r>
        <w:rPr>
          <w:rFonts w:hint="eastAsia" w:ascii="宋体" w:hAnsi="宋体" w:cs="宋体"/>
          <w:szCs w:val="24"/>
        </w:rPr>
        <w:fldChar w:fldCharType="end"/>
      </w:r>
    </w:p>
    <w:p w14:paraId="22CBD509">
      <w:pPr>
        <w:pStyle w:val="65"/>
      </w:pPr>
      <w:r>
        <w:rPr>
          <w:rFonts w:hint="eastAsia" w:ascii="宋体" w:hAnsi="宋体" w:cs="宋体"/>
          <w:szCs w:val="24"/>
        </w:rPr>
        <w:fldChar w:fldCharType="begin"/>
      </w:r>
      <w:r>
        <w:rPr>
          <w:rFonts w:hint="eastAsia" w:ascii="宋体" w:hAnsi="宋体" w:cs="宋体"/>
          <w:szCs w:val="24"/>
        </w:rPr>
        <w:instrText xml:space="preserve"> HYPERLINK \l _Toc24258 </w:instrText>
      </w:r>
      <w:r>
        <w:rPr>
          <w:rFonts w:hint="eastAsia" w:ascii="宋体" w:hAnsi="宋体" w:cs="宋体"/>
          <w:szCs w:val="24"/>
        </w:rPr>
        <w:fldChar w:fldCharType="separate"/>
      </w:r>
      <w:r>
        <w:rPr>
          <w:rFonts w:hint="eastAsia" w:eastAsia="宋体" w:cs="Arial"/>
          <w:szCs w:val="28"/>
        </w:rPr>
        <w:t>G</w:t>
      </w:r>
      <w:r>
        <w:rPr>
          <w:rFonts w:eastAsia="宋体" w:cs="Arial"/>
          <w:szCs w:val="28"/>
        </w:rPr>
        <w:t xml:space="preserve">  </w:t>
      </w:r>
      <w:r>
        <w:rPr>
          <w:rFonts w:hint="eastAsia" w:eastAsia="宋体" w:cs="Arial"/>
          <w:szCs w:val="28"/>
        </w:rPr>
        <w:t>谈判失败条件</w:t>
      </w:r>
      <w:r>
        <w:tab/>
      </w:r>
      <w:r>
        <w:fldChar w:fldCharType="begin"/>
      </w:r>
      <w:r>
        <w:instrText xml:space="preserve"> PAGEREF _Toc24258 \h </w:instrText>
      </w:r>
      <w:r>
        <w:fldChar w:fldCharType="separate"/>
      </w:r>
      <w:r>
        <w:t>20</w:t>
      </w:r>
      <w:r>
        <w:fldChar w:fldCharType="end"/>
      </w:r>
      <w:r>
        <w:rPr>
          <w:rFonts w:hint="eastAsia" w:ascii="宋体" w:hAnsi="宋体" w:cs="宋体"/>
          <w:szCs w:val="24"/>
        </w:rPr>
        <w:fldChar w:fldCharType="end"/>
      </w:r>
    </w:p>
    <w:p w14:paraId="293616F8">
      <w:pPr>
        <w:pStyle w:val="65"/>
      </w:pPr>
      <w:r>
        <w:rPr>
          <w:rFonts w:hint="eastAsia" w:ascii="宋体" w:hAnsi="宋体" w:cs="宋体"/>
          <w:szCs w:val="24"/>
        </w:rPr>
        <w:fldChar w:fldCharType="begin"/>
      </w:r>
      <w:r>
        <w:rPr>
          <w:rFonts w:hint="eastAsia" w:ascii="宋体" w:hAnsi="宋体" w:cs="宋体"/>
          <w:szCs w:val="24"/>
        </w:rPr>
        <w:instrText xml:space="preserve"> HYPERLINK \l _Toc130 </w:instrText>
      </w:r>
      <w:r>
        <w:rPr>
          <w:rFonts w:hint="eastAsia" w:ascii="宋体" w:hAnsi="宋体" w:cs="宋体"/>
          <w:szCs w:val="24"/>
        </w:rPr>
        <w:fldChar w:fldCharType="separate"/>
      </w:r>
      <w:r>
        <w:rPr>
          <w:rFonts w:hint="eastAsia"/>
        </w:rPr>
        <w:t>第三部分</w:t>
      </w:r>
      <w:r>
        <w:t>　</w:t>
      </w:r>
      <w:r>
        <w:rPr>
          <w:rFonts w:hint="eastAsia"/>
        </w:rPr>
        <w:t>货物需求及技术要求</w:t>
      </w:r>
      <w:r>
        <w:tab/>
      </w:r>
      <w:r>
        <w:fldChar w:fldCharType="begin"/>
      </w:r>
      <w:r>
        <w:instrText xml:space="preserve"> PAGEREF _Toc130 \h </w:instrText>
      </w:r>
      <w:r>
        <w:fldChar w:fldCharType="separate"/>
      </w:r>
      <w:r>
        <w:t>22</w:t>
      </w:r>
      <w:r>
        <w:fldChar w:fldCharType="end"/>
      </w:r>
      <w:r>
        <w:rPr>
          <w:rFonts w:hint="eastAsia" w:ascii="宋体" w:hAnsi="宋体" w:cs="宋体"/>
          <w:szCs w:val="24"/>
        </w:rPr>
        <w:fldChar w:fldCharType="end"/>
      </w:r>
    </w:p>
    <w:p w14:paraId="3DFFA887">
      <w:pPr>
        <w:pStyle w:val="65"/>
      </w:pPr>
      <w:r>
        <w:rPr>
          <w:rFonts w:hint="eastAsia" w:ascii="宋体" w:hAnsi="宋体" w:cs="宋体"/>
          <w:szCs w:val="24"/>
        </w:rPr>
        <w:fldChar w:fldCharType="begin"/>
      </w:r>
      <w:r>
        <w:rPr>
          <w:rFonts w:hint="eastAsia" w:ascii="宋体" w:hAnsi="宋体" w:cs="宋体"/>
          <w:szCs w:val="24"/>
        </w:rPr>
        <w:instrText xml:space="preserve"> HYPERLINK \l _Toc26326 </w:instrText>
      </w:r>
      <w:r>
        <w:rPr>
          <w:rFonts w:hint="eastAsia" w:ascii="宋体" w:hAnsi="宋体" w:cs="宋体"/>
          <w:szCs w:val="24"/>
        </w:rPr>
        <w:fldChar w:fldCharType="separate"/>
      </w:r>
      <w:r>
        <w:t>第四部分　合同</w:t>
      </w:r>
      <w:r>
        <w:rPr>
          <w:rFonts w:hint="eastAsia"/>
        </w:rPr>
        <w:t>一般</w:t>
      </w:r>
      <w:r>
        <w:t>条款</w:t>
      </w:r>
      <w:r>
        <w:tab/>
      </w:r>
      <w:r>
        <w:fldChar w:fldCharType="begin"/>
      </w:r>
      <w:r>
        <w:instrText xml:space="preserve"> PAGEREF _Toc26326 \h </w:instrText>
      </w:r>
      <w:r>
        <w:fldChar w:fldCharType="separate"/>
      </w:r>
      <w:r>
        <w:t>31</w:t>
      </w:r>
      <w:r>
        <w:fldChar w:fldCharType="end"/>
      </w:r>
      <w:r>
        <w:rPr>
          <w:rFonts w:hint="eastAsia" w:ascii="宋体" w:hAnsi="宋体" w:cs="宋体"/>
          <w:szCs w:val="24"/>
        </w:rPr>
        <w:fldChar w:fldCharType="end"/>
      </w:r>
    </w:p>
    <w:p w14:paraId="0DE7E477">
      <w:pPr>
        <w:pStyle w:val="65"/>
      </w:pPr>
      <w:r>
        <w:rPr>
          <w:rFonts w:hint="eastAsia" w:ascii="宋体" w:hAnsi="宋体" w:cs="宋体"/>
          <w:szCs w:val="24"/>
        </w:rPr>
        <w:fldChar w:fldCharType="begin"/>
      </w:r>
      <w:r>
        <w:rPr>
          <w:rFonts w:hint="eastAsia" w:ascii="宋体" w:hAnsi="宋体" w:cs="宋体"/>
          <w:szCs w:val="24"/>
        </w:rPr>
        <w:instrText xml:space="preserve"> HYPERLINK \l _Toc31887 </w:instrText>
      </w:r>
      <w:r>
        <w:rPr>
          <w:rFonts w:hint="eastAsia" w:ascii="宋体" w:hAnsi="宋体" w:cs="宋体"/>
          <w:szCs w:val="24"/>
        </w:rPr>
        <w:fldChar w:fldCharType="separate"/>
      </w:r>
      <w:r>
        <w:t>第</w:t>
      </w:r>
      <w:r>
        <w:rPr>
          <w:rFonts w:hint="eastAsia"/>
        </w:rPr>
        <w:t>五</w:t>
      </w:r>
      <w:r>
        <w:t>部分　范本格式</w:t>
      </w:r>
      <w:r>
        <w:tab/>
      </w:r>
      <w:r>
        <w:fldChar w:fldCharType="begin"/>
      </w:r>
      <w:r>
        <w:instrText xml:space="preserve"> PAGEREF _Toc31887 \h </w:instrText>
      </w:r>
      <w:r>
        <w:fldChar w:fldCharType="separate"/>
      </w:r>
      <w:r>
        <w:t>37</w:t>
      </w:r>
      <w:r>
        <w:fldChar w:fldCharType="end"/>
      </w:r>
      <w:r>
        <w:rPr>
          <w:rFonts w:hint="eastAsia" w:ascii="宋体" w:hAnsi="宋体" w:cs="宋体"/>
          <w:szCs w:val="24"/>
        </w:rPr>
        <w:fldChar w:fldCharType="end"/>
      </w:r>
    </w:p>
    <w:p w14:paraId="6935826A">
      <w:pPr>
        <w:pStyle w:val="65"/>
      </w:pPr>
      <w:r>
        <w:rPr>
          <w:rFonts w:hint="eastAsia" w:ascii="宋体" w:hAnsi="宋体" w:cs="宋体"/>
          <w:szCs w:val="24"/>
        </w:rPr>
        <w:fldChar w:fldCharType="begin"/>
      </w:r>
      <w:r>
        <w:rPr>
          <w:rFonts w:hint="eastAsia" w:ascii="宋体" w:hAnsi="宋体" w:cs="宋体"/>
          <w:szCs w:val="24"/>
        </w:rPr>
        <w:instrText xml:space="preserve"> HYPERLINK \l _Toc7928 </w:instrText>
      </w:r>
      <w:r>
        <w:rPr>
          <w:rFonts w:hint="eastAsia" w:ascii="宋体" w:hAnsi="宋体" w:cs="宋体"/>
          <w:szCs w:val="24"/>
        </w:rPr>
        <w:fldChar w:fldCharType="separate"/>
      </w:r>
      <w:r>
        <w:rPr>
          <w:rFonts w:ascii="Arial" w:hAnsi="Arial" w:cs="Arial"/>
          <w:bCs/>
        </w:rPr>
        <w:t>1</w:t>
      </w:r>
      <w:r>
        <w:rPr>
          <w:rFonts w:hAnsi="宋体"/>
          <w:bCs/>
        </w:rPr>
        <w:t>、</w:t>
      </w:r>
      <w:r>
        <w:rPr>
          <w:rFonts w:hint="eastAsia" w:hAnsi="宋体"/>
          <w:bCs/>
        </w:rPr>
        <w:t>谈判响应书</w:t>
      </w:r>
      <w:r>
        <w:tab/>
      </w:r>
      <w:r>
        <w:fldChar w:fldCharType="begin"/>
      </w:r>
      <w:r>
        <w:instrText xml:space="preserve"> PAGEREF _Toc7928 \h </w:instrText>
      </w:r>
      <w:r>
        <w:fldChar w:fldCharType="separate"/>
      </w:r>
      <w:r>
        <w:t>37</w:t>
      </w:r>
      <w:r>
        <w:fldChar w:fldCharType="end"/>
      </w:r>
      <w:r>
        <w:rPr>
          <w:rFonts w:hint="eastAsia" w:ascii="宋体" w:hAnsi="宋体" w:cs="宋体"/>
          <w:szCs w:val="24"/>
        </w:rPr>
        <w:fldChar w:fldCharType="end"/>
      </w:r>
    </w:p>
    <w:p w14:paraId="73624786">
      <w:pPr>
        <w:pStyle w:val="65"/>
      </w:pPr>
      <w:r>
        <w:rPr>
          <w:rFonts w:hint="eastAsia" w:ascii="宋体" w:hAnsi="宋体" w:cs="宋体"/>
          <w:szCs w:val="24"/>
        </w:rPr>
        <w:fldChar w:fldCharType="begin"/>
      </w:r>
      <w:r>
        <w:rPr>
          <w:rFonts w:hint="eastAsia" w:ascii="宋体" w:hAnsi="宋体" w:cs="宋体"/>
          <w:szCs w:val="24"/>
        </w:rPr>
        <w:instrText xml:space="preserve"> HYPERLINK \l _Toc5104 </w:instrText>
      </w:r>
      <w:r>
        <w:rPr>
          <w:rFonts w:hint="eastAsia" w:ascii="宋体" w:hAnsi="宋体" w:cs="宋体"/>
          <w:szCs w:val="24"/>
        </w:rPr>
        <w:fldChar w:fldCharType="separate"/>
      </w:r>
      <w:r>
        <w:rPr>
          <w:rFonts w:ascii="Arial" w:hAnsi="Arial" w:cs="Arial"/>
          <w:bCs/>
        </w:rPr>
        <w:t>2、开标一览表</w:t>
      </w:r>
      <w:r>
        <w:tab/>
      </w:r>
      <w:r>
        <w:fldChar w:fldCharType="begin"/>
      </w:r>
      <w:r>
        <w:instrText xml:space="preserve"> PAGEREF _Toc5104 \h </w:instrText>
      </w:r>
      <w:r>
        <w:fldChar w:fldCharType="separate"/>
      </w:r>
      <w:r>
        <w:t>38</w:t>
      </w:r>
      <w:r>
        <w:fldChar w:fldCharType="end"/>
      </w:r>
      <w:r>
        <w:rPr>
          <w:rFonts w:hint="eastAsia" w:ascii="宋体" w:hAnsi="宋体" w:cs="宋体"/>
          <w:szCs w:val="24"/>
        </w:rPr>
        <w:fldChar w:fldCharType="end"/>
      </w:r>
    </w:p>
    <w:p w14:paraId="5ECC0592">
      <w:pPr>
        <w:pStyle w:val="65"/>
      </w:pPr>
      <w:r>
        <w:rPr>
          <w:rFonts w:hint="eastAsia" w:ascii="宋体" w:hAnsi="宋体" w:cs="宋体"/>
          <w:szCs w:val="24"/>
        </w:rPr>
        <w:fldChar w:fldCharType="begin"/>
      </w:r>
      <w:r>
        <w:rPr>
          <w:rFonts w:hint="eastAsia" w:ascii="宋体" w:hAnsi="宋体" w:cs="宋体"/>
          <w:szCs w:val="24"/>
        </w:rPr>
        <w:instrText xml:space="preserve"> HYPERLINK \l _Toc19365 </w:instrText>
      </w:r>
      <w:r>
        <w:rPr>
          <w:rFonts w:hint="eastAsia" w:ascii="宋体" w:hAnsi="宋体" w:cs="宋体"/>
          <w:szCs w:val="24"/>
        </w:rPr>
        <w:fldChar w:fldCharType="separate"/>
      </w:r>
      <w:r>
        <w:rPr>
          <w:rFonts w:ascii="Arial" w:hAnsi="Arial" w:cs="Arial"/>
          <w:bCs/>
        </w:rPr>
        <w:t>3</w:t>
      </w:r>
      <w:r>
        <w:rPr>
          <w:rFonts w:hint="eastAsia" w:ascii="Arial" w:hAnsi="Arial" w:cs="Arial"/>
          <w:bCs/>
        </w:rPr>
        <w:t>、分项报价表</w:t>
      </w:r>
      <w:r>
        <w:tab/>
      </w:r>
      <w:r>
        <w:fldChar w:fldCharType="begin"/>
      </w:r>
      <w:r>
        <w:instrText xml:space="preserve"> PAGEREF _Toc19365 \h </w:instrText>
      </w:r>
      <w:r>
        <w:fldChar w:fldCharType="separate"/>
      </w:r>
      <w:r>
        <w:t>39</w:t>
      </w:r>
      <w:r>
        <w:fldChar w:fldCharType="end"/>
      </w:r>
      <w:r>
        <w:rPr>
          <w:rFonts w:hint="eastAsia" w:ascii="宋体" w:hAnsi="宋体" w:cs="宋体"/>
          <w:szCs w:val="24"/>
        </w:rPr>
        <w:fldChar w:fldCharType="end"/>
      </w:r>
    </w:p>
    <w:p w14:paraId="6783EEB3">
      <w:pPr>
        <w:pStyle w:val="65"/>
      </w:pPr>
      <w:r>
        <w:rPr>
          <w:rFonts w:hint="eastAsia" w:ascii="宋体" w:hAnsi="宋体" w:cs="宋体"/>
          <w:szCs w:val="24"/>
        </w:rPr>
        <w:fldChar w:fldCharType="begin"/>
      </w:r>
      <w:r>
        <w:rPr>
          <w:rFonts w:hint="eastAsia" w:ascii="宋体" w:hAnsi="宋体" w:cs="宋体"/>
          <w:szCs w:val="24"/>
        </w:rPr>
        <w:instrText xml:space="preserve"> HYPERLINK \l _Toc7967 </w:instrText>
      </w:r>
      <w:r>
        <w:rPr>
          <w:rFonts w:hint="eastAsia" w:ascii="宋体" w:hAnsi="宋体" w:cs="宋体"/>
          <w:szCs w:val="24"/>
        </w:rPr>
        <w:fldChar w:fldCharType="separate"/>
      </w:r>
      <w:r>
        <w:rPr>
          <w:rFonts w:ascii="宋体" w:hAnsi="宋体"/>
          <w:szCs w:val="24"/>
        </w:rPr>
        <w:t>4</w:t>
      </w:r>
      <w:r>
        <w:rPr>
          <w:rFonts w:hint="eastAsia" w:ascii="宋体" w:hAnsi="宋体"/>
          <w:szCs w:val="24"/>
        </w:rPr>
        <w:t>、法定代表人身份证明书</w:t>
      </w:r>
      <w:r>
        <w:tab/>
      </w:r>
      <w:r>
        <w:fldChar w:fldCharType="begin"/>
      </w:r>
      <w:r>
        <w:instrText xml:space="preserve"> PAGEREF _Toc7967 \h </w:instrText>
      </w:r>
      <w:r>
        <w:fldChar w:fldCharType="separate"/>
      </w:r>
      <w:r>
        <w:t>40</w:t>
      </w:r>
      <w:r>
        <w:fldChar w:fldCharType="end"/>
      </w:r>
      <w:r>
        <w:rPr>
          <w:rFonts w:hint="eastAsia" w:ascii="宋体" w:hAnsi="宋体" w:cs="宋体"/>
          <w:szCs w:val="24"/>
        </w:rPr>
        <w:fldChar w:fldCharType="end"/>
      </w:r>
    </w:p>
    <w:p w14:paraId="4BE6FEFB">
      <w:pPr>
        <w:pStyle w:val="65"/>
      </w:pPr>
      <w:r>
        <w:rPr>
          <w:rFonts w:hint="eastAsia" w:ascii="宋体" w:hAnsi="宋体" w:cs="宋体"/>
          <w:szCs w:val="24"/>
        </w:rPr>
        <w:fldChar w:fldCharType="begin"/>
      </w:r>
      <w:r>
        <w:rPr>
          <w:rFonts w:hint="eastAsia" w:ascii="宋体" w:hAnsi="宋体" w:cs="宋体"/>
          <w:szCs w:val="24"/>
        </w:rPr>
        <w:instrText xml:space="preserve"> HYPERLINK \l _Toc14740 </w:instrText>
      </w:r>
      <w:r>
        <w:rPr>
          <w:rFonts w:hint="eastAsia" w:ascii="宋体" w:hAnsi="宋体" w:cs="宋体"/>
          <w:szCs w:val="24"/>
        </w:rPr>
        <w:fldChar w:fldCharType="separate"/>
      </w:r>
      <w:r>
        <w:rPr>
          <w:rFonts w:ascii="宋体" w:hAnsi="宋体"/>
          <w:szCs w:val="24"/>
        </w:rPr>
        <w:t>5</w:t>
      </w:r>
      <w:r>
        <w:rPr>
          <w:rFonts w:hint="eastAsia" w:ascii="宋体" w:hAnsi="宋体"/>
          <w:szCs w:val="24"/>
        </w:rPr>
        <w:t>、法</w:t>
      </w:r>
      <w:r>
        <w:rPr>
          <w:rFonts w:hint="eastAsia" w:ascii="宋体" w:hAnsi="宋体"/>
          <w:bCs/>
          <w:szCs w:val="24"/>
        </w:rPr>
        <w:t>定代表人授权委托书</w:t>
      </w:r>
      <w:r>
        <w:tab/>
      </w:r>
      <w:r>
        <w:fldChar w:fldCharType="begin"/>
      </w:r>
      <w:r>
        <w:instrText xml:space="preserve"> PAGEREF _Toc14740 \h </w:instrText>
      </w:r>
      <w:r>
        <w:fldChar w:fldCharType="separate"/>
      </w:r>
      <w:r>
        <w:t>41</w:t>
      </w:r>
      <w:r>
        <w:fldChar w:fldCharType="end"/>
      </w:r>
      <w:r>
        <w:rPr>
          <w:rFonts w:hint="eastAsia" w:ascii="宋体" w:hAnsi="宋体" w:cs="宋体"/>
          <w:szCs w:val="24"/>
        </w:rPr>
        <w:fldChar w:fldCharType="end"/>
      </w:r>
    </w:p>
    <w:p w14:paraId="7A9F94C9">
      <w:pPr>
        <w:pStyle w:val="65"/>
      </w:pPr>
      <w:r>
        <w:rPr>
          <w:rFonts w:hint="eastAsia" w:ascii="宋体" w:hAnsi="宋体" w:cs="宋体"/>
          <w:szCs w:val="24"/>
        </w:rPr>
        <w:fldChar w:fldCharType="begin"/>
      </w:r>
      <w:r>
        <w:rPr>
          <w:rFonts w:hint="eastAsia" w:ascii="宋体" w:hAnsi="宋体" w:cs="宋体"/>
          <w:szCs w:val="24"/>
        </w:rPr>
        <w:instrText xml:space="preserve"> HYPERLINK \l _Toc23928 </w:instrText>
      </w:r>
      <w:r>
        <w:rPr>
          <w:rFonts w:hint="eastAsia" w:ascii="宋体" w:hAnsi="宋体" w:cs="宋体"/>
          <w:szCs w:val="24"/>
        </w:rPr>
        <w:fldChar w:fldCharType="separate"/>
      </w:r>
      <w:r>
        <w:rPr>
          <w:rFonts w:hint="eastAsia" w:ascii="Arial" w:hAnsi="Arial" w:cs="Arial"/>
          <w:bCs/>
        </w:rPr>
        <w:t>6、技术参数、功能偏离表</w:t>
      </w:r>
      <w:r>
        <w:tab/>
      </w:r>
      <w:r>
        <w:fldChar w:fldCharType="begin"/>
      </w:r>
      <w:r>
        <w:instrText xml:space="preserve"> PAGEREF _Toc23928 \h </w:instrText>
      </w:r>
      <w:r>
        <w:fldChar w:fldCharType="separate"/>
      </w:r>
      <w:r>
        <w:t>42</w:t>
      </w:r>
      <w:r>
        <w:fldChar w:fldCharType="end"/>
      </w:r>
      <w:r>
        <w:rPr>
          <w:rFonts w:hint="eastAsia" w:ascii="宋体" w:hAnsi="宋体" w:cs="宋体"/>
          <w:szCs w:val="24"/>
        </w:rPr>
        <w:fldChar w:fldCharType="end"/>
      </w:r>
    </w:p>
    <w:p w14:paraId="546FBFC9">
      <w:pPr>
        <w:pStyle w:val="65"/>
      </w:pPr>
      <w:r>
        <w:rPr>
          <w:rFonts w:hint="eastAsia" w:ascii="宋体" w:hAnsi="宋体" w:cs="宋体"/>
          <w:szCs w:val="24"/>
        </w:rPr>
        <w:fldChar w:fldCharType="begin"/>
      </w:r>
      <w:r>
        <w:rPr>
          <w:rFonts w:hint="eastAsia" w:ascii="宋体" w:hAnsi="宋体" w:cs="宋体"/>
          <w:szCs w:val="24"/>
        </w:rPr>
        <w:instrText xml:space="preserve"> HYPERLINK \l _Toc16942 </w:instrText>
      </w:r>
      <w:r>
        <w:rPr>
          <w:rFonts w:hint="eastAsia" w:ascii="宋体" w:hAnsi="宋体" w:cs="宋体"/>
          <w:szCs w:val="24"/>
        </w:rPr>
        <w:fldChar w:fldCharType="separate"/>
      </w:r>
      <w:r>
        <w:rPr>
          <w:rFonts w:hint="eastAsia" w:ascii="Arial" w:hAnsi="Arial" w:cs="Arial"/>
          <w:bCs/>
        </w:rPr>
        <w:t>7、商务条款偏离表</w:t>
      </w:r>
      <w:r>
        <w:tab/>
      </w:r>
      <w:r>
        <w:fldChar w:fldCharType="begin"/>
      </w:r>
      <w:r>
        <w:instrText xml:space="preserve"> PAGEREF _Toc16942 \h </w:instrText>
      </w:r>
      <w:r>
        <w:fldChar w:fldCharType="separate"/>
      </w:r>
      <w:r>
        <w:t>43</w:t>
      </w:r>
      <w:r>
        <w:fldChar w:fldCharType="end"/>
      </w:r>
      <w:r>
        <w:rPr>
          <w:rFonts w:hint="eastAsia" w:ascii="宋体" w:hAnsi="宋体" w:cs="宋体"/>
          <w:szCs w:val="24"/>
        </w:rPr>
        <w:fldChar w:fldCharType="end"/>
      </w:r>
    </w:p>
    <w:p w14:paraId="74935E31">
      <w:pPr>
        <w:pStyle w:val="65"/>
      </w:pPr>
      <w:r>
        <w:rPr>
          <w:rFonts w:hint="eastAsia" w:ascii="宋体" w:hAnsi="宋体" w:cs="宋体"/>
          <w:szCs w:val="24"/>
        </w:rPr>
        <w:fldChar w:fldCharType="begin"/>
      </w:r>
      <w:r>
        <w:rPr>
          <w:rFonts w:hint="eastAsia" w:ascii="宋体" w:hAnsi="宋体" w:cs="宋体"/>
          <w:szCs w:val="24"/>
        </w:rPr>
        <w:instrText xml:space="preserve"> HYPERLINK \l _Toc25689 </w:instrText>
      </w:r>
      <w:r>
        <w:rPr>
          <w:rFonts w:hint="eastAsia" w:ascii="宋体" w:hAnsi="宋体" w:cs="宋体"/>
          <w:szCs w:val="24"/>
        </w:rPr>
        <w:fldChar w:fldCharType="separate"/>
      </w:r>
      <w:r>
        <w:rPr>
          <w:rFonts w:hint="eastAsia" w:ascii="宋体" w:hAnsi="宋体" w:cs="宋体"/>
          <w:bCs/>
        </w:rPr>
        <w:t>8、其他证明材料</w:t>
      </w:r>
      <w:r>
        <w:tab/>
      </w:r>
      <w:r>
        <w:fldChar w:fldCharType="begin"/>
      </w:r>
      <w:r>
        <w:instrText xml:space="preserve"> PAGEREF _Toc25689 \h </w:instrText>
      </w:r>
      <w:r>
        <w:fldChar w:fldCharType="separate"/>
      </w:r>
      <w:r>
        <w:t>44</w:t>
      </w:r>
      <w:r>
        <w:fldChar w:fldCharType="end"/>
      </w:r>
      <w:r>
        <w:rPr>
          <w:rFonts w:hint="eastAsia" w:ascii="宋体" w:hAnsi="宋体" w:cs="宋体"/>
          <w:szCs w:val="24"/>
        </w:rPr>
        <w:fldChar w:fldCharType="end"/>
      </w:r>
    </w:p>
    <w:p w14:paraId="09F3F208">
      <w:pPr>
        <w:pStyle w:val="65"/>
      </w:pPr>
      <w:r>
        <w:rPr>
          <w:rFonts w:hint="eastAsia" w:ascii="宋体" w:hAnsi="宋体" w:cs="宋体"/>
          <w:szCs w:val="24"/>
        </w:rPr>
        <w:fldChar w:fldCharType="begin"/>
      </w:r>
      <w:r>
        <w:rPr>
          <w:rFonts w:hint="eastAsia" w:ascii="宋体" w:hAnsi="宋体" w:cs="宋体"/>
          <w:szCs w:val="24"/>
        </w:rPr>
        <w:instrText xml:space="preserve"> HYPERLINK \l _Toc2214 </w:instrText>
      </w:r>
      <w:r>
        <w:rPr>
          <w:rFonts w:hint="eastAsia" w:ascii="宋体" w:hAnsi="宋体" w:cs="宋体"/>
          <w:szCs w:val="24"/>
        </w:rPr>
        <w:fldChar w:fldCharType="separate"/>
      </w:r>
      <w:r>
        <w:rPr>
          <w:rFonts w:hint="eastAsia" w:ascii="Arial" w:hAnsi="Arial" w:cs="Arial"/>
          <w:bCs/>
          <w:szCs w:val="24"/>
        </w:rPr>
        <w:t>9</w:t>
      </w:r>
      <w:r>
        <w:rPr>
          <w:rFonts w:hint="eastAsia" w:ascii="Arial" w:hAnsi="Arial" w:cs="Arial"/>
          <w:bCs/>
          <w:szCs w:val="24"/>
          <w:lang w:val="zh-CN"/>
        </w:rPr>
        <w:t>、供应商反商业贿赂承诺书</w:t>
      </w:r>
      <w:r>
        <w:tab/>
      </w:r>
      <w:r>
        <w:fldChar w:fldCharType="begin"/>
      </w:r>
      <w:r>
        <w:instrText xml:space="preserve"> PAGEREF _Toc2214 \h </w:instrText>
      </w:r>
      <w:r>
        <w:fldChar w:fldCharType="separate"/>
      </w:r>
      <w:r>
        <w:t>44</w:t>
      </w:r>
      <w:r>
        <w:fldChar w:fldCharType="end"/>
      </w:r>
      <w:r>
        <w:rPr>
          <w:rFonts w:hint="eastAsia" w:ascii="宋体" w:hAnsi="宋体" w:cs="宋体"/>
          <w:szCs w:val="24"/>
        </w:rPr>
        <w:fldChar w:fldCharType="end"/>
      </w:r>
    </w:p>
    <w:p w14:paraId="61A2B3A3">
      <w:pPr>
        <w:pStyle w:val="65"/>
      </w:pPr>
      <w:r>
        <w:rPr>
          <w:rFonts w:hint="eastAsia" w:ascii="宋体" w:hAnsi="宋体" w:cs="宋体"/>
          <w:szCs w:val="24"/>
        </w:rPr>
        <w:fldChar w:fldCharType="begin"/>
      </w:r>
      <w:r>
        <w:rPr>
          <w:rFonts w:hint="eastAsia" w:ascii="宋体" w:hAnsi="宋体" w:cs="宋体"/>
          <w:szCs w:val="24"/>
        </w:rPr>
        <w:instrText xml:space="preserve"> HYPERLINK \l _Toc18499 </w:instrText>
      </w:r>
      <w:r>
        <w:rPr>
          <w:rFonts w:hint="eastAsia" w:ascii="宋体" w:hAnsi="宋体" w:cs="宋体"/>
          <w:szCs w:val="24"/>
        </w:rPr>
        <w:fldChar w:fldCharType="separate"/>
      </w:r>
      <w:r>
        <w:rPr>
          <w:rFonts w:hint="eastAsia" w:ascii="Arial" w:hAnsi="Arial" w:cs="Arial"/>
          <w:bCs/>
          <w:szCs w:val="24"/>
        </w:rPr>
        <w:t>10、</w:t>
      </w:r>
      <w:r>
        <w:rPr>
          <w:rFonts w:hint="eastAsia" w:ascii="Arial" w:hAnsi="Arial" w:cs="Arial"/>
          <w:bCs/>
          <w:szCs w:val="24"/>
          <w:lang w:eastAsia="zh-CN"/>
        </w:rPr>
        <w:t>监狱</w:t>
      </w:r>
      <w:r>
        <w:rPr>
          <w:rFonts w:hint="eastAsia" w:ascii="Arial" w:hAnsi="Arial" w:cs="Arial"/>
          <w:bCs/>
          <w:szCs w:val="24"/>
          <w:lang w:val="zh-CN"/>
        </w:rPr>
        <w:t>企业证明文件（如有）、残疾人福利性单位声明函（如有）、中小企业</w:t>
      </w:r>
      <w:r>
        <w:rPr>
          <w:rFonts w:hint="eastAsia" w:ascii="Arial" w:hAnsi="Arial" w:cs="Arial"/>
          <w:bCs/>
          <w:szCs w:val="24"/>
        </w:rPr>
        <w:t>声明函</w:t>
      </w:r>
      <w:r>
        <w:rPr>
          <w:rFonts w:hint="eastAsia" w:ascii="Arial" w:hAnsi="Arial" w:cs="Arial"/>
          <w:bCs/>
          <w:szCs w:val="24"/>
          <w:lang w:val="zh-CN"/>
        </w:rPr>
        <w:t>。</w:t>
      </w:r>
      <w:r>
        <w:tab/>
      </w:r>
      <w:r>
        <w:fldChar w:fldCharType="begin"/>
      </w:r>
      <w:r>
        <w:instrText xml:space="preserve"> PAGEREF _Toc18499 \h </w:instrText>
      </w:r>
      <w:r>
        <w:fldChar w:fldCharType="separate"/>
      </w:r>
      <w:r>
        <w:t>45</w:t>
      </w:r>
      <w:r>
        <w:fldChar w:fldCharType="end"/>
      </w:r>
      <w:r>
        <w:rPr>
          <w:rFonts w:hint="eastAsia" w:ascii="宋体" w:hAnsi="宋体" w:cs="宋体"/>
          <w:szCs w:val="24"/>
        </w:rPr>
        <w:fldChar w:fldCharType="end"/>
      </w:r>
    </w:p>
    <w:p w14:paraId="01F95EC4">
      <w:pPr>
        <w:pStyle w:val="65"/>
        <w:spacing w:line="400" w:lineRule="exact"/>
        <w:rPr>
          <w:b/>
          <w:szCs w:val="24"/>
        </w:rPr>
      </w:pPr>
      <w:r>
        <w:rPr>
          <w:rFonts w:hint="eastAsia" w:ascii="宋体" w:hAnsi="宋体" w:cs="宋体"/>
          <w:szCs w:val="24"/>
        </w:rPr>
        <w:fldChar w:fldCharType="end"/>
      </w:r>
    </w:p>
    <w:p w14:paraId="56B54843">
      <w:pPr>
        <w:pStyle w:val="3"/>
        <w:numPr>
          <w:ilvl w:val="0"/>
          <w:numId w:val="0"/>
        </w:numPr>
        <w:spacing w:line="400" w:lineRule="atLeast"/>
        <w:rPr>
          <w:rFonts w:ascii="Arial" w:hAnsi="Arial" w:cs="Arial"/>
          <w:sz w:val="32"/>
          <w:szCs w:val="32"/>
        </w:rPr>
        <w:sectPr>
          <w:headerReference r:id="rId3" w:type="default"/>
          <w:pgSz w:w="11906" w:h="16838"/>
          <w:pgMar w:top="1440" w:right="1080" w:bottom="1440" w:left="1080" w:header="851" w:footer="850" w:gutter="0"/>
          <w:pgNumType w:start="1"/>
          <w:cols w:space="720" w:num="1"/>
          <w:docGrid w:type="linesAndChars" w:linePitch="312" w:charSpace="0"/>
        </w:sectPr>
      </w:pPr>
      <w:bookmarkStart w:id="0" w:name="_Toc349573118"/>
      <w:bookmarkStart w:id="1" w:name="_Toc349637917"/>
      <w:bookmarkStart w:id="2" w:name="_Toc298240402"/>
    </w:p>
    <w:p w14:paraId="03A221FD">
      <w:pPr>
        <w:pStyle w:val="4"/>
      </w:pPr>
      <w:bookmarkStart w:id="3" w:name="_Toc17858"/>
      <w:r>
        <w:t>第一部分　谈判邀请</w:t>
      </w:r>
      <w:bookmarkEnd w:id="0"/>
      <w:bookmarkEnd w:id="1"/>
      <w:bookmarkEnd w:id="2"/>
      <w:bookmarkEnd w:id="3"/>
    </w:p>
    <w:p w14:paraId="73136FF3">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highlight w:val="none"/>
        </w:rPr>
      </w:pPr>
      <w:bookmarkStart w:id="4" w:name="_Toc267301280"/>
      <w:r>
        <w:rPr>
          <w:rFonts w:hint="eastAsia" w:ascii="宋体" w:hAnsi="宋体" w:eastAsia="宋体" w:cs="宋体"/>
          <w:sz w:val="24"/>
          <w:szCs w:val="24"/>
          <w:highlight w:val="none"/>
        </w:rPr>
        <w:t>新疆招标有限公司受阿克苏地区水资源总站的委托，对</w:t>
      </w:r>
      <w:r>
        <w:rPr>
          <w:rFonts w:hint="eastAsia" w:ascii="宋体" w:hAnsi="宋体" w:cs="宋体"/>
          <w:sz w:val="24"/>
          <w:szCs w:val="24"/>
          <w:highlight w:val="none"/>
          <w:lang w:eastAsia="zh-CN"/>
        </w:rPr>
        <w:t>新疆阿克苏地区温宿县台兰河水土保持风蚀观测场(设备采购及安装标段)（二次）</w:t>
      </w:r>
      <w:r>
        <w:rPr>
          <w:rFonts w:hint="eastAsia" w:ascii="宋体" w:hAnsi="宋体" w:eastAsia="宋体" w:cs="宋体"/>
          <w:sz w:val="24"/>
          <w:szCs w:val="24"/>
          <w:highlight w:val="none"/>
        </w:rPr>
        <w:t>项目下的货物及其相关服务组织竞争性谈判采购。兹邀请合格供应商以电子谈判响应文件的形式前来参加竞争性谈判。</w:t>
      </w:r>
    </w:p>
    <w:p w14:paraId="0AD41BD9">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一、项目基本情况</w:t>
      </w:r>
    </w:p>
    <w:p w14:paraId="5C460B53">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项目编号：</w:t>
      </w:r>
      <w:r>
        <w:rPr>
          <w:rFonts w:hint="eastAsia" w:ascii="宋体" w:hAnsi="宋体" w:cs="宋体"/>
          <w:sz w:val="24"/>
          <w:szCs w:val="24"/>
          <w:highlight w:val="none"/>
          <w:lang w:eastAsia="zh-CN"/>
        </w:rPr>
        <w:t>0634—264XZAKSZH0035</w:t>
      </w:r>
    </w:p>
    <w:p w14:paraId="5D7F1AFC">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项目名称：</w:t>
      </w:r>
      <w:r>
        <w:rPr>
          <w:rFonts w:hint="eastAsia" w:ascii="宋体" w:hAnsi="宋体" w:cs="宋体"/>
          <w:sz w:val="24"/>
          <w:szCs w:val="24"/>
          <w:highlight w:val="none"/>
          <w:lang w:eastAsia="zh-CN"/>
        </w:rPr>
        <w:t>新疆阿克苏地区温宿县台兰河水土保持风蚀观测场(设备采购及安装标段)（二次）</w:t>
      </w:r>
    </w:p>
    <w:p w14:paraId="6B6F2963">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采购方式：竞争性谈判</w:t>
      </w:r>
    </w:p>
    <w:p w14:paraId="501A1FC8">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预算金额（元）：</w:t>
      </w:r>
      <w:r>
        <w:rPr>
          <w:rFonts w:hint="eastAsia" w:ascii="Arial" w:hAnsi="宋体" w:cs="Arial"/>
          <w:sz w:val="24"/>
          <w:szCs w:val="24"/>
          <w:highlight w:val="none"/>
          <w:lang w:eastAsia="zh-CN"/>
        </w:rPr>
        <w:t>1805273.98</w:t>
      </w:r>
    </w:p>
    <w:p w14:paraId="5891305F">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最高限价（元）：</w:t>
      </w:r>
      <w:r>
        <w:rPr>
          <w:rFonts w:hint="eastAsia" w:ascii="Arial" w:hAnsi="宋体" w:cs="Arial"/>
          <w:sz w:val="24"/>
          <w:szCs w:val="24"/>
          <w:highlight w:val="none"/>
          <w:lang w:eastAsia="zh-CN"/>
        </w:rPr>
        <w:t>1805273.98</w:t>
      </w:r>
    </w:p>
    <w:p w14:paraId="4CAC0F71">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采购需求：</w:t>
      </w:r>
    </w:p>
    <w:p w14:paraId="21C43E73">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标项名称：</w:t>
      </w:r>
      <w:r>
        <w:rPr>
          <w:rFonts w:hint="eastAsia" w:ascii="宋体" w:hAnsi="宋体" w:cs="宋体"/>
          <w:sz w:val="24"/>
          <w:szCs w:val="24"/>
          <w:highlight w:val="none"/>
          <w:lang w:eastAsia="zh-CN"/>
        </w:rPr>
        <w:t>新疆阿克苏地区温宿县台兰河水土保持风蚀观测场(设备采购及安装标段)（二次）</w:t>
      </w:r>
    </w:p>
    <w:p w14:paraId="3135F63C">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数量：1</w:t>
      </w:r>
    </w:p>
    <w:p w14:paraId="4664BD97">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预算金额：</w:t>
      </w:r>
      <w:r>
        <w:rPr>
          <w:rFonts w:hint="eastAsia" w:ascii="Arial" w:hAnsi="宋体" w:cs="Arial"/>
          <w:sz w:val="24"/>
          <w:szCs w:val="24"/>
          <w:highlight w:val="none"/>
          <w:lang w:eastAsia="zh-CN"/>
        </w:rPr>
        <w:t>1805273.98</w:t>
      </w:r>
    </w:p>
    <w:p w14:paraId="50CC3BB9">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单位：批</w:t>
      </w:r>
    </w:p>
    <w:p w14:paraId="639F3848">
      <w:pPr>
        <w:pStyle w:val="2"/>
        <w:ind w:firstLine="480" w:firstLineChars="200"/>
        <w:rPr>
          <w:rFonts w:hint="default"/>
          <w:lang w:val="en-US" w:eastAsia="zh-CN"/>
        </w:rPr>
      </w:pPr>
      <w:r>
        <w:rPr>
          <w:rFonts w:hint="eastAsia" w:ascii="宋体" w:hAnsi="宋体" w:eastAsia="宋体" w:cs="宋体"/>
          <w:sz w:val="24"/>
          <w:szCs w:val="24"/>
          <w:highlight w:val="none"/>
          <w:lang w:val="en-US" w:eastAsia="zh-CN"/>
        </w:rPr>
        <w:t>简要规格描述：采购2个全自动风蚀监测仪（核心产品）、1台无人机等（具体详见货物清单）</w:t>
      </w:r>
    </w:p>
    <w:p w14:paraId="43D25BCA">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合同履约期限：标项1，合同签订45日历日内完成供货安装调试验收  </w:t>
      </w:r>
    </w:p>
    <w:p w14:paraId="3EDBA3A7">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本项目不接受联合体投标。</w:t>
      </w:r>
    </w:p>
    <w:p w14:paraId="3E65461E">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二、申请人的资格要求：</w:t>
      </w:r>
    </w:p>
    <w:p w14:paraId="387F7E29">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符合《中华人民共和国政府采购法》第二十二条规定条件；</w:t>
      </w:r>
    </w:p>
    <w:p w14:paraId="348B11BB">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落实政府采购政策需满足的资格要求：本项目专门面向中小企业采购，对小微企业不再另行执行价格扣除；本项目环境标志产品5%价格扣除与本国产品20%价格评审优惠可以叠加适用：环境标志产品优惠以产品属于财库〔2019〕18号品目清单范围并提供有效认证证书为前提，本国产品优惠以既有本国产品又有非本国产品参与竞争且供应商提供《关于符合本国产品标准的声明函》为触发条件，两项扣除均以原始报价为</w:t>
      </w:r>
      <w:bookmarkStart w:id="78" w:name="_GoBack"/>
      <w:bookmarkEnd w:id="78"/>
      <w:r>
        <w:rPr>
          <w:rFonts w:hint="eastAsia" w:ascii="宋体" w:hAnsi="宋体" w:eastAsia="宋体" w:cs="宋体"/>
          <w:sz w:val="24"/>
          <w:szCs w:val="24"/>
          <w:highlight w:val="none"/>
        </w:rPr>
        <w:t>基数分别计算，即评标价=原始报价−环境标志产品部分价格×5%−符合本国产品标准的部分价格×20%（若符合80%比例条件则按总报价×20%扣除），鉴于本项目专门面向中小企业且不再执行小微扣除，仅需叠加上述两项优惠即可。</w:t>
      </w:r>
    </w:p>
    <w:p w14:paraId="0435EF51">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本项目的特定资格要求：</w:t>
      </w:r>
      <w:r>
        <w:rPr>
          <w:rFonts w:hint="eastAsia" w:ascii="宋体" w:hAnsi="宋体" w:eastAsia="宋体" w:cs="宋体"/>
          <w:sz w:val="24"/>
          <w:szCs w:val="24"/>
          <w:highlight w:val="none"/>
          <w:lang w:val="en-US" w:eastAsia="zh-CN"/>
        </w:rPr>
        <w:t>无</w:t>
      </w:r>
    </w:p>
    <w:p w14:paraId="06F3180B">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三、获取采购文件</w:t>
      </w:r>
    </w:p>
    <w:p w14:paraId="5C2CC3F7">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谈判文件获取时间：2026年10月</w:t>
      </w:r>
      <w:r>
        <w:rPr>
          <w:rFonts w:hint="eastAsia" w:ascii="宋体" w:hAnsi="宋体" w:cs="宋体"/>
          <w:sz w:val="24"/>
          <w:szCs w:val="24"/>
          <w:highlight w:val="none"/>
          <w:lang w:val="en-US" w:eastAsia="zh-CN"/>
        </w:rPr>
        <w:t>26</w:t>
      </w:r>
      <w:r>
        <w:rPr>
          <w:rFonts w:hint="eastAsia" w:ascii="宋体" w:hAnsi="宋体" w:eastAsia="宋体" w:cs="宋体"/>
          <w:sz w:val="24"/>
          <w:szCs w:val="24"/>
          <w:highlight w:val="none"/>
          <w:lang w:val="en-US" w:eastAsia="zh-CN"/>
        </w:rPr>
        <w:t>日至2026年10月2</w:t>
      </w: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lang w:val="en-US" w:eastAsia="zh-CN"/>
        </w:rPr>
        <w:t>日，每天上午10：00时~19：00时（北京时间）</w:t>
      </w:r>
    </w:p>
    <w:p w14:paraId="41DBD245">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谈判文件获取地点：</w:t>
      </w:r>
      <w:r>
        <w:rPr>
          <w:rFonts w:hint="eastAsia" w:ascii="宋体" w:hAnsi="宋体" w:eastAsia="宋体" w:cs="宋体"/>
          <w:sz w:val="24"/>
          <w:szCs w:val="24"/>
          <w:highlight w:val="none"/>
        </w:rPr>
        <w:t>政采云线上（www.zcygov.cn）</w:t>
      </w:r>
    </w:p>
    <w:p w14:paraId="3D93E277">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谈判文件获取方式：供应商登录政采云平台https://www.zcygov.cn/在线申请获取采购文件（进入“项目采购”应用，在获取采购文件菜单中选择项目，申请获取采购文件），或者点击采购公告底部潜在供应商“获取采购文件”，页面跳转后登陆，直接获取采购文件。</w:t>
      </w:r>
    </w:p>
    <w:p w14:paraId="6D3BC4CB">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售价（元）：0</w:t>
      </w:r>
    </w:p>
    <w:p w14:paraId="3D6192EA">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四、响应文件提交</w:t>
      </w:r>
    </w:p>
    <w:p w14:paraId="2EA43448">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谈判响应文件递交截止时间：</w:t>
      </w:r>
      <w:r>
        <w:rPr>
          <w:rFonts w:hint="eastAsia" w:ascii="宋体" w:hAnsi="宋体" w:eastAsia="宋体" w:cs="宋体"/>
          <w:sz w:val="24"/>
          <w:szCs w:val="24"/>
          <w:highlight w:val="none"/>
          <w:lang w:eastAsia="zh-CN"/>
        </w:rPr>
        <w:t>2026年</w:t>
      </w: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30</w:t>
      </w:r>
      <w:r>
        <w:rPr>
          <w:rFonts w:hint="eastAsia" w:ascii="宋体" w:hAnsi="宋体" w:eastAsia="宋体" w:cs="宋体"/>
          <w:sz w:val="24"/>
          <w:szCs w:val="24"/>
          <w:highlight w:val="none"/>
          <w:lang w:eastAsia="zh-CN"/>
        </w:rPr>
        <w:t>日</w:t>
      </w:r>
      <w:r>
        <w:rPr>
          <w:rFonts w:hint="eastAsia" w:ascii="宋体" w:hAnsi="宋体" w:eastAsia="宋体" w:cs="宋体"/>
          <w:sz w:val="24"/>
          <w:szCs w:val="24"/>
          <w:highlight w:val="none"/>
        </w:rPr>
        <w:t>10：30时（北京时间）</w:t>
      </w:r>
    </w:p>
    <w:p w14:paraId="08E2958F">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谈判响应文件递交地点：请登录政采云投标客户端投标</w:t>
      </w:r>
    </w:p>
    <w:p w14:paraId="6F52A399">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b/>
          <w:bCs/>
          <w:sz w:val="24"/>
          <w:szCs w:val="24"/>
          <w:highlight w:val="none"/>
          <w:lang w:val="en-US" w:eastAsia="zh-CN"/>
        </w:rPr>
        <w:t>五、响应文件开启</w:t>
      </w:r>
    </w:p>
    <w:p w14:paraId="23F3AA21">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谈判开启时间：</w:t>
      </w:r>
      <w:r>
        <w:rPr>
          <w:rFonts w:hint="eastAsia" w:ascii="宋体" w:hAnsi="宋体" w:eastAsia="宋体" w:cs="宋体"/>
          <w:sz w:val="24"/>
          <w:szCs w:val="24"/>
          <w:highlight w:val="none"/>
          <w:lang w:eastAsia="zh-CN"/>
        </w:rPr>
        <w:t>2026年</w:t>
      </w: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30</w:t>
      </w:r>
      <w:r>
        <w:rPr>
          <w:rFonts w:hint="eastAsia" w:ascii="宋体" w:hAnsi="宋体" w:eastAsia="宋体" w:cs="宋体"/>
          <w:sz w:val="24"/>
          <w:szCs w:val="24"/>
          <w:highlight w:val="none"/>
          <w:lang w:eastAsia="zh-CN"/>
        </w:rPr>
        <w:t>日</w:t>
      </w:r>
      <w:r>
        <w:rPr>
          <w:rFonts w:hint="eastAsia" w:ascii="宋体" w:hAnsi="宋体" w:eastAsia="宋体" w:cs="宋体"/>
          <w:sz w:val="24"/>
          <w:szCs w:val="24"/>
          <w:highlight w:val="none"/>
        </w:rPr>
        <w:t>10：30时（北京时间）</w:t>
      </w:r>
    </w:p>
    <w:p w14:paraId="6EFB499E">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谈判地点：</w:t>
      </w:r>
      <w:r>
        <w:rPr>
          <w:rFonts w:hint="eastAsia" w:ascii="宋体" w:hAnsi="宋体" w:eastAsia="宋体" w:cs="宋体"/>
          <w:sz w:val="24"/>
          <w:szCs w:val="24"/>
          <w:highlight w:val="none"/>
        </w:rPr>
        <w:t>政采云线上（www.zcygov.cn）</w:t>
      </w:r>
    </w:p>
    <w:p w14:paraId="5FCB467C">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六、公告期限</w:t>
      </w:r>
    </w:p>
    <w:p w14:paraId="5E71F708">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自本公告发布之日起3个工作日。</w:t>
      </w:r>
    </w:p>
    <w:p w14:paraId="04538C12">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b/>
          <w:bCs/>
          <w:sz w:val="24"/>
          <w:szCs w:val="24"/>
          <w:highlight w:val="none"/>
          <w:lang w:val="en-US" w:eastAsia="zh-CN"/>
        </w:rPr>
        <w:t>七、其他补充事宜</w:t>
      </w:r>
    </w:p>
    <w:p w14:paraId="6EE2C1DC">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1、本项目实行网上投标，采用电子投标文件。</w:t>
      </w:r>
    </w:p>
    <w:p w14:paraId="5E8DCA53">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各供应商应在开标前确保成为正式注册入库供应商，并完成CA数字证书(符合国密标准)申领。因未注册入库、未办理CA数字证书等原因造成无法投标或投标失败等后果由供应商自行承担。如需咨询，请联系新疆-安信CA服务热线0991-4811476；翔晟CA服务热线025-66085508；新疆CA服务热线4000921999。</w:t>
      </w:r>
    </w:p>
    <w:p w14:paraId="1E680CB5">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3、供应商将政采云电子交易客户端下载、安装完成后，可通过账号密码或CA登录客户端进行投标文件的制作。在使用政采云投标客户端时，建议使用WIN7及以上操作系统。</w:t>
      </w:r>
    </w:p>
    <w:p w14:paraId="1DC5BFB9">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4、其他事项：无  </w:t>
      </w:r>
    </w:p>
    <w:p w14:paraId="318873DA">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特别提示：</w:t>
      </w:r>
    </w:p>
    <w:p w14:paraId="691F2C5D">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1、采购限额标准以上，200万元以下的货物和服务采购项目、400万元以下的工程采购项目，适宜由中小企业提供的，采购人应当专门面向中小企业采购。</w:t>
      </w:r>
    </w:p>
    <w:p w14:paraId="1505523D">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2、超过200万元的货物和服务采购项目，预留该部分采购项目预算总额的30%以上专门面向中小企业采购，其中预留给小微企业的比例不低于60%。</w:t>
      </w:r>
    </w:p>
    <w:p w14:paraId="5A079F67">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3、超过400万元的工程采购项目中适宜由中小企业提供的，预留该部分采购项目预算总额的40%以上专门面向中小企业采购，其中预留给小微企业的比例不低于60%。</w:t>
      </w:r>
    </w:p>
    <w:p w14:paraId="1870B656">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66D03D3B">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6192685E">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八、凡对本次</w:t>
      </w:r>
      <w:r>
        <w:rPr>
          <w:rFonts w:hint="eastAsia" w:ascii="宋体" w:hAnsi="宋体" w:cs="宋体"/>
          <w:b/>
          <w:bCs/>
          <w:sz w:val="24"/>
          <w:szCs w:val="24"/>
          <w:highlight w:val="none"/>
          <w:lang w:val="en-US" w:eastAsia="zh-CN"/>
        </w:rPr>
        <w:t>采购</w:t>
      </w:r>
      <w:r>
        <w:rPr>
          <w:rFonts w:hint="eastAsia" w:ascii="宋体" w:hAnsi="宋体" w:eastAsia="宋体" w:cs="宋体"/>
          <w:b/>
          <w:bCs/>
          <w:sz w:val="24"/>
          <w:szCs w:val="24"/>
          <w:highlight w:val="none"/>
          <w:lang w:val="en-US" w:eastAsia="zh-CN"/>
        </w:rPr>
        <w:t>提出询问，请按以下方式联系</w:t>
      </w:r>
    </w:p>
    <w:p w14:paraId="584A9A81">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采购代理机构名称：新疆招标有限公司</w:t>
      </w:r>
    </w:p>
    <w:p w14:paraId="423751CD">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详细地址：新疆维吾尔自治区阿克苏地区温宿县托乎拉乡锦绣街1号数融科技集团一楼 </w:t>
      </w:r>
    </w:p>
    <w:p w14:paraId="29215541">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邮    编：843100</w:t>
      </w:r>
    </w:p>
    <w:p w14:paraId="5BF629C1">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电子信箱：784765720@qq.com</w:t>
      </w:r>
    </w:p>
    <w:p w14:paraId="20EE3EFD">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联 系 人：罗振远、马亚雪</w:t>
      </w:r>
    </w:p>
    <w:p w14:paraId="6B1EFDAC">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电话：17799127202、18196876536</w:t>
      </w:r>
    </w:p>
    <w:p w14:paraId="64726532">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帐户名称：新疆招标有限公司阿克苏分公司</w:t>
      </w:r>
    </w:p>
    <w:p w14:paraId="489F5158">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人民币帐号：3014160109200249992</w:t>
      </w:r>
    </w:p>
    <w:p w14:paraId="4137A1BC">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开户银行：中国工商银行股份有限公司温宿支行</w:t>
      </w:r>
    </w:p>
    <w:p w14:paraId="1B262BAB">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采购人名称：阿克苏地区水资源总站</w:t>
      </w:r>
    </w:p>
    <w:p w14:paraId="62EC4F87">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详细地址：阿克苏市文化路28号</w:t>
      </w:r>
    </w:p>
    <w:p w14:paraId="56E8F5BA">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联系人：阿迪力江·艾麦尔</w:t>
      </w:r>
    </w:p>
    <w:p w14:paraId="2F220818">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联系电话：17709972997 </w:t>
      </w:r>
    </w:p>
    <w:p w14:paraId="2AD6DAC1">
      <w:pPr>
        <w:adjustRightInd w:val="0"/>
        <w:snapToGrid w:val="0"/>
        <w:spacing w:line="400" w:lineRule="atLeast"/>
        <w:ind w:left="420" w:leftChars="200"/>
        <w:contextualSpacing/>
        <w:rPr>
          <w:rFonts w:hint="eastAsia" w:ascii="宋体" w:hAnsi="宋体" w:cs="宋体"/>
          <w:sz w:val="24"/>
          <w:szCs w:val="24"/>
        </w:rPr>
      </w:pPr>
      <w:r>
        <w:rPr>
          <w:rFonts w:hint="eastAsia" w:ascii="宋体" w:hAnsi="宋体" w:cs="宋体"/>
          <w:sz w:val="24"/>
          <w:szCs w:val="24"/>
        </w:rPr>
        <w:t xml:space="preserve"> </w:t>
      </w:r>
    </w:p>
    <w:p w14:paraId="0F92E1ED">
      <w:pPr>
        <w:adjustRightInd w:val="0"/>
        <w:snapToGrid w:val="0"/>
        <w:spacing w:line="400" w:lineRule="atLeast"/>
        <w:contextualSpacing/>
        <w:rPr>
          <w:rFonts w:hint="eastAsia" w:ascii="Arial" w:hAnsi="宋体" w:cs="Arial"/>
          <w:sz w:val="24"/>
          <w:szCs w:val="24"/>
        </w:rPr>
      </w:pPr>
    </w:p>
    <w:p w14:paraId="10F20356">
      <w:pPr>
        <w:pStyle w:val="4"/>
        <w:rPr>
          <w:rFonts w:cs="Arial"/>
          <w:szCs w:val="32"/>
        </w:rPr>
      </w:pPr>
      <w:r>
        <w:rPr>
          <w:rFonts w:cs="Arial"/>
          <w:szCs w:val="32"/>
        </w:rPr>
        <w:br w:type="page"/>
      </w:r>
      <w:bookmarkStart w:id="5" w:name="_Toc349573119"/>
      <w:bookmarkStart w:id="6" w:name="_Toc349637918"/>
      <w:bookmarkStart w:id="7" w:name="_Toc298240403"/>
      <w:bookmarkStart w:id="8" w:name="_Toc27803"/>
      <w:r>
        <w:t>第二部分　供应商须知</w:t>
      </w:r>
      <w:bookmarkEnd w:id="4"/>
      <w:bookmarkEnd w:id="5"/>
      <w:bookmarkEnd w:id="6"/>
      <w:bookmarkEnd w:id="7"/>
      <w:bookmarkEnd w:id="8"/>
    </w:p>
    <w:p w14:paraId="2F76C399">
      <w:pPr>
        <w:spacing w:line="400" w:lineRule="atLeast"/>
        <w:rPr>
          <w:rFonts w:ascii="Arial" w:hAnsi="Arial" w:cs="Arial"/>
          <w:sz w:val="24"/>
          <w:u w:val="single"/>
        </w:rPr>
      </w:pPr>
    </w:p>
    <w:p w14:paraId="7A3A97C0">
      <w:pPr>
        <w:spacing w:line="400" w:lineRule="atLeast"/>
        <w:rPr>
          <w:rFonts w:ascii="Arial" w:hAnsi="Arial" w:cs="Arial"/>
          <w:sz w:val="24"/>
          <w:u w:val="single"/>
        </w:rPr>
      </w:pPr>
      <w:r>
        <w:rPr>
          <w:rFonts w:ascii="Arial" w:hAnsi="Arial" w:cs="Arial"/>
          <w:sz w:val="24"/>
          <w:u w:val="single"/>
        </w:rPr>
        <w:t>目    录</w:t>
      </w:r>
    </w:p>
    <w:p w14:paraId="34DC926B">
      <w:pPr>
        <w:spacing w:line="400" w:lineRule="atLeast"/>
        <w:rPr>
          <w:rFonts w:ascii="Arial" w:hAnsi="Arial" w:cs="Arial"/>
          <w:sz w:val="24"/>
        </w:rPr>
      </w:pPr>
    </w:p>
    <w:p w14:paraId="0CE9DB7B">
      <w:pPr>
        <w:pStyle w:val="39"/>
        <w:numPr>
          <w:ilvl w:val="0"/>
          <w:numId w:val="2"/>
        </w:numPr>
        <w:spacing w:line="400" w:lineRule="atLeast"/>
        <w:rPr>
          <w:rFonts w:ascii="Arial" w:hAnsi="Arial" w:cs="Arial"/>
          <w:sz w:val="24"/>
          <w:szCs w:val="24"/>
        </w:rPr>
      </w:pPr>
      <w:r>
        <w:rPr>
          <w:rFonts w:ascii="Arial" w:hAnsi="Arial" w:cs="Arial"/>
          <w:sz w:val="24"/>
          <w:szCs w:val="24"/>
        </w:rPr>
        <w:t>说明</w:t>
      </w:r>
    </w:p>
    <w:p w14:paraId="0295B18A">
      <w:pPr>
        <w:pStyle w:val="39"/>
        <w:spacing w:line="400" w:lineRule="atLeast"/>
        <w:rPr>
          <w:rFonts w:ascii="Arial" w:hAnsi="Arial" w:cs="Arial"/>
          <w:sz w:val="24"/>
          <w:szCs w:val="24"/>
        </w:rPr>
      </w:pPr>
      <w:r>
        <w:rPr>
          <w:rFonts w:ascii="Arial" w:hAnsi="Arial" w:cs="Arial"/>
          <w:sz w:val="24"/>
          <w:szCs w:val="24"/>
        </w:rPr>
        <w:t>1.适用范围</w:t>
      </w:r>
    </w:p>
    <w:p w14:paraId="43C8A2EB">
      <w:pPr>
        <w:pStyle w:val="39"/>
        <w:spacing w:line="400" w:lineRule="atLeast"/>
        <w:rPr>
          <w:rFonts w:ascii="Arial" w:hAnsi="Arial" w:cs="Arial"/>
          <w:sz w:val="24"/>
          <w:szCs w:val="24"/>
        </w:rPr>
      </w:pPr>
      <w:r>
        <w:rPr>
          <w:rFonts w:ascii="Arial" w:hAnsi="Arial" w:cs="Arial"/>
          <w:sz w:val="24"/>
          <w:szCs w:val="24"/>
        </w:rPr>
        <w:t>2.定义</w:t>
      </w:r>
    </w:p>
    <w:p w14:paraId="031EFC86">
      <w:pPr>
        <w:pStyle w:val="39"/>
        <w:spacing w:line="400" w:lineRule="atLeast"/>
        <w:rPr>
          <w:rFonts w:ascii="Arial" w:hAnsi="Arial" w:cs="Arial"/>
          <w:sz w:val="24"/>
          <w:szCs w:val="24"/>
        </w:rPr>
      </w:pPr>
      <w:r>
        <w:rPr>
          <w:rFonts w:ascii="Arial" w:hAnsi="Arial" w:cs="Arial"/>
          <w:sz w:val="24"/>
          <w:szCs w:val="24"/>
        </w:rPr>
        <w:t>3.合格的供应商</w:t>
      </w:r>
    </w:p>
    <w:p w14:paraId="56CA616B">
      <w:pPr>
        <w:pStyle w:val="39"/>
        <w:spacing w:line="400" w:lineRule="atLeast"/>
        <w:rPr>
          <w:rFonts w:ascii="Arial" w:hAnsi="Arial" w:cs="Arial"/>
          <w:sz w:val="24"/>
          <w:szCs w:val="24"/>
        </w:rPr>
      </w:pPr>
      <w:r>
        <w:rPr>
          <w:rFonts w:ascii="Arial" w:hAnsi="Arial" w:cs="Arial"/>
          <w:sz w:val="24"/>
          <w:szCs w:val="24"/>
        </w:rPr>
        <w:t>4.供应商资格</w:t>
      </w:r>
    </w:p>
    <w:p w14:paraId="2D081D51">
      <w:pPr>
        <w:pStyle w:val="39"/>
        <w:spacing w:line="400" w:lineRule="atLeast"/>
        <w:rPr>
          <w:rFonts w:ascii="Arial" w:hAnsi="Arial" w:cs="Arial"/>
          <w:sz w:val="24"/>
          <w:szCs w:val="24"/>
        </w:rPr>
      </w:pPr>
      <w:r>
        <w:rPr>
          <w:rFonts w:ascii="Arial" w:hAnsi="Arial" w:cs="Arial"/>
          <w:sz w:val="24"/>
          <w:szCs w:val="24"/>
        </w:rPr>
        <w:t>5.</w:t>
      </w:r>
      <w:r>
        <w:rPr>
          <w:rFonts w:hint="eastAsia" w:ascii="Arial" w:hAnsi="Arial" w:cs="Arial"/>
          <w:sz w:val="24"/>
          <w:szCs w:val="24"/>
        </w:rPr>
        <w:t>谈判</w:t>
      </w:r>
      <w:r>
        <w:rPr>
          <w:rFonts w:ascii="Arial" w:hAnsi="Arial" w:cs="Arial"/>
          <w:sz w:val="24"/>
          <w:szCs w:val="24"/>
        </w:rPr>
        <w:t>费用</w:t>
      </w:r>
    </w:p>
    <w:p w14:paraId="2B5975EF">
      <w:pPr>
        <w:pStyle w:val="39"/>
        <w:numPr>
          <w:ilvl w:val="0"/>
          <w:numId w:val="2"/>
        </w:numPr>
        <w:spacing w:line="400" w:lineRule="atLeast"/>
        <w:rPr>
          <w:rFonts w:ascii="Arial" w:hAnsi="Arial" w:cs="Arial"/>
          <w:sz w:val="24"/>
          <w:szCs w:val="24"/>
        </w:rPr>
      </w:pPr>
      <w:r>
        <w:rPr>
          <w:rFonts w:ascii="Arial" w:hAnsi="Arial" w:cs="Arial"/>
          <w:sz w:val="24"/>
          <w:szCs w:val="24"/>
        </w:rPr>
        <w:t>谈判文件</w:t>
      </w:r>
    </w:p>
    <w:p w14:paraId="220E0C92">
      <w:pPr>
        <w:pStyle w:val="39"/>
        <w:spacing w:line="400" w:lineRule="atLeast"/>
        <w:rPr>
          <w:rFonts w:ascii="Arial" w:hAnsi="Arial" w:cs="Arial"/>
          <w:sz w:val="24"/>
          <w:szCs w:val="24"/>
        </w:rPr>
      </w:pPr>
      <w:r>
        <w:rPr>
          <w:rFonts w:ascii="Arial" w:hAnsi="Arial" w:cs="Arial"/>
          <w:sz w:val="24"/>
          <w:szCs w:val="24"/>
        </w:rPr>
        <w:t>6.谈判文件构成</w:t>
      </w:r>
    </w:p>
    <w:p w14:paraId="1005001A">
      <w:pPr>
        <w:pStyle w:val="39"/>
        <w:spacing w:line="400" w:lineRule="atLeast"/>
        <w:rPr>
          <w:rFonts w:ascii="Arial" w:hAnsi="Arial" w:cs="Arial"/>
          <w:sz w:val="24"/>
          <w:szCs w:val="24"/>
        </w:rPr>
      </w:pPr>
      <w:r>
        <w:rPr>
          <w:rFonts w:ascii="Arial" w:hAnsi="Arial" w:cs="Arial"/>
          <w:sz w:val="24"/>
          <w:szCs w:val="24"/>
        </w:rPr>
        <w:t>7.谈判文件澄清</w:t>
      </w:r>
    </w:p>
    <w:p w14:paraId="2AE1AEBA">
      <w:pPr>
        <w:pStyle w:val="39"/>
        <w:spacing w:line="400" w:lineRule="atLeast"/>
        <w:rPr>
          <w:rFonts w:ascii="Arial" w:hAnsi="Arial" w:cs="Arial"/>
          <w:sz w:val="24"/>
          <w:szCs w:val="24"/>
        </w:rPr>
      </w:pPr>
      <w:r>
        <w:rPr>
          <w:rFonts w:ascii="Arial" w:hAnsi="Arial" w:cs="Arial"/>
          <w:sz w:val="24"/>
          <w:szCs w:val="24"/>
        </w:rPr>
        <w:t>8.谈判文件的修改</w:t>
      </w:r>
    </w:p>
    <w:p w14:paraId="2EF8E1C6">
      <w:pPr>
        <w:pStyle w:val="39"/>
        <w:numPr>
          <w:ilvl w:val="0"/>
          <w:numId w:val="2"/>
        </w:numPr>
        <w:spacing w:line="400" w:lineRule="atLeast"/>
        <w:rPr>
          <w:rFonts w:ascii="Arial" w:hAnsi="Arial" w:cs="Arial"/>
          <w:sz w:val="24"/>
          <w:szCs w:val="24"/>
        </w:rPr>
      </w:pPr>
      <w:r>
        <w:rPr>
          <w:rFonts w:ascii="Arial" w:hAnsi="Arial" w:cs="Arial"/>
          <w:sz w:val="24"/>
          <w:szCs w:val="24"/>
        </w:rPr>
        <w:t>谈判响应文件的编写</w:t>
      </w:r>
    </w:p>
    <w:p w14:paraId="1CFA385B">
      <w:pPr>
        <w:pStyle w:val="39"/>
        <w:spacing w:line="400" w:lineRule="atLeast"/>
        <w:rPr>
          <w:rFonts w:ascii="Arial" w:hAnsi="Arial" w:cs="Arial"/>
          <w:sz w:val="24"/>
          <w:szCs w:val="24"/>
        </w:rPr>
      </w:pPr>
      <w:r>
        <w:rPr>
          <w:rFonts w:ascii="Arial" w:hAnsi="Arial" w:cs="Arial"/>
          <w:sz w:val="24"/>
          <w:szCs w:val="24"/>
        </w:rPr>
        <w:t>9.要求</w:t>
      </w:r>
    </w:p>
    <w:p w14:paraId="4650C337">
      <w:pPr>
        <w:pStyle w:val="39"/>
        <w:spacing w:line="400" w:lineRule="atLeast"/>
        <w:rPr>
          <w:rFonts w:ascii="Arial" w:hAnsi="Arial" w:cs="Arial"/>
          <w:sz w:val="24"/>
          <w:szCs w:val="24"/>
        </w:rPr>
      </w:pPr>
      <w:r>
        <w:rPr>
          <w:rFonts w:ascii="Arial" w:hAnsi="Arial" w:cs="Arial"/>
          <w:sz w:val="24"/>
          <w:szCs w:val="24"/>
        </w:rPr>
        <w:t>10. .谈判响应文件语言</w:t>
      </w:r>
    </w:p>
    <w:p w14:paraId="235DEBC0">
      <w:pPr>
        <w:pStyle w:val="39"/>
        <w:spacing w:line="400" w:lineRule="atLeast"/>
        <w:rPr>
          <w:rFonts w:ascii="Arial" w:hAnsi="Arial" w:cs="Arial"/>
          <w:sz w:val="24"/>
          <w:szCs w:val="24"/>
        </w:rPr>
      </w:pPr>
      <w:r>
        <w:rPr>
          <w:rFonts w:ascii="Arial" w:hAnsi="Arial" w:cs="Arial"/>
          <w:sz w:val="24"/>
          <w:szCs w:val="24"/>
        </w:rPr>
        <w:t>11.谈判响应文件的构成</w:t>
      </w:r>
    </w:p>
    <w:p w14:paraId="6529E543">
      <w:pPr>
        <w:pStyle w:val="39"/>
        <w:spacing w:line="400" w:lineRule="atLeast"/>
        <w:rPr>
          <w:rFonts w:ascii="Arial" w:hAnsi="Arial" w:cs="Arial"/>
          <w:sz w:val="24"/>
          <w:szCs w:val="24"/>
        </w:rPr>
      </w:pPr>
      <w:r>
        <w:rPr>
          <w:rFonts w:ascii="Arial" w:hAnsi="Arial" w:cs="Arial"/>
          <w:sz w:val="24"/>
          <w:szCs w:val="24"/>
        </w:rPr>
        <w:t>12.谈判响应文件格式</w:t>
      </w:r>
    </w:p>
    <w:p w14:paraId="134D243E">
      <w:pPr>
        <w:pStyle w:val="39"/>
        <w:spacing w:line="400" w:lineRule="atLeast"/>
        <w:rPr>
          <w:rFonts w:ascii="Arial" w:hAnsi="Arial" w:cs="Arial"/>
          <w:sz w:val="24"/>
          <w:szCs w:val="24"/>
        </w:rPr>
      </w:pPr>
      <w:r>
        <w:rPr>
          <w:rFonts w:ascii="Arial" w:hAnsi="Arial" w:cs="Arial"/>
          <w:sz w:val="24"/>
          <w:szCs w:val="24"/>
        </w:rPr>
        <w:t>13.</w:t>
      </w:r>
      <w:r>
        <w:rPr>
          <w:rFonts w:hint="eastAsia" w:ascii="Arial" w:hAnsi="Arial" w:cs="Arial"/>
          <w:sz w:val="24"/>
          <w:szCs w:val="24"/>
        </w:rPr>
        <w:t>谈判</w:t>
      </w:r>
      <w:r>
        <w:rPr>
          <w:rFonts w:ascii="Arial" w:hAnsi="Arial" w:cs="Arial"/>
          <w:sz w:val="24"/>
          <w:szCs w:val="24"/>
        </w:rPr>
        <w:t>响应报价</w:t>
      </w:r>
    </w:p>
    <w:p w14:paraId="11741D64">
      <w:pPr>
        <w:pStyle w:val="39"/>
        <w:spacing w:line="400" w:lineRule="atLeast"/>
        <w:rPr>
          <w:rFonts w:ascii="Arial" w:hAnsi="Arial" w:cs="Arial"/>
          <w:sz w:val="24"/>
          <w:szCs w:val="24"/>
        </w:rPr>
      </w:pPr>
      <w:r>
        <w:rPr>
          <w:rFonts w:ascii="Arial" w:hAnsi="Arial" w:cs="Arial"/>
          <w:sz w:val="24"/>
          <w:szCs w:val="24"/>
        </w:rPr>
        <w:t>14.</w:t>
      </w:r>
      <w:r>
        <w:rPr>
          <w:rFonts w:hint="eastAsia" w:ascii="Arial" w:hAnsi="Arial" w:cs="Arial"/>
          <w:sz w:val="24"/>
          <w:szCs w:val="24"/>
        </w:rPr>
        <w:t>谈判</w:t>
      </w:r>
      <w:r>
        <w:rPr>
          <w:rFonts w:ascii="Arial" w:hAnsi="Arial" w:cs="Arial"/>
          <w:sz w:val="24"/>
          <w:szCs w:val="24"/>
        </w:rPr>
        <w:t>响应货币</w:t>
      </w:r>
    </w:p>
    <w:p w14:paraId="2E984804">
      <w:pPr>
        <w:pStyle w:val="39"/>
        <w:spacing w:line="400" w:lineRule="atLeast"/>
        <w:rPr>
          <w:rFonts w:ascii="Arial" w:hAnsi="Arial" w:cs="Arial"/>
          <w:sz w:val="24"/>
          <w:szCs w:val="24"/>
        </w:rPr>
      </w:pPr>
      <w:r>
        <w:rPr>
          <w:rFonts w:ascii="Arial" w:hAnsi="Arial" w:cs="Arial"/>
          <w:sz w:val="24"/>
          <w:szCs w:val="24"/>
        </w:rPr>
        <w:t>15.供应商资格的证明文件</w:t>
      </w:r>
    </w:p>
    <w:p w14:paraId="230F8E42">
      <w:pPr>
        <w:pStyle w:val="39"/>
        <w:spacing w:line="400" w:lineRule="atLeast"/>
        <w:rPr>
          <w:rFonts w:ascii="Arial" w:hAnsi="Arial" w:cs="Arial"/>
          <w:sz w:val="24"/>
          <w:szCs w:val="24"/>
        </w:rPr>
      </w:pPr>
      <w:r>
        <w:rPr>
          <w:rFonts w:ascii="Arial" w:hAnsi="Arial" w:cs="Arial"/>
          <w:sz w:val="24"/>
          <w:szCs w:val="24"/>
        </w:rPr>
        <w:t>16.</w:t>
      </w:r>
      <w:r>
        <w:rPr>
          <w:rFonts w:hint="eastAsia" w:ascii="Arial" w:hAnsi="Arial" w:cs="Arial"/>
          <w:sz w:val="24"/>
          <w:szCs w:val="24"/>
        </w:rPr>
        <w:t>谈判</w:t>
      </w:r>
      <w:r>
        <w:rPr>
          <w:rFonts w:ascii="Arial" w:hAnsi="Arial" w:cs="Arial"/>
          <w:sz w:val="24"/>
          <w:szCs w:val="24"/>
        </w:rPr>
        <w:t>响应货物符合谈判文件规定的技术响应文件</w:t>
      </w:r>
    </w:p>
    <w:p w14:paraId="26D1346C">
      <w:pPr>
        <w:pStyle w:val="39"/>
        <w:spacing w:line="400" w:lineRule="atLeast"/>
        <w:rPr>
          <w:rFonts w:ascii="Arial" w:hAnsi="Arial" w:cs="Arial"/>
          <w:sz w:val="24"/>
          <w:szCs w:val="24"/>
        </w:rPr>
      </w:pPr>
      <w:r>
        <w:rPr>
          <w:rFonts w:ascii="Arial" w:hAnsi="Arial" w:cs="Arial"/>
          <w:sz w:val="24"/>
          <w:szCs w:val="24"/>
        </w:rPr>
        <w:t>17.</w:t>
      </w:r>
      <w:r>
        <w:rPr>
          <w:rFonts w:hint="eastAsia" w:ascii="Arial" w:hAnsi="Arial" w:cs="Arial"/>
          <w:sz w:val="24"/>
          <w:szCs w:val="24"/>
        </w:rPr>
        <w:t>谈判</w:t>
      </w:r>
      <w:r>
        <w:rPr>
          <w:rFonts w:ascii="Arial" w:hAnsi="Arial" w:cs="Arial"/>
          <w:sz w:val="24"/>
          <w:szCs w:val="24"/>
        </w:rPr>
        <w:t>响应有效期</w:t>
      </w:r>
    </w:p>
    <w:p w14:paraId="42D4E0C9">
      <w:pPr>
        <w:pStyle w:val="39"/>
        <w:spacing w:line="400" w:lineRule="atLeast"/>
        <w:rPr>
          <w:rFonts w:ascii="Arial" w:hAnsi="Arial" w:cs="Arial"/>
          <w:sz w:val="24"/>
          <w:szCs w:val="24"/>
        </w:rPr>
      </w:pPr>
      <w:r>
        <w:rPr>
          <w:rFonts w:ascii="Arial" w:hAnsi="Arial" w:cs="Arial"/>
          <w:sz w:val="24"/>
          <w:szCs w:val="24"/>
        </w:rPr>
        <w:t>18.谈判响应文件的书写要求</w:t>
      </w:r>
    </w:p>
    <w:p w14:paraId="7BC058C8">
      <w:pPr>
        <w:pStyle w:val="39"/>
        <w:spacing w:line="400" w:lineRule="atLeast"/>
        <w:rPr>
          <w:rFonts w:ascii="Arial" w:hAnsi="Arial" w:cs="Arial"/>
          <w:sz w:val="24"/>
          <w:szCs w:val="24"/>
        </w:rPr>
      </w:pPr>
      <w:r>
        <w:rPr>
          <w:rFonts w:ascii="Arial" w:hAnsi="Arial" w:cs="Arial"/>
          <w:sz w:val="24"/>
          <w:szCs w:val="24"/>
        </w:rPr>
        <w:t>19.</w:t>
      </w:r>
      <w:r>
        <w:rPr>
          <w:rFonts w:hint="eastAsia" w:ascii="Arial" w:hAnsi="Arial" w:cs="Arial"/>
          <w:sz w:val="24"/>
          <w:szCs w:val="24"/>
        </w:rPr>
        <w:t>谈判</w:t>
      </w:r>
      <w:r>
        <w:rPr>
          <w:rFonts w:ascii="Arial" w:hAnsi="Arial" w:cs="Arial"/>
          <w:sz w:val="24"/>
          <w:szCs w:val="24"/>
        </w:rPr>
        <w:t>保证金</w:t>
      </w:r>
    </w:p>
    <w:p w14:paraId="1D1AE1BA">
      <w:pPr>
        <w:pStyle w:val="39"/>
        <w:numPr>
          <w:ilvl w:val="0"/>
          <w:numId w:val="2"/>
        </w:numPr>
        <w:spacing w:line="400" w:lineRule="atLeast"/>
        <w:rPr>
          <w:rFonts w:ascii="Arial" w:hAnsi="Arial" w:cs="Arial"/>
          <w:sz w:val="24"/>
          <w:szCs w:val="24"/>
        </w:rPr>
      </w:pPr>
      <w:r>
        <w:rPr>
          <w:rFonts w:ascii="Arial" w:hAnsi="Arial" w:cs="Arial"/>
          <w:sz w:val="24"/>
          <w:szCs w:val="24"/>
        </w:rPr>
        <w:t>谈判响应文件的递交</w:t>
      </w:r>
    </w:p>
    <w:p w14:paraId="2B5253CB">
      <w:pPr>
        <w:pStyle w:val="39"/>
        <w:numPr>
          <w:ilvl w:val="0"/>
          <w:numId w:val="3"/>
        </w:numPr>
        <w:spacing w:line="400" w:lineRule="atLeast"/>
        <w:rPr>
          <w:rFonts w:ascii="Arial" w:hAnsi="Arial" w:cs="Arial"/>
          <w:sz w:val="24"/>
          <w:szCs w:val="24"/>
        </w:rPr>
      </w:pPr>
      <w:r>
        <w:rPr>
          <w:rFonts w:hint="eastAsia" w:ascii="Arial" w:hAnsi="Arial" w:cs="Arial"/>
          <w:sz w:val="24"/>
        </w:rPr>
        <w:t>电子谈判响应</w:t>
      </w:r>
      <w:r>
        <w:rPr>
          <w:rFonts w:ascii="Arial" w:hAnsi="Arial" w:cs="Arial"/>
          <w:sz w:val="24"/>
        </w:rPr>
        <w:t>文件的</w:t>
      </w:r>
      <w:r>
        <w:rPr>
          <w:rFonts w:hint="eastAsia" w:ascii="Arial" w:hAnsi="Arial" w:cs="Arial"/>
          <w:sz w:val="24"/>
        </w:rPr>
        <w:t>递交</w:t>
      </w:r>
    </w:p>
    <w:p w14:paraId="10656791">
      <w:pPr>
        <w:pStyle w:val="39"/>
        <w:numPr>
          <w:ilvl w:val="0"/>
          <w:numId w:val="3"/>
        </w:numPr>
        <w:spacing w:line="400" w:lineRule="atLeast"/>
        <w:rPr>
          <w:rFonts w:ascii="Arial" w:hAnsi="Arial" w:cs="Arial"/>
          <w:sz w:val="24"/>
          <w:szCs w:val="24"/>
        </w:rPr>
      </w:pPr>
      <w:r>
        <w:rPr>
          <w:rFonts w:hint="eastAsia" w:ascii="Arial" w:hAnsi="Arial" w:cs="Arial"/>
          <w:sz w:val="24"/>
          <w:szCs w:val="24"/>
        </w:rPr>
        <w:t>谈判</w:t>
      </w:r>
      <w:r>
        <w:rPr>
          <w:rFonts w:ascii="Arial" w:hAnsi="Arial" w:cs="Arial"/>
          <w:sz w:val="24"/>
          <w:szCs w:val="24"/>
        </w:rPr>
        <w:t>响应截止时间</w:t>
      </w:r>
    </w:p>
    <w:p w14:paraId="1D42F0D5">
      <w:pPr>
        <w:pStyle w:val="39"/>
        <w:adjustRightInd w:val="0"/>
        <w:snapToGrid w:val="0"/>
        <w:spacing w:line="400" w:lineRule="atLeast"/>
        <w:rPr>
          <w:rFonts w:ascii="Arial" w:hAnsi="Arial" w:cs="Arial"/>
          <w:sz w:val="24"/>
          <w:szCs w:val="24"/>
        </w:rPr>
      </w:pPr>
      <w:r>
        <w:rPr>
          <w:rFonts w:ascii="Arial" w:hAnsi="Arial" w:cs="Arial"/>
          <w:sz w:val="24"/>
          <w:szCs w:val="24"/>
        </w:rPr>
        <w:t>22.谈判响应文件的修改和撤销</w:t>
      </w:r>
    </w:p>
    <w:p w14:paraId="2C1DD5F9">
      <w:pPr>
        <w:pStyle w:val="39"/>
        <w:numPr>
          <w:ilvl w:val="0"/>
          <w:numId w:val="2"/>
        </w:numPr>
        <w:spacing w:line="400" w:lineRule="atLeast"/>
        <w:rPr>
          <w:rFonts w:ascii="Arial" w:hAnsi="Arial" w:cs="Arial"/>
          <w:sz w:val="24"/>
          <w:szCs w:val="24"/>
        </w:rPr>
      </w:pPr>
      <w:r>
        <w:rPr>
          <w:rFonts w:hint="eastAsia" w:ascii="Arial" w:hAnsi="Arial" w:cs="Arial"/>
          <w:sz w:val="24"/>
          <w:szCs w:val="24"/>
        </w:rPr>
        <w:t>谈判</w:t>
      </w:r>
      <w:r>
        <w:rPr>
          <w:rFonts w:ascii="Arial" w:hAnsi="Arial" w:cs="Arial"/>
          <w:sz w:val="24"/>
          <w:szCs w:val="24"/>
        </w:rPr>
        <w:t>程序</w:t>
      </w:r>
    </w:p>
    <w:p w14:paraId="0FA68CF3">
      <w:pPr>
        <w:pStyle w:val="39"/>
        <w:spacing w:line="400" w:lineRule="atLeast"/>
        <w:rPr>
          <w:rFonts w:ascii="Arial" w:hAnsi="Arial" w:cs="Arial"/>
          <w:sz w:val="24"/>
          <w:szCs w:val="24"/>
        </w:rPr>
      </w:pPr>
      <w:r>
        <w:rPr>
          <w:rFonts w:ascii="Arial" w:hAnsi="Arial" w:cs="Arial"/>
          <w:sz w:val="24"/>
          <w:szCs w:val="24"/>
        </w:rPr>
        <w:t>2</w:t>
      </w:r>
      <w:r>
        <w:rPr>
          <w:rFonts w:hint="eastAsia" w:ascii="Arial" w:hAnsi="Arial" w:cs="Arial"/>
          <w:sz w:val="24"/>
          <w:szCs w:val="24"/>
        </w:rPr>
        <w:t>3</w:t>
      </w:r>
      <w:r>
        <w:rPr>
          <w:rFonts w:ascii="Arial" w:hAnsi="Arial" w:cs="Arial"/>
          <w:sz w:val="24"/>
          <w:szCs w:val="24"/>
        </w:rPr>
        <w:t>.</w:t>
      </w:r>
      <w:r>
        <w:rPr>
          <w:rFonts w:hint="eastAsia" w:ascii="Arial" w:hAnsi="Arial" w:cs="Arial"/>
          <w:sz w:val="24"/>
          <w:szCs w:val="24"/>
        </w:rPr>
        <w:t>谈判</w:t>
      </w:r>
    </w:p>
    <w:p w14:paraId="0379F171">
      <w:pPr>
        <w:pStyle w:val="39"/>
        <w:spacing w:line="400" w:lineRule="atLeast"/>
        <w:rPr>
          <w:rFonts w:ascii="Arial" w:hAnsi="Arial" w:cs="Arial"/>
          <w:sz w:val="24"/>
          <w:szCs w:val="24"/>
        </w:rPr>
      </w:pPr>
      <w:r>
        <w:rPr>
          <w:rFonts w:ascii="Arial" w:hAnsi="Arial" w:cs="Arial"/>
          <w:sz w:val="24"/>
          <w:szCs w:val="24"/>
        </w:rPr>
        <w:t>2</w:t>
      </w:r>
      <w:r>
        <w:rPr>
          <w:rFonts w:hint="eastAsia" w:ascii="Arial" w:hAnsi="Arial" w:cs="Arial"/>
          <w:sz w:val="24"/>
          <w:szCs w:val="24"/>
        </w:rPr>
        <w:t>4</w:t>
      </w:r>
      <w:r>
        <w:rPr>
          <w:rFonts w:ascii="Arial" w:hAnsi="Arial" w:cs="Arial"/>
          <w:sz w:val="24"/>
          <w:szCs w:val="24"/>
        </w:rPr>
        <w:t>.</w:t>
      </w:r>
      <w:r>
        <w:rPr>
          <w:rFonts w:hint="eastAsia" w:ascii="Arial" w:hAnsi="Arial" w:cs="Arial"/>
          <w:sz w:val="24"/>
          <w:szCs w:val="24"/>
        </w:rPr>
        <w:t>谈判</w:t>
      </w:r>
      <w:r>
        <w:rPr>
          <w:rFonts w:ascii="Arial" w:hAnsi="Arial" w:cs="Arial"/>
          <w:sz w:val="24"/>
          <w:szCs w:val="24"/>
        </w:rPr>
        <w:t>过程</w:t>
      </w:r>
    </w:p>
    <w:p w14:paraId="78302123">
      <w:pPr>
        <w:pStyle w:val="39"/>
        <w:spacing w:line="400" w:lineRule="atLeast"/>
        <w:rPr>
          <w:rFonts w:ascii="Arial" w:hAnsi="Arial" w:cs="Arial"/>
          <w:sz w:val="24"/>
          <w:szCs w:val="24"/>
        </w:rPr>
      </w:pPr>
      <w:r>
        <w:rPr>
          <w:rFonts w:ascii="Arial" w:hAnsi="Arial" w:cs="Arial"/>
          <w:sz w:val="24"/>
          <w:szCs w:val="24"/>
        </w:rPr>
        <w:t>2</w:t>
      </w:r>
      <w:r>
        <w:rPr>
          <w:rFonts w:hint="eastAsia" w:ascii="Arial" w:hAnsi="Arial" w:cs="Arial"/>
          <w:sz w:val="24"/>
          <w:szCs w:val="24"/>
        </w:rPr>
        <w:t>5</w:t>
      </w:r>
      <w:r>
        <w:rPr>
          <w:rFonts w:ascii="Arial" w:hAnsi="Arial" w:cs="Arial"/>
          <w:sz w:val="24"/>
          <w:szCs w:val="24"/>
        </w:rPr>
        <w:t>.谈判响应文件的澄清</w:t>
      </w:r>
    </w:p>
    <w:p w14:paraId="6974388B">
      <w:pPr>
        <w:pStyle w:val="39"/>
        <w:spacing w:line="400" w:lineRule="atLeast"/>
        <w:rPr>
          <w:rFonts w:ascii="Arial" w:hAnsi="Arial" w:cs="Arial"/>
          <w:sz w:val="24"/>
          <w:szCs w:val="24"/>
        </w:rPr>
      </w:pPr>
      <w:r>
        <w:rPr>
          <w:rFonts w:ascii="Arial" w:hAnsi="Arial" w:cs="Arial"/>
          <w:sz w:val="24"/>
          <w:szCs w:val="24"/>
        </w:rPr>
        <w:t>2</w:t>
      </w:r>
      <w:r>
        <w:rPr>
          <w:rFonts w:hint="eastAsia" w:ascii="Arial" w:hAnsi="Arial" w:cs="Arial"/>
          <w:sz w:val="24"/>
          <w:szCs w:val="24"/>
        </w:rPr>
        <w:t>6</w:t>
      </w:r>
      <w:r>
        <w:rPr>
          <w:rFonts w:ascii="Arial" w:hAnsi="Arial" w:cs="Arial"/>
          <w:sz w:val="24"/>
          <w:szCs w:val="24"/>
        </w:rPr>
        <w:t>.对谈判响应文件的评</w:t>
      </w:r>
      <w:r>
        <w:rPr>
          <w:rFonts w:hint="eastAsia" w:ascii="Arial" w:hAnsi="Arial" w:cs="Arial"/>
          <w:sz w:val="24"/>
          <w:szCs w:val="24"/>
        </w:rPr>
        <w:t>审</w:t>
      </w:r>
    </w:p>
    <w:p w14:paraId="2AAA1E04">
      <w:pPr>
        <w:pStyle w:val="39"/>
        <w:spacing w:line="400" w:lineRule="atLeast"/>
        <w:rPr>
          <w:rFonts w:ascii="Arial" w:hAnsi="Arial" w:cs="Arial"/>
          <w:sz w:val="24"/>
          <w:szCs w:val="24"/>
        </w:rPr>
      </w:pPr>
      <w:r>
        <w:rPr>
          <w:rFonts w:ascii="Arial" w:hAnsi="Arial" w:cs="Arial"/>
          <w:sz w:val="24"/>
          <w:szCs w:val="24"/>
        </w:rPr>
        <w:t>2</w:t>
      </w:r>
      <w:r>
        <w:rPr>
          <w:rFonts w:hint="eastAsia" w:ascii="Arial" w:hAnsi="Arial" w:cs="Arial"/>
          <w:sz w:val="24"/>
          <w:szCs w:val="24"/>
        </w:rPr>
        <w:t>7</w:t>
      </w:r>
      <w:r>
        <w:rPr>
          <w:rFonts w:ascii="Arial" w:hAnsi="Arial" w:cs="Arial"/>
          <w:sz w:val="24"/>
          <w:szCs w:val="24"/>
        </w:rPr>
        <w:t>.</w:t>
      </w:r>
      <w:r>
        <w:rPr>
          <w:rFonts w:hint="eastAsia" w:ascii="Arial" w:hAnsi="Arial" w:cs="Arial"/>
          <w:sz w:val="24"/>
          <w:szCs w:val="24"/>
        </w:rPr>
        <w:t>谈判</w:t>
      </w:r>
      <w:r>
        <w:rPr>
          <w:rFonts w:ascii="Arial" w:hAnsi="Arial" w:cs="Arial"/>
          <w:sz w:val="24"/>
          <w:szCs w:val="24"/>
        </w:rPr>
        <w:t>过程的保密性</w:t>
      </w:r>
    </w:p>
    <w:p w14:paraId="5B4E3A0C">
      <w:pPr>
        <w:pStyle w:val="39"/>
        <w:numPr>
          <w:ilvl w:val="0"/>
          <w:numId w:val="2"/>
        </w:numPr>
        <w:spacing w:line="400" w:lineRule="atLeast"/>
        <w:rPr>
          <w:rFonts w:ascii="Arial" w:hAnsi="Arial" w:cs="Arial"/>
          <w:sz w:val="24"/>
          <w:szCs w:val="24"/>
        </w:rPr>
      </w:pPr>
      <w:r>
        <w:rPr>
          <w:rFonts w:ascii="Arial" w:hAnsi="Arial" w:cs="Arial"/>
          <w:sz w:val="24"/>
          <w:szCs w:val="24"/>
        </w:rPr>
        <w:t>授予合同</w:t>
      </w:r>
    </w:p>
    <w:p w14:paraId="6315B9D8">
      <w:pPr>
        <w:pStyle w:val="39"/>
        <w:spacing w:line="400" w:lineRule="atLeast"/>
        <w:rPr>
          <w:rFonts w:ascii="Arial" w:hAnsi="Arial" w:cs="Arial"/>
          <w:sz w:val="24"/>
          <w:szCs w:val="24"/>
        </w:rPr>
      </w:pPr>
      <w:r>
        <w:rPr>
          <w:rFonts w:ascii="Arial" w:hAnsi="Arial" w:cs="Arial"/>
          <w:sz w:val="24"/>
          <w:szCs w:val="24"/>
        </w:rPr>
        <w:t>2</w:t>
      </w:r>
      <w:r>
        <w:rPr>
          <w:rFonts w:hint="eastAsia" w:ascii="Arial" w:hAnsi="Arial" w:cs="Arial"/>
          <w:sz w:val="24"/>
          <w:szCs w:val="24"/>
        </w:rPr>
        <w:t>8</w:t>
      </w:r>
      <w:r>
        <w:rPr>
          <w:rFonts w:ascii="Arial" w:hAnsi="Arial" w:cs="Arial"/>
          <w:sz w:val="24"/>
          <w:szCs w:val="24"/>
        </w:rPr>
        <w:t>.合同授予标准</w:t>
      </w:r>
    </w:p>
    <w:p w14:paraId="53878B5A">
      <w:pPr>
        <w:pStyle w:val="39"/>
        <w:spacing w:line="400" w:lineRule="atLeast"/>
        <w:rPr>
          <w:rFonts w:ascii="Arial" w:hAnsi="Arial" w:cs="Arial"/>
          <w:sz w:val="24"/>
          <w:szCs w:val="24"/>
        </w:rPr>
      </w:pPr>
      <w:r>
        <w:rPr>
          <w:rFonts w:ascii="Arial" w:hAnsi="Arial" w:cs="Arial"/>
          <w:sz w:val="24"/>
          <w:szCs w:val="24"/>
        </w:rPr>
        <w:t>2</w:t>
      </w:r>
      <w:r>
        <w:rPr>
          <w:rFonts w:hint="eastAsia" w:ascii="Arial" w:hAnsi="Arial" w:cs="Arial"/>
          <w:sz w:val="24"/>
          <w:szCs w:val="24"/>
        </w:rPr>
        <w:t>9</w:t>
      </w:r>
      <w:r>
        <w:rPr>
          <w:rFonts w:ascii="Arial" w:hAnsi="Arial" w:cs="Arial"/>
          <w:sz w:val="24"/>
          <w:szCs w:val="24"/>
        </w:rPr>
        <w:t>.接受和拒绝任何或所有</w:t>
      </w:r>
      <w:r>
        <w:rPr>
          <w:rFonts w:hint="eastAsia" w:ascii="Arial" w:hAnsi="Arial" w:cs="Arial"/>
          <w:sz w:val="24"/>
          <w:szCs w:val="24"/>
        </w:rPr>
        <w:t>谈判</w:t>
      </w:r>
      <w:r>
        <w:rPr>
          <w:rFonts w:ascii="Arial" w:hAnsi="Arial" w:cs="Arial"/>
          <w:sz w:val="24"/>
          <w:szCs w:val="24"/>
        </w:rPr>
        <w:t>的权力</w:t>
      </w:r>
    </w:p>
    <w:p w14:paraId="11F9ED84">
      <w:pPr>
        <w:pStyle w:val="39"/>
        <w:spacing w:line="400" w:lineRule="atLeast"/>
        <w:rPr>
          <w:rFonts w:ascii="Arial" w:hAnsi="Arial" w:cs="Arial"/>
          <w:sz w:val="24"/>
          <w:szCs w:val="24"/>
        </w:rPr>
      </w:pPr>
      <w:r>
        <w:rPr>
          <w:rFonts w:hint="eastAsia" w:ascii="Arial" w:hAnsi="Arial" w:cs="Arial"/>
          <w:sz w:val="24"/>
          <w:szCs w:val="24"/>
        </w:rPr>
        <w:t>30</w:t>
      </w:r>
      <w:r>
        <w:rPr>
          <w:rFonts w:ascii="Arial" w:hAnsi="Arial" w:cs="Arial"/>
          <w:sz w:val="24"/>
          <w:szCs w:val="24"/>
        </w:rPr>
        <w:t>.成交通知书</w:t>
      </w:r>
    </w:p>
    <w:p w14:paraId="3C19910F">
      <w:pPr>
        <w:pStyle w:val="39"/>
        <w:spacing w:line="400" w:lineRule="atLeast"/>
        <w:rPr>
          <w:rFonts w:ascii="Arial" w:hAnsi="Arial" w:cs="Arial"/>
          <w:sz w:val="24"/>
          <w:szCs w:val="24"/>
        </w:rPr>
      </w:pPr>
      <w:r>
        <w:rPr>
          <w:rFonts w:hint="eastAsia" w:ascii="Arial" w:hAnsi="Arial" w:cs="Arial"/>
          <w:sz w:val="24"/>
          <w:szCs w:val="24"/>
        </w:rPr>
        <w:t>31</w:t>
      </w:r>
      <w:r>
        <w:rPr>
          <w:rFonts w:ascii="Arial" w:hAnsi="Arial" w:cs="Arial"/>
          <w:sz w:val="24"/>
          <w:szCs w:val="24"/>
        </w:rPr>
        <w:t>.签订合同</w:t>
      </w:r>
    </w:p>
    <w:p w14:paraId="3BDEB774">
      <w:pPr>
        <w:pStyle w:val="39"/>
        <w:spacing w:line="400" w:lineRule="atLeast"/>
        <w:rPr>
          <w:rFonts w:ascii="Arial" w:hAnsi="Arial" w:cs="Arial"/>
          <w:sz w:val="24"/>
          <w:szCs w:val="24"/>
        </w:rPr>
      </w:pPr>
      <w:r>
        <w:rPr>
          <w:rFonts w:ascii="Arial" w:hAnsi="Arial" w:cs="Arial"/>
          <w:sz w:val="24"/>
          <w:szCs w:val="24"/>
        </w:rPr>
        <w:t>3</w:t>
      </w:r>
      <w:r>
        <w:rPr>
          <w:rFonts w:hint="eastAsia" w:ascii="Arial" w:hAnsi="Arial" w:cs="Arial"/>
          <w:sz w:val="24"/>
          <w:szCs w:val="24"/>
        </w:rPr>
        <w:t>2</w:t>
      </w:r>
      <w:r>
        <w:rPr>
          <w:rFonts w:ascii="Arial" w:hAnsi="Arial" w:cs="Arial"/>
          <w:sz w:val="24"/>
          <w:szCs w:val="24"/>
        </w:rPr>
        <w:t>.</w:t>
      </w:r>
      <w:r>
        <w:rPr>
          <w:rFonts w:hint="eastAsia" w:ascii="Arial" w:hAnsi="Arial" w:cs="Arial"/>
          <w:sz w:val="24"/>
          <w:szCs w:val="24"/>
        </w:rPr>
        <w:t>代理</w:t>
      </w:r>
      <w:r>
        <w:rPr>
          <w:rFonts w:ascii="Arial" w:hAnsi="Arial" w:cs="Arial"/>
          <w:sz w:val="24"/>
          <w:szCs w:val="24"/>
        </w:rPr>
        <w:t>服务费</w:t>
      </w:r>
    </w:p>
    <w:p w14:paraId="6A30B029">
      <w:pPr>
        <w:pStyle w:val="39"/>
        <w:spacing w:line="400" w:lineRule="atLeast"/>
        <w:rPr>
          <w:rFonts w:ascii="Arial" w:hAnsi="Arial" w:cs="Arial"/>
          <w:sz w:val="24"/>
          <w:szCs w:val="24"/>
        </w:rPr>
      </w:pPr>
      <w:r>
        <w:rPr>
          <w:rFonts w:hint="eastAsia" w:ascii="Arial" w:hAnsi="Arial" w:cs="Arial"/>
          <w:sz w:val="24"/>
          <w:szCs w:val="24"/>
        </w:rPr>
        <w:t>G. 谈判失败条件</w:t>
      </w:r>
    </w:p>
    <w:p w14:paraId="68E2F89F">
      <w:pPr>
        <w:spacing w:line="400" w:lineRule="atLeast"/>
        <w:rPr>
          <w:rFonts w:ascii="Arial" w:hAnsi="Arial" w:cs="Arial"/>
          <w:sz w:val="24"/>
        </w:rPr>
      </w:pPr>
    </w:p>
    <w:p w14:paraId="6668E2E5">
      <w:pPr>
        <w:spacing w:line="400" w:lineRule="atLeast"/>
        <w:rPr>
          <w:rFonts w:ascii="Arial" w:hAnsi="Arial" w:cs="Arial"/>
          <w:sz w:val="24"/>
        </w:rPr>
      </w:pPr>
    </w:p>
    <w:p w14:paraId="60D5640D">
      <w:pPr>
        <w:spacing w:line="400" w:lineRule="atLeast"/>
        <w:rPr>
          <w:rFonts w:ascii="Arial" w:hAnsi="Arial" w:cs="Arial"/>
          <w:sz w:val="24"/>
        </w:rPr>
      </w:pPr>
    </w:p>
    <w:p w14:paraId="756C2009">
      <w:pPr>
        <w:spacing w:line="400" w:lineRule="atLeast"/>
        <w:rPr>
          <w:rFonts w:ascii="Arial" w:hAnsi="Arial" w:cs="Arial"/>
          <w:sz w:val="24"/>
        </w:rPr>
      </w:pPr>
    </w:p>
    <w:p w14:paraId="5015E6E4">
      <w:pPr>
        <w:spacing w:line="400" w:lineRule="atLeast"/>
        <w:rPr>
          <w:rFonts w:ascii="Arial" w:hAnsi="Arial" w:cs="Arial"/>
          <w:sz w:val="24"/>
        </w:rPr>
      </w:pPr>
    </w:p>
    <w:p w14:paraId="734788C6">
      <w:pPr>
        <w:spacing w:line="400" w:lineRule="atLeast"/>
        <w:rPr>
          <w:rFonts w:ascii="Arial" w:hAnsi="Arial" w:cs="Arial"/>
          <w:sz w:val="24"/>
        </w:rPr>
      </w:pPr>
    </w:p>
    <w:p w14:paraId="1A570CDE">
      <w:pPr>
        <w:pStyle w:val="4"/>
        <w:spacing w:before="0" w:after="100" w:afterAutospacing="1" w:line="400" w:lineRule="atLeast"/>
        <w:rPr>
          <w:rFonts w:eastAsia="宋体" w:cs="Arial"/>
          <w:sz w:val="28"/>
          <w:szCs w:val="28"/>
        </w:rPr>
      </w:pPr>
      <w:r>
        <w:rPr>
          <w:rFonts w:eastAsia="宋体" w:cs="Arial"/>
          <w:b w:val="0"/>
          <w:sz w:val="24"/>
        </w:rPr>
        <w:br w:type="page"/>
      </w:r>
      <w:bookmarkStart w:id="9" w:name="_Toc349573120"/>
      <w:bookmarkStart w:id="10" w:name="_Toc349637919"/>
      <w:bookmarkStart w:id="11" w:name="_Toc267301281"/>
      <w:bookmarkStart w:id="12" w:name="_Toc298240404"/>
      <w:bookmarkStart w:id="13" w:name="_Toc18062"/>
      <w:r>
        <w:rPr>
          <w:rFonts w:eastAsia="宋体" w:cs="Arial"/>
          <w:sz w:val="28"/>
          <w:szCs w:val="28"/>
        </w:rPr>
        <w:t>供应商须知附表</w:t>
      </w:r>
      <w:bookmarkEnd w:id="9"/>
      <w:bookmarkEnd w:id="10"/>
      <w:bookmarkEnd w:id="11"/>
      <w:bookmarkEnd w:id="12"/>
      <w:bookmarkEnd w:id="13"/>
    </w:p>
    <w:tbl>
      <w:tblPr>
        <w:tblStyle w:val="78"/>
        <w:tblW w:w="1009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8"/>
        <w:gridCol w:w="9371"/>
      </w:tblGrid>
      <w:tr w14:paraId="2E43A0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8" w:type="dxa"/>
            <w:tcBorders>
              <w:top w:val="single" w:color="auto" w:sz="4" w:space="0"/>
              <w:left w:val="single" w:color="auto" w:sz="4" w:space="0"/>
              <w:bottom w:val="single" w:color="auto" w:sz="4" w:space="0"/>
              <w:right w:val="single" w:color="auto" w:sz="4" w:space="0"/>
            </w:tcBorders>
            <w:vAlign w:val="center"/>
          </w:tcPr>
          <w:p w14:paraId="18955AB8">
            <w:pPr>
              <w:jc w:val="center"/>
              <w:rPr>
                <w:rFonts w:hint="eastAsia" w:ascii="宋体" w:hAnsi="宋体" w:cs="宋体"/>
                <w:sz w:val="24"/>
                <w:szCs w:val="24"/>
              </w:rPr>
            </w:pPr>
            <w:r>
              <w:rPr>
                <w:rFonts w:hint="eastAsia" w:ascii="宋体" w:hAnsi="宋体" w:cs="宋体"/>
                <w:sz w:val="24"/>
                <w:szCs w:val="24"/>
              </w:rPr>
              <w:t>序号</w:t>
            </w:r>
          </w:p>
        </w:tc>
        <w:tc>
          <w:tcPr>
            <w:tcW w:w="9371" w:type="dxa"/>
            <w:tcBorders>
              <w:top w:val="single" w:color="auto" w:sz="4" w:space="0"/>
              <w:left w:val="single" w:color="auto" w:sz="4" w:space="0"/>
              <w:bottom w:val="single" w:color="auto" w:sz="4" w:space="0"/>
              <w:right w:val="single" w:color="auto" w:sz="4" w:space="0"/>
            </w:tcBorders>
            <w:vAlign w:val="center"/>
          </w:tcPr>
          <w:p w14:paraId="34C615EB">
            <w:pPr>
              <w:jc w:val="center"/>
              <w:rPr>
                <w:rFonts w:hint="eastAsia" w:ascii="宋体" w:hAnsi="宋体" w:cs="宋体"/>
                <w:sz w:val="24"/>
                <w:szCs w:val="24"/>
              </w:rPr>
            </w:pPr>
            <w:r>
              <w:rPr>
                <w:rFonts w:hint="eastAsia" w:ascii="宋体" w:hAnsi="宋体" w:cs="宋体"/>
                <w:sz w:val="24"/>
                <w:szCs w:val="24"/>
              </w:rPr>
              <w:t>内      容</w:t>
            </w:r>
          </w:p>
        </w:tc>
      </w:tr>
      <w:tr w14:paraId="2260E5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099" w:type="dxa"/>
            <w:gridSpan w:val="2"/>
            <w:tcBorders>
              <w:top w:val="single" w:color="auto" w:sz="4" w:space="0"/>
              <w:left w:val="single" w:color="auto" w:sz="4" w:space="0"/>
              <w:bottom w:val="single" w:color="auto" w:sz="4" w:space="0"/>
              <w:right w:val="single" w:color="auto" w:sz="4" w:space="0"/>
            </w:tcBorders>
            <w:vAlign w:val="center"/>
          </w:tcPr>
          <w:p w14:paraId="736C7211">
            <w:pPr>
              <w:jc w:val="center"/>
              <w:rPr>
                <w:rFonts w:hint="eastAsia" w:ascii="宋体" w:hAnsi="宋体" w:cs="宋体"/>
                <w:sz w:val="24"/>
                <w:szCs w:val="24"/>
              </w:rPr>
            </w:pPr>
            <w:r>
              <w:rPr>
                <w:rFonts w:hint="eastAsia" w:ascii="宋体" w:hAnsi="宋体" w:cs="宋体"/>
                <w:sz w:val="24"/>
                <w:szCs w:val="24"/>
              </w:rPr>
              <w:t>说          明</w:t>
            </w:r>
          </w:p>
        </w:tc>
      </w:tr>
      <w:tr w14:paraId="6550BA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6" w:hRule="atLeast"/>
          <w:jc w:val="center"/>
        </w:trPr>
        <w:tc>
          <w:tcPr>
            <w:tcW w:w="728" w:type="dxa"/>
            <w:tcBorders>
              <w:top w:val="single" w:color="auto" w:sz="4" w:space="0"/>
              <w:left w:val="single" w:color="auto" w:sz="4" w:space="0"/>
              <w:bottom w:val="single" w:color="auto" w:sz="4" w:space="0"/>
              <w:right w:val="single" w:color="auto" w:sz="4" w:space="0"/>
            </w:tcBorders>
            <w:vAlign w:val="center"/>
          </w:tcPr>
          <w:p w14:paraId="7A495678">
            <w:pPr>
              <w:jc w:val="center"/>
              <w:rPr>
                <w:rFonts w:hint="eastAsia" w:ascii="宋体" w:hAnsi="宋体" w:cs="宋体"/>
                <w:sz w:val="24"/>
                <w:szCs w:val="24"/>
              </w:rPr>
            </w:pPr>
            <w:r>
              <w:rPr>
                <w:rFonts w:hint="eastAsia" w:ascii="宋体" w:hAnsi="宋体" w:cs="宋体"/>
                <w:sz w:val="24"/>
                <w:szCs w:val="24"/>
              </w:rPr>
              <w:t>1</w:t>
            </w:r>
          </w:p>
        </w:tc>
        <w:tc>
          <w:tcPr>
            <w:tcW w:w="9371" w:type="dxa"/>
            <w:tcBorders>
              <w:top w:val="single" w:color="auto" w:sz="4" w:space="0"/>
              <w:left w:val="single" w:color="auto" w:sz="4" w:space="0"/>
              <w:bottom w:val="single" w:color="auto" w:sz="4" w:space="0"/>
              <w:right w:val="single" w:color="auto" w:sz="4" w:space="0"/>
            </w:tcBorders>
            <w:vAlign w:val="center"/>
          </w:tcPr>
          <w:p w14:paraId="6A872CD5">
            <w:pPr>
              <w:rPr>
                <w:rFonts w:hint="eastAsia" w:ascii="宋体" w:hAnsi="宋体" w:eastAsia="宋体" w:cs="宋体"/>
                <w:sz w:val="24"/>
                <w:szCs w:val="24"/>
                <w:lang w:eastAsia="zh-CN"/>
              </w:rPr>
            </w:pPr>
            <w:r>
              <w:rPr>
                <w:rFonts w:hint="eastAsia" w:ascii="宋体" w:hAnsi="宋体" w:cs="宋体"/>
                <w:sz w:val="24"/>
                <w:szCs w:val="24"/>
              </w:rPr>
              <w:t>项目名称：</w:t>
            </w:r>
            <w:r>
              <w:rPr>
                <w:rFonts w:hint="eastAsia" w:ascii="宋体" w:hAnsi="宋体" w:cs="宋体"/>
                <w:sz w:val="24"/>
                <w:szCs w:val="24"/>
                <w:lang w:eastAsia="zh-CN"/>
              </w:rPr>
              <w:t>新疆阿克苏地区温宿县台兰河水土保持风蚀观测场(设备采购及安装标段)（二次）</w:t>
            </w:r>
          </w:p>
          <w:p w14:paraId="5ECFCF4E">
            <w:pPr>
              <w:rPr>
                <w:rFonts w:hint="eastAsia" w:ascii="宋体" w:hAnsi="宋体" w:cs="宋体"/>
                <w:sz w:val="24"/>
                <w:szCs w:val="24"/>
              </w:rPr>
            </w:pPr>
            <w:r>
              <w:rPr>
                <w:rFonts w:hint="eastAsia" w:ascii="宋体" w:hAnsi="宋体" w:cs="宋体"/>
                <w:sz w:val="24"/>
                <w:szCs w:val="24"/>
              </w:rPr>
              <w:t>项目编号：</w:t>
            </w:r>
            <w:r>
              <w:rPr>
                <w:rFonts w:hint="eastAsia" w:ascii="宋体" w:hAnsi="宋体" w:cs="宋体"/>
                <w:sz w:val="24"/>
                <w:szCs w:val="24"/>
                <w:highlight w:val="none"/>
                <w:lang w:eastAsia="zh-CN"/>
              </w:rPr>
              <w:t>0634—264XZAKSZH0035</w:t>
            </w:r>
          </w:p>
        </w:tc>
      </w:tr>
      <w:tr w14:paraId="7FCCBE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8" w:type="dxa"/>
            <w:tcBorders>
              <w:top w:val="single" w:color="auto" w:sz="4" w:space="0"/>
              <w:left w:val="single" w:color="auto" w:sz="4" w:space="0"/>
              <w:bottom w:val="single" w:color="auto" w:sz="4" w:space="0"/>
              <w:right w:val="single" w:color="auto" w:sz="4" w:space="0"/>
            </w:tcBorders>
            <w:vAlign w:val="center"/>
          </w:tcPr>
          <w:p w14:paraId="65175D49">
            <w:pPr>
              <w:jc w:val="center"/>
              <w:rPr>
                <w:rFonts w:hint="eastAsia" w:ascii="宋体" w:hAnsi="宋体" w:cs="宋体"/>
                <w:sz w:val="24"/>
                <w:szCs w:val="24"/>
              </w:rPr>
            </w:pPr>
            <w:r>
              <w:rPr>
                <w:rFonts w:hint="eastAsia" w:ascii="宋体" w:hAnsi="宋体" w:cs="宋体"/>
                <w:sz w:val="24"/>
                <w:szCs w:val="24"/>
              </w:rPr>
              <w:t>2</w:t>
            </w:r>
          </w:p>
        </w:tc>
        <w:tc>
          <w:tcPr>
            <w:tcW w:w="9371" w:type="dxa"/>
            <w:tcBorders>
              <w:top w:val="single" w:color="auto" w:sz="4" w:space="0"/>
              <w:left w:val="single" w:color="auto" w:sz="4" w:space="0"/>
              <w:bottom w:val="single" w:color="auto" w:sz="4" w:space="0"/>
              <w:right w:val="single" w:color="auto" w:sz="4" w:space="0"/>
            </w:tcBorders>
            <w:vAlign w:val="center"/>
          </w:tcPr>
          <w:p w14:paraId="4C62A7D0">
            <w:pPr>
              <w:rPr>
                <w:rFonts w:hint="eastAsia" w:ascii="宋体" w:hAnsi="宋体" w:cs="宋体"/>
                <w:sz w:val="24"/>
                <w:szCs w:val="24"/>
              </w:rPr>
            </w:pPr>
            <w:r>
              <w:rPr>
                <w:rFonts w:hint="eastAsia" w:ascii="宋体" w:hAnsi="宋体" w:cs="宋体"/>
                <w:sz w:val="24"/>
                <w:szCs w:val="24"/>
              </w:rPr>
              <w:t>采购人名称：</w:t>
            </w:r>
            <w:r>
              <w:rPr>
                <w:rFonts w:hint="eastAsia" w:ascii="宋体" w:hAnsi="宋体" w:cs="Courier New"/>
                <w:color w:val="000000"/>
                <w:sz w:val="24"/>
                <w:szCs w:val="24"/>
              </w:rPr>
              <w:t>阿克苏地区水资源总站</w:t>
            </w:r>
          </w:p>
        </w:tc>
      </w:tr>
      <w:tr w14:paraId="726651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6" w:hRule="atLeast"/>
          <w:jc w:val="center"/>
        </w:trPr>
        <w:tc>
          <w:tcPr>
            <w:tcW w:w="728" w:type="dxa"/>
            <w:tcBorders>
              <w:top w:val="single" w:color="auto" w:sz="4" w:space="0"/>
              <w:left w:val="single" w:color="auto" w:sz="4" w:space="0"/>
              <w:bottom w:val="single" w:color="auto" w:sz="4" w:space="0"/>
              <w:right w:val="single" w:color="auto" w:sz="4" w:space="0"/>
            </w:tcBorders>
            <w:vAlign w:val="center"/>
          </w:tcPr>
          <w:p w14:paraId="6CC01842">
            <w:pPr>
              <w:jc w:val="center"/>
              <w:rPr>
                <w:rFonts w:hint="eastAsia" w:ascii="宋体" w:hAnsi="宋体" w:cs="宋体"/>
                <w:sz w:val="24"/>
                <w:szCs w:val="24"/>
              </w:rPr>
            </w:pPr>
            <w:r>
              <w:rPr>
                <w:rFonts w:hint="eastAsia" w:ascii="宋体" w:hAnsi="宋体" w:cs="宋体"/>
                <w:sz w:val="24"/>
                <w:szCs w:val="24"/>
              </w:rPr>
              <w:t>3</w:t>
            </w:r>
          </w:p>
        </w:tc>
        <w:tc>
          <w:tcPr>
            <w:tcW w:w="9371" w:type="dxa"/>
            <w:tcBorders>
              <w:top w:val="single" w:color="auto" w:sz="4" w:space="0"/>
              <w:left w:val="single" w:color="auto" w:sz="4" w:space="0"/>
              <w:bottom w:val="single" w:color="auto" w:sz="4" w:space="0"/>
              <w:right w:val="single" w:color="auto" w:sz="4" w:space="0"/>
            </w:tcBorders>
            <w:vAlign w:val="center"/>
          </w:tcPr>
          <w:p w14:paraId="206F83E8">
            <w:pPr>
              <w:rPr>
                <w:rFonts w:hint="eastAsia" w:ascii="宋体" w:hAnsi="宋体" w:cs="宋体"/>
                <w:b/>
                <w:spacing w:val="8"/>
                <w:sz w:val="24"/>
                <w:szCs w:val="24"/>
              </w:rPr>
            </w:pPr>
            <w:r>
              <w:rPr>
                <w:rFonts w:hint="eastAsia" w:ascii="宋体" w:hAnsi="宋体" w:cs="宋体"/>
                <w:spacing w:val="8"/>
                <w:sz w:val="24"/>
                <w:szCs w:val="24"/>
              </w:rPr>
              <w:t>采购代理机构名称：新疆招标有限公司</w:t>
            </w:r>
          </w:p>
          <w:p w14:paraId="71240C5B">
            <w:pPr>
              <w:rPr>
                <w:rFonts w:hint="eastAsia" w:ascii="宋体" w:hAnsi="宋体" w:cs="宋体"/>
                <w:sz w:val="24"/>
                <w:szCs w:val="24"/>
              </w:rPr>
            </w:pPr>
            <w:r>
              <w:rPr>
                <w:rFonts w:hint="eastAsia" w:ascii="宋体" w:hAnsi="宋体" w:cs="宋体"/>
                <w:sz w:val="24"/>
                <w:szCs w:val="24"/>
              </w:rPr>
              <w:t>单位地址：</w:t>
            </w:r>
            <w:r>
              <w:rPr>
                <w:rFonts w:hint="eastAsia" w:ascii="宋体" w:hAnsi="宋体" w:cs="Courier New"/>
                <w:color w:val="000000"/>
                <w:sz w:val="24"/>
                <w:szCs w:val="24"/>
              </w:rPr>
              <w:t>新疆维吾尔自治区阿克苏地区温宿县托乎拉乡锦绣街1号</w:t>
            </w:r>
          </w:p>
          <w:p w14:paraId="0EFAFE4A">
            <w:pPr>
              <w:rPr>
                <w:rFonts w:hint="eastAsia" w:ascii="宋体" w:hAnsi="宋体" w:cs="宋体"/>
                <w:spacing w:val="8"/>
                <w:sz w:val="24"/>
                <w:szCs w:val="24"/>
              </w:rPr>
            </w:pPr>
            <w:r>
              <w:rPr>
                <w:rFonts w:hint="eastAsia" w:ascii="宋体" w:hAnsi="宋体" w:cs="宋体"/>
                <w:spacing w:val="8"/>
                <w:sz w:val="24"/>
                <w:szCs w:val="24"/>
              </w:rPr>
              <w:t>联系人：罗振远</w:t>
            </w:r>
          </w:p>
          <w:p w14:paraId="4DFA20D8">
            <w:pPr>
              <w:rPr>
                <w:rFonts w:hint="eastAsia" w:ascii="宋体" w:hAnsi="宋体" w:cs="Courier New"/>
                <w:color w:val="000000"/>
                <w:spacing w:val="8"/>
                <w:sz w:val="24"/>
                <w:szCs w:val="24"/>
              </w:rPr>
            </w:pPr>
            <w:r>
              <w:rPr>
                <w:rFonts w:hint="eastAsia" w:ascii="宋体" w:hAnsi="宋体" w:cs="宋体"/>
                <w:spacing w:val="8"/>
                <w:sz w:val="24"/>
                <w:szCs w:val="24"/>
              </w:rPr>
              <w:t>电话：17799127202</w:t>
            </w:r>
          </w:p>
          <w:p w14:paraId="0FCACEA5">
            <w:pPr>
              <w:pStyle w:val="2"/>
            </w:pPr>
            <w:r>
              <w:rPr>
                <w:rFonts w:hint="eastAsia"/>
              </w:rPr>
              <w:t>质疑联系人及联系方式：罗振远17799127202</w:t>
            </w:r>
          </w:p>
        </w:tc>
      </w:tr>
      <w:tr w14:paraId="55FE43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0" w:hRule="atLeast"/>
          <w:jc w:val="center"/>
        </w:trPr>
        <w:tc>
          <w:tcPr>
            <w:tcW w:w="728" w:type="dxa"/>
            <w:tcBorders>
              <w:top w:val="single" w:color="auto" w:sz="4" w:space="0"/>
              <w:left w:val="single" w:color="auto" w:sz="4" w:space="0"/>
              <w:bottom w:val="single" w:color="auto" w:sz="4" w:space="0"/>
              <w:right w:val="single" w:color="auto" w:sz="4" w:space="0"/>
            </w:tcBorders>
            <w:vAlign w:val="center"/>
          </w:tcPr>
          <w:p w14:paraId="5A405A01">
            <w:pPr>
              <w:jc w:val="center"/>
              <w:rPr>
                <w:rFonts w:hint="eastAsia" w:ascii="宋体" w:hAnsi="宋体" w:cs="宋体"/>
                <w:sz w:val="24"/>
                <w:szCs w:val="24"/>
              </w:rPr>
            </w:pPr>
            <w:r>
              <w:rPr>
                <w:rFonts w:hint="eastAsia" w:ascii="宋体" w:hAnsi="宋体" w:cs="宋体"/>
                <w:sz w:val="24"/>
                <w:szCs w:val="24"/>
              </w:rPr>
              <w:t>4</w:t>
            </w:r>
          </w:p>
        </w:tc>
        <w:tc>
          <w:tcPr>
            <w:tcW w:w="9371" w:type="dxa"/>
            <w:tcBorders>
              <w:top w:val="single" w:color="auto" w:sz="4" w:space="0"/>
              <w:left w:val="single" w:color="auto" w:sz="4" w:space="0"/>
              <w:bottom w:val="single" w:color="auto" w:sz="4" w:space="0"/>
              <w:right w:val="single" w:color="auto" w:sz="4" w:space="0"/>
            </w:tcBorders>
            <w:vAlign w:val="center"/>
          </w:tcPr>
          <w:p w14:paraId="71C9C2FC">
            <w:pPr>
              <w:snapToGrid w:val="0"/>
              <w:contextualSpacing/>
              <w:rPr>
                <w:rFonts w:hint="eastAsia" w:ascii="宋体" w:hAnsi="宋体" w:cs="宋体"/>
                <w:sz w:val="24"/>
                <w:szCs w:val="24"/>
              </w:rPr>
            </w:pPr>
            <w:r>
              <w:rPr>
                <w:rFonts w:hint="eastAsia" w:ascii="宋体" w:hAnsi="宋体" w:cs="宋体"/>
                <w:sz w:val="24"/>
                <w:szCs w:val="24"/>
              </w:rPr>
              <w:t>谈判保证金金额：</w:t>
            </w:r>
            <w:r>
              <w:rPr>
                <w:rFonts w:ascii="宋体" w:hAnsi="宋体" w:cs="宋体"/>
                <w:sz w:val="24"/>
                <w:szCs w:val="24"/>
              </w:rPr>
              <w:t>3</w:t>
            </w:r>
            <w:r>
              <w:rPr>
                <w:rFonts w:hint="eastAsia" w:ascii="宋体" w:hAnsi="宋体" w:cs="宋体"/>
                <w:sz w:val="24"/>
                <w:szCs w:val="24"/>
                <w:lang w:val="en-US" w:eastAsia="zh-CN"/>
              </w:rPr>
              <w:t>6000</w:t>
            </w:r>
            <w:r>
              <w:rPr>
                <w:rFonts w:hint="eastAsia" w:ascii="宋体" w:hAnsi="宋体" w:cs="宋体"/>
                <w:sz w:val="24"/>
                <w:szCs w:val="24"/>
              </w:rPr>
              <w:t>元（须足额交纳）</w:t>
            </w:r>
          </w:p>
          <w:p w14:paraId="644A2997">
            <w:pPr>
              <w:snapToGrid w:val="0"/>
              <w:ind w:left="1898" w:hanging="1898" w:hangingChars="791"/>
              <w:contextualSpacing/>
              <w:rPr>
                <w:rFonts w:hint="eastAsia" w:ascii="宋体" w:hAnsi="宋体" w:cs="宋体"/>
                <w:sz w:val="24"/>
                <w:szCs w:val="24"/>
              </w:rPr>
            </w:pPr>
            <w:r>
              <w:rPr>
                <w:rFonts w:hint="eastAsia" w:ascii="宋体" w:hAnsi="宋体" w:cs="宋体"/>
                <w:sz w:val="24"/>
                <w:szCs w:val="24"/>
              </w:rPr>
              <w:t>谈判保证金形式：以电汇、支票、汇票、本票或者金融机构、担保机构出具的保函等非现金形式提交。</w:t>
            </w:r>
          </w:p>
          <w:p w14:paraId="0C2A835D">
            <w:pPr>
              <w:snapToGrid w:val="0"/>
              <w:contextualSpacing/>
              <w:rPr>
                <w:rFonts w:hint="eastAsia" w:ascii="宋体" w:hAnsi="宋体" w:cs="宋体"/>
                <w:sz w:val="24"/>
                <w:szCs w:val="24"/>
              </w:rPr>
            </w:pPr>
            <w:r>
              <w:rPr>
                <w:rFonts w:hint="eastAsia" w:ascii="宋体" w:hAnsi="宋体" w:cs="宋体"/>
                <w:sz w:val="24"/>
                <w:szCs w:val="24"/>
              </w:rPr>
              <w:t>谈判保证金有效期应当与谈判响应有效期一致。</w:t>
            </w:r>
          </w:p>
        </w:tc>
      </w:tr>
      <w:tr w14:paraId="19FDAC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6" w:hRule="atLeast"/>
          <w:jc w:val="center"/>
        </w:trPr>
        <w:tc>
          <w:tcPr>
            <w:tcW w:w="728" w:type="dxa"/>
            <w:tcBorders>
              <w:top w:val="single" w:color="auto" w:sz="4" w:space="0"/>
              <w:left w:val="single" w:color="auto" w:sz="4" w:space="0"/>
              <w:bottom w:val="single" w:color="auto" w:sz="4" w:space="0"/>
              <w:right w:val="single" w:color="auto" w:sz="4" w:space="0"/>
            </w:tcBorders>
            <w:vAlign w:val="center"/>
          </w:tcPr>
          <w:p w14:paraId="167AFD97">
            <w:pPr>
              <w:jc w:val="center"/>
              <w:rPr>
                <w:rFonts w:hint="eastAsia" w:ascii="宋体" w:hAnsi="宋体" w:cs="宋体"/>
                <w:sz w:val="24"/>
                <w:szCs w:val="24"/>
              </w:rPr>
            </w:pPr>
            <w:r>
              <w:rPr>
                <w:rFonts w:hint="eastAsia" w:ascii="宋体" w:hAnsi="宋体" w:cs="宋体"/>
                <w:sz w:val="24"/>
                <w:szCs w:val="24"/>
              </w:rPr>
              <w:t>5</w:t>
            </w:r>
          </w:p>
        </w:tc>
        <w:tc>
          <w:tcPr>
            <w:tcW w:w="9371" w:type="dxa"/>
            <w:tcBorders>
              <w:top w:val="single" w:color="auto" w:sz="4" w:space="0"/>
              <w:left w:val="single" w:color="auto" w:sz="4" w:space="0"/>
              <w:bottom w:val="single" w:color="auto" w:sz="4" w:space="0"/>
              <w:right w:val="single" w:color="auto" w:sz="4" w:space="0"/>
            </w:tcBorders>
            <w:vAlign w:val="center"/>
          </w:tcPr>
          <w:p w14:paraId="075F4A99">
            <w:pPr>
              <w:rPr>
                <w:rFonts w:hint="eastAsia" w:ascii="宋体" w:hAnsi="宋体" w:cs="宋体"/>
                <w:sz w:val="24"/>
                <w:szCs w:val="24"/>
              </w:rPr>
            </w:pPr>
            <w:r>
              <w:rPr>
                <w:rFonts w:hint="eastAsia" w:ascii="宋体" w:hAnsi="宋体" w:cs="宋体"/>
                <w:sz w:val="24"/>
                <w:szCs w:val="24"/>
              </w:rPr>
              <w:t>投标语言：中文</w:t>
            </w:r>
          </w:p>
          <w:p w14:paraId="6DBD80A8">
            <w:pPr>
              <w:rPr>
                <w:rFonts w:hint="eastAsia" w:ascii="宋体" w:hAnsi="宋体" w:cs="宋体"/>
                <w:sz w:val="24"/>
                <w:szCs w:val="24"/>
              </w:rPr>
            </w:pPr>
            <w:r>
              <w:rPr>
                <w:rFonts w:hint="eastAsia" w:ascii="宋体" w:hAnsi="宋体" w:cs="宋体"/>
                <w:sz w:val="24"/>
                <w:szCs w:val="24"/>
              </w:rPr>
              <w:t>采购方式：竞争性谈判</w:t>
            </w:r>
          </w:p>
        </w:tc>
      </w:tr>
      <w:tr w14:paraId="591D3C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099" w:type="dxa"/>
            <w:gridSpan w:val="2"/>
            <w:tcBorders>
              <w:top w:val="single" w:color="auto" w:sz="4" w:space="0"/>
              <w:left w:val="single" w:color="auto" w:sz="4" w:space="0"/>
              <w:bottom w:val="single" w:color="auto" w:sz="4" w:space="0"/>
              <w:right w:val="single" w:color="auto" w:sz="4" w:space="0"/>
            </w:tcBorders>
            <w:vAlign w:val="center"/>
          </w:tcPr>
          <w:p w14:paraId="33C64A4D">
            <w:pPr>
              <w:jc w:val="center"/>
              <w:rPr>
                <w:rFonts w:hint="eastAsia" w:ascii="宋体" w:hAnsi="宋体" w:cs="宋体"/>
                <w:sz w:val="24"/>
                <w:szCs w:val="24"/>
              </w:rPr>
            </w:pPr>
            <w:r>
              <w:rPr>
                <w:rFonts w:hint="eastAsia" w:ascii="宋体" w:hAnsi="宋体" w:cs="宋体"/>
                <w:sz w:val="24"/>
                <w:szCs w:val="24"/>
              </w:rPr>
              <w:t>谈 判 响 应 文 件 的 编 制 和 递 交</w:t>
            </w:r>
          </w:p>
        </w:tc>
      </w:tr>
      <w:tr w14:paraId="171E65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48" w:hRule="atLeast"/>
          <w:jc w:val="center"/>
        </w:trPr>
        <w:tc>
          <w:tcPr>
            <w:tcW w:w="728" w:type="dxa"/>
            <w:tcBorders>
              <w:top w:val="single" w:color="auto" w:sz="4" w:space="0"/>
              <w:left w:val="single" w:color="auto" w:sz="4" w:space="0"/>
              <w:bottom w:val="single" w:color="auto" w:sz="4" w:space="0"/>
              <w:right w:val="single" w:color="auto" w:sz="4" w:space="0"/>
            </w:tcBorders>
            <w:vAlign w:val="center"/>
          </w:tcPr>
          <w:p w14:paraId="51993EEB">
            <w:pPr>
              <w:tabs>
                <w:tab w:val="left" w:pos="252"/>
                <w:tab w:val="left" w:pos="671"/>
              </w:tabs>
              <w:jc w:val="center"/>
              <w:rPr>
                <w:rFonts w:hint="eastAsia" w:ascii="宋体" w:hAnsi="宋体" w:cs="宋体"/>
                <w:spacing w:val="8"/>
                <w:sz w:val="24"/>
                <w:szCs w:val="24"/>
              </w:rPr>
            </w:pPr>
            <w:r>
              <w:rPr>
                <w:rFonts w:hint="eastAsia" w:ascii="宋体" w:hAnsi="宋体" w:cs="宋体"/>
                <w:spacing w:val="8"/>
                <w:sz w:val="24"/>
                <w:szCs w:val="24"/>
              </w:rPr>
              <w:t>7</w:t>
            </w:r>
          </w:p>
        </w:tc>
        <w:tc>
          <w:tcPr>
            <w:tcW w:w="9371" w:type="dxa"/>
            <w:tcBorders>
              <w:top w:val="single" w:color="auto" w:sz="4" w:space="0"/>
              <w:left w:val="single" w:color="auto" w:sz="4" w:space="0"/>
              <w:bottom w:val="single" w:color="auto" w:sz="4" w:space="0"/>
              <w:right w:val="single" w:color="auto" w:sz="4" w:space="0"/>
            </w:tcBorders>
            <w:vAlign w:val="center"/>
          </w:tcPr>
          <w:p w14:paraId="7F0F914A">
            <w:pPr>
              <w:tabs>
                <w:tab w:val="left" w:pos="252"/>
                <w:tab w:val="left" w:pos="671"/>
              </w:tabs>
              <w:rPr>
                <w:rFonts w:hint="eastAsia" w:ascii="宋体" w:hAnsi="宋体" w:cs="宋体"/>
                <w:b/>
                <w:spacing w:val="8"/>
                <w:sz w:val="24"/>
                <w:szCs w:val="24"/>
              </w:rPr>
            </w:pPr>
            <w:r>
              <w:rPr>
                <w:rFonts w:hint="eastAsia" w:ascii="宋体" w:hAnsi="宋体" w:cs="宋体"/>
                <w:b/>
                <w:spacing w:val="8"/>
                <w:sz w:val="24"/>
                <w:szCs w:val="24"/>
              </w:rPr>
              <w:t>供应商资格标准：</w:t>
            </w:r>
          </w:p>
          <w:p w14:paraId="1345AE82">
            <w:pPr>
              <w:pStyle w:val="226"/>
              <w:spacing w:line="400" w:lineRule="atLeast"/>
              <w:ind w:left="360" w:hanging="360" w:hangingChars="150"/>
              <w:textAlignment w:val="auto"/>
              <w:rPr>
                <w:rFonts w:hint="eastAsia" w:hAnsi="宋体" w:cs="宋体"/>
                <w:color w:val="auto"/>
                <w:sz w:val="24"/>
                <w:szCs w:val="24"/>
              </w:rPr>
            </w:pPr>
            <w:r>
              <w:rPr>
                <w:rFonts w:hint="eastAsia" w:hAnsi="宋体" w:cs="宋体"/>
                <w:color w:val="auto"/>
                <w:sz w:val="24"/>
                <w:szCs w:val="24"/>
              </w:rPr>
              <w:t>满足《中华人民共和国政府采购法》第二十二条规定</w:t>
            </w:r>
          </w:p>
          <w:p w14:paraId="734476FB">
            <w:pPr>
              <w:pStyle w:val="226"/>
              <w:spacing w:line="400" w:lineRule="atLeast"/>
              <w:ind w:left="360" w:hanging="360" w:hangingChars="150"/>
              <w:textAlignment w:val="auto"/>
              <w:rPr>
                <w:rFonts w:hint="eastAsia" w:hAnsi="宋体" w:cs="宋体"/>
                <w:color w:val="auto"/>
                <w:sz w:val="24"/>
                <w:szCs w:val="24"/>
              </w:rPr>
            </w:pPr>
            <w:r>
              <w:rPr>
                <w:rFonts w:hint="eastAsia" w:hAnsi="宋体" w:cs="宋体"/>
                <w:color w:val="auto"/>
                <w:sz w:val="24"/>
                <w:szCs w:val="24"/>
              </w:rPr>
              <w:t>（1）具有独立承担民事责任的能力；（供应商为企业（包括合伙企业）的，应提供有效的“营业执照”；供应商为个体工商户的，应提供有效的“个体工商户营业执照”；供应商为自然人的，应提供有效的自然人身份证明。）</w:t>
            </w:r>
          </w:p>
          <w:p w14:paraId="24957F82">
            <w:pPr>
              <w:pStyle w:val="226"/>
              <w:spacing w:line="400" w:lineRule="atLeast"/>
              <w:ind w:left="360" w:hanging="360" w:hangingChars="150"/>
              <w:textAlignment w:val="auto"/>
              <w:rPr>
                <w:rFonts w:hint="eastAsia" w:hAnsi="宋体" w:cs="宋体"/>
                <w:color w:val="auto"/>
                <w:sz w:val="24"/>
                <w:szCs w:val="24"/>
              </w:rPr>
            </w:pPr>
            <w:r>
              <w:rPr>
                <w:rFonts w:hint="eastAsia" w:hAnsi="宋体" w:cs="宋体"/>
                <w:color w:val="auto"/>
                <w:sz w:val="24"/>
                <w:szCs w:val="24"/>
              </w:rPr>
              <w:t>（2）具有良好的商业信誉和健全的财务会计制度；（提供会计师事务所出具的近一年度（2025年度）财务审计报告，新成立不足一年的提供成立之日起至今的财务报表和基本开户银行出具的资信证明）</w:t>
            </w:r>
          </w:p>
          <w:p w14:paraId="16496FAD">
            <w:pPr>
              <w:pStyle w:val="226"/>
              <w:spacing w:line="400" w:lineRule="atLeast"/>
              <w:ind w:left="360" w:hanging="360" w:hangingChars="150"/>
              <w:textAlignment w:val="auto"/>
              <w:rPr>
                <w:rFonts w:hint="eastAsia" w:hAnsi="宋体" w:cs="宋体"/>
                <w:color w:val="auto"/>
                <w:sz w:val="24"/>
                <w:szCs w:val="24"/>
              </w:rPr>
            </w:pPr>
            <w:r>
              <w:rPr>
                <w:rFonts w:hint="eastAsia" w:hAnsi="宋体" w:cs="宋体"/>
                <w:color w:val="auto"/>
                <w:sz w:val="24"/>
                <w:szCs w:val="24"/>
              </w:rPr>
              <w:t>（3）具有履行合同所必需的设备和专业技术能力；（提供承诺函，加盖单位公章）</w:t>
            </w:r>
          </w:p>
          <w:p w14:paraId="1A4E0456">
            <w:pPr>
              <w:pStyle w:val="226"/>
              <w:spacing w:line="400" w:lineRule="atLeast"/>
              <w:ind w:left="360" w:hanging="360" w:hangingChars="150"/>
              <w:textAlignment w:val="auto"/>
              <w:rPr>
                <w:rFonts w:hint="eastAsia" w:hAnsi="宋体" w:cs="宋体"/>
                <w:color w:val="auto"/>
                <w:sz w:val="24"/>
                <w:szCs w:val="24"/>
              </w:rPr>
            </w:pPr>
            <w:r>
              <w:rPr>
                <w:rFonts w:hint="eastAsia" w:hAnsi="宋体" w:cs="宋体"/>
                <w:color w:val="auto"/>
                <w:sz w:val="24"/>
                <w:szCs w:val="24"/>
              </w:rPr>
              <w:t>（4）有依法缴纳税收和社会保障资金的良好记录；（提供近一年任意连续三个月缴税记录及社保缴纳证明，新成立公司自成立之日起提供）</w:t>
            </w:r>
          </w:p>
          <w:p w14:paraId="3E090B78">
            <w:pPr>
              <w:pStyle w:val="226"/>
              <w:spacing w:line="400" w:lineRule="atLeast"/>
              <w:ind w:left="360" w:hanging="360" w:hangingChars="150"/>
              <w:textAlignment w:val="auto"/>
              <w:rPr>
                <w:rFonts w:hint="eastAsia" w:hAnsi="宋体" w:cs="宋体"/>
                <w:color w:val="auto"/>
                <w:sz w:val="24"/>
                <w:szCs w:val="24"/>
              </w:rPr>
            </w:pPr>
            <w:r>
              <w:rPr>
                <w:rFonts w:hint="eastAsia" w:hAnsi="宋体" w:cs="宋体"/>
                <w:color w:val="auto"/>
                <w:sz w:val="24"/>
                <w:szCs w:val="24"/>
              </w:rPr>
              <w:t>（5）参加采购活动前三年内，在经营活动中没有重大违法记录。查询渠道“中国政府采购网”、“信用中国”，被列入失信被执行人、重大税收违法案件当事人名单、政府采购严重违法失信行为记录名单的供应商，不得参与本次政府采购活动。以现场查询为准</w:t>
            </w:r>
          </w:p>
          <w:p w14:paraId="7C09C538">
            <w:pPr>
              <w:pStyle w:val="226"/>
              <w:spacing w:line="400" w:lineRule="atLeast"/>
              <w:ind w:left="360" w:hanging="360" w:hangingChars="150"/>
              <w:textAlignment w:val="auto"/>
              <w:rPr>
                <w:rFonts w:hint="eastAsia" w:hAnsi="宋体" w:cs="宋体"/>
                <w:color w:val="auto"/>
                <w:sz w:val="24"/>
                <w:szCs w:val="24"/>
              </w:rPr>
            </w:pPr>
            <w:r>
              <w:rPr>
                <w:rFonts w:hint="eastAsia" w:hAnsi="宋体" w:cs="宋体"/>
                <w:color w:val="auto"/>
                <w:sz w:val="24"/>
                <w:szCs w:val="24"/>
              </w:rPr>
              <w:t>（6）法律、行政法规规定的其他条件；（提供承诺函，格式自拟，加盖单位公章）</w:t>
            </w:r>
          </w:p>
          <w:p w14:paraId="1DDFF240">
            <w:pPr>
              <w:pStyle w:val="226"/>
              <w:spacing w:line="400" w:lineRule="atLeast"/>
              <w:ind w:left="360" w:hanging="360" w:hangingChars="150"/>
              <w:textAlignment w:val="auto"/>
              <w:rPr>
                <w:rFonts w:hint="eastAsia" w:hAnsi="宋体" w:cs="宋体"/>
                <w:color w:val="auto"/>
                <w:sz w:val="24"/>
                <w:szCs w:val="24"/>
              </w:rPr>
            </w:pPr>
            <w:r>
              <w:rPr>
                <w:rFonts w:hint="eastAsia" w:hAnsi="宋体" w:cs="宋体"/>
                <w:color w:val="auto"/>
                <w:sz w:val="24"/>
                <w:szCs w:val="24"/>
              </w:rPr>
              <w:t>（7）不允许联合体投标；（提供承诺函，格式自拟，加盖单位公章）</w:t>
            </w:r>
          </w:p>
          <w:p w14:paraId="335D534C">
            <w:pPr>
              <w:pStyle w:val="226"/>
              <w:spacing w:line="400" w:lineRule="atLeast"/>
              <w:ind w:left="360" w:hanging="360" w:hangingChars="150"/>
              <w:textAlignment w:val="auto"/>
              <w:rPr>
                <w:rFonts w:hint="eastAsia" w:hAnsi="宋体" w:cs="宋体"/>
                <w:color w:val="auto"/>
                <w:sz w:val="24"/>
                <w:szCs w:val="24"/>
              </w:rPr>
            </w:pPr>
            <w:r>
              <w:rPr>
                <w:rFonts w:hint="eastAsia" w:hAnsi="宋体" w:cs="宋体"/>
                <w:color w:val="auto"/>
                <w:sz w:val="24"/>
                <w:szCs w:val="24"/>
              </w:rPr>
              <w:t>（8）单位负责人为同一人或者存在直接控股、管理关系的不同</w:t>
            </w:r>
            <w:r>
              <w:rPr>
                <w:rFonts w:hint="eastAsia" w:hAnsi="宋体" w:cs="宋体"/>
                <w:color w:val="auto"/>
                <w:sz w:val="24"/>
                <w:szCs w:val="24"/>
                <w:lang w:val="en-US" w:eastAsia="zh-CN"/>
              </w:rPr>
              <w:t>供应商</w:t>
            </w:r>
            <w:r>
              <w:rPr>
                <w:rFonts w:hint="eastAsia" w:hAnsi="宋体" w:cs="宋体"/>
                <w:color w:val="auto"/>
                <w:sz w:val="24"/>
                <w:szCs w:val="24"/>
              </w:rPr>
              <w:t>，不得参加同一合同项下的政府采购活动（提供承诺函，格式自拟，加盖单位公章）</w:t>
            </w:r>
          </w:p>
          <w:p w14:paraId="1E51607B">
            <w:pPr>
              <w:pStyle w:val="226"/>
              <w:spacing w:line="400" w:lineRule="atLeast"/>
              <w:ind w:left="360" w:hanging="360" w:hangingChars="150"/>
              <w:textAlignment w:val="auto"/>
              <w:rPr>
                <w:rFonts w:hint="eastAsia" w:hAnsi="宋体" w:cs="宋体"/>
                <w:color w:val="auto"/>
                <w:sz w:val="24"/>
                <w:szCs w:val="24"/>
              </w:rPr>
            </w:pPr>
            <w:r>
              <w:rPr>
                <w:rFonts w:hint="eastAsia" w:hAnsi="宋体" w:cs="宋体"/>
                <w:color w:val="auto"/>
                <w:sz w:val="24"/>
                <w:szCs w:val="24"/>
              </w:rPr>
              <w:t>（9）落实政府采购政策需满足的资格要求：本项目专门面向中小企业，提供《中小企业声明函》。</w:t>
            </w:r>
          </w:p>
          <w:p w14:paraId="32EF084E">
            <w:pPr>
              <w:pStyle w:val="226"/>
              <w:spacing w:line="400" w:lineRule="atLeast"/>
              <w:ind w:left="360" w:hanging="360" w:hangingChars="150"/>
              <w:textAlignment w:val="auto"/>
              <w:rPr>
                <w:rFonts w:hint="eastAsia" w:hAnsi="宋体" w:cs="宋体"/>
                <w:color w:val="auto"/>
                <w:sz w:val="24"/>
                <w:szCs w:val="24"/>
              </w:rPr>
            </w:pPr>
            <w:r>
              <w:rPr>
                <w:rFonts w:hint="eastAsia" w:hAnsi="宋体" w:cs="宋体"/>
                <w:color w:val="auto"/>
                <w:sz w:val="24"/>
                <w:szCs w:val="24"/>
              </w:rPr>
              <w:t>（10）本项目的特定资格要求：无</w:t>
            </w:r>
          </w:p>
        </w:tc>
      </w:tr>
      <w:tr w14:paraId="4A0539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jc w:val="center"/>
        </w:trPr>
        <w:tc>
          <w:tcPr>
            <w:tcW w:w="728" w:type="dxa"/>
            <w:tcBorders>
              <w:top w:val="single" w:color="auto" w:sz="4" w:space="0"/>
              <w:left w:val="single" w:color="auto" w:sz="4" w:space="0"/>
              <w:bottom w:val="single" w:color="auto" w:sz="4" w:space="0"/>
              <w:right w:val="single" w:color="auto" w:sz="4" w:space="0"/>
            </w:tcBorders>
            <w:vAlign w:val="center"/>
          </w:tcPr>
          <w:p w14:paraId="043A6F1B">
            <w:pPr>
              <w:jc w:val="center"/>
              <w:rPr>
                <w:rFonts w:hint="eastAsia" w:ascii="宋体" w:hAnsi="宋体" w:cs="宋体"/>
                <w:sz w:val="24"/>
                <w:szCs w:val="24"/>
              </w:rPr>
            </w:pPr>
            <w:r>
              <w:rPr>
                <w:rFonts w:hint="eastAsia" w:ascii="宋体" w:hAnsi="宋体" w:cs="宋体"/>
                <w:sz w:val="24"/>
                <w:szCs w:val="24"/>
              </w:rPr>
              <w:t>8</w:t>
            </w:r>
          </w:p>
        </w:tc>
        <w:tc>
          <w:tcPr>
            <w:tcW w:w="9371" w:type="dxa"/>
            <w:tcBorders>
              <w:top w:val="single" w:color="auto" w:sz="4" w:space="0"/>
              <w:left w:val="single" w:color="auto" w:sz="4" w:space="0"/>
              <w:bottom w:val="single" w:color="auto" w:sz="4" w:space="0"/>
              <w:right w:val="single" w:color="auto" w:sz="4" w:space="0"/>
            </w:tcBorders>
            <w:vAlign w:val="center"/>
          </w:tcPr>
          <w:p w14:paraId="50C4FF07">
            <w:pPr>
              <w:snapToGrid w:val="0"/>
              <w:ind w:left="325" w:hanging="324" w:hangingChars="135"/>
              <w:rPr>
                <w:rFonts w:hint="eastAsia" w:ascii="宋体" w:hAnsi="宋体" w:cs="宋体"/>
                <w:b/>
                <w:bCs/>
                <w:sz w:val="24"/>
                <w:szCs w:val="24"/>
              </w:rPr>
            </w:pPr>
            <w:r>
              <w:rPr>
                <w:rFonts w:hint="eastAsia" w:ascii="宋体" w:hAnsi="宋体" w:cs="宋体"/>
                <w:b/>
                <w:bCs/>
                <w:sz w:val="24"/>
                <w:szCs w:val="24"/>
              </w:rPr>
              <w:t>注意事项：</w:t>
            </w:r>
          </w:p>
          <w:p w14:paraId="30788D6E">
            <w:pPr>
              <w:snapToGrid w:val="0"/>
              <w:ind w:left="422" w:hanging="420" w:hangingChars="175"/>
              <w:rPr>
                <w:rFonts w:hint="eastAsia" w:ascii="宋体" w:hAnsi="宋体" w:cs="宋体"/>
                <w:b/>
                <w:sz w:val="24"/>
                <w:szCs w:val="24"/>
              </w:rPr>
            </w:pPr>
            <w:r>
              <w:rPr>
                <w:rFonts w:hint="eastAsia" w:ascii="宋体" w:hAnsi="宋体" w:cs="宋体"/>
                <w:b/>
                <w:sz w:val="24"/>
                <w:szCs w:val="24"/>
              </w:rPr>
              <w:t>1、本项目为电子招投标项目，</w:t>
            </w:r>
            <w:r>
              <w:rPr>
                <w:rFonts w:hint="eastAsia" w:ascii="宋体" w:hAnsi="宋体" w:cs="宋体"/>
                <w:b/>
                <w:sz w:val="24"/>
                <w:szCs w:val="24"/>
                <w:lang w:eastAsia="zh-CN"/>
              </w:rPr>
              <w:t>供应商</w:t>
            </w:r>
            <w:r>
              <w:rPr>
                <w:rFonts w:hint="eastAsia" w:ascii="宋体" w:hAnsi="宋体" w:cs="宋体"/>
                <w:b/>
                <w:sz w:val="24"/>
                <w:szCs w:val="24"/>
              </w:rPr>
              <w:t>需要使用CA加密设备，凡参加本项目</w:t>
            </w:r>
            <w:r>
              <w:rPr>
                <w:rFonts w:hint="eastAsia" w:ascii="宋体" w:hAnsi="宋体" w:cs="宋体"/>
                <w:b/>
                <w:sz w:val="24"/>
                <w:szCs w:val="24"/>
                <w:lang w:eastAsia="zh-CN"/>
              </w:rPr>
              <w:t>供应商</w:t>
            </w:r>
            <w:r>
              <w:rPr>
                <w:rFonts w:hint="eastAsia" w:ascii="宋体" w:hAnsi="宋体" w:cs="宋体"/>
                <w:b/>
                <w:sz w:val="24"/>
                <w:szCs w:val="24"/>
              </w:rPr>
              <w:t>可自主通过新疆CA申领渠道“新疆政务通”申请政采云平台可使用的CA设备。如有操作性问题可与政采云在线客服进行咨询，咨询电话：95763。</w:t>
            </w:r>
          </w:p>
          <w:p w14:paraId="1BD67F4B">
            <w:pPr>
              <w:snapToGrid w:val="0"/>
              <w:ind w:left="422" w:hanging="420" w:hangingChars="175"/>
              <w:rPr>
                <w:rFonts w:hint="eastAsia" w:ascii="宋体" w:hAnsi="宋体" w:cs="宋体"/>
                <w:b/>
                <w:sz w:val="24"/>
                <w:szCs w:val="24"/>
              </w:rPr>
            </w:pPr>
            <w:r>
              <w:rPr>
                <w:rFonts w:hint="eastAsia" w:ascii="宋体" w:hAnsi="宋体" w:cs="宋体"/>
                <w:b/>
                <w:sz w:val="24"/>
                <w:szCs w:val="24"/>
              </w:rPr>
              <w:t>2、本项目实行网上投标，采用电子投标文件，若</w:t>
            </w:r>
            <w:r>
              <w:rPr>
                <w:rFonts w:hint="eastAsia" w:ascii="宋体" w:hAnsi="宋体" w:cs="宋体"/>
                <w:b/>
                <w:sz w:val="24"/>
                <w:szCs w:val="24"/>
                <w:lang w:eastAsia="zh-CN"/>
              </w:rPr>
              <w:t>供应商</w:t>
            </w:r>
            <w:r>
              <w:rPr>
                <w:rFonts w:hint="eastAsia" w:ascii="宋体" w:hAnsi="宋体" w:cs="宋体"/>
                <w:b/>
                <w:sz w:val="24"/>
                <w:szCs w:val="24"/>
              </w:rPr>
              <w:t>参与投标，自行承担投标一切费用。</w:t>
            </w:r>
          </w:p>
          <w:p w14:paraId="0EDE1AEB">
            <w:pPr>
              <w:snapToGrid w:val="0"/>
              <w:ind w:left="422" w:hanging="420" w:hangingChars="175"/>
              <w:rPr>
                <w:rFonts w:hint="eastAsia" w:ascii="宋体" w:hAnsi="宋体" w:cs="宋体"/>
                <w:b/>
                <w:sz w:val="24"/>
                <w:szCs w:val="24"/>
              </w:rPr>
            </w:pPr>
            <w:r>
              <w:rPr>
                <w:rFonts w:hint="eastAsia" w:ascii="宋体" w:hAnsi="宋体" w:cs="宋体"/>
                <w:b/>
                <w:sz w:val="24"/>
                <w:szCs w:val="24"/>
              </w:rPr>
              <w:t>3、各</w:t>
            </w:r>
            <w:r>
              <w:rPr>
                <w:rFonts w:hint="eastAsia" w:ascii="宋体" w:hAnsi="宋体" w:cs="宋体"/>
                <w:b/>
                <w:sz w:val="24"/>
                <w:szCs w:val="24"/>
                <w:lang w:eastAsia="zh-CN"/>
              </w:rPr>
              <w:t>供应商</w:t>
            </w:r>
            <w:r>
              <w:rPr>
                <w:rFonts w:hint="eastAsia" w:ascii="宋体" w:hAnsi="宋体" w:cs="宋体"/>
                <w:b/>
                <w:sz w:val="24"/>
                <w:szCs w:val="24"/>
              </w:rPr>
              <w:t>应在开标前应确保成为新疆政府采购网正式注册入库</w:t>
            </w:r>
            <w:r>
              <w:rPr>
                <w:rFonts w:hint="eastAsia" w:ascii="宋体" w:hAnsi="宋体" w:cs="宋体"/>
                <w:b/>
                <w:sz w:val="24"/>
                <w:szCs w:val="24"/>
                <w:lang w:eastAsia="zh-CN"/>
              </w:rPr>
              <w:t>供应商</w:t>
            </w:r>
            <w:r>
              <w:rPr>
                <w:rFonts w:hint="eastAsia" w:ascii="宋体" w:hAnsi="宋体" w:cs="宋体"/>
                <w:b/>
                <w:sz w:val="24"/>
                <w:szCs w:val="24"/>
              </w:rPr>
              <w:t>，并完成CA数字证书申领。因未注册入库、未办理CA数字证书等原因造成无法投标或投标失败等后果由</w:t>
            </w:r>
            <w:r>
              <w:rPr>
                <w:rFonts w:hint="eastAsia" w:ascii="宋体" w:hAnsi="宋体" w:cs="宋体"/>
                <w:b/>
                <w:sz w:val="24"/>
                <w:szCs w:val="24"/>
                <w:lang w:eastAsia="zh-CN"/>
              </w:rPr>
              <w:t>供应商</w:t>
            </w:r>
            <w:r>
              <w:rPr>
                <w:rFonts w:hint="eastAsia" w:ascii="宋体" w:hAnsi="宋体" w:cs="宋体"/>
                <w:b/>
                <w:sz w:val="24"/>
                <w:szCs w:val="24"/>
              </w:rPr>
              <w:t>自行承担。</w:t>
            </w:r>
          </w:p>
          <w:p w14:paraId="79BB6576">
            <w:pPr>
              <w:snapToGrid w:val="0"/>
              <w:ind w:left="422" w:hanging="420" w:hangingChars="175"/>
              <w:rPr>
                <w:rFonts w:hint="eastAsia" w:ascii="宋体" w:hAnsi="宋体" w:cs="宋体"/>
                <w:b/>
                <w:sz w:val="24"/>
                <w:szCs w:val="24"/>
              </w:rPr>
            </w:pPr>
            <w:r>
              <w:rPr>
                <w:rFonts w:hint="eastAsia" w:ascii="宋体" w:hAnsi="宋体" w:cs="宋体"/>
                <w:b/>
                <w:sz w:val="24"/>
                <w:szCs w:val="24"/>
              </w:rPr>
              <w:t>4、</w:t>
            </w:r>
            <w:r>
              <w:rPr>
                <w:rFonts w:hint="eastAsia" w:ascii="宋体" w:hAnsi="宋体" w:cs="宋体"/>
                <w:b/>
                <w:sz w:val="24"/>
                <w:szCs w:val="24"/>
                <w:lang w:eastAsia="zh-CN"/>
              </w:rPr>
              <w:t>供应商</w:t>
            </w:r>
            <w:r>
              <w:rPr>
                <w:rFonts w:hint="eastAsia" w:ascii="宋体" w:hAnsi="宋体" w:cs="宋体"/>
                <w:b/>
                <w:sz w:val="24"/>
                <w:szCs w:val="24"/>
              </w:rPr>
              <w:t>将政采云电子交易客户端下载、安装完成后，可通过账号密码或CA登录客户端进行投标文件制作。在使用政采云投标客户端时，建议使用WIN7及以上操作系统。客户端请至新疆政府采购网（www.ccgp-xinjiang.gov.cn）下载专区查看，如有问题可拨打政采云客户服务热线95763进行咨询。</w:t>
            </w:r>
          </w:p>
          <w:p w14:paraId="253053A2">
            <w:pPr>
              <w:snapToGrid w:val="0"/>
              <w:ind w:left="422" w:hanging="420" w:hangingChars="175"/>
              <w:rPr>
                <w:rFonts w:hint="eastAsia" w:ascii="宋体" w:hAnsi="宋体" w:cs="宋体"/>
                <w:spacing w:val="8"/>
                <w:sz w:val="24"/>
                <w:szCs w:val="24"/>
              </w:rPr>
            </w:pPr>
            <w:r>
              <w:rPr>
                <w:rFonts w:hint="eastAsia" w:ascii="宋体" w:hAnsi="宋体" w:cs="宋体"/>
                <w:b/>
                <w:sz w:val="24"/>
                <w:szCs w:val="24"/>
              </w:rPr>
              <w:t>5、各</w:t>
            </w:r>
            <w:r>
              <w:rPr>
                <w:rFonts w:hint="eastAsia" w:ascii="宋体" w:hAnsi="宋体" w:cs="宋体"/>
                <w:b/>
                <w:sz w:val="24"/>
                <w:szCs w:val="24"/>
                <w:lang w:eastAsia="zh-CN"/>
              </w:rPr>
              <w:t>供应商</w:t>
            </w:r>
            <w:r>
              <w:rPr>
                <w:rFonts w:hint="eastAsia" w:ascii="宋体" w:hAnsi="宋体" w:cs="宋体"/>
                <w:b/>
                <w:sz w:val="24"/>
                <w:szCs w:val="24"/>
              </w:rPr>
              <w:t>须在开标时间在政采云平台自行解密文件。</w:t>
            </w:r>
          </w:p>
        </w:tc>
      </w:tr>
      <w:tr w14:paraId="65BAA4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8" w:type="dxa"/>
            <w:tcBorders>
              <w:top w:val="single" w:color="auto" w:sz="4" w:space="0"/>
              <w:left w:val="single" w:color="auto" w:sz="4" w:space="0"/>
              <w:bottom w:val="single" w:color="auto" w:sz="4" w:space="0"/>
              <w:right w:val="single" w:color="auto" w:sz="4" w:space="0"/>
            </w:tcBorders>
            <w:vAlign w:val="center"/>
          </w:tcPr>
          <w:p w14:paraId="45857B07">
            <w:pPr>
              <w:jc w:val="center"/>
              <w:rPr>
                <w:rFonts w:hint="eastAsia" w:ascii="宋体" w:hAnsi="宋体" w:cs="宋体"/>
                <w:sz w:val="24"/>
                <w:szCs w:val="24"/>
              </w:rPr>
            </w:pPr>
            <w:r>
              <w:rPr>
                <w:rFonts w:hint="eastAsia" w:ascii="宋体" w:hAnsi="宋体" w:cs="宋体"/>
                <w:sz w:val="24"/>
                <w:szCs w:val="24"/>
              </w:rPr>
              <w:t>9</w:t>
            </w:r>
          </w:p>
        </w:tc>
        <w:tc>
          <w:tcPr>
            <w:tcW w:w="9371" w:type="dxa"/>
            <w:tcBorders>
              <w:top w:val="single" w:color="auto" w:sz="4" w:space="0"/>
              <w:left w:val="single" w:color="auto" w:sz="4" w:space="0"/>
              <w:bottom w:val="single" w:color="auto" w:sz="4" w:space="0"/>
              <w:right w:val="single" w:color="auto" w:sz="4" w:space="0"/>
            </w:tcBorders>
            <w:vAlign w:val="center"/>
          </w:tcPr>
          <w:p w14:paraId="2CCD942F">
            <w:pPr>
              <w:rPr>
                <w:rFonts w:hint="eastAsia" w:ascii="宋体" w:hAnsi="宋体" w:cs="宋体"/>
                <w:b/>
                <w:sz w:val="24"/>
                <w:szCs w:val="24"/>
              </w:rPr>
            </w:pPr>
            <w:r>
              <w:rPr>
                <w:rFonts w:hint="eastAsia" w:ascii="宋体" w:hAnsi="宋体" w:cs="宋体"/>
                <w:b/>
                <w:sz w:val="24"/>
                <w:szCs w:val="24"/>
              </w:rPr>
              <w:t>谈判响应有效期90天（如不满足将导致废标）</w:t>
            </w:r>
          </w:p>
        </w:tc>
      </w:tr>
      <w:tr w14:paraId="6C4C79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8" w:type="dxa"/>
            <w:tcBorders>
              <w:top w:val="single" w:color="auto" w:sz="4" w:space="0"/>
              <w:left w:val="single" w:color="auto" w:sz="4" w:space="0"/>
              <w:bottom w:val="single" w:color="auto" w:sz="4" w:space="0"/>
              <w:right w:val="single" w:color="auto" w:sz="4" w:space="0"/>
            </w:tcBorders>
            <w:vAlign w:val="center"/>
          </w:tcPr>
          <w:p w14:paraId="64A87DEC">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10</w:t>
            </w:r>
          </w:p>
        </w:tc>
        <w:tc>
          <w:tcPr>
            <w:tcW w:w="9371" w:type="dxa"/>
            <w:tcBorders>
              <w:top w:val="single" w:color="auto" w:sz="4" w:space="0"/>
              <w:left w:val="single" w:color="auto" w:sz="4" w:space="0"/>
              <w:bottom w:val="single" w:color="auto" w:sz="4" w:space="0"/>
              <w:right w:val="single" w:color="auto" w:sz="4" w:space="0"/>
            </w:tcBorders>
            <w:vAlign w:val="center"/>
          </w:tcPr>
          <w:p w14:paraId="45005AD9">
            <w:pPr>
              <w:rPr>
                <w:rFonts w:hint="eastAsia" w:ascii="宋体" w:hAnsi="宋体" w:eastAsia="宋体" w:cs="宋体"/>
                <w:b/>
                <w:sz w:val="24"/>
                <w:szCs w:val="24"/>
                <w:lang w:eastAsia="zh-CN"/>
              </w:rPr>
            </w:pPr>
            <w:r>
              <w:rPr>
                <w:rFonts w:hint="eastAsia" w:ascii="宋体" w:hAnsi="宋体" w:cs="宋体"/>
                <w:b/>
                <w:sz w:val="24"/>
                <w:szCs w:val="24"/>
              </w:rPr>
              <w:t>所属行业：</w:t>
            </w:r>
            <w:r>
              <w:rPr>
                <w:rFonts w:hint="eastAsia" w:ascii="宋体" w:hAnsi="宋体" w:cs="宋体"/>
                <w:b/>
                <w:sz w:val="24"/>
                <w:szCs w:val="24"/>
                <w:lang w:val="en-US" w:eastAsia="zh-CN"/>
              </w:rPr>
              <w:t>工业</w:t>
            </w:r>
          </w:p>
        </w:tc>
      </w:tr>
      <w:tr w14:paraId="0E783B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8" w:type="dxa"/>
            <w:tcBorders>
              <w:top w:val="single" w:color="auto" w:sz="4" w:space="0"/>
              <w:left w:val="single" w:color="auto" w:sz="4" w:space="0"/>
              <w:bottom w:val="single" w:color="auto" w:sz="4" w:space="0"/>
              <w:right w:val="single" w:color="auto" w:sz="4" w:space="0"/>
            </w:tcBorders>
            <w:vAlign w:val="center"/>
          </w:tcPr>
          <w:p w14:paraId="443F9292">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11</w:t>
            </w:r>
          </w:p>
        </w:tc>
        <w:tc>
          <w:tcPr>
            <w:tcW w:w="9371" w:type="dxa"/>
            <w:tcBorders>
              <w:top w:val="single" w:color="auto" w:sz="4" w:space="0"/>
              <w:left w:val="single" w:color="auto" w:sz="4" w:space="0"/>
              <w:bottom w:val="single" w:color="auto" w:sz="4" w:space="0"/>
              <w:right w:val="single" w:color="auto" w:sz="4" w:space="0"/>
            </w:tcBorders>
            <w:vAlign w:val="center"/>
          </w:tcPr>
          <w:p w14:paraId="55E6B345">
            <w:pPr>
              <w:rPr>
                <w:rFonts w:hint="eastAsia" w:ascii="宋体" w:hAnsi="宋体" w:cs="宋体"/>
                <w:sz w:val="24"/>
                <w:szCs w:val="24"/>
              </w:rPr>
            </w:pPr>
            <w:r>
              <w:rPr>
                <w:rFonts w:hint="eastAsia" w:ascii="宋体" w:hAnsi="宋体" w:cs="宋体"/>
                <w:sz w:val="24"/>
                <w:szCs w:val="24"/>
              </w:rPr>
              <w:t>谈判响应文件：政采云平台电子谈判响应文件</w:t>
            </w:r>
          </w:p>
        </w:tc>
      </w:tr>
      <w:tr w14:paraId="58A40A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 w:hRule="atLeast"/>
          <w:jc w:val="center"/>
        </w:trPr>
        <w:tc>
          <w:tcPr>
            <w:tcW w:w="728" w:type="dxa"/>
            <w:tcBorders>
              <w:top w:val="single" w:color="auto" w:sz="4" w:space="0"/>
              <w:left w:val="single" w:color="auto" w:sz="4" w:space="0"/>
              <w:bottom w:val="single" w:color="auto" w:sz="4" w:space="0"/>
              <w:right w:val="single" w:color="auto" w:sz="4" w:space="0"/>
            </w:tcBorders>
            <w:vAlign w:val="center"/>
          </w:tcPr>
          <w:p w14:paraId="359B0A3B">
            <w:pPr>
              <w:jc w:val="center"/>
              <w:rPr>
                <w:rFonts w:hint="eastAsia" w:ascii="宋体" w:hAnsi="宋体" w:cs="宋体"/>
                <w:sz w:val="24"/>
                <w:szCs w:val="24"/>
              </w:rPr>
            </w:pPr>
            <w:r>
              <w:rPr>
                <w:rFonts w:hint="eastAsia" w:ascii="宋体" w:hAnsi="宋体" w:cs="宋体"/>
                <w:sz w:val="24"/>
                <w:szCs w:val="24"/>
              </w:rPr>
              <w:t>12</w:t>
            </w:r>
          </w:p>
        </w:tc>
        <w:tc>
          <w:tcPr>
            <w:tcW w:w="9371" w:type="dxa"/>
            <w:tcBorders>
              <w:top w:val="single" w:color="auto" w:sz="4" w:space="0"/>
              <w:left w:val="single" w:color="auto" w:sz="4" w:space="0"/>
              <w:bottom w:val="single" w:color="auto" w:sz="4" w:space="0"/>
              <w:right w:val="single" w:color="auto" w:sz="4" w:space="0"/>
            </w:tcBorders>
            <w:vAlign w:val="center"/>
          </w:tcPr>
          <w:p w14:paraId="17E43C59">
            <w:pPr>
              <w:rPr>
                <w:rFonts w:hint="eastAsia" w:ascii="宋体" w:hAnsi="宋体" w:cs="宋体"/>
                <w:sz w:val="24"/>
                <w:szCs w:val="24"/>
                <w:highlight w:val="none"/>
              </w:rPr>
            </w:pPr>
            <w:r>
              <w:rPr>
                <w:rFonts w:hint="eastAsia" w:ascii="宋体" w:hAnsi="宋体" w:cs="宋体"/>
                <w:sz w:val="24"/>
                <w:szCs w:val="24"/>
                <w:highlight w:val="none"/>
              </w:rPr>
              <w:t>电子谈判响应文件以加密形式递交至：政采云线上（www.zcygov.cn）</w:t>
            </w:r>
          </w:p>
          <w:p w14:paraId="29EBDDAD">
            <w:pPr>
              <w:rPr>
                <w:rFonts w:hint="eastAsia" w:ascii="宋体" w:hAnsi="宋体" w:cs="宋体"/>
                <w:sz w:val="24"/>
                <w:szCs w:val="24"/>
                <w:highlight w:val="none"/>
              </w:rPr>
            </w:pPr>
            <w:r>
              <w:rPr>
                <w:rFonts w:hint="eastAsia" w:ascii="宋体" w:hAnsi="宋体" w:cs="宋体"/>
                <w:sz w:val="24"/>
                <w:szCs w:val="24"/>
                <w:highlight w:val="none"/>
              </w:rPr>
              <w:t>谈判响应文件递交截止时间：</w:t>
            </w:r>
            <w:r>
              <w:rPr>
                <w:rFonts w:hint="eastAsia" w:ascii="宋体" w:hAnsi="宋体" w:cs="宋体"/>
                <w:sz w:val="24"/>
                <w:highlight w:val="none"/>
              </w:rPr>
              <w:t>2026年</w:t>
            </w:r>
            <w:r>
              <w:rPr>
                <w:rFonts w:hint="eastAsia" w:ascii="宋体" w:hAnsi="宋体" w:cs="宋体"/>
                <w:sz w:val="24"/>
                <w:highlight w:val="none"/>
                <w:lang w:val="en-US" w:eastAsia="zh-CN"/>
              </w:rPr>
              <w:t>10</w:t>
            </w:r>
            <w:r>
              <w:rPr>
                <w:rFonts w:hint="eastAsia" w:ascii="宋体" w:hAnsi="宋体" w:cs="宋体"/>
                <w:sz w:val="24"/>
                <w:highlight w:val="none"/>
              </w:rPr>
              <w:t>月</w:t>
            </w:r>
            <w:r>
              <w:rPr>
                <w:rFonts w:hint="eastAsia" w:ascii="宋体" w:hAnsi="宋体" w:cs="宋体"/>
                <w:sz w:val="24"/>
                <w:highlight w:val="none"/>
                <w:lang w:val="en-US" w:eastAsia="zh-CN"/>
              </w:rPr>
              <w:t>30</w:t>
            </w:r>
            <w:r>
              <w:rPr>
                <w:rFonts w:hint="eastAsia" w:ascii="宋体" w:hAnsi="宋体" w:cs="宋体"/>
                <w:sz w:val="24"/>
                <w:highlight w:val="none"/>
              </w:rPr>
              <w:t>日</w:t>
            </w:r>
            <w:r>
              <w:rPr>
                <w:rFonts w:hint="eastAsia" w:ascii="宋体" w:hAnsi="宋体" w:cs="宋体"/>
                <w:sz w:val="24"/>
                <w:highlight w:val="none"/>
                <w:lang w:val="en-US" w:eastAsia="zh-CN"/>
              </w:rPr>
              <w:t>10</w:t>
            </w:r>
            <w:r>
              <w:rPr>
                <w:rFonts w:hint="eastAsia" w:ascii="宋体" w:hAnsi="宋体" w:cs="宋体"/>
                <w:sz w:val="24"/>
                <w:highlight w:val="none"/>
              </w:rPr>
              <w:t>时</w:t>
            </w:r>
            <w:r>
              <w:rPr>
                <w:rFonts w:hint="eastAsia" w:ascii="宋体" w:hAnsi="宋体" w:cs="宋体"/>
                <w:sz w:val="24"/>
                <w:highlight w:val="none"/>
                <w:lang w:val="en-US" w:eastAsia="zh-CN"/>
              </w:rPr>
              <w:t>30分</w:t>
            </w:r>
            <w:r>
              <w:rPr>
                <w:rFonts w:hint="eastAsia" w:ascii="宋体" w:hAnsi="宋体" w:cs="宋体"/>
                <w:sz w:val="24"/>
                <w:highlight w:val="none"/>
              </w:rPr>
              <w:t>（北京时间）</w:t>
            </w:r>
          </w:p>
        </w:tc>
      </w:tr>
      <w:tr w14:paraId="71585A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 w:hRule="atLeast"/>
          <w:jc w:val="center"/>
        </w:trPr>
        <w:tc>
          <w:tcPr>
            <w:tcW w:w="728" w:type="dxa"/>
            <w:tcBorders>
              <w:top w:val="single" w:color="auto" w:sz="4" w:space="0"/>
              <w:left w:val="single" w:color="auto" w:sz="4" w:space="0"/>
              <w:bottom w:val="single" w:color="auto" w:sz="4" w:space="0"/>
              <w:right w:val="single" w:color="auto" w:sz="4" w:space="0"/>
            </w:tcBorders>
            <w:vAlign w:val="center"/>
          </w:tcPr>
          <w:p w14:paraId="282BADEC">
            <w:pPr>
              <w:jc w:val="center"/>
              <w:rPr>
                <w:rFonts w:hint="eastAsia" w:ascii="宋体" w:hAnsi="宋体" w:cs="宋体"/>
                <w:sz w:val="24"/>
                <w:szCs w:val="24"/>
              </w:rPr>
            </w:pPr>
            <w:r>
              <w:rPr>
                <w:rFonts w:hint="eastAsia" w:ascii="宋体" w:hAnsi="宋体" w:cs="宋体"/>
                <w:sz w:val="24"/>
                <w:szCs w:val="24"/>
              </w:rPr>
              <w:t>13</w:t>
            </w:r>
          </w:p>
        </w:tc>
        <w:tc>
          <w:tcPr>
            <w:tcW w:w="9371" w:type="dxa"/>
            <w:tcBorders>
              <w:top w:val="single" w:color="auto" w:sz="4" w:space="0"/>
              <w:left w:val="single" w:color="auto" w:sz="4" w:space="0"/>
              <w:bottom w:val="single" w:color="auto" w:sz="4" w:space="0"/>
              <w:right w:val="single" w:color="auto" w:sz="4" w:space="0"/>
            </w:tcBorders>
            <w:vAlign w:val="center"/>
          </w:tcPr>
          <w:p w14:paraId="2EBC05EF">
            <w:pPr>
              <w:rPr>
                <w:rFonts w:hint="eastAsia" w:ascii="宋体" w:hAnsi="宋体" w:cs="宋体"/>
                <w:sz w:val="24"/>
                <w:szCs w:val="24"/>
                <w:highlight w:val="none"/>
              </w:rPr>
            </w:pPr>
            <w:r>
              <w:rPr>
                <w:rFonts w:hint="eastAsia" w:ascii="宋体" w:hAnsi="宋体" w:cs="宋体"/>
                <w:sz w:val="24"/>
                <w:szCs w:val="24"/>
                <w:highlight w:val="none"/>
              </w:rPr>
              <w:t>谈判响应文件开启时间：</w:t>
            </w:r>
            <w:r>
              <w:rPr>
                <w:rFonts w:hint="eastAsia" w:ascii="宋体" w:hAnsi="宋体" w:cs="宋体"/>
                <w:sz w:val="24"/>
                <w:highlight w:val="none"/>
              </w:rPr>
              <w:t>2026年</w:t>
            </w:r>
            <w:r>
              <w:rPr>
                <w:rFonts w:hint="eastAsia" w:ascii="宋体" w:hAnsi="宋体" w:cs="宋体"/>
                <w:sz w:val="24"/>
                <w:highlight w:val="none"/>
                <w:lang w:val="en-US" w:eastAsia="zh-CN"/>
              </w:rPr>
              <w:t>10</w:t>
            </w:r>
            <w:r>
              <w:rPr>
                <w:rFonts w:hint="eastAsia" w:ascii="宋体" w:hAnsi="宋体" w:cs="宋体"/>
                <w:sz w:val="24"/>
                <w:highlight w:val="none"/>
              </w:rPr>
              <w:t>月</w:t>
            </w:r>
            <w:r>
              <w:rPr>
                <w:rFonts w:hint="eastAsia" w:ascii="宋体" w:hAnsi="宋体" w:cs="宋体"/>
                <w:sz w:val="24"/>
                <w:highlight w:val="none"/>
                <w:lang w:val="en-US" w:eastAsia="zh-CN"/>
              </w:rPr>
              <w:t>30</w:t>
            </w:r>
            <w:r>
              <w:rPr>
                <w:rFonts w:hint="eastAsia" w:ascii="宋体" w:hAnsi="宋体" w:cs="宋体"/>
                <w:sz w:val="24"/>
                <w:highlight w:val="none"/>
              </w:rPr>
              <w:t>日</w:t>
            </w:r>
            <w:r>
              <w:rPr>
                <w:rFonts w:hint="eastAsia" w:ascii="宋体" w:hAnsi="宋体" w:cs="宋体"/>
                <w:sz w:val="24"/>
                <w:highlight w:val="none"/>
                <w:lang w:val="en-US" w:eastAsia="zh-CN"/>
              </w:rPr>
              <w:t>10</w:t>
            </w:r>
            <w:r>
              <w:rPr>
                <w:rFonts w:hint="eastAsia" w:ascii="宋体" w:hAnsi="宋体" w:cs="宋体"/>
                <w:sz w:val="24"/>
                <w:highlight w:val="none"/>
              </w:rPr>
              <w:t>时</w:t>
            </w:r>
            <w:r>
              <w:rPr>
                <w:rFonts w:hint="eastAsia" w:ascii="宋体" w:hAnsi="宋体" w:cs="宋体"/>
                <w:sz w:val="24"/>
                <w:highlight w:val="none"/>
                <w:lang w:val="en-US" w:eastAsia="zh-CN"/>
              </w:rPr>
              <w:t>30分</w:t>
            </w:r>
            <w:r>
              <w:rPr>
                <w:rFonts w:hint="eastAsia" w:ascii="宋体" w:hAnsi="宋体" w:cs="宋体"/>
                <w:sz w:val="24"/>
                <w:highlight w:val="none"/>
              </w:rPr>
              <w:t>（北京时间）</w:t>
            </w:r>
          </w:p>
          <w:p w14:paraId="7E3C7B6F">
            <w:pPr>
              <w:rPr>
                <w:rFonts w:hint="eastAsia" w:ascii="宋体" w:hAnsi="宋体" w:cs="宋体"/>
                <w:sz w:val="24"/>
                <w:highlight w:val="none"/>
              </w:rPr>
            </w:pPr>
            <w:r>
              <w:rPr>
                <w:rFonts w:hint="eastAsia" w:ascii="宋体" w:hAnsi="宋体" w:cs="宋体"/>
                <w:sz w:val="24"/>
                <w:szCs w:val="24"/>
                <w:highlight w:val="none"/>
              </w:rPr>
              <w:t>谈判响应文件开启地点：政采云线上</w:t>
            </w:r>
            <w:r>
              <w:rPr>
                <w:rFonts w:hint="eastAsia" w:ascii="宋体" w:hAnsi="宋体" w:cs="宋体"/>
                <w:sz w:val="24"/>
                <w:szCs w:val="22"/>
                <w:highlight w:val="none"/>
              </w:rPr>
              <w:t>（www.zcygov.cn）</w:t>
            </w:r>
          </w:p>
        </w:tc>
      </w:tr>
      <w:tr w14:paraId="743622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 w:hRule="atLeast"/>
          <w:jc w:val="center"/>
        </w:trPr>
        <w:tc>
          <w:tcPr>
            <w:tcW w:w="728" w:type="dxa"/>
            <w:tcBorders>
              <w:top w:val="single" w:color="auto" w:sz="4" w:space="0"/>
              <w:left w:val="single" w:color="auto" w:sz="4" w:space="0"/>
              <w:bottom w:val="single" w:color="auto" w:sz="4" w:space="0"/>
              <w:right w:val="single" w:color="auto" w:sz="4" w:space="0"/>
            </w:tcBorders>
            <w:vAlign w:val="center"/>
          </w:tcPr>
          <w:p w14:paraId="65A0E9C0">
            <w:pPr>
              <w:jc w:val="center"/>
              <w:rPr>
                <w:rFonts w:hint="eastAsia" w:ascii="宋体" w:hAnsi="宋体" w:cs="宋体"/>
                <w:sz w:val="24"/>
                <w:szCs w:val="24"/>
              </w:rPr>
            </w:pPr>
            <w:r>
              <w:rPr>
                <w:rFonts w:hint="eastAsia" w:ascii="宋体" w:hAnsi="宋体" w:cs="宋体"/>
                <w:sz w:val="24"/>
                <w:szCs w:val="24"/>
              </w:rPr>
              <w:t>14</w:t>
            </w:r>
          </w:p>
        </w:tc>
        <w:tc>
          <w:tcPr>
            <w:tcW w:w="9371" w:type="dxa"/>
            <w:tcBorders>
              <w:top w:val="single" w:color="auto" w:sz="4" w:space="0"/>
              <w:left w:val="single" w:color="auto" w:sz="4" w:space="0"/>
              <w:bottom w:val="single" w:color="auto" w:sz="4" w:space="0"/>
              <w:right w:val="single" w:color="auto" w:sz="4" w:space="0"/>
            </w:tcBorders>
            <w:vAlign w:val="center"/>
          </w:tcPr>
          <w:p w14:paraId="69346541">
            <w:pPr>
              <w:rPr>
                <w:rFonts w:ascii="Arial" w:hAnsi="Arial" w:cs="Arial"/>
                <w:sz w:val="24"/>
                <w:szCs w:val="24"/>
                <w:highlight w:val="none"/>
              </w:rPr>
            </w:pPr>
            <w:r>
              <w:rPr>
                <w:rFonts w:hint="eastAsia" w:ascii="Arial" w:hAnsi="Arial" w:cs="Arial"/>
                <w:sz w:val="24"/>
                <w:szCs w:val="24"/>
                <w:highlight w:val="none"/>
              </w:rPr>
              <w:t>履约保证金：</w:t>
            </w:r>
          </w:p>
          <w:p w14:paraId="1A1D6E25">
            <w:pPr>
              <w:pStyle w:val="19"/>
              <w:ind w:firstLine="0" w:firstLineChars="0"/>
              <w:rPr>
                <w:rFonts w:ascii="Arial" w:hAnsi="Arial" w:cs="Arial"/>
                <w:sz w:val="24"/>
                <w:highlight w:val="none"/>
              </w:rPr>
            </w:pPr>
            <w:r>
              <w:rPr>
                <w:rFonts w:hint="eastAsia" w:ascii="Arial" w:hAnsi="Arial" w:cs="Arial"/>
                <w:sz w:val="24"/>
                <w:highlight w:val="none"/>
              </w:rPr>
              <w:t>履约保证金金额：合同价款的10%</w:t>
            </w:r>
          </w:p>
          <w:p w14:paraId="76173AC2">
            <w:pPr>
              <w:rPr>
                <w:rFonts w:hint="eastAsia" w:ascii="宋体" w:hAnsi="宋体" w:cs="宋体"/>
                <w:sz w:val="24"/>
                <w:szCs w:val="24"/>
                <w:highlight w:val="none"/>
              </w:rPr>
            </w:pPr>
            <w:r>
              <w:rPr>
                <w:rFonts w:hint="eastAsia" w:ascii="Arial" w:hAnsi="Arial" w:cs="Arial"/>
                <w:sz w:val="24"/>
                <w:szCs w:val="24"/>
                <w:highlight w:val="none"/>
              </w:rPr>
              <w:t>履约保证金形式：可以电汇、支票、汇票、本票或者金融机构、担保机构出具的保函等国家规定的非现金形式缴纳，合同到期后按合同条款履约无问题一次性无息退付。</w:t>
            </w:r>
          </w:p>
        </w:tc>
      </w:tr>
      <w:tr w14:paraId="7F758E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 w:hRule="atLeast"/>
          <w:jc w:val="center"/>
        </w:trPr>
        <w:tc>
          <w:tcPr>
            <w:tcW w:w="728" w:type="dxa"/>
            <w:tcBorders>
              <w:top w:val="single" w:color="auto" w:sz="4" w:space="0"/>
              <w:left w:val="single" w:color="auto" w:sz="4" w:space="0"/>
              <w:bottom w:val="single" w:color="auto" w:sz="4" w:space="0"/>
              <w:right w:val="single" w:color="auto" w:sz="4" w:space="0"/>
            </w:tcBorders>
            <w:vAlign w:val="center"/>
          </w:tcPr>
          <w:p w14:paraId="5BE7DBDB">
            <w:pPr>
              <w:jc w:val="center"/>
              <w:rPr>
                <w:rFonts w:hint="eastAsia" w:ascii="宋体" w:hAnsi="宋体" w:cs="宋体"/>
                <w:sz w:val="24"/>
                <w:szCs w:val="24"/>
              </w:rPr>
            </w:pPr>
            <w:r>
              <w:rPr>
                <w:rFonts w:hint="eastAsia" w:ascii="宋体" w:hAnsi="宋体" w:cs="宋体"/>
                <w:sz w:val="24"/>
                <w:szCs w:val="24"/>
              </w:rPr>
              <w:t>15</w:t>
            </w:r>
          </w:p>
        </w:tc>
        <w:tc>
          <w:tcPr>
            <w:tcW w:w="9371" w:type="dxa"/>
            <w:tcBorders>
              <w:top w:val="single" w:color="auto" w:sz="4" w:space="0"/>
              <w:left w:val="single" w:color="auto" w:sz="4" w:space="0"/>
              <w:bottom w:val="single" w:color="auto" w:sz="4" w:space="0"/>
              <w:right w:val="single" w:color="auto" w:sz="4" w:space="0"/>
            </w:tcBorders>
            <w:vAlign w:val="center"/>
          </w:tcPr>
          <w:p w14:paraId="68EA4C14">
            <w:pPr>
              <w:rPr>
                <w:rFonts w:hint="eastAsia" w:ascii="宋体" w:hAnsi="宋体" w:cs="Courier New"/>
                <w:color w:val="000000"/>
                <w:sz w:val="24"/>
                <w:szCs w:val="24"/>
                <w:highlight w:val="none"/>
              </w:rPr>
            </w:pPr>
            <w:r>
              <w:rPr>
                <w:rFonts w:hint="eastAsia" w:ascii="宋体" w:hAnsi="宋体" w:cs="Courier New"/>
                <w:color w:val="000000"/>
                <w:sz w:val="24"/>
                <w:szCs w:val="24"/>
                <w:highlight w:val="none"/>
              </w:rPr>
              <w:t>“</w:t>
            </w:r>
            <w:bookmarkStart w:id="14" w:name="OLE_LINK6"/>
            <w:r>
              <w:rPr>
                <w:rFonts w:hint="eastAsia" w:ascii="宋体" w:hAnsi="宋体"/>
                <w:sz w:val="24"/>
                <w:szCs w:val="24"/>
                <w:highlight w:val="none"/>
              </w:rPr>
              <w:t>★</w:t>
            </w:r>
            <w:bookmarkEnd w:id="14"/>
            <w:r>
              <w:rPr>
                <w:rFonts w:hint="eastAsia" w:ascii="宋体" w:hAnsi="宋体" w:cs="Courier New"/>
                <w:color w:val="000000"/>
                <w:sz w:val="24"/>
                <w:szCs w:val="24"/>
                <w:highlight w:val="none"/>
              </w:rPr>
              <w:t>”为实质性条款，不满足将导致废标。</w:t>
            </w:r>
          </w:p>
        </w:tc>
      </w:tr>
      <w:tr w14:paraId="311670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 w:hRule="atLeast"/>
          <w:jc w:val="center"/>
        </w:trPr>
        <w:tc>
          <w:tcPr>
            <w:tcW w:w="728" w:type="dxa"/>
            <w:tcBorders>
              <w:top w:val="single" w:color="auto" w:sz="4" w:space="0"/>
              <w:left w:val="single" w:color="auto" w:sz="4" w:space="0"/>
              <w:bottom w:val="single" w:color="auto" w:sz="4" w:space="0"/>
              <w:right w:val="single" w:color="auto" w:sz="4" w:space="0"/>
            </w:tcBorders>
            <w:vAlign w:val="center"/>
          </w:tcPr>
          <w:p w14:paraId="5BDD5328">
            <w:pPr>
              <w:jc w:val="center"/>
              <w:rPr>
                <w:rFonts w:hint="eastAsia" w:ascii="宋体" w:hAnsi="宋体" w:cs="宋体"/>
                <w:sz w:val="24"/>
                <w:szCs w:val="24"/>
              </w:rPr>
            </w:pPr>
            <w:r>
              <w:rPr>
                <w:rFonts w:hint="eastAsia" w:ascii="宋体" w:hAnsi="宋体" w:cs="宋体"/>
                <w:sz w:val="24"/>
                <w:szCs w:val="24"/>
              </w:rPr>
              <w:t>1</w:t>
            </w:r>
            <w:r>
              <w:rPr>
                <w:rFonts w:ascii="宋体" w:hAnsi="宋体" w:cs="宋体"/>
                <w:sz w:val="24"/>
                <w:szCs w:val="24"/>
              </w:rPr>
              <w:t>6</w:t>
            </w:r>
          </w:p>
        </w:tc>
        <w:tc>
          <w:tcPr>
            <w:tcW w:w="9371" w:type="dxa"/>
            <w:tcBorders>
              <w:top w:val="single" w:color="auto" w:sz="4" w:space="0"/>
              <w:left w:val="single" w:color="auto" w:sz="4" w:space="0"/>
              <w:bottom w:val="single" w:color="auto" w:sz="4" w:space="0"/>
              <w:right w:val="single" w:color="auto" w:sz="4" w:space="0"/>
            </w:tcBorders>
            <w:vAlign w:val="center"/>
          </w:tcPr>
          <w:p w14:paraId="54CBFF85">
            <w:pPr>
              <w:rPr>
                <w:rFonts w:hint="eastAsia" w:ascii="宋体" w:hAnsi="宋体" w:cs="Courier New"/>
                <w:color w:val="000000"/>
                <w:sz w:val="24"/>
                <w:szCs w:val="24"/>
                <w:highlight w:val="none"/>
              </w:rPr>
            </w:pPr>
            <w:r>
              <w:rPr>
                <w:rFonts w:hint="eastAsia" w:ascii="宋体" w:hAnsi="宋体" w:cs="Courier New"/>
                <w:color w:val="000000"/>
                <w:sz w:val="24"/>
                <w:szCs w:val="24"/>
                <w:highlight w:val="none"/>
              </w:rPr>
              <w:t>最高限价：</w:t>
            </w:r>
            <w:r>
              <w:rPr>
                <w:rFonts w:hint="eastAsia" w:ascii="宋体" w:hAnsi="宋体" w:cs="Courier New"/>
                <w:color w:val="000000"/>
                <w:sz w:val="24"/>
                <w:szCs w:val="24"/>
                <w:highlight w:val="none"/>
                <w:lang w:eastAsia="zh-CN"/>
              </w:rPr>
              <w:t>1805273.98</w:t>
            </w:r>
            <w:r>
              <w:rPr>
                <w:rFonts w:hint="eastAsia" w:ascii="宋体" w:hAnsi="宋体" w:cs="Courier New"/>
                <w:color w:val="000000"/>
                <w:sz w:val="24"/>
                <w:szCs w:val="24"/>
                <w:highlight w:val="none"/>
              </w:rPr>
              <w:t>元。</w:t>
            </w:r>
          </w:p>
        </w:tc>
      </w:tr>
      <w:tr w14:paraId="7F40B2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 w:hRule="atLeast"/>
          <w:jc w:val="center"/>
        </w:trPr>
        <w:tc>
          <w:tcPr>
            <w:tcW w:w="728" w:type="dxa"/>
            <w:tcBorders>
              <w:top w:val="single" w:color="auto" w:sz="4" w:space="0"/>
              <w:left w:val="single" w:color="auto" w:sz="4" w:space="0"/>
              <w:bottom w:val="single" w:color="auto" w:sz="4" w:space="0"/>
              <w:right w:val="single" w:color="auto" w:sz="4" w:space="0"/>
            </w:tcBorders>
            <w:vAlign w:val="center"/>
          </w:tcPr>
          <w:p w14:paraId="44F7053F">
            <w:pPr>
              <w:jc w:val="center"/>
              <w:rPr>
                <w:rFonts w:hint="eastAsia" w:ascii="宋体" w:hAnsi="宋体" w:cs="宋体"/>
                <w:sz w:val="24"/>
                <w:szCs w:val="24"/>
              </w:rPr>
            </w:pPr>
            <w:r>
              <w:rPr>
                <w:rFonts w:hint="eastAsia" w:ascii="宋体" w:hAnsi="宋体" w:cs="宋体"/>
                <w:sz w:val="24"/>
                <w:szCs w:val="24"/>
              </w:rPr>
              <w:t>1</w:t>
            </w:r>
            <w:r>
              <w:rPr>
                <w:rFonts w:ascii="宋体" w:hAnsi="宋体" w:cs="宋体"/>
                <w:sz w:val="24"/>
                <w:szCs w:val="24"/>
              </w:rPr>
              <w:t>7</w:t>
            </w:r>
          </w:p>
        </w:tc>
        <w:tc>
          <w:tcPr>
            <w:tcW w:w="9371" w:type="dxa"/>
            <w:tcBorders>
              <w:top w:val="single" w:color="auto" w:sz="4" w:space="0"/>
              <w:left w:val="single" w:color="auto" w:sz="4" w:space="0"/>
              <w:bottom w:val="single" w:color="auto" w:sz="4" w:space="0"/>
              <w:right w:val="single" w:color="auto" w:sz="4" w:space="0"/>
            </w:tcBorders>
            <w:vAlign w:val="center"/>
          </w:tcPr>
          <w:p w14:paraId="539110DC">
            <w:pPr>
              <w:rPr>
                <w:rFonts w:hint="eastAsia" w:ascii="宋体" w:hAnsi="宋体" w:cs="Courier New"/>
                <w:color w:val="000000"/>
                <w:sz w:val="24"/>
                <w:szCs w:val="24"/>
                <w:highlight w:val="yellow"/>
              </w:rPr>
            </w:pPr>
            <w:r>
              <w:rPr>
                <w:rFonts w:hint="eastAsia" w:ascii="宋体" w:hAnsi="宋体" w:cs="宋体"/>
                <w:sz w:val="24"/>
                <w:szCs w:val="24"/>
              </w:rPr>
              <w:t>未标注允许进口的产品不接受非国产产品投标。</w:t>
            </w:r>
          </w:p>
        </w:tc>
      </w:tr>
      <w:tr w14:paraId="3F19CB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 w:hRule="atLeast"/>
          <w:jc w:val="center"/>
        </w:trPr>
        <w:tc>
          <w:tcPr>
            <w:tcW w:w="728" w:type="dxa"/>
            <w:tcBorders>
              <w:top w:val="single" w:color="auto" w:sz="4" w:space="0"/>
              <w:left w:val="single" w:color="auto" w:sz="4" w:space="0"/>
              <w:bottom w:val="single" w:color="auto" w:sz="4" w:space="0"/>
              <w:right w:val="single" w:color="auto" w:sz="4" w:space="0"/>
            </w:tcBorders>
            <w:vAlign w:val="center"/>
          </w:tcPr>
          <w:p w14:paraId="701FA9C4">
            <w:pPr>
              <w:jc w:val="center"/>
              <w:rPr>
                <w:rFonts w:hint="eastAsia" w:ascii="宋体" w:hAnsi="宋体" w:cs="宋体"/>
                <w:sz w:val="24"/>
                <w:szCs w:val="24"/>
              </w:rPr>
            </w:pPr>
            <w:r>
              <w:rPr>
                <w:rFonts w:hint="eastAsia" w:ascii="宋体" w:hAnsi="宋体" w:cs="宋体"/>
                <w:sz w:val="24"/>
                <w:szCs w:val="24"/>
              </w:rPr>
              <w:t>1</w:t>
            </w:r>
            <w:r>
              <w:rPr>
                <w:rFonts w:ascii="宋体" w:hAnsi="宋体" w:cs="宋体"/>
                <w:sz w:val="24"/>
                <w:szCs w:val="24"/>
              </w:rPr>
              <w:t>8</w:t>
            </w:r>
          </w:p>
        </w:tc>
        <w:tc>
          <w:tcPr>
            <w:tcW w:w="9371" w:type="dxa"/>
            <w:tcBorders>
              <w:top w:val="single" w:color="auto" w:sz="4" w:space="0"/>
              <w:left w:val="single" w:color="auto" w:sz="4" w:space="0"/>
              <w:bottom w:val="single" w:color="auto" w:sz="4" w:space="0"/>
              <w:right w:val="single" w:color="auto" w:sz="4" w:space="0"/>
            </w:tcBorders>
            <w:vAlign w:val="center"/>
          </w:tcPr>
          <w:p w14:paraId="09C0A8D6">
            <w:pPr>
              <w:rPr>
                <w:rFonts w:hint="eastAsia" w:ascii="宋体" w:hAnsi="宋体" w:cs="Courier New"/>
                <w:color w:val="000000"/>
                <w:sz w:val="24"/>
                <w:szCs w:val="24"/>
                <w:highlight w:val="yellow"/>
              </w:rPr>
            </w:pPr>
            <w:r>
              <w:rPr>
                <w:rFonts w:hint="eastAsia" w:ascii="宋体" w:hAnsi="宋体" w:cs="宋体"/>
                <w:sz w:val="24"/>
                <w:szCs w:val="24"/>
              </w:rPr>
              <w:t>核心产品为：全自动风蚀监测仪，提供核心产品相同品牌产品且通过资格审查、符合性审查的不同供应商参加同一合同项下投标的，按一家供应商计算，评审后最终报价最低的同品牌供应商获得成交供应商推荐资格。</w:t>
            </w:r>
          </w:p>
        </w:tc>
      </w:tr>
      <w:tr w14:paraId="22D138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 w:hRule="atLeast"/>
          <w:jc w:val="center"/>
        </w:trPr>
        <w:tc>
          <w:tcPr>
            <w:tcW w:w="728" w:type="dxa"/>
            <w:tcBorders>
              <w:top w:val="single" w:color="auto" w:sz="4" w:space="0"/>
              <w:left w:val="single" w:color="auto" w:sz="4" w:space="0"/>
              <w:bottom w:val="single" w:color="auto" w:sz="4" w:space="0"/>
              <w:right w:val="single" w:color="auto" w:sz="4" w:space="0"/>
            </w:tcBorders>
            <w:vAlign w:val="center"/>
          </w:tcPr>
          <w:p w14:paraId="5B9232A3">
            <w:pPr>
              <w:jc w:val="center"/>
              <w:rPr>
                <w:rFonts w:hint="eastAsia" w:ascii="宋体" w:hAnsi="宋体" w:cs="宋体"/>
                <w:sz w:val="24"/>
                <w:szCs w:val="24"/>
              </w:rPr>
            </w:pPr>
            <w:r>
              <w:rPr>
                <w:rFonts w:hint="eastAsia" w:ascii="宋体" w:hAnsi="宋体" w:cs="宋体"/>
                <w:sz w:val="24"/>
                <w:szCs w:val="24"/>
              </w:rPr>
              <w:t>19</w:t>
            </w:r>
          </w:p>
        </w:tc>
        <w:tc>
          <w:tcPr>
            <w:tcW w:w="9371" w:type="dxa"/>
            <w:tcBorders>
              <w:top w:val="single" w:color="auto" w:sz="4" w:space="0"/>
              <w:left w:val="single" w:color="auto" w:sz="4" w:space="0"/>
              <w:bottom w:val="single" w:color="auto" w:sz="4" w:space="0"/>
              <w:right w:val="single" w:color="auto" w:sz="4" w:space="0"/>
            </w:tcBorders>
            <w:vAlign w:val="center"/>
          </w:tcPr>
          <w:p w14:paraId="12AD70E8">
            <w:pPr>
              <w:rPr>
                <w:rFonts w:hint="eastAsia" w:ascii="宋体" w:hAnsi="宋体" w:eastAsia="宋体" w:cs="宋体"/>
                <w:sz w:val="24"/>
                <w:szCs w:val="24"/>
                <w:lang w:eastAsia="zh-CN"/>
              </w:rPr>
            </w:pPr>
            <w:r>
              <w:rPr>
                <w:rFonts w:hint="eastAsia" w:ascii="宋体" w:hAnsi="宋体" w:cs="宋体"/>
                <w:bCs/>
                <w:sz w:val="24"/>
              </w:rPr>
              <w:t>谈判轮数和最后报价的其他要求：</w:t>
            </w:r>
            <w:r>
              <w:rPr>
                <w:rFonts w:hint="eastAsia" w:ascii="宋体" w:hAnsi="宋体" w:cs="宋体"/>
                <w:bCs/>
                <w:kern w:val="0"/>
                <w:sz w:val="24"/>
                <w:lang w:val="zh-CN"/>
              </w:rPr>
              <w:t>1、</w:t>
            </w:r>
            <w:r>
              <w:rPr>
                <w:rFonts w:hint="eastAsia" w:ascii="宋体" w:hAnsi="宋体" w:cs="宋体"/>
                <w:bCs/>
                <w:kern w:val="0"/>
                <w:sz w:val="24"/>
              </w:rPr>
              <w:t>谈判</w:t>
            </w:r>
            <w:r>
              <w:rPr>
                <w:rFonts w:hint="eastAsia" w:ascii="宋体" w:hAnsi="宋体" w:cs="宋体"/>
                <w:bCs/>
                <w:kern w:val="0"/>
                <w:sz w:val="24"/>
                <w:lang w:val="zh-CN"/>
              </w:rPr>
              <w:t>轮数:二次或二次以上；2、最后一轮</w:t>
            </w:r>
            <w:r>
              <w:rPr>
                <w:rFonts w:hint="eastAsia" w:ascii="宋体" w:hAnsi="宋体" w:cs="宋体"/>
                <w:bCs/>
                <w:kern w:val="0"/>
                <w:sz w:val="24"/>
              </w:rPr>
              <w:t>谈判</w:t>
            </w:r>
            <w:r>
              <w:rPr>
                <w:rFonts w:hint="eastAsia" w:ascii="宋体" w:hAnsi="宋体" w:cs="宋体"/>
                <w:bCs/>
                <w:kern w:val="0"/>
                <w:sz w:val="24"/>
                <w:lang w:val="zh-CN"/>
              </w:rPr>
              <w:t>结束后，所有仍在参加</w:t>
            </w:r>
            <w:r>
              <w:rPr>
                <w:rFonts w:hint="eastAsia" w:ascii="宋体" w:hAnsi="宋体" w:cs="宋体"/>
                <w:bCs/>
                <w:kern w:val="0"/>
                <w:sz w:val="24"/>
              </w:rPr>
              <w:t>谈判</w:t>
            </w:r>
            <w:r>
              <w:rPr>
                <w:rFonts w:hint="eastAsia" w:ascii="宋体" w:hAnsi="宋体" w:cs="宋体"/>
                <w:bCs/>
                <w:kern w:val="0"/>
                <w:sz w:val="24"/>
                <w:lang w:val="zh-CN"/>
              </w:rPr>
              <w:t>的供应商按照</w:t>
            </w:r>
            <w:r>
              <w:rPr>
                <w:rFonts w:hint="eastAsia" w:ascii="宋体" w:hAnsi="宋体" w:cs="宋体"/>
                <w:bCs/>
                <w:kern w:val="0"/>
                <w:sz w:val="24"/>
              </w:rPr>
              <w:t>谈判</w:t>
            </w:r>
            <w:r>
              <w:rPr>
                <w:rFonts w:hint="eastAsia" w:ascii="宋体" w:hAnsi="宋体" w:cs="宋体"/>
                <w:bCs/>
                <w:kern w:val="0"/>
                <w:sz w:val="24"/>
                <w:lang w:val="zh-CN"/>
              </w:rPr>
              <w:t>小组的要求做最后报价（含修正的响应文件，如有），最后报价</w:t>
            </w:r>
            <w:r>
              <w:rPr>
                <w:rFonts w:hint="eastAsia" w:ascii="宋体" w:hAnsi="宋体" w:cs="宋体"/>
                <w:bCs/>
                <w:sz w:val="24"/>
              </w:rPr>
              <w:t>在政采云平台提交。供应商在规定时间内未确认最后报价（二次报价）情形按无效响应认定</w:t>
            </w:r>
            <w:r>
              <w:rPr>
                <w:rFonts w:hint="eastAsia" w:ascii="宋体" w:hAnsi="宋体" w:cs="宋体"/>
                <w:bCs/>
                <w:sz w:val="24"/>
                <w:lang w:eastAsia="zh-CN"/>
              </w:rPr>
              <w:t>。</w:t>
            </w:r>
          </w:p>
        </w:tc>
      </w:tr>
      <w:tr w14:paraId="5D96E9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 w:hRule="atLeast"/>
          <w:jc w:val="center"/>
        </w:trPr>
        <w:tc>
          <w:tcPr>
            <w:tcW w:w="728" w:type="dxa"/>
            <w:tcBorders>
              <w:top w:val="single" w:color="auto" w:sz="4" w:space="0"/>
              <w:left w:val="single" w:color="auto" w:sz="4" w:space="0"/>
              <w:bottom w:val="single" w:color="auto" w:sz="4" w:space="0"/>
              <w:right w:val="single" w:color="auto" w:sz="4" w:space="0"/>
            </w:tcBorders>
            <w:vAlign w:val="center"/>
          </w:tcPr>
          <w:p w14:paraId="30F01732">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20</w:t>
            </w:r>
          </w:p>
        </w:tc>
        <w:tc>
          <w:tcPr>
            <w:tcW w:w="9371" w:type="dxa"/>
            <w:tcBorders>
              <w:top w:val="single" w:color="auto" w:sz="4" w:space="0"/>
              <w:left w:val="single" w:color="auto" w:sz="4" w:space="0"/>
              <w:bottom w:val="single" w:color="auto" w:sz="4" w:space="0"/>
              <w:right w:val="single" w:color="auto" w:sz="4" w:space="0"/>
            </w:tcBorders>
            <w:vAlign w:val="center"/>
          </w:tcPr>
          <w:p w14:paraId="5B35378B">
            <w:pPr>
              <w:rPr>
                <w:rFonts w:hint="eastAsia" w:ascii="宋体" w:hAnsi="宋体" w:cs="宋体"/>
                <w:bCs/>
                <w:sz w:val="24"/>
              </w:rPr>
            </w:pPr>
            <w:r>
              <w:rPr>
                <w:rFonts w:hint="eastAsia" w:ascii="宋体" w:hAnsi="宋体" w:cs="宋体"/>
                <w:bCs/>
                <w:sz w:val="24"/>
                <w:lang w:val="en-US" w:eastAsia="zh-CN"/>
              </w:rPr>
              <w:t>谈判</w:t>
            </w:r>
            <w:r>
              <w:rPr>
                <w:rFonts w:hint="eastAsia" w:ascii="宋体" w:hAnsi="宋体" w:cs="宋体"/>
                <w:bCs/>
                <w:sz w:val="24"/>
              </w:rPr>
              <w:t>小组的构成：</w:t>
            </w:r>
            <w:r>
              <w:rPr>
                <w:rFonts w:hint="eastAsia" w:ascii="宋体" w:hAnsi="宋体" w:cs="宋体"/>
                <w:bCs/>
                <w:sz w:val="24"/>
                <w:lang w:val="en-US" w:eastAsia="zh-CN"/>
              </w:rPr>
              <w:t>3</w:t>
            </w:r>
            <w:r>
              <w:rPr>
                <w:rFonts w:hint="eastAsia" w:ascii="宋体" w:hAnsi="宋体" w:cs="宋体"/>
                <w:bCs/>
                <w:sz w:val="24"/>
              </w:rPr>
              <w:t xml:space="preserve">人，其中招标人代表 0 人，专家 </w:t>
            </w:r>
            <w:r>
              <w:rPr>
                <w:rFonts w:hint="eastAsia" w:ascii="宋体" w:hAnsi="宋体" w:cs="宋体"/>
                <w:bCs/>
                <w:sz w:val="24"/>
                <w:lang w:val="en-US" w:eastAsia="zh-CN"/>
              </w:rPr>
              <w:t>3</w:t>
            </w:r>
            <w:r>
              <w:rPr>
                <w:rFonts w:hint="eastAsia" w:ascii="宋体" w:hAnsi="宋体" w:cs="宋体"/>
                <w:bCs/>
                <w:sz w:val="24"/>
              </w:rPr>
              <w:t xml:space="preserve"> 人；</w:t>
            </w:r>
          </w:p>
          <w:p w14:paraId="3E23C376">
            <w:pPr>
              <w:rPr>
                <w:rFonts w:hint="eastAsia" w:ascii="宋体" w:hAnsi="宋体" w:cs="宋体"/>
                <w:bCs/>
                <w:sz w:val="24"/>
              </w:rPr>
            </w:pPr>
            <w:r>
              <w:rPr>
                <w:rFonts w:hint="eastAsia" w:ascii="宋体" w:hAnsi="宋体" w:cs="宋体"/>
                <w:bCs/>
                <w:sz w:val="24"/>
              </w:rPr>
              <w:t>评标专家确定方式：新疆政府采购网政采云系统随机抽取</w:t>
            </w:r>
          </w:p>
        </w:tc>
      </w:tr>
      <w:tr w14:paraId="03D4C0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10099" w:type="dxa"/>
            <w:gridSpan w:val="2"/>
            <w:tcBorders>
              <w:top w:val="single" w:color="auto" w:sz="4" w:space="0"/>
              <w:left w:val="single" w:color="auto" w:sz="4" w:space="0"/>
              <w:bottom w:val="single" w:color="auto" w:sz="4" w:space="0"/>
              <w:right w:val="single" w:color="auto" w:sz="4" w:space="0"/>
            </w:tcBorders>
            <w:vAlign w:val="center"/>
          </w:tcPr>
          <w:p w14:paraId="4F5ED316">
            <w:pPr>
              <w:jc w:val="center"/>
              <w:rPr>
                <w:rFonts w:hint="eastAsia" w:ascii="宋体" w:hAnsi="宋体" w:cs="宋体"/>
                <w:sz w:val="24"/>
                <w:szCs w:val="22"/>
              </w:rPr>
            </w:pPr>
            <w:r>
              <w:rPr>
                <w:rFonts w:hint="eastAsia" w:ascii="宋体" w:hAnsi="宋体" w:cs="宋体"/>
                <w:sz w:val="24"/>
                <w:szCs w:val="22"/>
              </w:rPr>
              <w:t>授 予 合 同</w:t>
            </w:r>
          </w:p>
        </w:tc>
      </w:tr>
      <w:tr w14:paraId="58BAF2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1" w:hRule="atLeast"/>
          <w:jc w:val="center"/>
        </w:trPr>
        <w:tc>
          <w:tcPr>
            <w:tcW w:w="728" w:type="dxa"/>
            <w:tcBorders>
              <w:top w:val="single" w:color="auto" w:sz="4" w:space="0"/>
              <w:left w:val="single" w:color="auto" w:sz="4" w:space="0"/>
              <w:bottom w:val="single" w:color="auto" w:sz="4" w:space="0"/>
              <w:right w:val="single" w:color="auto" w:sz="4" w:space="0"/>
            </w:tcBorders>
            <w:vAlign w:val="center"/>
          </w:tcPr>
          <w:p w14:paraId="13E88E64">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21</w:t>
            </w:r>
          </w:p>
        </w:tc>
        <w:tc>
          <w:tcPr>
            <w:tcW w:w="9371" w:type="dxa"/>
            <w:tcBorders>
              <w:top w:val="single" w:color="auto" w:sz="4" w:space="0"/>
              <w:left w:val="single" w:color="auto" w:sz="4" w:space="0"/>
              <w:bottom w:val="single" w:color="auto" w:sz="4" w:space="0"/>
              <w:right w:val="single" w:color="auto" w:sz="4" w:space="0"/>
            </w:tcBorders>
            <w:vAlign w:val="center"/>
          </w:tcPr>
          <w:p w14:paraId="5BAB6127">
            <w:pPr>
              <w:rPr>
                <w:rFonts w:hint="eastAsia" w:ascii="宋体" w:hAnsi="宋体" w:cs="宋体"/>
                <w:sz w:val="24"/>
                <w:szCs w:val="24"/>
              </w:rPr>
            </w:pPr>
            <w:r>
              <w:rPr>
                <w:rFonts w:hint="eastAsia" w:ascii="宋体" w:hAnsi="宋体" w:cs="宋体"/>
                <w:sz w:val="24"/>
                <w:szCs w:val="24"/>
              </w:rPr>
              <w:t>质疑渠道：异议联系方式：17799127202</w:t>
            </w:r>
          </w:p>
        </w:tc>
      </w:tr>
      <w:tr w14:paraId="53A6E2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7" w:hRule="atLeast"/>
          <w:jc w:val="center"/>
        </w:trPr>
        <w:tc>
          <w:tcPr>
            <w:tcW w:w="10099" w:type="dxa"/>
            <w:gridSpan w:val="2"/>
            <w:tcBorders>
              <w:top w:val="single" w:color="auto" w:sz="4" w:space="0"/>
              <w:left w:val="single" w:color="auto" w:sz="4" w:space="0"/>
              <w:bottom w:val="single" w:color="auto" w:sz="4" w:space="0"/>
              <w:right w:val="single" w:color="auto" w:sz="4" w:space="0"/>
            </w:tcBorders>
            <w:vAlign w:val="center"/>
          </w:tcPr>
          <w:p w14:paraId="16EE6BB6">
            <w:pPr>
              <w:rPr>
                <w:rFonts w:hint="eastAsia" w:ascii="宋体" w:hAnsi="宋体" w:cs="宋体"/>
                <w:sz w:val="24"/>
                <w:szCs w:val="24"/>
              </w:rPr>
            </w:pPr>
            <w:r>
              <w:rPr>
                <w:rFonts w:hint="eastAsia" w:ascii="宋体" w:hAnsi="宋体" w:cs="宋体"/>
                <w:sz w:val="24"/>
              </w:rPr>
              <w:t>采购代理服务费由成交人向新疆招标有限公司支付，支付比例按国家计委计价格（2002）1980号文下浮20%执行。</w:t>
            </w:r>
          </w:p>
        </w:tc>
      </w:tr>
    </w:tbl>
    <w:p w14:paraId="44513F90">
      <w:pPr>
        <w:pStyle w:val="4"/>
        <w:spacing w:before="100" w:beforeAutospacing="1" w:after="100" w:afterAutospacing="1" w:line="400" w:lineRule="atLeast"/>
        <w:rPr>
          <w:rFonts w:eastAsia="宋体" w:cs="Arial"/>
          <w:sz w:val="28"/>
          <w:szCs w:val="28"/>
        </w:rPr>
      </w:pPr>
      <w:r>
        <w:rPr>
          <w:rFonts w:eastAsia="宋体" w:cs="Arial"/>
          <w:sz w:val="28"/>
          <w:szCs w:val="28"/>
        </w:rPr>
        <w:br w:type="page"/>
      </w:r>
      <w:bookmarkStart w:id="15" w:name="_Toc298240405"/>
      <w:bookmarkStart w:id="16" w:name="_Toc267301282"/>
      <w:bookmarkStart w:id="17" w:name="_Toc349573121"/>
      <w:bookmarkStart w:id="18" w:name="_Toc349637920"/>
      <w:bookmarkStart w:id="19" w:name="_Toc7021"/>
      <w:r>
        <w:rPr>
          <w:rFonts w:eastAsia="宋体" w:cs="Arial"/>
          <w:sz w:val="28"/>
          <w:szCs w:val="28"/>
        </w:rPr>
        <w:t>A  说　明</w:t>
      </w:r>
      <w:bookmarkEnd w:id="15"/>
      <w:bookmarkEnd w:id="16"/>
      <w:bookmarkEnd w:id="17"/>
      <w:bookmarkEnd w:id="18"/>
      <w:bookmarkEnd w:id="19"/>
    </w:p>
    <w:p w14:paraId="7C004190">
      <w:pPr>
        <w:snapToGrid w:val="0"/>
        <w:spacing w:line="400" w:lineRule="exact"/>
        <w:rPr>
          <w:rFonts w:ascii="Arial" w:hAnsi="Arial" w:cs="Arial"/>
          <w:sz w:val="24"/>
        </w:rPr>
      </w:pPr>
      <w:r>
        <w:rPr>
          <w:rFonts w:ascii="Arial" w:hAnsi="Arial" w:cs="Arial"/>
          <w:sz w:val="24"/>
        </w:rPr>
        <w:t>1. 适用范围</w:t>
      </w:r>
    </w:p>
    <w:p w14:paraId="30E031BE">
      <w:pPr>
        <w:numPr>
          <w:ilvl w:val="1"/>
          <w:numId w:val="4"/>
        </w:numPr>
        <w:snapToGrid w:val="0"/>
        <w:spacing w:line="400" w:lineRule="exact"/>
        <w:rPr>
          <w:rFonts w:ascii="Arial" w:hAnsi="Arial" w:cs="Arial"/>
          <w:sz w:val="24"/>
        </w:rPr>
      </w:pPr>
      <w:r>
        <w:rPr>
          <w:rFonts w:ascii="Arial" w:hAnsi="Arial" w:cs="Arial"/>
          <w:sz w:val="24"/>
        </w:rPr>
        <w:t xml:space="preserve"> 本谈判文件仅适用于本次谈判邀请中所叙述项目的采购。</w:t>
      </w:r>
    </w:p>
    <w:p w14:paraId="23E10664">
      <w:pPr>
        <w:snapToGrid w:val="0"/>
        <w:spacing w:line="400" w:lineRule="exact"/>
        <w:rPr>
          <w:rFonts w:ascii="Arial" w:hAnsi="Arial" w:cs="Arial"/>
          <w:sz w:val="24"/>
        </w:rPr>
      </w:pPr>
      <w:r>
        <w:rPr>
          <w:rFonts w:ascii="Arial" w:hAnsi="Arial" w:cs="Arial"/>
          <w:sz w:val="24"/>
        </w:rPr>
        <w:t>2．定义</w:t>
      </w:r>
    </w:p>
    <w:p w14:paraId="0ABEDEEE">
      <w:pPr>
        <w:snapToGrid w:val="0"/>
        <w:spacing w:line="400" w:lineRule="exact"/>
        <w:rPr>
          <w:rFonts w:ascii="Arial" w:hAnsi="Arial" w:cs="Arial"/>
          <w:sz w:val="24"/>
        </w:rPr>
      </w:pPr>
      <w:r>
        <w:rPr>
          <w:rFonts w:ascii="Arial" w:hAnsi="Arial" w:cs="Arial"/>
          <w:sz w:val="24"/>
        </w:rPr>
        <w:t>2.1 “</w:t>
      </w:r>
      <w:r>
        <w:rPr>
          <w:rFonts w:hint="eastAsia" w:ascii="Arial" w:hAnsi="Arial" w:cs="Arial"/>
          <w:sz w:val="24"/>
        </w:rPr>
        <w:t>采购代理机构</w:t>
      </w:r>
      <w:r>
        <w:rPr>
          <w:rFonts w:ascii="Arial" w:hAnsi="Arial" w:cs="Arial"/>
          <w:sz w:val="24"/>
        </w:rPr>
        <w:t>”系指新疆招标有限公司；</w:t>
      </w:r>
    </w:p>
    <w:p w14:paraId="577B1791">
      <w:pPr>
        <w:snapToGrid w:val="0"/>
        <w:spacing w:line="400" w:lineRule="exact"/>
        <w:ind w:left="480" w:hanging="480" w:hangingChars="200"/>
        <w:rPr>
          <w:rFonts w:ascii="Arial" w:hAnsi="Arial" w:cs="Arial"/>
          <w:sz w:val="24"/>
        </w:rPr>
      </w:pPr>
      <w:r>
        <w:rPr>
          <w:rFonts w:ascii="Arial" w:hAnsi="Arial" w:cs="Arial"/>
          <w:sz w:val="24"/>
        </w:rPr>
        <w:t>2.2 “</w:t>
      </w:r>
      <w:r>
        <w:rPr>
          <w:rFonts w:hint="eastAsia" w:ascii="Arial" w:hAnsi="Arial" w:cs="Arial"/>
          <w:sz w:val="24"/>
        </w:rPr>
        <w:t>采购人</w:t>
      </w:r>
      <w:r>
        <w:rPr>
          <w:rFonts w:ascii="Arial" w:hAnsi="Arial" w:cs="Arial"/>
          <w:sz w:val="24"/>
        </w:rPr>
        <w:t>”“</w:t>
      </w:r>
      <w:r>
        <w:rPr>
          <w:rFonts w:hint="eastAsia" w:ascii="Arial" w:hAnsi="Arial" w:cs="Arial"/>
          <w:sz w:val="24"/>
        </w:rPr>
        <w:t>买方</w:t>
      </w:r>
      <w:r>
        <w:rPr>
          <w:rFonts w:ascii="Arial" w:hAnsi="Arial" w:cs="Arial"/>
          <w:sz w:val="24"/>
        </w:rPr>
        <w:t>”系指</w:t>
      </w:r>
      <w:r>
        <w:rPr>
          <w:rFonts w:hint="eastAsia" w:ascii="Arial" w:hAnsi="宋体" w:cs="Arial"/>
          <w:sz w:val="24"/>
          <w:szCs w:val="24"/>
        </w:rPr>
        <w:t>阿克苏地区水资源总站</w:t>
      </w:r>
      <w:r>
        <w:rPr>
          <w:rFonts w:ascii="Arial" w:hAnsi="Arial" w:cs="Arial"/>
          <w:sz w:val="24"/>
        </w:rPr>
        <w:t>；</w:t>
      </w:r>
    </w:p>
    <w:p w14:paraId="2843FDFA">
      <w:pPr>
        <w:snapToGrid w:val="0"/>
        <w:spacing w:line="400" w:lineRule="exact"/>
        <w:rPr>
          <w:rFonts w:ascii="Arial" w:hAnsi="Arial" w:cs="Arial"/>
          <w:sz w:val="24"/>
        </w:rPr>
      </w:pPr>
      <w:r>
        <w:rPr>
          <w:rFonts w:ascii="Arial" w:hAnsi="Arial" w:cs="Arial"/>
          <w:sz w:val="24"/>
        </w:rPr>
        <w:t>2.3 “供应商”“</w:t>
      </w:r>
      <w:r>
        <w:rPr>
          <w:rFonts w:hint="eastAsia" w:ascii="Arial" w:hAnsi="Arial" w:cs="Arial"/>
          <w:sz w:val="24"/>
        </w:rPr>
        <w:t>卖方</w:t>
      </w:r>
      <w:r>
        <w:rPr>
          <w:rFonts w:ascii="Arial" w:hAnsi="Arial" w:cs="Arial"/>
          <w:sz w:val="24"/>
        </w:rPr>
        <w:t>”系指向</w:t>
      </w:r>
      <w:r>
        <w:rPr>
          <w:rFonts w:hint="eastAsia" w:ascii="Arial" w:hAnsi="Arial" w:cs="Arial"/>
          <w:sz w:val="24"/>
        </w:rPr>
        <w:t>采购代理机构</w:t>
      </w:r>
      <w:r>
        <w:rPr>
          <w:rFonts w:ascii="Arial" w:hAnsi="Arial" w:cs="Arial"/>
          <w:sz w:val="24"/>
        </w:rPr>
        <w:t>提交谈判响应文件的制造商或代理商；</w:t>
      </w:r>
    </w:p>
    <w:p w14:paraId="537333AA">
      <w:pPr>
        <w:snapToGrid w:val="0"/>
        <w:spacing w:line="400" w:lineRule="exact"/>
        <w:rPr>
          <w:rFonts w:ascii="Arial" w:hAnsi="Arial" w:cs="Arial"/>
          <w:sz w:val="24"/>
        </w:rPr>
      </w:pPr>
      <w:r>
        <w:rPr>
          <w:rFonts w:ascii="Arial" w:hAnsi="Arial" w:cs="Arial"/>
          <w:sz w:val="24"/>
        </w:rPr>
        <w:t>2.4 “</w:t>
      </w:r>
      <w:r>
        <w:rPr>
          <w:rFonts w:hint="eastAsia" w:ascii="Arial" w:hAnsi="Arial" w:cs="Arial"/>
          <w:sz w:val="24"/>
        </w:rPr>
        <w:t>成交人</w:t>
      </w:r>
      <w:r>
        <w:rPr>
          <w:rFonts w:ascii="Arial" w:hAnsi="Arial" w:cs="Arial"/>
          <w:sz w:val="24"/>
        </w:rPr>
        <w:t>”系指在本次</w:t>
      </w:r>
      <w:r>
        <w:rPr>
          <w:rFonts w:hint="eastAsia" w:ascii="Arial" w:hAnsi="Arial" w:cs="Arial"/>
          <w:sz w:val="24"/>
        </w:rPr>
        <w:t>谈判</w:t>
      </w:r>
      <w:r>
        <w:rPr>
          <w:rFonts w:ascii="Arial" w:hAnsi="Arial" w:cs="Arial"/>
          <w:sz w:val="24"/>
        </w:rPr>
        <w:t>中</w:t>
      </w:r>
      <w:r>
        <w:rPr>
          <w:rFonts w:hint="eastAsia" w:ascii="Arial" w:hAnsi="Arial" w:cs="Arial"/>
          <w:sz w:val="24"/>
        </w:rPr>
        <w:t>成交，</w:t>
      </w:r>
      <w:r>
        <w:rPr>
          <w:rFonts w:ascii="Arial" w:hAnsi="Arial" w:cs="Arial"/>
          <w:sz w:val="24"/>
        </w:rPr>
        <w:t>将被授予合同的供应商</w:t>
      </w:r>
      <w:r>
        <w:rPr>
          <w:rFonts w:hint="eastAsia" w:ascii="Arial" w:hAnsi="Arial" w:cs="Arial"/>
          <w:sz w:val="24"/>
        </w:rPr>
        <w:t>，即成为</w:t>
      </w:r>
      <w:r>
        <w:rPr>
          <w:rFonts w:ascii="Arial" w:hAnsi="Arial" w:cs="Arial"/>
          <w:sz w:val="24"/>
        </w:rPr>
        <w:t>“</w:t>
      </w:r>
      <w:r>
        <w:rPr>
          <w:rFonts w:hint="eastAsia" w:ascii="Arial" w:hAnsi="Arial" w:cs="Arial"/>
          <w:sz w:val="24"/>
        </w:rPr>
        <w:t>成交人</w:t>
      </w:r>
      <w:r>
        <w:rPr>
          <w:rFonts w:ascii="Arial" w:hAnsi="Arial" w:cs="Arial"/>
          <w:sz w:val="24"/>
        </w:rPr>
        <w:t>”。</w:t>
      </w:r>
    </w:p>
    <w:p w14:paraId="0591E46B">
      <w:pPr>
        <w:snapToGrid w:val="0"/>
        <w:spacing w:line="400" w:lineRule="exact"/>
        <w:rPr>
          <w:rFonts w:ascii="Arial" w:hAnsi="Arial" w:cs="Arial"/>
          <w:sz w:val="24"/>
        </w:rPr>
      </w:pPr>
      <w:r>
        <w:rPr>
          <w:rFonts w:hint="eastAsia" w:ascii="Arial" w:hAnsi="Arial" w:cs="Arial"/>
          <w:sz w:val="24"/>
        </w:rPr>
        <w:t>2.5政府采购节能产品、环境标志产品</w:t>
      </w:r>
    </w:p>
    <w:p w14:paraId="48F48050">
      <w:pPr>
        <w:snapToGrid w:val="0"/>
        <w:spacing w:line="400" w:lineRule="exact"/>
        <w:ind w:left="480" w:hanging="480" w:hangingChars="200"/>
        <w:rPr>
          <w:rFonts w:ascii="Arial" w:hAnsi="Arial" w:cs="Arial"/>
          <w:sz w:val="24"/>
        </w:rPr>
      </w:pPr>
      <w:r>
        <w:rPr>
          <w:rFonts w:hint="eastAsia" w:ascii="Arial" w:hAnsi="Arial" w:cs="Arial"/>
          <w:sz w:val="24"/>
        </w:rPr>
        <w:t>2.5.1 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6EB53AD">
      <w:pPr>
        <w:snapToGrid w:val="0"/>
        <w:spacing w:line="400" w:lineRule="exact"/>
        <w:ind w:left="480" w:hanging="480" w:hangingChars="200"/>
        <w:rPr>
          <w:rFonts w:ascii="Arial" w:hAnsi="Arial" w:cs="Arial"/>
          <w:sz w:val="24"/>
        </w:rPr>
      </w:pPr>
      <w:r>
        <w:rPr>
          <w:rFonts w:hint="eastAsia" w:ascii="Arial" w:hAnsi="Arial" w:cs="Arial"/>
          <w:sz w:val="24"/>
        </w:rPr>
        <w:t>2.5.2采购人拟采购的产品属于品目清单范围的，采购人及其委托的采购代理机构依据国家确定的认证机构出具的、处于有效期之内的节能产品、环境标志产品认证证书，对获得证书的产品实施政府优先采购或强制采购。</w:t>
      </w:r>
    </w:p>
    <w:p w14:paraId="6CF61326">
      <w:pPr>
        <w:snapToGrid w:val="0"/>
        <w:spacing w:line="400" w:lineRule="exact"/>
        <w:ind w:left="480" w:hanging="480" w:hangingChars="200"/>
        <w:rPr>
          <w:rFonts w:ascii="Arial" w:hAnsi="Arial" w:cs="Arial"/>
          <w:sz w:val="24"/>
        </w:rPr>
      </w:pPr>
      <w:r>
        <w:rPr>
          <w:rFonts w:hint="eastAsia" w:ascii="Arial" w:hAnsi="Arial" w:cs="Arial"/>
          <w:sz w:val="24"/>
        </w:rPr>
        <w:t>2.5.3如本项目采购产品属于实施政府强制采购品目清单范围的节能产品，则供应商所报产品必须获得国家确定的认证机构出具的、处于有效期之内的节能产品认证证书，否则响应无效；</w:t>
      </w:r>
    </w:p>
    <w:p w14:paraId="374989F3">
      <w:pPr>
        <w:snapToGrid w:val="0"/>
        <w:spacing w:line="400" w:lineRule="exact"/>
        <w:rPr>
          <w:rFonts w:ascii="Arial" w:hAnsi="Arial" w:cs="Arial"/>
          <w:sz w:val="24"/>
        </w:rPr>
      </w:pPr>
      <w:r>
        <w:rPr>
          <w:rFonts w:ascii="Arial" w:hAnsi="Arial" w:cs="Arial"/>
          <w:sz w:val="24"/>
        </w:rPr>
        <w:t>3．合格的供应商</w:t>
      </w:r>
    </w:p>
    <w:p w14:paraId="1B3DED8C">
      <w:pPr>
        <w:snapToGrid w:val="0"/>
        <w:spacing w:line="400" w:lineRule="exact"/>
        <w:ind w:left="480" w:hanging="480" w:hangingChars="200"/>
        <w:rPr>
          <w:rFonts w:ascii="Arial" w:hAnsi="Arial" w:cs="Arial"/>
          <w:sz w:val="24"/>
        </w:rPr>
      </w:pPr>
      <w:r>
        <w:rPr>
          <w:rFonts w:ascii="Arial" w:hAnsi="Arial" w:cs="Arial"/>
          <w:sz w:val="24"/>
        </w:rPr>
        <w:t>3.1 有能力提供谈判文件中所要求的</w:t>
      </w:r>
      <w:r>
        <w:rPr>
          <w:rFonts w:hint="eastAsia" w:ascii="Arial" w:hAnsi="Arial" w:cs="Arial"/>
          <w:sz w:val="24"/>
        </w:rPr>
        <w:t>货物及</w:t>
      </w:r>
      <w:r>
        <w:rPr>
          <w:rFonts w:ascii="Arial" w:hAnsi="Arial" w:cs="Arial"/>
          <w:sz w:val="24"/>
        </w:rPr>
        <w:t>服务、资格审查合格的制造商或代理商为合格的供应商；</w:t>
      </w:r>
    </w:p>
    <w:p w14:paraId="31CEC52A">
      <w:pPr>
        <w:snapToGrid w:val="0"/>
        <w:spacing w:line="400" w:lineRule="exact"/>
        <w:rPr>
          <w:rFonts w:ascii="Arial" w:hAnsi="Arial" w:cs="Arial"/>
          <w:sz w:val="24"/>
        </w:rPr>
      </w:pPr>
      <w:r>
        <w:rPr>
          <w:rFonts w:ascii="Arial" w:hAnsi="Arial" w:cs="Arial"/>
          <w:sz w:val="24"/>
        </w:rPr>
        <w:t>3.2 供应商必须遵守有关的国内法律和规章条例。</w:t>
      </w:r>
    </w:p>
    <w:p w14:paraId="646EA3AA">
      <w:pPr>
        <w:snapToGrid w:val="0"/>
        <w:spacing w:line="400" w:lineRule="exact"/>
        <w:rPr>
          <w:rFonts w:ascii="Arial" w:hAnsi="Arial" w:cs="Arial"/>
          <w:sz w:val="24"/>
        </w:rPr>
      </w:pPr>
      <w:r>
        <w:rPr>
          <w:rFonts w:ascii="Arial" w:hAnsi="Arial" w:cs="Arial"/>
          <w:sz w:val="24"/>
        </w:rPr>
        <w:t>4．供应商资格</w:t>
      </w:r>
      <w:r>
        <w:rPr>
          <w:rFonts w:hint="eastAsia" w:ascii="Arial" w:hAnsi="Arial" w:cs="Arial"/>
          <w:sz w:val="24"/>
        </w:rPr>
        <w:t>(废标因素)</w:t>
      </w:r>
    </w:p>
    <w:p w14:paraId="03898E92">
      <w:pPr>
        <w:pStyle w:val="226"/>
        <w:spacing w:line="400" w:lineRule="atLeast"/>
        <w:ind w:left="360" w:hanging="360" w:hangingChars="150"/>
        <w:rPr>
          <w:rFonts w:ascii="Arial" w:hAnsi="Arial" w:cs="Arial"/>
          <w:color w:val="auto"/>
          <w:sz w:val="24"/>
          <w:szCs w:val="24"/>
        </w:rPr>
      </w:pPr>
      <w:r>
        <w:rPr>
          <w:rFonts w:hint="eastAsia" w:ascii="Arial" w:hAnsi="Arial" w:cs="Arial"/>
          <w:color w:val="auto"/>
          <w:sz w:val="24"/>
          <w:szCs w:val="24"/>
        </w:rPr>
        <w:t>4.1. 具有独立承担民事责任的能力；（供应商为企业（包括合伙企业）的，应提供有效的“营业执照”；供应商为个体工商户的，应提供有效的“个体工商户营业执照”；供应商为自然人的，应提供有效的自然人身份证明。）</w:t>
      </w:r>
    </w:p>
    <w:p w14:paraId="4F2F3A66">
      <w:pPr>
        <w:pStyle w:val="226"/>
        <w:spacing w:line="400" w:lineRule="atLeast"/>
        <w:ind w:left="360" w:hanging="360" w:hangingChars="150"/>
        <w:rPr>
          <w:rFonts w:ascii="Arial" w:hAnsi="Arial" w:cs="Arial"/>
          <w:color w:val="auto"/>
          <w:sz w:val="24"/>
          <w:szCs w:val="24"/>
        </w:rPr>
      </w:pPr>
      <w:r>
        <w:rPr>
          <w:rFonts w:hint="eastAsia" w:ascii="Arial" w:hAnsi="Arial" w:cs="Arial"/>
          <w:color w:val="auto"/>
          <w:sz w:val="24"/>
          <w:szCs w:val="24"/>
        </w:rPr>
        <w:t>4.2具有良好的商业信誉和健全的财务会计制度；（提供会计师事务所出具的近一年度（2025年度）财务审计报告，新成立不足一年的提供成立之日起至今的财务报表和基本开户银行出具的资信证明）</w:t>
      </w:r>
    </w:p>
    <w:p w14:paraId="61E04035">
      <w:pPr>
        <w:pStyle w:val="226"/>
        <w:spacing w:line="400" w:lineRule="atLeast"/>
        <w:ind w:left="360" w:hanging="360" w:hangingChars="150"/>
        <w:rPr>
          <w:rFonts w:ascii="Arial" w:hAnsi="Arial" w:cs="Arial"/>
          <w:color w:val="auto"/>
          <w:sz w:val="24"/>
          <w:szCs w:val="24"/>
        </w:rPr>
      </w:pPr>
      <w:r>
        <w:rPr>
          <w:rFonts w:hint="eastAsia" w:ascii="Arial" w:hAnsi="Arial" w:cs="Arial"/>
          <w:color w:val="auto"/>
          <w:sz w:val="24"/>
          <w:szCs w:val="24"/>
        </w:rPr>
        <w:t>4.3具有履行合同所必需的设备和专业技术能力；（提供承诺函，加盖单位公章）</w:t>
      </w:r>
    </w:p>
    <w:p w14:paraId="730C1355">
      <w:pPr>
        <w:pStyle w:val="226"/>
        <w:spacing w:line="400" w:lineRule="atLeast"/>
        <w:ind w:left="360" w:hanging="360" w:hangingChars="150"/>
        <w:rPr>
          <w:rFonts w:ascii="Arial" w:hAnsi="Arial" w:cs="Arial"/>
          <w:color w:val="auto"/>
          <w:sz w:val="24"/>
          <w:szCs w:val="24"/>
        </w:rPr>
      </w:pPr>
      <w:r>
        <w:rPr>
          <w:rFonts w:hint="eastAsia" w:ascii="Arial" w:hAnsi="Arial" w:cs="Arial"/>
          <w:color w:val="auto"/>
          <w:sz w:val="24"/>
          <w:szCs w:val="24"/>
        </w:rPr>
        <w:t>4.4有依法缴纳税收和社会保障资金的良好记录；（提供近一年任意连续三个月缴税记录及社保缴纳证明，新成立公司自成立之日起提供）</w:t>
      </w:r>
    </w:p>
    <w:p w14:paraId="314E9B2A">
      <w:pPr>
        <w:pStyle w:val="226"/>
        <w:spacing w:line="400" w:lineRule="atLeast"/>
        <w:ind w:left="360" w:hanging="360" w:hangingChars="150"/>
        <w:rPr>
          <w:rFonts w:ascii="Arial" w:hAnsi="Arial" w:cs="Arial"/>
          <w:color w:val="auto"/>
          <w:sz w:val="24"/>
          <w:szCs w:val="24"/>
        </w:rPr>
      </w:pPr>
      <w:r>
        <w:rPr>
          <w:rFonts w:hint="eastAsia" w:ascii="Arial" w:hAnsi="Arial" w:cs="Arial"/>
          <w:color w:val="auto"/>
          <w:sz w:val="24"/>
          <w:szCs w:val="24"/>
        </w:rPr>
        <w:t>4.5参加采购活动前三年内，在经营活动中没有重大违法记录。查询渠道“中国政府采购网”、“信用中国”，被列入失信被执行人、重大税收违法案件当事人名单、政府采购严重违法失信行为记录名单的供应商，不得参与本次政府采购活动。以现场查询为准</w:t>
      </w:r>
    </w:p>
    <w:p w14:paraId="2FA37AB1">
      <w:pPr>
        <w:pStyle w:val="226"/>
        <w:spacing w:line="400" w:lineRule="atLeast"/>
        <w:ind w:left="360" w:hanging="360" w:hangingChars="150"/>
        <w:rPr>
          <w:rFonts w:ascii="Arial" w:hAnsi="Arial" w:cs="Arial"/>
          <w:color w:val="auto"/>
          <w:sz w:val="24"/>
          <w:szCs w:val="24"/>
        </w:rPr>
      </w:pPr>
      <w:r>
        <w:rPr>
          <w:rFonts w:hint="eastAsia" w:ascii="Arial" w:hAnsi="Arial" w:cs="Arial"/>
          <w:color w:val="auto"/>
          <w:sz w:val="24"/>
          <w:szCs w:val="24"/>
        </w:rPr>
        <w:t>4.6法律、行政法规规定的其他条件；（提供承诺函，格式自拟，加盖单位公章）</w:t>
      </w:r>
    </w:p>
    <w:p w14:paraId="2DA6A960">
      <w:pPr>
        <w:pStyle w:val="226"/>
        <w:spacing w:line="400" w:lineRule="atLeast"/>
        <w:ind w:left="360" w:hanging="360" w:hangingChars="150"/>
        <w:rPr>
          <w:rFonts w:ascii="Arial" w:hAnsi="Arial" w:cs="Arial"/>
          <w:color w:val="auto"/>
          <w:sz w:val="24"/>
          <w:szCs w:val="24"/>
        </w:rPr>
      </w:pPr>
      <w:r>
        <w:rPr>
          <w:rFonts w:hint="eastAsia" w:ascii="Arial" w:hAnsi="Arial" w:cs="Arial"/>
          <w:color w:val="auto"/>
          <w:sz w:val="24"/>
          <w:szCs w:val="24"/>
        </w:rPr>
        <w:t>4.7不允许联合体投标；（提供承诺函，格式自拟，加盖单位公章）</w:t>
      </w:r>
    </w:p>
    <w:p w14:paraId="6DBC8FE1">
      <w:pPr>
        <w:pStyle w:val="226"/>
        <w:spacing w:line="400" w:lineRule="atLeast"/>
        <w:ind w:left="360" w:hanging="360" w:hangingChars="150"/>
        <w:rPr>
          <w:rFonts w:ascii="Arial" w:hAnsi="Arial" w:cs="Arial"/>
          <w:color w:val="auto"/>
          <w:sz w:val="24"/>
          <w:szCs w:val="24"/>
        </w:rPr>
      </w:pPr>
      <w:r>
        <w:rPr>
          <w:rFonts w:hint="eastAsia" w:ascii="Arial" w:hAnsi="Arial" w:cs="Arial"/>
          <w:color w:val="auto"/>
          <w:sz w:val="24"/>
          <w:szCs w:val="24"/>
        </w:rPr>
        <w:t>4.8单位负责人为同一人或者存在直接控股、管理关系的不同</w:t>
      </w:r>
      <w:r>
        <w:rPr>
          <w:rFonts w:hint="eastAsia" w:ascii="Arial" w:hAnsi="Arial" w:cs="Arial"/>
          <w:color w:val="auto"/>
          <w:sz w:val="24"/>
          <w:szCs w:val="24"/>
          <w:lang w:eastAsia="zh-CN"/>
        </w:rPr>
        <w:t>供应商</w:t>
      </w:r>
      <w:r>
        <w:rPr>
          <w:rFonts w:hint="eastAsia" w:ascii="Arial" w:hAnsi="Arial" w:cs="Arial"/>
          <w:color w:val="auto"/>
          <w:sz w:val="24"/>
          <w:szCs w:val="24"/>
        </w:rPr>
        <w:t>，不得参加同一合同项下的政府采购活动（提供承诺函，格式自拟，加盖单位公章）</w:t>
      </w:r>
    </w:p>
    <w:p w14:paraId="75E899EE">
      <w:pPr>
        <w:pStyle w:val="226"/>
        <w:spacing w:line="400" w:lineRule="atLeast"/>
        <w:ind w:left="360" w:hanging="360" w:hangingChars="150"/>
        <w:rPr>
          <w:rFonts w:ascii="Arial" w:hAnsi="Arial" w:cs="Arial"/>
          <w:color w:val="auto"/>
          <w:sz w:val="24"/>
          <w:szCs w:val="24"/>
        </w:rPr>
      </w:pPr>
      <w:r>
        <w:rPr>
          <w:rFonts w:hint="eastAsia" w:ascii="Arial" w:hAnsi="Arial" w:cs="Arial"/>
          <w:color w:val="auto"/>
          <w:sz w:val="24"/>
          <w:szCs w:val="24"/>
        </w:rPr>
        <w:t>4.9落实政府采购政策需满足的资格要求：本项目专门面向中小企业，提供《中小企业声明函》。</w:t>
      </w:r>
    </w:p>
    <w:p w14:paraId="77662E94">
      <w:pPr>
        <w:pStyle w:val="226"/>
        <w:spacing w:line="400" w:lineRule="atLeast"/>
        <w:ind w:left="360" w:hanging="360" w:hangingChars="150"/>
        <w:rPr>
          <w:rFonts w:ascii="Arial" w:hAnsi="Arial" w:cs="Arial"/>
          <w:color w:val="auto"/>
          <w:sz w:val="24"/>
          <w:szCs w:val="24"/>
        </w:rPr>
      </w:pPr>
      <w:r>
        <w:rPr>
          <w:rFonts w:hint="eastAsia" w:ascii="Arial" w:hAnsi="Arial" w:cs="Arial"/>
          <w:color w:val="auto"/>
          <w:sz w:val="24"/>
          <w:szCs w:val="24"/>
        </w:rPr>
        <w:t>4.10本项目的特定资格要求：无</w:t>
      </w:r>
    </w:p>
    <w:p w14:paraId="2615CBFE">
      <w:pPr>
        <w:pStyle w:val="226"/>
        <w:spacing w:line="400" w:lineRule="atLeast"/>
        <w:ind w:left="360" w:hanging="360" w:hangingChars="150"/>
        <w:rPr>
          <w:rFonts w:ascii="Arial" w:hAnsi="Arial" w:cs="Arial"/>
          <w:sz w:val="24"/>
        </w:rPr>
      </w:pPr>
      <w:r>
        <w:rPr>
          <w:rFonts w:ascii="Arial" w:hAnsi="Arial" w:cs="Arial"/>
          <w:sz w:val="24"/>
        </w:rPr>
        <w:t>5．</w:t>
      </w:r>
      <w:r>
        <w:rPr>
          <w:rFonts w:hint="eastAsia" w:ascii="Arial" w:hAnsi="Arial" w:cs="Arial"/>
          <w:sz w:val="24"/>
        </w:rPr>
        <w:t>谈判</w:t>
      </w:r>
      <w:r>
        <w:rPr>
          <w:rFonts w:ascii="Arial" w:hAnsi="Arial" w:cs="Arial"/>
          <w:sz w:val="24"/>
        </w:rPr>
        <w:t>费用</w:t>
      </w:r>
    </w:p>
    <w:p w14:paraId="2D3F9C3A">
      <w:pPr>
        <w:snapToGrid w:val="0"/>
        <w:spacing w:line="400" w:lineRule="atLeast"/>
        <w:ind w:left="480" w:hanging="480"/>
        <w:rPr>
          <w:rFonts w:ascii="Arial" w:hAnsi="Arial" w:cs="Arial"/>
          <w:sz w:val="24"/>
        </w:rPr>
      </w:pPr>
      <w:r>
        <w:rPr>
          <w:rFonts w:ascii="Arial" w:hAnsi="Arial" w:cs="Arial"/>
          <w:sz w:val="24"/>
        </w:rPr>
        <w:t>5.1</w:t>
      </w:r>
      <w:r>
        <w:rPr>
          <w:rFonts w:hint="eastAsia" w:ascii="Arial" w:hAnsi="Arial" w:cs="Arial"/>
          <w:sz w:val="24"/>
        </w:rPr>
        <w:t>.</w:t>
      </w:r>
      <w:r>
        <w:rPr>
          <w:rFonts w:ascii="Arial" w:hAnsi="Arial" w:cs="Arial"/>
          <w:sz w:val="24"/>
        </w:rPr>
        <w:t>无论</w:t>
      </w:r>
      <w:r>
        <w:rPr>
          <w:rFonts w:hint="eastAsia" w:ascii="Arial" w:hAnsi="Arial" w:cs="Arial"/>
          <w:sz w:val="24"/>
        </w:rPr>
        <w:t>谈判</w:t>
      </w:r>
      <w:r>
        <w:rPr>
          <w:rFonts w:ascii="Arial" w:hAnsi="Arial" w:cs="Arial"/>
          <w:sz w:val="24"/>
        </w:rPr>
        <w:t>过程中的作法和结果如何，供应商将自行承担所有与参加</w:t>
      </w:r>
      <w:r>
        <w:rPr>
          <w:rFonts w:hint="eastAsia" w:ascii="Arial" w:hAnsi="Arial" w:cs="Arial"/>
          <w:sz w:val="24"/>
        </w:rPr>
        <w:t>谈判</w:t>
      </w:r>
      <w:r>
        <w:rPr>
          <w:rFonts w:ascii="Arial" w:hAnsi="Arial" w:cs="Arial"/>
          <w:sz w:val="24"/>
        </w:rPr>
        <w:t>有关的全部费用。</w:t>
      </w:r>
    </w:p>
    <w:p w14:paraId="7C592573">
      <w:pPr>
        <w:spacing w:line="460" w:lineRule="exact"/>
        <w:ind w:left="480" w:hanging="480"/>
        <w:rPr>
          <w:rFonts w:hint="eastAsia" w:ascii="宋体" w:hAnsi="宋体" w:cs="Courier New"/>
          <w:color w:val="000000"/>
          <w:sz w:val="24"/>
        </w:rPr>
      </w:pPr>
      <w:r>
        <w:rPr>
          <w:rFonts w:hint="eastAsia" w:ascii="Arial" w:hAnsi="Arial" w:cs="Arial"/>
          <w:sz w:val="24"/>
        </w:rPr>
        <w:t>6</w:t>
      </w:r>
      <w:r>
        <w:rPr>
          <w:rFonts w:hint="eastAsia" w:cs="Arial"/>
          <w:sz w:val="24"/>
        </w:rPr>
        <w:t>.</w:t>
      </w:r>
      <w:r>
        <w:rPr>
          <w:rFonts w:hint="eastAsia" w:ascii="宋体" w:hAnsi="宋体" w:cs="Courier New"/>
          <w:color w:val="000000"/>
          <w:sz w:val="24"/>
        </w:rPr>
        <w:t>政府采购节能产品、环境标志产品</w:t>
      </w:r>
    </w:p>
    <w:p w14:paraId="02FE9874">
      <w:pPr>
        <w:spacing w:line="460" w:lineRule="exact"/>
        <w:ind w:left="480" w:hanging="480"/>
        <w:rPr>
          <w:rFonts w:hint="eastAsia" w:ascii="宋体" w:hAnsi="宋体" w:cs="Courier New"/>
          <w:color w:val="000000"/>
          <w:sz w:val="24"/>
        </w:rPr>
      </w:pPr>
      <w:r>
        <w:rPr>
          <w:rFonts w:hint="eastAsia" w:ascii="Arial" w:hAnsi="Arial" w:cs="Arial"/>
          <w:sz w:val="24"/>
        </w:rPr>
        <w:t>6</w:t>
      </w:r>
      <w:r>
        <w:rPr>
          <w:rFonts w:ascii="Arial" w:hAnsi="Arial" w:cs="Arial"/>
          <w:sz w:val="24"/>
        </w:rPr>
        <w:t>.1</w:t>
      </w:r>
      <w:r>
        <w:rPr>
          <w:rFonts w:hint="eastAsia" w:ascii="Arial" w:hAnsi="Arial" w:cs="Arial"/>
          <w:sz w:val="24"/>
        </w:rPr>
        <w:t>.</w:t>
      </w:r>
      <w:r>
        <w:rPr>
          <w:rFonts w:hint="eastAsia" w:ascii="宋体" w:hAnsi="宋体" w:cs="Courier New"/>
          <w:color w:val="000000"/>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7C2B4E5D">
      <w:pPr>
        <w:spacing w:line="460" w:lineRule="exact"/>
        <w:ind w:left="480" w:hanging="480"/>
        <w:rPr>
          <w:rFonts w:hint="eastAsia" w:ascii="宋体" w:hAnsi="宋体" w:cs="Courier New"/>
          <w:color w:val="000000"/>
          <w:sz w:val="24"/>
        </w:rPr>
      </w:pPr>
      <w:r>
        <w:rPr>
          <w:rFonts w:hint="eastAsia" w:ascii="Arial" w:hAnsi="Arial" w:cs="Arial"/>
          <w:sz w:val="24"/>
        </w:rPr>
        <w:t>6</w:t>
      </w:r>
      <w:r>
        <w:rPr>
          <w:rFonts w:ascii="Arial" w:hAnsi="Arial" w:cs="Arial"/>
          <w:sz w:val="24"/>
        </w:rPr>
        <w:t>.2</w:t>
      </w:r>
      <w:r>
        <w:rPr>
          <w:rFonts w:hint="eastAsia" w:ascii="Arial" w:hAnsi="Arial" w:cs="Arial"/>
          <w:sz w:val="24"/>
        </w:rPr>
        <w:t>.</w:t>
      </w:r>
      <w:r>
        <w:rPr>
          <w:rFonts w:hint="eastAsia" w:ascii="宋体" w:hAnsi="宋体" w:cs="Courier New"/>
          <w:color w:val="000000"/>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w:t>
      </w:r>
    </w:p>
    <w:p w14:paraId="246A36C8">
      <w:pPr>
        <w:spacing w:line="460" w:lineRule="exact"/>
        <w:ind w:left="480" w:hanging="480"/>
        <w:rPr>
          <w:rFonts w:hint="eastAsia" w:ascii="宋体" w:hAnsi="宋体" w:cs="Courier New"/>
          <w:color w:val="000000"/>
          <w:sz w:val="24"/>
        </w:rPr>
      </w:pPr>
      <w:r>
        <w:rPr>
          <w:rFonts w:hint="eastAsia" w:ascii="Arial" w:hAnsi="Arial" w:cs="Arial"/>
          <w:sz w:val="24"/>
        </w:rPr>
        <w:t>6</w:t>
      </w:r>
      <w:r>
        <w:rPr>
          <w:rFonts w:ascii="Arial" w:hAnsi="Arial" w:cs="Arial"/>
          <w:sz w:val="24"/>
        </w:rPr>
        <w:t>.3</w:t>
      </w:r>
      <w:r>
        <w:rPr>
          <w:rFonts w:hint="eastAsia" w:ascii="Arial" w:hAnsi="Arial" w:cs="Arial"/>
          <w:sz w:val="24"/>
        </w:rPr>
        <w:t>.</w:t>
      </w:r>
      <w:r>
        <w:rPr>
          <w:rFonts w:hint="eastAsia" w:ascii="宋体" w:hAnsi="宋体" w:cs="Courier New"/>
          <w:color w:val="000000"/>
          <w:sz w:val="24"/>
        </w:rPr>
        <w:t>如本项目采购产品属于实施政府强制采购品目清单范围的节能产品，则</w:t>
      </w:r>
      <w:r>
        <w:rPr>
          <w:rFonts w:hint="eastAsia" w:ascii="宋体" w:hAnsi="宋体" w:cs="Courier New"/>
          <w:color w:val="000000"/>
          <w:sz w:val="24"/>
          <w:lang w:eastAsia="zh-CN"/>
        </w:rPr>
        <w:t>供应商</w:t>
      </w:r>
      <w:r>
        <w:rPr>
          <w:rFonts w:hint="eastAsia" w:ascii="宋体" w:hAnsi="宋体" w:cs="Courier New"/>
          <w:color w:val="000000"/>
          <w:sz w:val="24"/>
        </w:rPr>
        <w:t>所报产品必须获得国家确定的认证机构出具的、处于有效期之内的节能产品认证证书，否则投标无效；</w:t>
      </w:r>
    </w:p>
    <w:p w14:paraId="19C45DEA">
      <w:pPr>
        <w:pStyle w:val="2"/>
      </w:pPr>
      <w:r>
        <w:rPr>
          <w:rFonts w:hint="eastAsia" w:cs="Arial"/>
        </w:rPr>
        <w:t>6</w:t>
      </w:r>
      <w:r>
        <w:rPr>
          <w:rFonts w:cs="Arial"/>
        </w:rPr>
        <w:t>.4</w:t>
      </w:r>
      <w:r>
        <w:rPr>
          <w:rFonts w:hint="eastAsia" w:cs="Arial"/>
        </w:rPr>
        <w:t>.</w:t>
      </w:r>
      <w:r>
        <w:rPr>
          <w:rFonts w:hint="eastAsia" w:ascii="宋体" w:hAnsi="宋体" w:cs="Courier New"/>
          <w:color w:val="000000"/>
        </w:rPr>
        <w:t>非政府强制采购的节能产品或环境标志产品，依据品目清单和认证证书实施政府优先采购。优先采购的具体规定详见《评标方法》（如涉及）。</w:t>
      </w:r>
    </w:p>
    <w:p w14:paraId="1D53A9E2">
      <w:pPr>
        <w:pStyle w:val="4"/>
        <w:snapToGrid w:val="0"/>
        <w:spacing w:before="100" w:beforeAutospacing="1" w:after="100" w:afterAutospacing="1" w:line="400" w:lineRule="exact"/>
        <w:rPr>
          <w:rFonts w:eastAsia="宋体" w:cs="Arial"/>
          <w:sz w:val="28"/>
          <w:szCs w:val="28"/>
        </w:rPr>
      </w:pPr>
      <w:bookmarkStart w:id="20" w:name="_Toc349637921"/>
      <w:bookmarkStart w:id="21" w:name="_Toc298240406"/>
      <w:bookmarkStart w:id="22" w:name="_Toc18973"/>
      <w:bookmarkStart w:id="23" w:name="_Toc349573122"/>
      <w:bookmarkStart w:id="24" w:name="_Toc267301283"/>
      <w:r>
        <w:rPr>
          <w:rFonts w:eastAsia="宋体" w:cs="Arial"/>
          <w:sz w:val="28"/>
          <w:szCs w:val="28"/>
        </w:rPr>
        <w:t>B  谈判文件</w:t>
      </w:r>
      <w:bookmarkEnd w:id="20"/>
      <w:bookmarkEnd w:id="21"/>
      <w:bookmarkEnd w:id="22"/>
      <w:bookmarkEnd w:id="23"/>
      <w:bookmarkEnd w:id="24"/>
    </w:p>
    <w:p w14:paraId="2DA90EB5">
      <w:pPr>
        <w:snapToGrid w:val="0"/>
        <w:spacing w:line="400" w:lineRule="exact"/>
        <w:rPr>
          <w:rFonts w:ascii="Arial" w:hAnsi="Arial" w:cs="Arial"/>
          <w:sz w:val="24"/>
        </w:rPr>
      </w:pPr>
      <w:r>
        <w:rPr>
          <w:rFonts w:hint="eastAsia" w:ascii="Arial" w:hAnsi="Arial" w:cs="Arial"/>
          <w:sz w:val="24"/>
        </w:rPr>
        <w:t>7</w:t>
      </w:r>
      <w:r>
        <w:rPr>
          <w:rFonts w:ascii="Arial" w:hAnsi="Arial" w:cs="Arial"/>
          <w:sz w:val="24"/>
        </w:rPr>
        <w:t>．谈判文件构成</w:t>
      </w:r>
    </w:p>
    <w:p w14:paraId="49A5F3CB">
      <w:pPr>
        <w:snapToGrid w:val="0"/>
        <w:spacing w:line="400" w:lineRule="exact"/>
        <w:rPr>
          <w:rFonts w:ascii="Arial" w:hAnsi="Arial" w:cs="Arial"/>
          <w:sz w:val="24"/>
        </w:rPr>
      </w:pPr>
      <w:r>
        <w:rPr>
          <w:rFonts w:hint="eastAsia" w:ascii="Arial" w:hAnsi="Arial" w:cs="Arial"/>
          <w:sz w:val="24"/>
        </w:rPr>
        <w:t>7</w:t>
      </w:r>
      <w:r>
        <w:rPr>
          <w:rFonts w:ascii="Arial" w:hAnsi="Arial" w:cs="Arial"/>
          <w:sz w:val="24"/>
        </w:rPr>
        <w:t>.1谈判文件包括：</w:t>
      </w:r>
    </w:p>
    <w:p w14:paraId="7E869BDE">
      <w:pPr>
        <w:snapToGrid w:val="0"/>
        <w:spacing w:line="400" w:lineRule="exact"/>
        <w:ind w:firstLine="240"/>
        <w:rPr>
          <w:rFonts w:hint="eastAsia" w:ascii="宋体" w:hAnsi="宋体" w:cs="宋体"/>
          <w:sz w:val="24"/>
        </w:rPr>
      </w:pPr>
      <w:r>
        <w:rPr>
          <w:rFonts w:hint="eastAsia" w:ascii="宋体" w:hAnsi="宋体" w:cs="宋体"/>
          <w:sz w:val="24"/>
        </w:rPr>
        <w:t>（1）谈判邀请；</w:t>
      </w:r>
    </w:p>
    <w:p w14:paraId="0D168DC9">
      <w:pPr>
        <w:snapToGrid w:val="0"/>
        <w:spacing w:line="400" w:lineRule="exact"/>
        <w:ind w:firstLine="240"/>
        <w:rPr>
          <w:rFonts w:hint="eastAsia" w:ascii="宋体" w:hAnsi="宋体" w:cs="宋体"/>
          <w:sz w:val="24"/>
        </w:rPr>
      </w:pPr>
      <w:r>
        <w:rPr>
          <w:rFonts w:hint="eastAsia" w:ascii="宋体" w:hAnsi="宋体" w:cs="宋体"/>
          <w:sz w:val="24"/>
        </w:rPr>
        <w:t>（2）供应商须知；</w:t>
      </w:r>
    </w:p>
    <w:p w14:paraId="354A0E7E">
      <w:pPr>
        <w:snapToGrid w:val="0"/>
        <w:spacing w:line="400" w:lineRule="exact"/>
        <w:ind w:firstLine="240"/>
        <w:rPr>
          <w:rFonts w:hint="eastAsia" w:ascii="宋体" w:hAnsi="宋体" w:cs="宋体"/>
          <w:sz w:val="24"/>
        </w:rPr>
      </w:pPr>
      <w:r>
        <w:rPr>
          <w:rFonts w:hint="eastAsia" w:ascii="宋体" w:hAnsi="宋体" w:cs="宋体"/>
          <w:sz w:val="24"/>
        </w:rPr>
        <w:t>（3）货物需求及技术要求；</w:t>
      </w:r>
    </w:p>
    <w:p w14:paraId="751AD3A2">
      <w:pPr>
        <w:snapToGrid w:val="0"/>
        <w:spacing w:line="400" w:lineRule="exact"/>
        <w:ind w:firstLine="240"/>
        <w:rPr>
          <w:rFonts w:hint="eastAsia" w:ascii="宋体" w:hAnsi="宋体" w:cs="宋体"/>
          <w:sz w:val="24"/>
        </w:rPr>
      </w:pPr>
      <w:r>
        <w:rPr>
          <w:rFonts w:hint="eastAsia" w:ascii="宋体" w:hAnsi="宋体" w:cs="宋体"/>
          <w:sz w:val="24"/>
        </w:rPr>
        <w:t>（4）合同一般条款（仅供参考）</w:t>
      </w:r>
    </w:p>
    <w:p w14:paraId="2135E238">
      <w:pPr>
        <w:snapToGrid w:val="0"/>
        <w:spacing w:line="400" w:lineRule="exact"/>
        <w:ind w:firstLine="240"/>
        <w:rPr>
          <w:rFonts w:hint="eastAsia" w:ascii="宋体" w:hAnsi="宋体" w:cs="宋体"/>
          <w:sz w:val="24"/>
        </w:rPr>
      </w:pPr>
      <w:r>
        <w:rPr>
          <w:rFonts w:hint="eastAsia" w:ascii="宋体" w:hAnsi="宋体" w:cs="宋体"/>
          <w:sz w:val="24"/>
        </w:rPr>
        <w:t>（5）合同特殊条款</w:t>
      </w:r>
    </w:p>
    <w:p w14:paraId="2B343545">
      <w:pPr>
        <w:snapToGrid w:val="0"/>
        <w:spacing w:line="400" w:lineRule="exact"/>
        <w:ind w:firstLine="240"/>
        <w:rPr>
          <w:rFonts w:hint="eastAsia" w:ascii="宋体" w:hAnsi="宋体" w:cs="宋体"/>
          <w:sz w:val="24"/>
        </w:rPr>
      </w:pPr>
      <w:r>
        <w:rPr>
          <w:rFonts w:hint="eastAsia" w:ascii="宋体" w:hAnsi="宋体" w:cs="宋体"/>
          <w:sz w:val="24"/>
          <w:szCs w:val="22"/>
        </w:rPr>
        <w:t>（6）</w:t>
      </w:r>
      <w:r>
        <w:rPr>
          <w:rFonts w:hint="eastAsia" w:ascii="宋体" w:hAnsi="宋体" w:cs="宋体"/>
          <w:sz w:val="24"/>
        </w:rPr>
        <w:t>范本格式。</w:t>
      </w:r>
    </w:p>
    <w:p w14:paraId="0CEC5104">
      <w:pPr>
        <w:snapToGrid w:val="0"/>
        <w:spacing w:line="400" w:lineRule="exact"/>
        <w:rPr>
          <w:rFonts w:ascii="Arial" w:hAnsi="Arial" w:cs="Arial"/>
          <w:sz w:val="24"/>
        </w:rPr>
      </w:pPr>
      <w:r>
        <w:rPr>
          <w:rFonts w:hint="eastAsia" w:ascii="Arial" w:hAnsi="Arial" w:cs="Arial"/>
          <w:sz w:val="24"/>
        </w:rPr>
        <w:t>7</w:t>
      </w:r>
      <w:r>
        <w:rPr>
          <w:rFonts w:ascii="Arial" w:hAnsi="Arial" w:cs="Arial"/>
          <w:sz w:val="24"/>
        </w:rPr>
        <w:t>.2 谈判文件以中文编写。</w:t>
      </w:r>
    </w:p>
    <w:p w14:paraId="60ECBBBA">
      <w:pPr>
        <w:snapToGrid w:val="0"/>
        <w:spacing w:line="400" w:lineRule="exact"/>
        <w:ind w:left="360" w:hanging="360" w:hangingChars="150"/>
        <w:rPr>
          <w:rFonts w:ascii="Arial" w:hAnsi="Arial" w:cs="Arial"/>
          <w:sz w:val="24"/>
        </w:rPr>
      </w:pPr>
      <w:r>
        <w:rPr>
          <w:rFonts w:hint="eastAsia" w:ascii="Arial" w:hAnsi="Arial" w:cs="Arial"/>
          <w:sz w:val="24"/>
        </w:rPr>
        <w:t>7</w:t>
      </w:r>
      <w:r>
        <w:rPr>
          <w:rFonts w:ascii="Arial" w:hAnsi="Arial" w:cs="Arial"/>
          <w:sz w:val="24"/>
        </w:rPr>
        <w:t>.3 供应商应认真阅读谈判文件中所有的事项、格式、条款和规范等要求，从而对谈判文件作出实质性响应。如果没有按照谈判文件要求提交全部谈判响应文件或资料，没有对谈判文件作出实质性响应，其风险应由供应商自行承担。</w:t>
      </w:r>
    </w:p>
    <w:p w14:paraId="74EAAE07">
      <w:pPr>
        <w:snapToGrid w:val="0"/>
        <w:spacing w:line="400" w:lineRule="exact"/>
        <w:rPr>
          <w:rFonts w:ascii="Arial" w:hAnsi="Arial" w:cs="Arial"/>
          <w:sz w:val="24"/>
        </w:rPr>
      </w:pPr>
      <w:r>
        <w:rPr>
          <w:rFonts w:hint="eastAsia" w:ascii="Arial" w:hAnsi="Arial" w:cs="Arial"/>
          <w:sz w:val="24"/>
        </w:rPr>
        <w:t>8</w:t>
      </w:r>
      <w:r>
        <w:rPr>
          <w:rFonts w:ascii="Arial" w:hAnsi="Arial" w:cs="Arial"/>
          <w:sz w:val="24"/>
        </w:rPr>
        <w:t>．谈判文件澄清</w:t>
      </w:r>
    </w:p>
    <w:p w14:paraId="6A232C1D">
      <w:pPr>
        <w:snapToGrid w:val="0"/>
        <w:spacing w:line="400" w:lineRule="exact"/>
        <w:ind w:left="480" w:hanging="480"/>
        <w:rPr>
          <w:rFonts w:ascii="Arial" w:hAnsi="Arial" w:cs="Arial"/>
          <w:sz w:val="24"/>
        </w:rPr>
      </w:pPr>
      <w:r>
        <w:rPr>
          <w:rFonts w:hint="eastAsia" w:ascii="Arial" w:hAnsi="Arial" w:cs="Arial"/>
          <w:sz w:val="24"/>
        </w:rPr>
        <w:t>8</w:t>
      </w:r>
      <w:r>
        <w:rPr>
          <w:rFonts w:ascii="Arial" w:hAnsi="Arial" w:cs="Arial"/>
          <w:sz w:val="24"/>
        </w:rPr>
        <w:t>.1 供应商对谈判文件有疑问的，可以向</w:t>
      </w:r>
      <w:r>
        <w:rPr>
          <w:rFonts w:hint="eastAsia" w:ascii="Arial" w:hAnsi="Arial" w:cs="Arial"/>
          <w:sz w:val="24"/>
        </w:rPr>
        <w:t>采购代理机构</w:t>
      </w:r>
      <w:r>
        <w:rPr>
          <w:rFonts w:ascii="Arial" w:hAnsi="Arial" w:cs="Arial"/>
          <w:sz w:val="24"/>
        </w:rPr>
        <w:t>提出询问，</w:t>
      </w:r>
      <w:r>
        <w:rPr>
          <w:rFonts w:hint="eastAsia" w:ascii="Arial" w:hAnsi="Arial" w:cs="Arial"/>
          <w:sz w:val="24"/>
        </w:rPr>
        <w:t>采购代理机构</w:t>
      </w:r>
      <w:r>
        <w:rPr>
          <w:rFonts w:ascii="Arial" w:hAnsi="Arial" w:cs="Arial"/>
          <w:sz w:val="24"/>
        </w:rPr>
        <w:t>将及时做出答复；</w:t>
      </w:r>
    </w:p>
    <w:p w14:paraId="62605230">
      <w:pPr>
        <w:snapToGrid w:val="0"/>
        <w:spacing w:line="400" w:lineRule="exact"/>
        <w:ind w:left="480" w:hanging="480"/>
        <w:rPr>
          <w:rFonts w:ascii="Arial" w:hAnsi="Arial" w:cs="Arial"/>
          <w:sz w:val="24"/>
        </w:rPr>
      </w:pPr>
      <w:r>
        <w:rPr>
          <w:rFonts w:hint="eastAsia" w:ascii="Arial" w:hAnsi="Arial" w:cs="Arial"/>
          <w:sz w:val="24"/>
        </w:rPr>
        <w:t>8</w:t>
      </w:r>
      <w:r>
        <w:rPr>
          <w:rFonts w:ascii="Arial" w:hAnsi="Arial" w:cs="Arial"/>
          <w:sz w:val="24"/>
        </w:rPr>
        <w:t>.2 供应商对</w:t>
      </w:r>
      <w:r>
        <w:rPr>
          <w:rFonts w:hint="eastAsia" w:ascii="Arial" w:hAnsi="Arial" w:cs="Arial"/>
          <w:sz w:val="24"/>
        </w:rPr>
        <w:t>谈判文件</w:t>
      </w:r>
      <w:r>
        <w:rPr>
          <w:rFonts w:ascii="Arial" w:hAnsi="Arial" w:cs="Arial"/>
          <w:sz w:val="24"/>
        </w:rPr>
        <w:t>有质疑，须在得到</w:t>
      </w:r>
      <w:r>
        <w:rPr>
          <w:rFonts w:hint="eastAsia" w:ascii="Arial" w:hAnsi="Arial" w:cs="Arial"/>
          <w:sz w:val="24"/>
        </w:rPr>
        <w:t>谈判文件</w:t>
      </w:r>
      <w:r>
        <w:rPr>
          <w:rFonts w:ascii="Arial" w:hAnsi="Arial" w:cs="Arial"/>
          <w:sz w:val="24"/>
        </w:rPr>
        <w:t>之日起，以书面形式向</w:t>
      </w:r>
      <w:r>
        <w:rPr>
          <w:rFonts w:hint="eastAsia" w:ascii="Arial" w:hAnsi="Arial" w:cs="Arial"/>
          <w:sz w:val="24"/>
        </w:rPr>
        <w:t>采购代理机构</w:t>
      </w:r>
      <w:r>
        <w:rPr>
          <w:rFonts w:ascii="Arial" w:hAnsi="Arial" w:cs="Arial"/>
          <w:sz w:val="24"/>
        </w:rPr>
        <w:t>提出质疑；</w:t>
      </w:r>
      <w:r>
        <w:rPr>
          <w:rFonts w:hint="eastAsia" w:ascii="Arial" w:hAnsi="Arial" w:cs="Arial"/>
          <w:sz w:val="24"/>
        </w:rPr>
        <w:t>采购代理机构</w:t>
      </w:r>
      <w:r>
        <w:rPr>
          <w:rFonts w:ascii="Arial" w:hAnsi="Arial" w:cs="Arial"/>
          <w:sz w:val="24"/>
        </w:rPr>
        <w:t>在收到书面质疑后</w:t>
      </w:r>
      <w:r>
        <w:rPr>
          <w:rFonts w:hint="eastAsia" w:ascii="Arial" w:hAnsi="Arial" w:cs="Arial"/>
          <w:sz w:val="24"/>
        </w:rPr>
        <w:t>7个工作日内</w:t>
      </w:r>
      <w:r>
        <w:rPr>
          <w:rFonts w:ascii="Arial" w:hAnsi="Arial" w:cs="Arial"/>
          <w:sz w:val="24"/>
        </w:rPr>
        <w:t>做出答复，并以书面形式通知质疑供应商</w:t>
      </w:r>
      <w:r>
        <w:rPr>
          <w:rFonts w:hint="eastAsia" w:ascii="Arial" w:hAnsi="Arial" w:cs="Arial"/>
          <w:sz w:val="24"/>
        </w:rPr>
        <w:t>。</w:t>
      </w:r>
      <w:r>
        <w:rPr>
          <w:rFonts w:ascii="Arial" w:hAnsi="Arial" w:cs="Arial"/>
          <w:sz w:val="24"/>
        </w:rPr>
        <w:t>质疑文件须根据《政府采购质疑和投诉办法》（财政部令第94号）要求的格式及内容提交。</w:t>
      </w:r>
    </w:p>
    <w:p w14:paraId="243DECBB">
      <w:pPr>
        <w:snapToGrid w:val="0"/>
        <w:spacing w:line="400" w:lineRule="exact"/>
        <w:ind w:left="480" w:hanging="480"/>
        <w:rPr>
          <w:rFonts w:ascii="Arial" w:hAnsi="Arial" w:cs="Arial"/>
          <w:sz w:val="24"/>
        </w:rPr>
      </w:pPr>
      <w:r>
        <w:rPr>
          <w:rFonts w:hint="eastAsia" w:ascii="Arial" w:hAnsi="Arial" w:cs="Arial"/>
          <w:sz w:val="24"/>
        </w:rPr>
        <w:t>8.3 采购人及采购代理机构接受供应商的质疑为：供应商在质疑期内一次性提出的针对同一采购程序环节的质疑。</w:t>
      </w:r>
    </w:p>
    <w:p w14:paraId="76AF8DFC">
      <w:pPr>
        <w:snapToGrid w:val="0"/>
        <w:spacing w:line="400" w:lineRule="exact"/>
        <w:rPr>
          <w:rFonts w:ascii="Arial" w:hAnsi="Arial" w:cs="Arial"/>
          <w:sz w:val="24"/>
        </w:rPr>
      </w:pPr>
      <w:r>
        <w:rPr>
          <w:rFonts w:hint="eastAsia" w:ascii="Arial" w:hAnsi="Arial" w:cs="Arial"/>
          <w:sz w:val="24"/>
        </w:rPr>
        <w:t>9</w:t>
      </w:r>
      <w:r>
        <w:rPr>
          <w:rFonts w:ascii="Arial" w:hAnsi="Arial" w:cs="Arial"/>
          <w:sz w:val="24"/>
        </w:rPr>
        <w:t>.  谈判文件的修改</w:t>
      </w:r>
    </w:p>
    <w:p w14:paraId="47E6E466">
      <w:pPr>
        <w:snapToGrid w:val="0"/>
        <w:spacing w:line="400" w:lineRule="exact"/>
        <w:ind w:left="480" w:hanging="480"/>
        <w:rPr>
          <w:rFonts w:ascii="Arial" w:hAnsi="Arial" w:cs="Arial"/>
          <w:sz w:val="24"/>
        </w:rPr>
      </w:pPr>
      <w:r>
        <w:rPr>
          <w:rFonts w:hint="eastAsia" w:ascii="Arial" w:hAnsi="Arial" w:cs="Arial"/>
          <w:sz w:val="24"/>
        </w:rPr>
        <w:t>9</w:t>
      </w:r>
      <w:r>
        <w:rPr>
          <w:rFonts w:ascii="Arial" w:hAnsi="Arial" w:cs="Arial"/>
          <w:sz w:val="24"/>
        </w:rPr>
        <w:t>.1 对谈判文件进行必要的修改，</w:t>
      </w:r>
      <w:r>
        <w:rPr>
          <w:rFonts w:hint="eastAsia" w:ascii="Arial" w:hAnsi="Arial" w:cs="Arial"/>
          <w:sz w:val="24"/>
        </w:rPr>
        <w:t>采购代理机构</w:t>
      </w:r>
      <w:r>
        <w:rPr>
          <w:rFonts w:ascii="Arial" w:hAnsi="Arial" w:cs="Arial"/>
          <w:sz w:val="24"/>
        </w:rPr>
        <w:t>将在</w:t>
      </w:r>
      <w:r>
        <w:rPr>
          <w:rFonts w:hint="eastAsia" w:ascii="Arial" w:hAnsi="Arial" w:cs="Arial"/>
          <w:sz w:val="24"/>
        </w:rPr>
        <w:t>谈判</w:t>
      </w:r>
      <w:r>
        <w:rPr>
          <w:rFonts w:ascii="Arial" w:hAnsi="Arial" w:cs="Arial"/>
          <w:sz w:val="24"/>
        </w:rPr>
        <w:t>截止时间</w:t>
      </w:r>
      <w:r>
        <w:rPr>
          <w:rFonts w:hint="eastAsia" w:ascii="Arial" w:hAnsi="Arial" w:cs="Arial"/>
          <w:sz w:val="24"/>
        </w:rPr>
        <w:t>3个工作日</w:t>
      </w:r>
      <w:r>
        <w:rPr>
          <w:rFonts w:ascii="Arial" w:hAnsi="Arial" w:cs="Arial"/>
          <w:sz w:val="24"/>
        </w:rPr>
        <w:t>前以书面形式通知所有购买谈判文件的供应商。该修改的内容为谈判文件的组成部分；</w:t>
      </w:r>
    </w:p>
    <w:p w14:paraId="7FD4ED99">
      <w:pPr>
        <w:snapToGrid w:val="0"/>
        <w:spacing w:line="400" w:lineRule="exact"/>
        <w:rPr>
          <w:rFonts w:ascii="Arial" w:hAnsi="Arial" w:cs="Arial"/>
          <w:sz w:val="24"/>
        </w:rPr>
      </w:pPr>
      <w:r>
        <w:rPr>
          <w:rFonts w:hint="eastAsia" w:ascii="Arial" w:hAnsi="Arial" w:cs="Arial"/>
          <w:sz w:val="24"/>
        </w:rPr>
        <w:t>9.2 供应商在规定的时间内未对谈判文件提出</w:t>
      </w:r>
      <w:r>
        <w:rPr>
          <w:rFonts w:ascii="Arial" w:hAnsi="Arial" w:cs="Arial"/>
          <w:sz w:val="24"/>
        </w:rPr>
        <w:t>澄清</w:t>
      </w:r>
      <w:r>
        <w:rPr>
          <w:rFonts w:hint="eastAsia" w:ascii="Arial" w:hAnsi="Arial" w:cs="Arial"/>
          <w:sz w:val="24"/>
        </w:rPr>
        <w:t>要求的，采购代理机构将视其为同意。</w:t>
      </w:r>
    </w:p>
    <w:p w14:paraId="26AC10E7">
      <w:pPr>
        <w:snapToGrid w:val="0"/>
        <w:spacing w:line="400" w:lineRule="exact"/>
        <w:ind w:left="480" w:hanging="480"/>
        <w:rPr>
          <w:rFonts w:ascii="Arial" w:hAnsi="Arial" w:cs="Arial"/>
          <w:sz w:val="24"/>
        </w:rPr>
      </w:pPr>
      <w:r>
        <w:rPr>
          <w:rFonts w:hint="eastAsia" w:ascii="Arial" w:hAnsi="Arial" w:cs="Arial"/>
          <w:sz w:val="24"/>
        </w:rPr>
        <w:t>9</w:t>
      </w:r>
      <w:r>
        <w:rPr>
          <w:rFonts w:ascii="Arial" w:hAnsi="Arial" w:cs="Arial"/>
          <w:sz w:val="24"/>
        </w:rPr>
        <w:t>.</w:t>
      </w:r>
      <w:r>
        <w:rPr>
          <w:rFonts w:hint="eastAsia" w:ascii="Arial" w:hAnsi="Arial" w:cs="Arial"/>
          <w:sz w:val="24"/>
        </w:rPr>
        <w:t>3</w:t>
      </w:r>
      <w:r>
        <w:rPr>
          <w:rFonts w:ascii="Arial" w:hAnsi="Arial" w:cs="Arial"/>
          <w:sz w:val="24"/>
        </w:rPr>
        <w:t xml:space="preserve"> 在</w:t>
      </w:r>
      <w:r>
        <w:rPr>
          <w:rFonts w:hint="eastAsia" w:ascii="Arial" w:hAnsi="Arial" w:cs="Arial"/>
          <w:sz w:val="24"/>
        </w:rPr>
        <w:t>谈判</w:t>
      </w:r>
      <w:r>
        <w:rPr>
          <w:rFonts w:ascii="Arial" w:hAnsi="Arial" w:cs="Arial"/>
          <w:sz w:val="24"/>
        </w:rPr>
        <w:t>截止时间前，</w:t>
      </w:r>
      <w:r>
        <w:rPr>
          <w:rFonts w:hint="eastAsia" w:ascii="Arial" w:hAnsi="Arial" w:cs="Arial"/>
          <w:sz w:val="24"/>
        </w:rPr>
        <w:t>采购代理</w:t>
      </w:r>
      <w:r>
        <w:rPr>
          <w:rFonts w:ascii="Arial" w:hAnsi="Arial" w:cs="Arial"/>
          <w:sz w:val="24"/>
        </w:rPr>
        <w:t>机构可视具体情况延长</w:t>
      </w:r>
      <w:r>
        <w:rPr>
          <w:rFonts w:hint="eastAsia" w:ascii="Arial" w:hAnsi="Arial" w:cs="Arial"/>
          <w:sz w:val="24"/>
        </w:rPr>
        <w:t>谈判</w:t>
      </w:r>
      <w:r>
        <w:rPr>
          <w:rFonts w:ascii="Arial" w:hAnsi="Arial" w:cs="Arial"/>
          <w:sz w:val="24"/>
        </w:rPr>
        <w:t>截止时间，并将变更时间书面通知所有</w:t>
      </w:r>
      <w:r>
        <w:rPr>
          <w:rFonts w:hint="eastAsia" w:ascii="Arial" w:hAnsi="Arial" w:cs="Arial"/>
          <w:sz w:val="24"/>
        </w:rPr>
        <w:t>获取</w:t>
      </w:r>
      <w:r>
        <w:rPr>
          <w:rFonts w:ascii="Arial" w:hAnsi="Arial" w:cs="Arial"/>
          <w:sz w:val="24"/>
        </w:rPr>
        <w:t>谈判文件的供应商。</w:t>
      </w:r>
    </w:p>
    <w:p w14:paraId="32112D62">
      <w:pPr>
        <w:pStyle w:val="4"/>
        <w:snapToGrid w:val="0"/>
        <w:spacing w:before="100" w:beforeAutospacing="1" w:after="100" w:afterAutospacing="1" w:line="400" w:lineRule="exact"/>
        <w:rPr>
          <w:rFonts w:eastAsia="宋体" w:cs="Arial"/>
          <w:sz w:val="28"/>
          <w:szCs w:val="28"/>
        </w:rPr>
      </w:pPr>
      <w:bookmarkStart w:id="25" w:name="_Toc349637922"/>
      <w:bookmarkStart w:id="26" w:name="_Toc267301284"/>
      <w:bookmarkStart w:id="27" w:name="_Toc298240407"/>
      <w:bookmarkStart w:id="28" w:name="_Toc349573123"/>
      <w:bookmarkStart w:id="29" w:name="_Toc30168"/>
      <w:r>
        <w:rPr>
          <w:rFonts w:eastAsia="宋体" w:cs="Arial"/>
          <w:sz w:val="28"/>
          <w:szCs w:val="28"/>
        </w:rPr>
        <w:t>C  谈判响应文件的编写</w:t>
      </w:r>
      <w:bookmarkEnd w:id="25"/>
      <w:bookmarkEnd w:id="26"/>
      <w:bookmarkEnd w:id="27"/>
      <w:bookmarkEnd w:id="28"/>
      <w:bookmarkEnd w:id="29"/>
    </w:p>
    <w:p w14:paraId="5806DCAC">
      <w:pPr>
        <w:snapToGrid w:val="0"/>
        <w:spacing w:line="400" w:lineRule="exact"/>
        <w:rPr>
          <w:rFonts w:ascii="Arial" w:hAnsi="Arial" w:cs="Arial"/>
          <w:sz w:val="24"/>
        </w:rPr>
      </w:pPr>
      <w:r>
        <w:rPr>
          <w:rFonts w:ascii="Arial" w:hAnsi="Arial" w:cs="Arial"/>
          <w:sz w:val="24"/>
        </w:rPr>
        <w:t>9．要求</w:t>
      </w:r>
    </w:p>
    <w:p w14:paraId="1A4C84AF">
      <w:pPr>
        <w:snapToGrid w:val="0"/>
        <w:spacing w:line="400" w:lineRule="exact"/>
        <w:ind w:left="360" w:hanging="360" w:hangingChars="150"/>
        <w:rPr>
          <w:rFonts w:ascii="Arial" w:hAnsi="Arial" w:cs="Arial"/>
          <w:sz w:val="24"/>
        </w:rPr>
      </w:pPr>
      <w:r>
        <w:rPr>
          <w:rFonts w:ascii="Arial" w:hAnsi="Arial" w:cs="Arial"/>
          <w:sz w:val="24"/>
        </w:rPr>
        <w:t>9.1 供应商应仔细阅读谈判文件的所有内容，按谈判文件的要求提供谈判响应文件，并保证所提供的全部资料的真实性，以使其</w:t>
      </w:r>
      <w:r>
        <w:rPr>
          <w:rFonts w:hint="eastAsia" w:ascii="Arial" w:hAnsi="Arial" w:cs="Arial"/>
          <w:sz w:val="24"/>
        </w:rPr>
        <w:t>谈判响应</w:t>
      </w:r>
      <w:r>
        <w:rPr>
          <w:rFonts w:ascii="Arial" w:hAnsi="Arial" w:cs="Arial"/>
          <w:sz w:val="24"/>
        </w:rPr>
        <w:t>对谈判文件作出实质性响应，否则，其</w:t>
      </w:r>
      <w:r>
        <w:rPr>
          <w:rFonts w:hint="eastAsia" w:ascii="Arial" w:hAnsi="Arial" w:cs="Arial"/>
          <w:sz w:val="24"/>
        </w:rPr>
        <w:t>谈判</w:t>
      </w:r>
      <w:r>
        <w:rPr>
          <w:rFonts w:ascii="Arial" w:hAnsi="Arial" w:cs="Arial"/>
          <w:sz w:val="24"/>
        </w:rPr>
        <w:t>可能被拒绝。</w:t>
      </w:r>
    </w:p>
    <w:p w14:paraId="048AEB05">
      <w:pPr>
        <w:snapToGrid w:val="0"/>
        <w:spacing w:line="400" w:lineRule="exact"/>
        <w:contextualSpacing/>
        <w:rPr>
          <w:rFonts w:ascii="Arial" w:hAnsi="Arial" w:cs="Arial"/>
          <w:sz w:val="24"/>
        </w:rPr>
      </w:pPr>
      <w:r>
        <w:rPr>
          <w:rFonts w:ascii="Arial" w:hAnsi="Arial" w:cs="Arial"/>
          <w:sz w:val="24"/>
        </w:rPr>
        <w:t>10．</w:t>
      </w:r>
      <w:r>
        <w:rPr>
          <w:rFonts w:hint="eastAsia" w:ascii="Arial" w:hAnsi="Arial" w:cs="Arial"/>
          <w:sz w:val="24"/>
        </w:rPr>
        <w:t>谈判</w:t>
      </w:r>
      <w:r>
        <w:rPr>
          <w:rFonts w:ascii="Arial" w:hAnsi="Arial" w:cs="Arial"/>
          <w:sz w:val="24"/>
        </w:rPr>
        <w:t>语言</w:t>
      </w:r>
    </w:p>
    <w:p w14:paraId="6066D031">
      <w:pPr>
        <w:snapToGrid w:val="0"/>
        <w:spacing w:line="400" w:lineRule="exact"/>
        <w:ind w:left="600" w:hanging="600" w:hangingChars="250"/>
        <w:contextualSpacing/>
        <w:rPr>
          <w:rFonts w:ascii="Arial" w:hAnsi="Arial" w:cs="Arial"/>
          <w:sz w:val="24"/>
        </w:rPr>
      </w:pPr>
      <w:r>
        <w:rPr>
          <w:rFonts w:ascii="Arial" w:hAnsi="Arial" w:cs="Arial"/>
          <w:sz w:val="24"/>
        </w:rPr>
        <w:t>10.1谈判响应文件及供应商与</w:t>
      </w:r>
      <w:r>
        <w:rPr>
          <w:rFonts w:hint="eastAsia" w:ascii="Arial" w:hAnsi="Arial" w:cs="Arial"/>
          <w:sz w:val="24"/>
        </w:rPr>
        <w:t>采购代理机构</w:t>
      </w:r>
      <w:r>
        <w:rPr>
          <w:rFonts w:ascii="Arial" w:hAnsi="Arial" w:cs="Arial"/>
          <w:sz w:val="24"/>
        </w:rPr>
        <w:t>就</w:t>
      </w:r>
      <w:r>
        <w:rPr>
          <w:rFonts w:hint="eastAsia" w:ascii="Arial" w:hAnsi="Arial" w:cs="Arial"/>
          <w:sz w:val="24"/>
        </w:rPr>
        <w:t>谈判</w:t>
      </w:r>
      <w:r>
        <w:rPr>
          <w:rFonts w:ascii="Arial" w:hAnsi="Arial" w:cs="Arial"/>
          <w:sz w:val="24"/>
        </w:rPr>
        <w:t>交换的文件和来往信件，应以中文书写。</w:t>
      </w:r>
    </w:p>
    <w:p w14:paraId="634DDC8A">
      <w:pPr>
        <w:snapToGrid w:val="0"/>
        <w:spacing w:line="400" w:lineRule="exact"/>
        <w:contextualSpacing/>
        <w:rPr>
          <w:rFonts w:ascii="Arial" w:hAnsi="Arial" w:cs="Arial"/>
          <w:sz w:val="24"/>
        </w:rPr>
      </w:pPr>
      <w:r>
        <w:rPr>
          <w:rFonts w:ascii="Arial" w:hAnsi="Arial" w:cs="Arial"/>
          <w:sz w:val="24"/>
        </w:rPr>
        <w:t>11．谈判响应文件的构成</w:t>
      </w:r>
    </w:p>
    <w:p w14:paraId="3D1273D3">
      <w:pPr>
        <w:snapToGrid w:val="0"/>
        <w:spacing w:line="400" w:lineRule="exact"/>
        <w:contextualSpacing/>
        <w:rPr>
          <w:rFonts w:ascii="Arial" w:hAnsi="Arial" w:cs="Arial"/>
          <w:sz w:val="24"/>
        </w:rPr>
      </w:pPr>
      <w:r>
        <w:rPr>
          <w:rFonts w:ascii="Arial" w:hAnsi="Arial" w:cs="Arial"/>
          <w:sz w:val="24"/>
        </w:rPr>
        <w:t>11.1 供应商编写的谈判响应文件应包括下列内容：</w:t>
      </w:r>
    </w:p>
    <w:p w14:paraId="07F22964">
      <w:pPr>
        <w:pStyle w:val="239"/>
        <w:snapToGrid w:val="0"/>
        <w:spacing w:line="400" w:lineRule="exact"/>
        <w:ind w:firstLine="600" w:firstLineChars="250"/>
        <w:contextualSpacing/>
        <w:jc w:val="left"/>
        <w:rPr>
          <w:rFonts w:ascii="Arial" w:hAnsi="Arial" w:eastAsia="宋体" w:cs="Arial"/>
          <w:kern w:val="2"/>
          <w:sz w:val="24"/>
        </w:rPr>
      </w:pPr>
      <w:r>
        <w:rPr>
          <w:rFonts w:hint="eastAsia" w:ascii="Arial" w:hAnsi="Arial" w:eastAsia="宋体" w:cs="Arial"/>
          <w:kern w:val="2"/>
          <w:sz w:val="24"/>
        </w:rPr>
        <w:t>1）、谈判响应书、开标一览表、分项报价表</w:t>
      </w:r>
    </w:p>
    <w:p w14:paraId="702A9C98">
      <w:pPr>
        <w:pStyle w:val="239"/>
        <w:snapToGrid w:val="0"/>
        <w:spacing w:line="400" w:lineRule="exact"/>
        <w:ind w:firstLine="600" w:firstLineChars="250"/>
        <w:contextualSpacing/>
        <w:jc w:val="left"/>
        <w:rPr>
          <w:rFonts w:ascii="Arial" w:hAnsi="Arial" w:eastAsia="宋体" w:cs="Arial"/>
          <w:kern w:val="2"/>
          <w:sz w:val="24"/>
        </w:rPr>
      </w:pPr>
      <w:r>
        <w:rPr>
          <w:rFonts w:hint="eastAsia" w:ascii="Arial" w:hAnsi="Arial" w:eastAsia="宋体" w:cs="Arial"/>
          <w:kern w:val="2"/>
          <w:sz w:val="24"/>
        </w:rPr>
        <w:t>2）、资格证明文件</w:t>
      </w:r>
    </w:p>
    <w:p w14:paraId="2DC6670F">
      <w:pPr>
        <w:pStyle w:val="239"/>
        <w:snapToGrid w:val="0"/>
        <w:spacing w:line="400" w:lineRule="exact"/>
        <w:ind w:firstLine="600" w:firstLineChars="250"/>
        <w:contextualSpacing/>
        <w:jc w:val="left"/>
        <w:rPr>
          <w:rFonts w:ascii="Arial" w:hAnsi="Arial" w:eastAsia="宋体" w:cs="Arial"/>
          <w:kern w:val="2"/>
          <w:sz w:val="24"/>
        </w:rPr>
      </w:pPr>
      <w:r>
        <w:rPr>
          <w:rFonts w:hint="eastAsia" w:ascii="Arial" w:hAnsi="Arial" w:eastAsia="宋体" w:cs="Arial"/>
          <w:kern w:val="2"/>
          <w:sz w:val="24"/>
        </w:rPr>
        <w:t>3）、所投产品的相关技术/证明资料</w:t>
      </w:r>
    </w:p>
    <w:p w14:paraId="2F6C7D65">
      <w:pPr>
        <w:pStyle w:val="239"/>
        <w:snapToGrid w:val="0"/>
        <w:spacing w:line="400" w:lineRule="exact"/>
        <w:ind w:firstLine="600" w:firstLineChars="250"/>
        <w:contextualSpacing/>
        <w:jc w:val="left"/>
        <w:rPr>
          <w:rFonts w:ascii="Arial" w:hAnsi="Arial" w:eastAsia="宋体" w:cs="Arial"/>
          <w:kern w:val="2"/>
          <w:sz w:val="24"/>
        </w:rPr>
      </w:pPr>
      <w:r>
        <w:rPr>
          <w:rFonts w:hint="eastAsia" w:ascii="Arial" w:hAnsi="Arial" w:eastAsia="宋体" w:cs="Arial"/>
          <w:kern w:val="2"/>
          <w:sz w:val="24"/>
        </w:rPr>
        <w:t>4）、谈判保证金</w:t>
      </w:r>
    </w:p>
    <w:p w14:paraId="70136873">
      <w:pPr>
        <w:pStyle w:val="239"/>
        <w:snapToGrid w:val="0"/>
        <w:spacing w:line="400" w:lineRule="exact"/>
        <w:ind w:firstLine="600" w:firstLineChars="250"/>
        <w:contextualSpacing/>
        <w:jc w:val="left"/>
        <w:rPr>
          <w:rFonts w:ascii="Arial" w:hAnsi="Arial" w:eastAsia="宋体" w:cs="Arial"/>
          <w:kern w:val="2"/>
          <w:sz w:val="24"/>
        </w:rPr>
      </w:pPr>
      <w:r>
        <w:rPr>
          <w:rFonts w:hint="eastAsia" w:ascii="Arial" w:hAnsi="Arial" w:eastAsia="宋体" w:cs="Arial"/>
          <w:kern w:val="2"/>
          <w:sz w:val="24"/>
        </w:rPr>
        <w:t>5）、谈判文件货物需求及技术规格、合同特殊条款中要求提交的文件资料</w:t>
      </w:r>
    </w:p>
    <w:p w14:paraId="339AFF09">
      <w:pPr>
        <w:pStyle w:val="239"/>
        <w:snapToGrid w:val="0"/>
        <w:spacing w:line="400" w:lineRule="exact"/>
        <w:ind w:firstLine="600" w:firstLineChars="250"/>
        <w:contextualSpacing/>
        <w:jc w:val="left"/>
        <w:rPr>
          <w:rFonts w:ascii="Arial" w:hAnsi="Arial" w:eastAsia="宋体" w:cs="Arial"/>
          <w:kern w:val="2"/>
          <w:sz w:val="24"/>
        </w:rPr>
      </w:pPr>
      <w:r>
        <w:rPr>
          <w:rFonts w:hint="eastAsia" w:ascii="Arial" w:hAnsi="Arial" w:eastAsia="宋体" w:cs="Arial"/>
          <w:kern w:val="2"/>
          <w:sz w:val="24"/>
        </w:rPr>
        <w:t>6）、其他补充文件</w:t>
      </w:r>
    </w:p>
    <w:p w14:paraId="5C36CE77">
      <w:pPr>
        <w:snapToGrid w:val="0"/>
        <w:spacing w:line="400" w:lineRule="exact"/>
        <w:rPr>
          <w:rFonts w:ascii="Arial" w:hAnsi="Arial" w:cs="Arial"/>
          <w:sz w:val="24"/>
        </w:rPr>
      </w:pPr>
      <w:r>
        <w:rPr>
          <w:rFonts w:ascii="Arial" w:hAnsi="Arial" w:cs="Arial"/>
          <w:sz w:val="24"/>
        </w:rPr>
        <w:t>12．谈判响应文件格式</w:t>
      </w:r>
    </w:p>
    <w:p w14:paraId="3D9B8F09">
      <w:pPr>
        <w:snapToGrid w:val="0"/>
        <w:spacing w:line="400" w:lineRule="exact"/>
        <w:ind w:left="600" w:hanging="600" w:hangingChars="250"/>
        <w:rPr>
          <w:rFonts w:ascii="Arial" w:hAnsi="Arial" w:cs="Arial"/>
          <w:sz w:val="24"/>
        </w:rPr>
      </w:pPr>
      <w:r>
        <w:rPr>
          <w:rFonts w:ascii="Arial" w:hAnsi="Arial" w:cs="Arial"/>
          <w:sz w:val="24"/>
        </w:rPr>
        <w:t>12.1 供应商应按谈判文件的范本格式中提供的文件格式填写</w:t>
      </w:r>
      <w:r>
        <w:rPr>
          <w:rFonts w:hint="eastAsia" w:ascii="Arial" w:hAnsi="Arial" w:cs="Arial"/>
          <w:sz w:val="24"/>
        </w:rPr>
        <w:t>谈判响应书</w:t>
      </w:r>
      <w:r>
        <w:rPr>
          <w:rFonts w:ascii="Arial" w:hAnsi="Arial" w:cs="Arial"/>
          <w:sz w:val="24"/>
        </w:rPr>
        <w:t>、</w:t>
      </w:r>
      <w:r>
        <w:rPr>
          <w:rFonts w:hint="eastAsia" w:ascii="Arial" w:hAnsi="Arial" w:cs="Arial"/>
          <w:sz w:val="24"/>
        </w:rPr>
        <w:t>开标一览表</w:t>
      </w:r>
      <w:r>
        <w:rPr>
          <w:rFonts w:ascii="Arial" w:hAnsi="Arial" w:cs="Arial"/>
          <w:sz w:val="24"/>
        </w:rPr>
        <w:t>、分项报价表等。</w:t>
      </w:r>
    </w:p>
    <w:p w14:paraId="13CB2403">
      <w:pPr>
        <w:snapToGrid w:val="0"/>
        <w:spacing w:line="400" w:lineRule="exact"/>
        <w:rPr>
          <w:rFonts w:ascii="Arial" w:hAnsi="Arial" w:cs="Arial"/>
          <w:sz w:val="24"/>
        </w:rPr>
      </w:pPr>
      <w:r>
        <w:rPr>
          <w:rFonts w:ascii="Arial" w:hAnsi="Arial" w:cs="Arial"/>
          <w:sz w:val="24"/>
        </w:rPr>
        <w:t>13．</w:t>
      </w:r>
      <w:r>
        <w:rPr>
          <w:rFonts w:hint="eastAsia" w:ascii="Arial" w:hAnsi="Arial" w:cs="Arial"/>
          <w:sz w:val="24"/>
        </w:rPr>
        <w:t>谈判</w:t>
      </w:r>
      <w:r>
        <w:rPr>
          <w:rFonts w:ascii="Arial" w:hAnsi="Arial" w:cs="Arial"/>
          <w:sz w:val="24"/>
        </w:rPr>
        <w:t>报价</w:t>
      </w:r>
    </w:p>
    <w:p w14:paraId="73315576">
      <w:pPr>
        <w:snapToGrid w:val="0"/>
        <w:spacing w:line="400" w:lineRule="exact"/>
        <w:ind w:left="600" w:hanging="600" w:hangingChars="250"/>
        <w:rPr>
          <w:rFonts w:ascii="Arial" w:hAnsi="Arial" w:cs="Arial"/>
          <w:sz w:val="24"/>
        </w:rPr>
      </w:pPr>
      <w:r>
        <w:rPr>
          <w:rFonts w:ascii="Arial" w:hAnsi="Arial" w:cs="Arial"/>
          <w:sz w:val="24"/>
        </w:rPr>
        <w:t>13.1 供应商应在</w:t>
      </w:r>
      <w:r>
        <w:rPr>
          <w:rFonts w:hint="eastAsia" w:ascii="Arial" w:hAnsi="Arial" w:cs="Arial"/>
          <w:sz w:val="24"/>
        </w:rPr>
        <w:t>开标一览</w:t>
      </w:r>
      <w:r>
        <w:rPr>
          <w:rFonts w:ascii="Arial" w:hAnsi="Arial" w:cs="Arial"/>
          <w:sz w:val="24"/>
        </w:rPr>
        <w:t>表上标明单价和总价。小写和大写要相符。供应商应在</w:t>
      </w:r>
      <w:r>
        <w:rPr>
          <w:rFonts w:hint="eastAsia" w:ascii="Arial" w:hAnsi="Arial" w:cs="Arial"/>
          <w:sz w:val="24"/>
        </w:rPr>
        <w:t>开标一览表</w:t>
      </w:r>
      <w:r>
        <w:rPr>
          <w:rFonts w:ascii="Arial" w:hAnsi="Arial" w:cs="Arial"/>
          <w:sz w:val="24"/>
        </w:rPr>
        <w:t>中标明其提供的所有货物及其相关工作范围内所有费用的总价，不接受有任何选择性</w:t>
      </w:r>
      <w:r>
        <w:rPr>
          <w:rFonts w:hint="eastAsia" w:ascii="Arial" w:hAnsi="Arial" w:cs="Arial"/>
          <w:sz w:val="24"/>
        </w:rPr>
        <w:t>谈判</w:t>
      </w:r>
      <w:r>
        <w:rPr>
          <w:rFonts w:ascii="Arial" w:hAnsi="Arial" w:cs="Arial"/>
          <w:sz w:val="24"/>
        </w:rPr>
        <w:t>报价。</w:t>
      </w:r>
    </w:p>
    <w:p w14:paraId="46A88FEB">
      <w:pPr>
        <w:widowControl/>
        <w:spacing w:line="400" w:lineRule="atLeast"/>
        <w:rPr>
          <w:rFonts w:hint="eastAsia" w:ascii="宋体" w:hAnsi="宋体" w:cs="宋体"/>
          <w:b/>
          <w:sz w:val="24"/>
          <w:szCs w:val="24"/>
        </w:rPr>
      </w:pPr>
      <w:r>
        <w:rPr>
          <w:rFonts w:hint="eastAsia" w:ascii="宋体" w:hAnsi="宋体" w:cs="宋体"/>
          <w:b/>
          <w:sz w:val="24"/>
          <w:szCs w:val="24"/>
          <w:lang w:bidi="ar"/>
        </w:rPr>
        <w:t>13.1.1政府采购评审中出现下列情形之一的，谈判小组应当启动异常低价投标（响应）审查程序：</w:t>
      </w:r>
    </w:p>
    <w:p w14:paraId="4BA6148B">
      <w:pPr>
        <w:widowControl/>
        <w:spacing w:line="400" w:lineRule="atLeast"/>
        <w:ind w:firstLine="480" w:firstLineChars="200"/>
        <w:rPr>
          <w:rFonts w:hint="eastAsia" w:ascii="宋体" w:hAnsi="宋体" w:cs="宋体"/>
          <w:b/>
          <w:sz w:val="24"/>
          <w:szCs w:val="24"/>
        </w:rPr>
      </w:pPr>
      <w:r>
        <w:rPr>
          <w:rFonts w:hint="eastAsia" w:ascii="宋体" w:hAnsi="宋体" w:cs="宋体"/>
          <w:b/>
          <w:sz w:val="24"/>
          <w:szCs w:val="24"/>
          <w:lang w:bidi="ar"/>
        </w:rPr>
        <w:t>①.投标（响应）报价低于全部通过符合性审查供应商投标（响应）报价平均值</w:t>
      </w:r>
      <w:r>
        <w:rPr>
          <w:rFonts w:ascii="宋体" w:hAnsi="宋体" w:cs="宋体"/>
          <w:b/>
          <w:sz w:val="24"/>
          <w:szCs w:val="24"/>
          <w:lang w:bidi="ar"/>
        </w:rPr>
        <w:t>65</w:t>
      </w:r>
      <w:r>
        <w:rPr>
          <w:rFonts w:hint="eastAsia" w:ascii="宋体" w:hAnsi="宋体" w:cs="宋体"/>
          <w:b/>
          <w:sz w:val="24"/>
          <w:szCs w:val="24"/>
          <w:lang w:bidi="ar"/>
        </w:rPr>
        <w:t>%的，即投标（响应）报价&lt;全部通过符合性审查供应商投标（响应）报价平均值×</w:t>
      </w:r>
      <w:r>
        <w:rPr>
          <w:rFonts w:ascii="宋体" w:hAnsi="宋体" w:cs="宋体"/>
          <w:b/>
          <w:sz w:val="24"/>
          <w:szCs w:val="24"/>
          <w:lang w:bidi="ar"/>
        </w:rPr>
        <w:t>65</w:t>
      </w:r>
      <w:r>
        <w:rPr>
          <w:rFonts w:hint="eastAsia" w:ascii="宋体" w:hAnsi="宋体" w:cs="宋体"/>
          <w:b/>
          <w:sz w:val="24"/>
          <w:szCs w:val="24"/>
          <w:lang w:bidi="ar"/>
        </w:rPr>
        <w:t>%；</w:t>
      </w:r>
    </w:p>
    <w:p w14:paraId="3D6F0119">
      <w:pPr>
        <w:widowControl/>
        <w:spacing w:line="400" w:lineRule="atLeast"/>
        <w:ind w:firstLine="480" w:firstLineChars="200"/>
        <w:rPr>
          <w:rFonts w:hint="eastAsia" w:ascii="宋体" w:hAnsi="宋体" w:cs="宋体"/>
          <w:b/>
          <w:sz w:val="24"/>
          <w:szCs w:val="24"/>
        </w:rPr>
      </w:pPr>
      <w:r>
        <w:rPr>
          <w:rFonts w:hint="eastAsia" w:ascii="宋体" w:hAnsi="宋体" w:cs="宋体"/>
          <w:b/>
          <w:sz w:val="24"/>
          <w:szCs w:val="24"/>
          <w:lang w:bidi="ar"/>
        </w:rPr>
        <w:t>②.投标（响应）报价低于通过符合性审查的次低报价供应商投标（响应）报价</w:t>
      </w:r>
      <w:r>
        <w:rPr>
          <w:rFonts w:ascii="宋体" w:hAnsi="宋体" w:cs="宋体"/>
          <w:b/>
          <w:sz w:val="24"/>
          <w:szCs w:val="24"/>
          <w:lang w:bidi="ar"/>
        </w:rPr>
        <w:t>65</w:t>
      </w:r>
      <w:r>
        <w:rPr>
          <w:rFonts w:hint="eastAsia" w:ascii="宋体" w:hAnsi="宋体" w:cs="宋体"/>
          <w:b/>
          <w:sz w:val="24"/>
          <w:szCs w:val="24"/>
          <w:lang w:bidi="ar"/>
        </w:rPr>
        <w:t>%的，即投标（响应）报价&lt;通过符合性审查的次低报价供应商投标（响应）报价×</w:t>
      </w:r>
      <w:r>
        <w:rPr>
          <w:rFonts w:ascii="宋体" w:hAnsi="宋体" w:cs="宋体"/>
          <w:b/>
          <w:sz w:val="24"/>
          <w:szCs w:val="24"/>
          <w:lang w:bidi="ar"/>
        </w:rPr>
        <w:t>65</w:t>
      </w:r>
      <w:r>
        <w:rPr>
          <w:rFonts w:hint="eastAsia" w:ascii="宋体" w:hAnsi="宋体" w:cs="宋体"/>
          <w:b/>
          <w:sz w:val="24"/>
          <w:szCs w:val="24"/>
          <w:lang w:bidi="ar"/>
        </w:rPr>
        <w:t>%；</w:t>
      </w:r>
    </w:p>
    <w:p w14:paraId="6689E56F">
      <w:pPr>
        <w:widowControl/>
        <w:spacing w:line="400" w:lineRule="atLeast"/>
        <w:ind w:firstLine="480" w:firstLineChars="200"/>
        <w:rPr>
          <w:rFonts w:hint="eastAsia" w:ascii="宋体" w:hAnsi="宋体" w:cs="宋体"/>
          <w:b/>
          <w:sz w:val="24"/>
          <w:szCs w:val="24"/>
        </w:rPr>
      </w:pPr>
      <w:r>
        <w:rPr>
          <w:rFonts w:hint="eastAsia" w:ascii="宋体" w:hAnsi="宋体" w:cs="宋体"/>
          <w:b/>
          <w:sz w:val="24"/>
          <w:szCs w:val="24"/>
          <w:lang w:bidi="ar"/>
        </w:rPr>
        <w:t>③.投标（响应）报价低于采购项目最高限价</w:t>
      </w:r>
      <w:r>
        <w:rPr>
          <w:rFonts w:ascii="宋体" w:hAnsi="宋体" w:cs="宋体"/>
          <w:b/>
          <w:sz w:val="24"/>
          <w:szCs w:val="24"/>
          <w:lang w:bidi="ar"/>
        </w:rPr>
        <w:t>6</w:t>
      </w:r>
      <w:r>
        <w:rPr>
          <w:rFonts w:hint="eastAsia" w:ascii="宋体" w:hAnsi="宋体" w:cs="宋体"/>
          <w:b/>
          <w:sz w:val="24"/>
          <w:szCs w:val="24"/>
          <w:lang w:bidi="ar"/>
        </w:rPr>
        <w:t>5%的，即投标（响应）报价&lt;采购项目最高限价×</w:t>
      </w:r>
      <w:r>
        <w:rPr>
          <w:rFonts w:ascii="宋体" w:hAnsi="宋体" w:cs="宋体"/>
          <w:b/>
          <w:sz w:val="24"/>
          <w:szCs w:val="24"/>
          <w:lang w:bidi="ar"/>
        </w:rPr>
        <w:t>6</w:t>
      </w:r>
      <w:r>
        <w:rPr>
          <w:rFonts w:hint="eastAsia" w:ascii="宋体" w:hAnsi="宋体" w:cs="宋体"/>
          <w:b/>
          <w:sz w:val="24"/>
          <w:szCs w:val="24"/>
          <w:lang w:bidi="ar"/>
        </w:rPr>
        <w:t>5%；</w:t>
      </w:r>
    </w:p>
    <w:p w14:paraId="5333CCDB">
      <w:pPr>
        <w:snapToGrid w:val="0"/>
        <w:spacing w:line="400" w:lineRule="exact"/>
        <w:ind w:left="602" w:hanging="600" w:hangingChars="250"/>
        <w:rPr>
          <w:rFonts w:hint="eastAsia" w:ascii="宋体" w:hAnsi="宋体" w:cs="宋体"/>
          <w:b/>
          <w:sz w:val="24"/>
          <w:szCs w:val="24"/>
          <w:lang w:bidi="ar"/>
        </w:rPr>
      </w:pPr>
      <w:r>
        <w:rPr>
          <w:rFonts w:hint="eastAsia" w:ascii="宋体" w:hAnsi="宋体" w:cs="宋体"/>
          <w:b/>
          <w:sz w:val="24"/>
          <w:szCs w:val="24"/>
          <w:lang w:bidi="ar"/>
        </w:rPr>
        <w:t>④.评审委员会基于专业判断，认为供应商报价过低，有可能影响产品质量或者不能诚信履约的其他情形。</w:t>
      </w:r>
    </w:p>
    <w:p w14:paraId="0546DF3B">
      <w:pPr>
        <w:widowControl/>
        <w:spacing w:line="400" w:lineRule="atLeast"/>
        <w:ind w:firstLine="480" w:firstLineChars="200"/>
        <w:rPr>
          <w:rFonts w:hint="eastAsia" w:ascii="宋体" w:hAnsi="宋体" w:cs="宋体"/>
          <w:b/>
          <w:sz w:val="24"/>
          <w:szCs w:val="24"/>
          <w:lang w:bidi="ar"/>
        </w:rPr>
      </w:pPr>
      <w:r>
        <w:rPr>
          <w:rFonts w:hint="eastAsia" w:ascii="宋体" w:hAnsi="宋体" w:cs="宋体"/>
          <w:b/>
          <w:sz w:val="24"/>
          <w:szCs w:val="24"/>
          <w:lang w:bidi="ar"/>
        </w:rPr>
        <w:t>采购人可以结合具体项目实际情况，提高上述第（1）项至第（3）项中启动异常低价投标（响应）审查的数值标准，但最高不得超过65%。</w:t>
      </w:r>
    </w:p>
    <w:p w14:paraId="0AEE7C9B">
      <w:pPr>
        <w:widowControl/>
        <w:spacing w:line="400" w:lineRule="atLeast"/>
        <w:ind w:firstLine="480" w:firstLineChars="200"/>
        <w:rPr>
          <w:rFonts w:hint="eastAsia" w:ascii="宋体" w:hAnsi="宋体" w:cs="宋体"/>
          <w:b/>
          <w:sz w:val="24"/>
          <w:szCs w:val="24"/>
          <w:lang w:bidi="ar"/>
        </w:rPr>
      </w:pPr>
      <w:r>
        <w:rPr>
          <w:rFonts w:hint="eastAsia" w:ascii="宋体" w:hAnsi="宋体" w:cs="宋体"/>
          <w:b/>
          <w:sz w:val="24"/>
          <w:szCs w:val="24"/>
          <w:lang w:bidi="ar"/>
        </w:rPr>
        <w:t>相关法律法规对供应商报价有规定的，从其规定。</w:t>
      </w:r>
    </w:p>
    <w:p w14:paraId="7A2EF330">
      <w:pPr>
        <w:widowControl/>
        <w:spacing w:line="400" w:lineRule="atLeast"/>
        <w:ind w:firstLine="480" w:firstLineChars="200"/>
        <w:rPr>
          <w:rFonts w:hint="eastAsia" w:ascii="宋体" w:hAnsi="宋体" w:cs="宋体"/>
          <w:b/>
          <w:sz w:val="24"/>
          <w:szCs w:val="24"/>
          <w:lang w:bidi="ar"/>
        </w:rPr>
      </w:pPr>
      <w:r>
        <w:rPr>
          <w:rFonts w:hint="eastAsia" w:ascii="宋体" w:hAnsi="宋体" w:cs="宋体"/>
          <w:b/>
          <w:sz w:val="24"/>
          <w:szCs w:val="24"/>
          <w:lang w:bidi="ar"/>
        </w:rPr>
        <w:t>评审委员会启动异常低价投标（响应）审查后，属于前述第（1）项至第（4）项情形的，应当要求相关供应商在评审现场合理的时间内对投标（响应）价格作出解释，并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6347112">
      <w:pPr>
        <w:widowControl/>
        <w:spacing w:line="400" w:lineRule="atLeast"/>
        <w:ind w:firstLine="480" w:firstLineChars="200"/>
        <w:rPr>
          <w:rFonts w:hint="eastAsia" w:ascii="宋体" w:hAnsi="宋体" w:cs="宋体"/>
          <w:b/>
          <w:sz w:val="24"/>
          <w:szCs w:val="24"/>
          <w:lang w:bidi="ar"/>
        </w:rPr>
      </w:pPr>
      <w:r>
        <w:rPr>
          <w:rFonts w:hint="eastAsia" w:ascii="宋体" w:hAnsi="宋体" w:cs="宋体"/>
          <w:b/>
          <w:sz w:val="24"/>
          <w:szCs w:val="24"/>
          <w:lang w:bidi="ar"/>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54E2AA76">
      <w:pPr>
        <w:snapToGrid w:val="0"/>
        <w:spacing w:line="400" w:lineRule="exact"/>
        <w:rPr>
          <w:rFonts w:ascii="Arial" w:hAnsi="Arial" w:cs="Arial"/>
          <w:sz w:val="24"/>
        </w:rPr>
      </w:pPr>
      <w:r>
        <w:rPr>
          <w:rFonts w:ascii="Arial" w:hAnsi="Arial" w:cs="Arial"/>
          <w:sz w:val="24"/>
        </w:rPr>
        <w:t xml:space="preserve">13.2 </w:t>
      </w:r>
      <w:r>
        <w:rPr>
          <w:rFonts w:hint="eastAsia" w:ascii="Arial" w:hAnsi="Arial" w:cs="Arial"/>
          <w:sz w:val="24"/>
        </w:rPr>
        <w:t>谈判</w:t>
      </w:r>
      <w:r>
        <w:rPr>
          <w:rFonts w:ascii="Arial" w:hAnsi="Arial" w:cs="Arial"/>
          <w:sz w:val="24"/>
        </w:rPr>
        <w:t>报价应注意下列要求：</w:t>
      </w:r>
    </w:p>
    <w:p w14:paraId="16B25280">
      <w:pPr>
        <w:snapToGrid w:val="0"/>
        <w:spacing w:line="400" w:lineRule="exact"/>
        <w:rPr>
          <w:rFonts w:ascii="Arial" w:hAnsi="Arial" w:cs="Arial"/>
          <w:sz w:val="24"/>
        </w:rPr>
      </w:pPr>
      <w:r>
        <w:rPr>
          <w:rFonts w:ascii="Arial" w:hAnsi="Arial" w:cs="Arial"/>
          <w:sz w:val="24"/>
        </w:rPr>
        <w:t>13.2.1</w:t>
      </w:r>
      <w:r>
        <w:rPr>
          <w:rFonts w:hint="eastAsia" w:ascii="Arial" w:hAnsi="Arial" w:cs="Arial"/>
          <w:sz w:val="24"/>
        </w:rPr>
        <w:t>谈判文件应包括实施该项目涵盖的所有费用。</w:t>
      </w:r>
    </w:p>
    <w:p w14:paraId="5213C5FA">
      <w:pPr>
        <w:snapToGrid w:val="0"/>
        <w:spacing w:line="400" w:lineRule="exact"/>
        <w:rPr>
          <w:rFonts w:ascii="Arial" w:hAnsi="Arial" w:cs="Arial"/>
          <w:sz w:val="24"/>
        </w:rPr>
      </w:pPr>
      <w:r>
        <w:rPr>
          <w:rFonts w:ascii="Arial" w:hAnsi="Arial" w:cs="Arial"/>
          <w:sz w:val="24"/>
        </w:rPr>
        <w:t>13.2.2</w:t>
      </w:r>
      <w:r>
        <w:rPr>
          <w:rFonts w:hint="eastAsia" w:ascii="Arial" w:hAnsi="Arial" w:cs="Arial"/>
          <w:sz w:val="24"/>
        </w:rPr>
        <w:t>竞争性谈判文件未列明，而供应商认为必需的费用也需列入报价。</w:t>
      </w:r>
    </w:p>
    <w:p w14:paraId="5B9EDA9D">
      <w:pPr>
        <w:snapToGrid w:val="0"/>
        <w:spacing w:line="400" w:lineRule="exact"/>
        <w:ind w:left="720" w:hanging="720" w:hangingChars="300"/>
        <w:rPr>
          <w:rFonts w:cs="Arial"/>
        </w:rPr>
      </w:pPr>
      <w:r>
        <w:rPr>
          <w:rFonts w:ascii="Arial" w:hAnsi="Arial" w:cs="Arial"/>
          <w:sz w:val="24"/>
        </w:rPr>
        <w:t>13.2.3</w:t>
      </w:r>
      <w:r>
        <w:rPr>
          <w:rFonts w:hint="eastAsia" w:ascii="Arial" w:hAnsi="Arial" w:cs="Arial"/>
          <w:sz w:val="24"/>
        </w:rPr>
        <w:t>供应商应按照竞争性谈判文件规定格式填报</w:t>
      </w:r>
      <w:bookmarkStart w:id="30" w:name="_Hlt26670399"/>
      <w:bookmarkEnd w:id="30"/>
      <w:r>
        <w:rPr>
          <w:rFonts w:hint="eastAsia" w:ascii="Arial" w:hAnsi="Arial" w:cs="Arial"/>
          <w:sz w:val="24"/>
        </w:rPr>
        <w:t>开标一览表，费用只允许有一个报价，任何有选择的报价将不予接受。</w:t>
      </w:r>
    </w:p>
    <w:p w14:paraId="7835AE38">
      <w:pPr>
        <w:snapToGrid w:val="0"/>
        <w:spacing w:line="400" w:lineRule="exact"/>
        <w:ind w:left="629" w:hanging="628" w:hangingChars="262"/>
        <w:rPr>
          <w:rFonts w:ascii="Arial" w:hAnsi="Arial" w:cs="Arial"/>
          <w:sz w:val="24"/>
        </w:rPr>
      </w:pPr>
      <w:r>
        <w:rPr>
          <w:rFonts w:hint="eastAsia" w:ascii="Arial" w:hAnsi="Arial" w:cs="Arial"/>
          <w:sz w:val="24"/>
        </w:rPr>
        <w:t>13.3</w:t>
      </w:r>
      <w:r>
        <w:rPr>
          <w:rFonts w:ascii="Arial" w:hAnsi="Arial" w:cs="Arial"/>
          <w:sz w:val="24"/>
        </w:rPr>
        <w:t xml:space="preserve"> </w:t>
      </w:r>
      <w:r>
        <w:rPr>
          <w:rFonts w:hint="eastAsia" w:ascii="Arial" w:hAnsi="Arial" w:cs="Arial"/>
          <w:sz w:val="24"/>
        </w:rPr>
        <w:t>算术性修正。算术性修正是指对谈判响应文件的报价明细进行校核，并对其算术上和运算上的差错给予修正。修正的原则如下：</w:t>
      </w:r>
    </w:p>
    <w:p w14:paraId="3E699DD8">
      <w:pPr>
        <w:adjustRightInd w:val="0"/>
        <w:snapToGrid w:val="0"/>
        <w:spacing w:line="400" w:lineRule="exact"/>
        <w:ind w:left="720" w:hanging="720" w:hangingChars="300"/>
        <w:rPr>
          <w:rFonts w:ascii="Arial" w:hAnsi="Arial" w:cs="Arial"/>
          <w:sz w:val="24"/>
        </w:rPr>
      </w:pPr>
      <w:r>
        <w:rPr>
          <w:rFonts w:hint="eastAsia" w:ascii="Arial" w:hAnsi="Arial" w:cs="Arial"/>
          <w:sz w:val="24"/>
        </w:rPr>
        <w:t>13.3.1</w:t>
      </w:r>
      <w:r>
        <w:rPr>
          <w:rFonts w:ascii="Arial" w:hAnsi="Arial" w:cs="Arial"/>
          <w:sz w:val="24"/>
        </w:rPr>
        <w:t>当以</w:t>
      </w:r>
      <w:r>
        <w:rPr>
          <w:rFonts w:hint="eastAsia" w:ascii="Arial" w:hAnsi="Arial" w:cs="Arial"/>
          <w:sz w:val="24"/>
        </w:rPr>
        <w:t>小写</w:t>
      </w:r>
      <w:r>
        <w:rPr>
          <w:rFonts w:ascii="Arial" w:hAnsi="Arial" w:cs="Arial"/>
          <w:sz w:val="24"/>
        </w:rPr>
        <w:t>表示的金额与</w:t>
      </w:r>
      <w:r>
        <w:rPr>
          <w:rFonts w:hint="eastAsia" w:ascii="Arial" w:hAnsi="Arial" w:cs="Arial"/>
          <w:sz w:val="24"/>
        </w:rPr>
        <w:t>大写</w:t>
      </w:r>
      <w:r>
        <w:rPr>
          <w:rFonts w:ascii="Arial" w:hAnsi="Arial" w:cs="Arial"/>
          <w:sz w:val="24"/>
        </w:rPr>
        <w:t>表示的金额有差异时，以</w:t>
      </w:r>
      <w:r>
        <w:rPr>
          <w:rFonts w:hint="eastAsia" w:ascii="Arial" w:hAnsi="Arial" w:cs="Arial"/>
          <w:sz w:val="24"/>
        </w:rPr>
        <w:t>大写</w:t>
      </w:r>
      <w:r>
        <w:rPr>
          <w:rFonts w:ascii="Arial" w:hAnsi="Arial" w:cs="Arial"/>
          <w:sz w:val="24"/>
        </w:rPr>
        <w:t>表示的金额为准；</w:t>
      </w:r>
    </w:p>
    <w:p w14:paraId="74D938EA">
      <w:pPr>
        <w:snapToGrid w:val="0"/>
        <w:spacing w:line="400" w:lineRule="exact"/>
        <w:ind w:left="720" w:hanging="720" w:hangingChars="300"/>
        <w:rPr>
          <w:rFonts w:ascii="Arial" w:hAnsi="Arial" w:cs="Arial"/>
          <w:sz w:val="24"/>
        </w:rPr>
      </w:pPr>
      <w:r>
        <w:rPr>
          <w:rFonts w:hint="eastAsia" w:ascii="Arial" w:hAnsi="Arial" w:cs="Arial"/>
          <w:sz w:val="24"/>
        </w:rPr>
        <w:t>1</w:t>
      </w:r>
      <w:r>
        <w:rPr>
          <w:rFonts w:ascii="Arial" w:hAnsi="Arial" w:cs="Arial"/>
          <w:sz w:val="24"/>
        </w:rPr>
        <w:t>3.</w:t>
      </w:r>
      <w:r>
        <w:rPr>
          <w:rFonts w:hint="eastAsia" w:ascii="Arial" w:hAnsi="Arial" w:cs="Arial"/>
          <w:sz w:val="24"/>
        </w:rPr>
        <w:t>3</w:t>
      </w:r>
      <w:r>
        <w:rPr>
          <w:rFonts w:ascii="Arial" w:hAnsi="Arial" w:cs="Arial"/>
          <w:sz w:val="24"/>
        </w:rPr>
        <w:t xml:space="preserve">.2 </w:t>
      </w:r>
      <w:r>
        <w:rPr>
          <w:rFonts w:hint="eastAsia" w:ascii="Arial" w:hAnsi="Arial" w:cs="Arial"/>
          <w:sz w:val="24"/>
        </w:rPr>
        <w:t>当单价与数量相乘不等于合价时，以单价计算为准。如果单价有明显的小数点位置差错，应以标出的合价为准，同时对单价予以修正；</w:t>
      </w:r>
    </w:p>
    <w:p w14:paraId="4C6953DB">
      <w:pPr>
        <w:snapToGrid w:val="0"/>
        <w:spacing w:line="400" w:lineRule="exact"/>
        <w:ind w:left="720" w:hanging="720" w:hangingChars="300"/>
        <w:rPr>
          <w:rFonts w:ascii="Arial" w:hAnsi="Arial" w:cs="Arial"/>
          <w:sz w:val="24"/>
        </w:rPr>
      </w:pPr>
      <w:r>
        <w:rPr>
          <w:rFonts w:hint="eastAsia" w:ascii="Arial" w:hAnsi="Arial" w:cs="Arial"/>
          <w:sz w:val="24"/>
        </w:rPr>
        <w:t>1</w:t>
      </w:r>
      <w:r>
        <w:rPr>
          <w:rFonts w:ascii="Arial" w:hAnsi="Arial" w:cs="Arial"/>
          <w:sz w:val="24"/>
        </w:rPr>
        <w:t>3.</w:t>
      </w:r>
      <w:r>
        <w:rPr>
          <w:rFonts w:hint="eastAsia" w:ascii="Arial" w:hAnsi="Arial" w:cs="Arial"/>
          <w:sz w:val="24"/>
        </w:rPr>
        <w:t>3</w:t>
      </w:r>
      <w:r>
        <w:rPr>
          <w:rFonts w:ascii="Arial" w:hAnsi="Arial" w:cs="Arial"/>
          <w:sz w:val="24"/>
        </w:rPr>
        <w:t xml:space="preserve">.3 </w:t>
      </w:r>
      <w:r>
        <w:rPr>
          <w:rFonts w:hint="eastAsia" w:ascii="Arial" w:hAnsi="Arial" w:cs="Arial"/>
          <w:sz w:val="24"/>
        </w:rPr>
        <w:t>当各明细部分的价格累计不等于合价时，应以各明细的累计计数为准，修正合价。</w:t>
      </w:r>
    </w:p>
    <w:p w14:paraId="7FC2D34B">
      <w:pPr>
        <w:snapToGrid w:val="0"/>
        <w:spacing w:line="400" w:lineRule="exact"/>
        <w:ind w:left="720" w:hanging="720" w:hangingChars="300"/>
        <w:rPr>
          <w:rFonts w:ascii="Arial" w:hAnsi="Arial" w:cs="Arial"/>
          <w:sz w:val="24"/>
        </w:rPr>
      </w:pPr>
      <w:r>
        <w:rPr>
          <w:rFonts w:hint="eastAsia" w:ascii="Arial" w:hAnsi="Arial" w:cs="Arial"/>
          <w:sz w:val="24"/>
        </w:rPr>
        <w:t>1</w:t>
      </w:r>
      <w:r>
        <w:rPr>
          <w:rFonts w:ascii="Arial" w:hAnsi="Arial" w:cs="Arial"/>
          <w:sz w:val="24"/>
        </w:rPr>
        <w:t>3.</w:t>
      </w:r>
      <w:r>
        <w:rPr>
          <w:rFonts w:hint="eastAsia" w:ascii="Arial" w:hAnsi="Arial" w:cs="Arial"/>
          <w:sz w:val="24"/>
        </w:rPr>
        <w:t>3</w:t>
      </w:r>
      <w:r>
        <w:rPr>
          <w:rFonts w:ascii="Arial" w:hAnsi="Arial" w:cs="Arial"/>
          <w:sz w:val="24"/>
        </w:rPr>
        <w:t xml:space="preserve">.4 </w:t>
      </w:r>
      <w:r>
        <w:rPr>
          <w:rFonts w:hint="eastAsia" w:ascii="Arial" w:hAnsi="Arial" w:cs="Arial"/>
          <w:sz w:val="24"/>
        </w:rPr>
        <w:t>按以上原则对算术性差错修正，应取得供应商的同意，并确认修正后最终谈判报价。如果供应商拒绝确认，则其谈判响应文件将不予以评审并按无效标认定，其谈判保证金不予退还。</w:t>
      </w:r>
    </w:p>
    <w:p w14:paraId="7030E32C">
      <w:pPr>
        <w:snapToGrid w:val="0"/>
        <w:spacing w:line="400" w:lineRule="exact"/>
        <w:rPr>
          <w:rFonts w:ascii="Arial" w:hAnsi="Arial" w:cs="Arial"/>
          <w:sz w:val="24"/>
        </w:rPr>
      </w:pPr>
      <w:r>
        <w:rPr>
          <w:rFonts w:ascii="Arial" w:hAnsi="Arial" w:cs="Arial"/>
          <w:sz w:val="24"/>
        </w:rPr>
        <w:t>14．投标货币</w:t>
      </w:r>
    </w:p>
    <w:p w14:paraId="1E8803CD">
      <w:pPr>
        <w:snapToGrid w:val="0"/>
        <w:spacing w:line="400" w:lineRule="exact"/>
        <w:rPr>
          <w:rFonts w:ascii="Arial" w:hAnsi="Arial" w:cs="Arial"/>
          <w:sz w:val="24"/>
        </w:rPr>
      </w:pPr>
      <w:r>
        <w:rPr>
          <w:rFonts w:ascii="Arial" w:hAnsi="Arial" w:cs="Arial"/>
          <w:sz w:val="24"/>
        </w:rPr>
        <w:t>14.1人民币报价。</w:t>
      </w:r>
    </w:p>
    <w:p w14:paraId="630689D7">
      <w:pPr>
        <w:adjustRightInd w:val="0"/>
        <w:snapToGrid w:val="0"/>
        <w:spacing w:line="400" w:lineRule="exact"/>
        <w:ind w:left="600" w:hanging="600" w:hangingChars="250"/>
        <w:rPr>
          <w:rFonts w:ascii="Arial" w:hAnsi="Arial" w:cs="Arial"/>
          <w:b/>
          <w:spacing w:val="8"/>
          <w:sz w:val="24"/>
          <w:szCs w:val="24"/>
        </w:rPr>
      </w:pPr>
      <w:r>
        <w:rPr>
          <w:rFonts w:ascii="Arial" w:hAnsi="Arial" w:cs="Arial"/>
          <w:sz w:val="24"/>
        </w:rPr>
        <w:t>15．供应商的证明文件</w:t>
      </w:r>
      <w:r>
        <w:rPr>
          <w:rFonts w:hint="eastAsia" w:ascii="Arial" w:hAnsi="Arial" w:cs="Arial"/>
          <w:sz w:val="24"/>
        </w:rPr>
        <w:t>：</w:t>
      </w:r>
      <w:r>
        <w:rPr>
          <w:rFonts w:ascii="Arial" w:hAnsi="Arial" w:cs="Arial"/>
          <w:sz w:val="24"/>
        </w:rPr>
        <w:t>供应商必须提交证明其有资格进行</w:t>
      </w:r>
      <w:r>
        <w:rPr>
          <w:rFonts w:hint="eastAsia" w:ascii="Arial" w:hAnsi="Arial" w:cs="Arial"/>
          <w:sz w:val="24"/>
        </w:rPr>
        <w:t>谈判</w:t>
      </w:r>
      <w:r>
        <w:rPr>
          <w:rFonts w:ascii="Arial" w:hAnsi="Arial" w:cs="Arial"/>
          <w:sz w:val="24"/>
        </w:rPr>
        <w:t>和有能力履行的文件（范本格式），作为谈判响应文件的一部分。</w:t>
      </w:r>
      <w:r>
        <w:rPr>
          <w:rFonts w:hint="eastAsia" w:ascii="Arial" w:hAnsi="Arial" w:cs="Arial"/>
          <w:b/>
          <w:sz w:val="24"/>
        </w:rPr>
        <w:t>（</w:t>
      </w:r>
      <w:r>
        <w:rPr>
          <w:rFonts w:hint="eastAsia" w:ascii="Arial" w:hAnsi="Arial" w:cs="Arial"/>
          <w:b/>
          <w:spacing w:val="8"/>
          <w:sz w:val="24"/>
          <w:szCs w:val="24"/>
        </w:rPr>
        <w:t>如不满足以下条款将导致</w:t>
      </w:r>
      <w:r>
        <w:rPr>
          <w:rFonts w:hint="eastAsia" w:ascii="Arial" w:hAnsi="Arial" w:cs="Arial"/>
          <w:b/>
          <w:sz w:val="24"/>
        </w:rPr>
        <w:t>谈判响应无效</w:t>
      </w:r>
      <w:r>
        <w:rPr>
          <w:rFonts w:hint="eastAsia" w:ascii="Arial" w:hAnsi="Arial" w:cs="Arial"/>
          <w:b/>
          <w:spacing w:val="8"/>
          <w:sz w:val="24"/>
          <w:szCs w:val="24"/>
        </w:rPr>
        <w:t>）</w:t>
      </w:r>
    </w:p>
    <w:p w14:paraId="0CE2EA0E">
      <w:pPr>
        <w:pStyle w:val="226"/>
        <w:spacing w:line="400" w:lineRule="atLeast"/>
        <w:ind w:left="360" w:hanging="360" w:hangingChars="150"/>
        <w:rPr>
          <w:rFonts w:ascii="Arial" w:hAnsi="Arial" w:cs="Arial"/>
          <w:color w:val="auto"/>
          <w:sz w:val="24"/>
          <w:szCs w:val="24"/>
        </w:rPr>
      </w:pPr>
      <w:r>
        <w:rPr>
          <w:rFonts w:hint="eastAsia" w:ascii="Arial" w:hAnsi="Arial" w:cs="Arial"/>
          <w:color w:val="auto"/>
          <w:sz w:val="24"/>
          <w:szCs w:val="24"/>
        </w:rPr>
        <w:t>15.1具有独立承担民事责任的能力；（供应商为企业（包括合伙企业）的，应提供有效的“营业执照”；供应商为个体工商户的，应提供有效的“个体工商户营业执照”；供应商为自然人的，应提供有效的自然人身份证明。）</w:t>
      </w:r>
    </w:p>
    <w:p w14:paraId="7839D29B">
      <w:pPr>
        <w:pStyle w:val="226"/>
        <w:spacing w:line="400" w:lineRule="atLeast"/>
        <w:ind w:left="360" w:hanging="360" w:hangingChars="150"/>
        <w:rPr>
          <w:rFonts w:ascii="Arial" w:hAnsi="Arial" w:cs="Arial"/>
          <w:color w:val="auto"/>
          <w:sz w:val="24"/>
          <w:szCs w:val="24"/>
        </w:rPr>
      </w:pPr>
      <w:r>
        <w:rPr>
          <w:rFonts w:hint="eastAsia" w:ascii="Arial" w:hAnsi="Arial" w:cs="Arial"/>
          <w:color w:val="auto"/>
          <w:sz w:val="24"/>
          <w:szCs w:val="24"/>
        </w:rPr>
        <w:t>15.2具有良好的商业信誉和健全的财务会计制度；（提供会计师事务所出具的近一年度（2025年度）财务审计报告，新成立不足一年的提供成立之日起至今的财务报表和基本开户银行出具的资信证明）</w:t>
      </w:r>
    </w:p>
    <w:p w14:paraId="5D517500">
      <w:pPr>
        <w:pStyle w:val="226"/>
        <w:spacing w:line="400" w:lineRule="atLeast"/>
        <w:ind w:left="360" w:hanging="360" w:hangingChars="150"/>
        <w:rPr>
          <w:rFonts w:ascii="Arial" w:hAnsi="Arial" w:cs="Arial"/>
          <w:color w:val="auto"/>
          <w:sz w:val="24"/>
          <w:szCs w:val="24"/>
        </w:rPr>
      </w:pPr>
      <w:r>
        <w:rPr>
          <w:rFonts w:hint="eastAsia" w:ascii="Arial" w:hAnsi="Arial" w:cs="Arial"/>
          <w:color w:val="auto"/>
          <w:sz w:val="24"/>
          <w:szCs w:val="24"/>
        </w:rPr>
        <w:t>15.3具有履行合同所必需的设备和专业技术能力；（提供承诺函，加盖单位公章）</w:t>
      </w:r>
    </w:p>
    <w:p w14:paraId="19026209">
      <w:pPr>
        <w:pStyle w:val="226"/>
        <w:spacing w:line="400" w:lineRule="atLeast"/>
        <w:ind w:left="360" w:hanging="360" w:hangingChars="150"/>
        <w:rPr>
          <w:rFonts w:ascii="Arial" w:hAnsi="Arial" w:cs="Arial"/>
          <w:color w:val="auto"/>
          <w:sz w:val="24"/>
          <w:szCs w:val="24"/>
        </w:rPr>
      </w:pPr>
      <w:r>
        <w:rPr>
          <w:rFonts w:hint="eastAsia" w:ascii="Arial" w:hAnsi="Arial" w:cs="Arial"/>
          <w:color w:val="auto"/>
          <w:sz w:val="24"/>
          <w:szCs w:val="24"/>
        </w:rPr>
        <w:t>15.4有依法缴纳税收和社会保障资金的良好记录；（提供近一年任意连续三个月缴税记录及社保缴纳证明，新成立公司自成立之日起提供）</w:t>
      </w:r>
    </w:p>
    <w:p w14:paraId="0B77AF5E">
      <w:pPr>
        <w:pStyle w:val="226"/>
        <w:spacing w:line="400" w:lineRule="atLeast"/>
        <w:ind w:left="360" w:hanging="360" w:hangingChars="150"/>
        <w:rPr>
          <w:rFonts w:ascii="Arial" w:hAnsi="Arial" w:cs="Arial"/>
          <w:color w:val="auto"/>
          <w:sz w:val="24"/>
          <w:szCs w:val="24"/>
        </w:rPr>
      </w:pPr>
      <w:r>
        <w:rPr>
          <w:rFonts w:hint="eastAsia" w:ascii="Arial" w:hAnsi="Arial" w:cs="Arial"/>
          <w:color w:val="auto"/>
          <w:sz w:val="24"/>
          <w:szCs w:val="24"/>
        </w:rPr>
        <w:t>15.5参加采购活动前三年内，在经营活动中没有重大违法记录。查询渠道“中国政府采购网”、“信用中国”，被列入失信被执行人、重大税收违法案件当事人名单、政府采购严重违法失信行为记录名单的供应商，不得参与本次政府采购活动。以现场查询为准</w:t>
      </w:r>
    </w:p>
    <w:p w14:paraId="098F5031">
      <w:pPr>
        <w:pStyle w:val="226"/>
        <w:spacing w:line="400" w:lineRule="atLeast"/>
        <w:ind w:left="360" w:hanging="360" w:hangingChars="150"/>
        <w:rPr>
          <w:rFonts w:ascii="Arial" w:hAnsi="Arial" w:cs="Arial"/>
          <w:color w:val="auto"/>
          <w:sz w:val="24"/>
          <w:szCs w:val="24"/>
        </w:rPr>
      </w:pPr>
      <w:r>
        <w:rPr>
          <w:rFonts w:hint="eastAsia" w:ascii="Arial" w:hAnsi="Arial" w:cs="Arial"/>
          <w:color w:val="auto"/>
          <w:sz w:val="24"/>
          <w:szCs w:val="24"/>
        </w:rPr>
        <w:t>15.6法律、行政法规规定的其他条件；（提供承诺函，格式自拟，加盖单位公章）</w:t>
      </w:r>
    </w:p>
    <w:p w14:paraId="5A040D43">
      <w:pPr>
        <w:pStyle w:val="226"/>
        <w:spacing w:line="400" w:lineRule="atLeast"/>
        <w:ind w:left="360" w:hanging="360" w:hangingChars="150"/>
        <w:rPr>
          <w:rFonts w:ascii="Arial" w:hAnsi="Arial" w:cs="Arial"/>
          <w:color w:val="auto"/>
          <w:sz w:val="24"/>
          <w:szCs w:val="24"/>
        </w:rPr>
      </w:pPr>
      <w:r>
        <w:rPr>
          <w:rFonts w:hint="eastAsia" w:ascii="Arial" w:hAnsi="Arial" w:cs="Arial"/>
          <w:color w:val="auto"/>
          <w:sz w:val="24"/>
          <w:szCs w:val="24"/>
        </w:rPr>
        <w:t>15.7不允许联合体投标；（提供承诺函，格式自拟，加盖单位公章）</w:t>
      </w:r>
    </w:p>
    <w:p w14:paraId="687DBCA6">
      <w:pPr>
        <w:pStyle w:val="226"/>
        <w:spacing w:line="400" w:lineRule="atLeast"/>
        <w:ind w:left="360" w:hanging="360" w:hangingChars="150"/>
        <w:rPr>
          <w:rFonts w:ascii="Arial" w:hAnsi="Arial" w:cs="Arial"/>
          <w:color w:val="auto"/>
          <w:sz w:val="24"/>
          <w:szCs w:val="24"/>
        </w:rPr>
      </w:pPr>
      <w:r>
        <w:rPr>
          <w:rFonts w:hint="eastAsia" w:ascii="Arial" w:hAnsi="Arial" w:cs="Arial"/>
          <w:color w:val="auto"/>
          <w:sz w:val="24"/>
          <w:szCs w:val="24"/>
        </w:rPr>
        <w:t>15.8单位负责人为同一人或者存在直接控股、管理关系的不同</w:t>
      </w:r>
      <w:r>
        <w:rPr>
          <w:rFonts w:hint="eastAsia" w:ascii="Arial" w:hAnsi="Arial" w:cs="Arial"/>
          <w:color w:val="auto"/>
          <w:sz w:val="24"/>
          <w:szCs w:val="24"/>
          <w:lang w:eastAsia="zh-CN"/>
        </w:rPr>
        <w:t>供应商</w:t>
      </w:r>
      <w:r>
        <w:rPr>
          <w:rFonts w:hint="eastAsia" w:ascii="Arial" w:hAnsi="Arial" w:cs="Arial"/>
          <w:color w:val="auto"/>
          <w:sz w:val="24"/>
          <w:szCs w:val="24"/>
        </w:rPr>
        <w:t>，不得参加同一合同项下的政府采购活动（提供承诺函，格式自拟，加盖单位公章）</w:t>
      </w:r>
    </w:p>
    <w:p w14:paraId="3ABB0911">
      <w:pPr>
        <w:pStyle w:val="226"/>
        <w:spacing w:line="400" w:lineRule="atLeast"/>
        <w:ind w:left="360" w:hanging="360" w:hangingChars="150"/>
        <w:rPr>
          <w:rFonts w:ascii="Arial" w:hAnsi="Arial" w:cs="Arial"/>
          <w:color w:val="auto"/>
          <w:sz w:val="24"/>
          <w:szCs w:val="24"/>
        </w:rPr>
      </w:pPr>
      <w:r>
        <w:rPr>
          <w:rFonts w:hint="eastAsia" w:ascii="Arial" w:hAnsi="Arial" w:cs="Arial"/>
          <w:color w:val="auto"/>
          <w:sz w:val="24"/>
          <w:szCs w:val="24"/>
        </w:rPr>
        <w:t>15.9落实政府采购政策需满足的资格要求：本项目专门面向中小企业，提供《中小企业声明函》。</w:t>
      </w:r>
    </w:p>
    <w:p w14:paraId="3457A612">
      <w:pPr>
        <w:pStyle w:val="226"/>
        <w:spacing w:line="400" w:lineRule="atLeast"/>
        <w:ind w:left="360" w:hanging="360" w:hangingChars="150"/>
        <w:rPr>
          <w:rFonts w:ascii="Arial" w:hAnsi="Arial" w:cs="Arial"/>
          <w:color w:val="auto"/>
          <w:sz w:val="24"/>
          <w:szCs w:val="24"/>
        </w:rPr>
      </w:pPr>
      <w:r>
        <w:rPr>
          <w:rFonts w:hint="eastAsia" w:ascii="Arial" w:hAnsi="Arial" w:cs="Arial"/>
          <w:color w:val="auto"/>
          <w:sz w:val="24"/>
          <w:szCs w:val="24"/>
        </w:rPr>
        <w:t>15.10本项目的特定资格要求：无</w:t>
      </w:r>
    </w:p>
    <w:p w14:paraId="218AD2AA">
      <w:pPr>
        <w:snapToGrid w:val="0"/>
        <w:spacing w:line="400" w:lineRule="exact"/>
        <w:ind w:left="1020" w:hanging="1020" w:hangingChars="425"/>
        <w:rPr>
          <w:rFonts w:ascii="Arial" w:hAnsi="Arial" w:cs="Arial"/>
          <w:sz w:val="24"/>
        </w:rPr>
      </w:pPr>
      <w:r>
        <w:rPr>
          <w:rFonts w:ascii="Arial" w:hAnsi="Arial" w:cs="Arial"/>
          <w:sz w:val="24"/>
        </w:rPr>
        <w:t>注：</w:t>
      </w:r>
      <w:r>
        <w:rPr>
          <w:rFonts w:ascii="Arial" w:hAnsi="Arial" w:cs="Arial"/>
          <w:b/>
          <w:sz w:val="24"/>
        </w:rPr>
        <w:t>（1）谈判响应文件中，所有供应商签字、法人代表签字、法人代表授权人签字和其它签字处须同时加盖有关有法律效力的印章方为有效；</w:t>
      </w:r>
    </w:p>
    <w:p w14:paraId="65C07A3B">
      <w:pPr>
        <w:adjustRightInd w:val="0"/>
        <w:snapToGrid w:val="0"/>
        <w:spacing w:line="400" w:lineRule="exact"/>
        <w:ind w:firstLine="444" w:firstLineChars="185"/>
        <w:rPr>
          <w:rFonts w:ascii="Arial" w:hAnsi="Arial" w:cs="Arial"/>
          <w:sz w:val="24"/>
        </w:rPr>
      </w:pPr>
      <w:r>
        <w:rPr>
          <w:rFonts w:ascii="Arial" w:hAnsi="Arial" w:cs="Arial"/>
          <w:b/>
          <w:bCs/>
          <w:sz w:val="24"/>
        </w:rPr>
        <w:t>（2）所</w:t>
      </w:r>
      <w:r>
        <w:rPr>
          <w:rFonts w:ascii="Arial" w:hAnsi="Arial" w:cs="Arial"/>
          <w:b/>
          <w:sz w:val="24"/>
        </w:rPr>
        <w:t>有资格证明文件必须满足谈判文件要求，否则将导致</w:t>
      </w:r>
      <w:r>
        <w:rPr>
          <w:rFonts w:hint="eastAsia" w:ascii="Arial" w:hAnsi="Arial" w:cs="Arial"/>
          <w:b/>
          <w:sz w:val="24"/>
        </w:rPr>
        <w:t>谈判响应无效</w:t>
      </w:r>
      <w:r>
        <w:rPr>
          <w:rFonts w:ascii="Arial" w:hAnsi="Arial" w:cs="Arial"/>
          <w:b/>
          <w:sz w:val="24"/>
        </w:rPr>
        <w:t>。</w:t>
      </w:r>
    </w:p>
    <w:p w14:paraId="241E054C">
      <w:pPr>
        <w:snapToGrid w:val="0"/>
        <w:spacing w:line="400" w:lineRule="exact"/>
        <w:rPr>
          <w:rFonts w:ascii="Arial" w:hAnsi="Arial" w:cs="Arial"/>
          <w:sz w:val="24"/>
        </w:rPr>
      </w:pPr>
      <w:r>
        <w:rPr>
          <w:rFonts w:ascii="Arial" w:hAnsi="Arial" w:cs="Arial"/>
          <w:sz w:val="24"/>
        </w:rPr>
        <w:t>16</w:t>
      </w:r>
      <w:r>
        <w:rPr>
          <w:rFonts w:hint="eastAsia" w:ascii="Arial" w:hAnsi="Arial" w:cs="Arial"/>
          <w:sz w:val="24"/>
        </w:rPr>
        <w:t>.</w:t>
      </w:r>
      <w:r>
        <w:rPr>
          <w:rFonts w:ascii="Arial" w:hAnsi="Arial" w:cs="Arial"/>
          <w:sz w:val="24"/>
        </w:rPr>
        <w:t>符合谈判文件规定的技术响应文件</w:t>
      </w:r>
    </w:p>
    <w:p w14:paraId="2EBE029C">
      <w:pPr>
        <w:snapToGrid w:val="0"/>
        <w:spacing w:line="400" w:lineRule="exact"/>
        <w:ind w:left="600" w:hanging="600" w:hangingChars="250"/>
        <w:rPr>
          <w:rFonts w:ascii="Arial" w:hAnsi="Arial" w:cs="Arial"/>
          <w:sz w:val="24"/>
        </w:rPr>
      </w:pPr>
      <w:r>
        <w:rPr>
          <w:rFonts w:ascii="Arial" w:hAnsi="Arial" w:cs="Arial"/>
          <w:sz w:val="24"/>
        </w:rPr>
        <w:t>16.1供应商须提交证明拟供货物和服务符合谈判文件规定的技术响应文件，作为谈判响应文件的一部分。</w:t>
      </w:r>
    </w:p>
    <w:p w14:paraId="4A76F7E2">
      <w:pPr>
        <w:snapToGrid w:val="0"/>
        <w:spacing w:line="400" w:lineRule="exact"/>
        <w:rPr>
          <w:rFonts w:ascii="Arial" w:hAnsi="Arial" w:cs="Arial"/>
          <w:sz w:val="24"/>
        </w:rPr>
      </w:pPr>
      <w:r>
        <w:rPr>
          <w:rFonts w:ascii="Arial" w:hAnsi="Arial" w:cs="Arial"/>
          <w:sz w:val="24"/>
        </w:rPr>
        <w:t>16.2上述文件可以是文字资料、图纸和数据</w:t>
      </w:r>
      <w:r>
        <w:rPr>
          <w:rFonts w:hint="eastAsia" w:ascii="Arial" w:hAnsi="Arial" w:cs="Arial"/>
          <w:sz w:val="24"/>
        </w:rPr>
        <w:t>。</w:t>
      </w:r>
    </w:p>
    <w:p w14:paraId="51107171">
      <w:pPr>
        <w:snapToGrid w:val="0"/>
        <w:spacing w:line="400" w:lineRule="exact"/>
        <w:ind w:firstLine="480"/>
        <w:rPr>
          <w:rFonts w:ascii="Arial" w:hAnsi="Arial" w:cs="Arial"/>
          <w:sz w:val="24"/>
        </w:rPr>
      </w:pPr>
      <w:r>
        <w:rPr>
          <w:rFonts w:ascii="Arial" w:hAnsi="Arial" w:cs="Arial"/>
          <w:sz w:val="24"/>
        </w:rPr>
        <w:t>没有按要求提供资料或提供资料不完全，将是对本次</w:t>
      </w:r>
      <w:r>
        <w:rPr>
          <w:rFonts w:hint="eastAsia" w:ascii="Arial" w:hAnsi="Arial" w:cs="Arial"/>
          <w:sz w:val="24"/>
        </w:rPr>
        <w:t>谈判</w:t>
      </w:r>
      <w:r>
        <w:rPr>
          <w:rFonts w:ascii="Arial" w:hAnsi="Arial" w:cs="Arial"/>
          <w:sz w:val="24"/>
        </w:rPr>
        <w:t>没有作出实质性响应，其风险由供应商自行承担。</w:t>
      </w:r>
    </w:p>
    <w:p w14:paraId="7EDCDBCE">
      <w:pPr>
        <w:snapToGrid w:val="0"/>
        <w:spacing w:line="400" w:lineRule="exact"/>
        <w:rPr>
          <w:rFonts w:ascii="Arial" w:hAnsi="Arial" w:cs="Arial"/>
          <w:sz w:val="24"/>
        </w:rPr>
      </w:pPr>
      <w:r>
        <w:rPr>
          <w:rFonts w:ascii="Arial" w:hAnsi="Arial" w:cs="Arial"/>
          <w:sz w:val="24"/>
        </w:rPr>
        <w:t>17．</w:t>
      </w:r>
      <w:r>
        <w:rPr>
          <w:rFonts w:hint="eastAsia" w:ascii="Arial" w:hAnsi="Arial" w:cs="Arial"/>
          <w:sz w:val="24"/>
        </w:rPr>
        <w:t>谈判</w:t>
      </w:r>
      <w:r>
        <w:rPr>
          <w:rFonts w:ascii="Arial" w:hAnsi="Arial" w:cs="Arial"/>
          <w:sz w:val="24"/>
        </w:rPr>
        <w:t>的有效期</w:t>
      </w:r>
    </w:p>
    <w:p w14:paraId="79E97348">
      <w:pPr>
        <w:snapToGrid w:val="0"/>
        <w:spacing w:line="400" w:lineRule="exact"/>
        <w:rPr>
          <w:rFonts w:ascii="Arial" w:hAnsi="Arial" w:cs="Arial"/>
          <w:sz w:val="24"/>
        </w:rPr>
      </w:pPr>
      <w:r>
        <w:rPr>
          <w:rFonts w:ascii="Arial" w:hAnsi="Arial" w:cs="Arial"/>
          <w:sz w:val="24"/>
        </w:rPr>
        <w:t>17.1</w:t>
      </w:r>
      <w:r>
        <w:rPr>
          <w:rFonts w:ascii="Arial" w:hAnsi="Arial" w:cs="Arial"/>
          <w:b/>
          <w:sz w:val="24"/>
        </w:rPr>
        <w:t xml:space="preserve"> 谈判响应文件从</w:t>
      </w:r>
      <w:r>
        <w:rPr>
          <w:rFonts w:hint="eastAsia" w:ascii="Arial" w:hAnsi="Arial" w:cs="Arial"/>
          <w:b/>
          <w:sz w:val="24"/>
        </w:rPr>
        <w:t>谈判</w:t>
      </w:r>
      <w:r>
        <w:rPr>
          <w:rFonts w:ascii="Arial" w:hAnsi="Arial" w:cs="Arial"/>
          <w:b/>
          <w:sz w:val="24"/>
        </w:rPr>
        <w:t>之日起，</w:t>
      </w:r>
      <w:r>
        <w:rPr>
          <w:rFonts w:hint="eastAsia" w:ascii="Arial" w:hAnsi="Arial" w:cs="Arial"/>
          <w:b/>
          <w:sz w:val="24"/>
        </w:rPr>
        <w:t>谈判响应</w:t>
      </w:r>
      <w:r>
        <w:rPr>
          <w:rFonts w:ascii="Arial" w:hAnsi="Arial" w:cs="Arial"/>
          <w:b/>
          <w:sz w:val="24"/>
        </w:rPr>
        <w:t>有效期为</w:t>
      </w:r>
      <w:r>
        <w:rPr>
          <w:rFonts w:hint="eastAsia" w:ascii="Arial" w:hAnsi="Arial" w:cs="Arial"/>
          <w:b/>
          <w:sz w:val="24"/>
        </w:rPr>
        <w:t>90</w:t>
      </w:r>
      <w:r>
        <w:rPr>
          <w:rFonts w:ascii="Arial" w:hAnsi="Arial" w:cs="Arial"/>
          <w:b/>
          <w:sz w:val="24"/>
        </w:rPr>
        <w:t>天。（如不满足将导致废标）</w:t>
      </w:r>
    </w:p>
    <w:p w14:paraId="0BF87E55">
      <w:pPr>
        <w:snapToGrid w:val="0"/>
        <w:spacing w:line="400" w:lineRule="exact"/>
        <w:rPr>
          <w:rFonts w:ascii="Arial" w:hAnsi="Arial" w:cs="Arial"/>
          <w:sz w:val="24"/>
        </w:rPr>
      </w:pPr>
      <w:r>
        <w:rPr>
          <w:rFonts w:ascii="Arial" w:hAnsi="Arial" w:cs="Arial"/>
          <w:sz w:val="24"/>
        </w:rPr>
        <w:t>17.2 在特殊情况下，</w:t>
      </w:r>
      <w:r>
        <w:rPr>
          <w:rFonts w:hint="eastAsia" w:ascii="Arial" w:hAnsi="Arial" w:cs="Arial"/>
          <w:sz w:val="24"/>
        </w:rPr>
        <w:t>采购代理机构</w:t>
      </w:r>
      <w:r>
        <w:rPr>
          <w:rFonts w:ascii="Arial" w:hAnsi="Arial" w:cs="Arial"/>
          <w:sz w:val="24"/>
        </w:rPr>
        <w:t>可与供应商商量延长谈判响应文件的有效期。</w:t>
      </w:r>
    </w:p>
    <w:p w14:paraId="57132904">
      <w:pPr>
        <w:snapToGrid w:val="0"/>
        <w:spacing w:line="400" w:lineRule="exact"/>
        <w:rPr>
          <w:rFonts w:ascii="Arial" w:hAnsi="Arial" w:cs="Arial"/>
          <w:sz w:val="24"/>
        </w:rPr>
      </w:pPr>
      <w:r>
        <w:rPr>
          <w:rFonts w:ascii="Arial" w:hAnsi="Arial" w:cs="Arial"/>
          <w:sz w:val="24"/>
        </w:rPr>
        <w:t>18．谈判响应文件的书写要求。</w:t>
      </w:r>
    </w:p>
    <w:p w14:paraId="151969C1">
      <w:pPr>
        <w:snapToGrid w:val="0"/>
        <w:spacing w:line="400" w:lineRule="exact"/>
        <w:rPr>
          <w:rFonts w:ascii="Arial" w:hAnsi="Arial" w:cs="Arial"/>
          <w:sz w:val="24"/>
        </w:rPr>
      </w:pPr>
      <w:r>
        <w:rPr>
          <w:rFonts w:ascii="Arial" w:hAnsi="Arial" w:cs="Arial"/>
          <w:sz w:val="24"/>
        </w:rPr>
        <w:t>18.1 谈判响应文件应清楚工整，修改处应由</w:t>
      </w:r>
      <w:r>
        <w:rPr>
          <w:rFonts w:hint="eastAsia" w:ascii="Arial" w:hAnsi="Arial" w:cs="Arial"/>
          <w:sz w:val="24"/>
        </w:rPr>
        <w:t>谈判供应商法定代表人或授权</w:t>
      </w:r>
      <w:r>
        <w:rPr>
          <w:rFonts w:ascii="Arial" w:hAnsi="Arial" w:cs="Arial"/>
          <w:sz w:val="24"/>
        </w:rPr>
        <w:t>代表</w:t>
      </w:r>
      <w:r>
        <w:rPr>
          <w:rFonts w:hint="eastAsia" w:ascii="Arial" w:hAnsi="Arial" w:cs="Arial"/>
          <w:sz w:val="24"/>
        </w:rPr>
        <w:t>签章</w:t>
      </w:r>
      <w:r>
        <w:rPr>
          <w:rFonts w:ascii="Arial" w:hAnsi="Arial" w:cs="Arial"/>
          <w:sz w:val="24"/>
        </w:rPr>
        <w:t>。</w:t>
      </w:r>
    </w:p>
    <w:p w14:paraId="0AFAC8CA">
      <w:pPr>
        <w:snapToGrid w:val="0"/>
        <w:spacing w:line="400" w:lineRule="exact"/>
        <w:rPr>
          <w:rFonts w:ascii="Arial" w:hAnsi="Arial" w:cs="Arial"/>
          <w:sz w:val="24"/>
        </w:rPr>
      </w:pPr>
      <w:r>
        <w:rPr>
          <w:rFonts w:ascii="Arial" w:hAnsi="Arial" w:cs="Arial"/>
          <w:sz w:val="24"/>
        </w:rPr>
        <w:t>18.2谈判响应文件应由法人代表或法人授权代表在凡规定签章处逐一签署及加盖单位的公章。</w:t>
      </w:r>
    </w:p>
    <w:p w14:paraId="51F59F49">
      <w:pPr>
        <w:snapToGrid w:val="0"/>
        <w:spacing w:line="400" w:lineRule="exact"/>
        <w:ind w:left="600" w:hanging="600" w:hangingChars="250"/>
        <w:rPr>
          <w:rFonts w:ascii="Arial" w:hAnsi="Arial" w:cs="Arial"/>
          <w:sz w:val="24"/>
        </w:rPr>
      </w:pPr>
      <w:r>
        <w:rPr>
          <w:rFonts w:ascii="Arial" w:hAnsi="Arial" w:cs="Arial"/>
          <w:sz w:val="24"/>
        </w:rPr>
        <w:t>18.3电报、电话、传真形式的</w:t>
      </w:r>
      <w:r>
        <w:rPr>
          <w:rFonts w:hint="eastAsia" w:ascii="Arial" w:hAnsi="Arial" w:cs="Arial"/>
          <w:sz w:val="24"/>
        </w:rPr>
        <w:t>谈判响应</w:t>
      </w:r>
      <w:r>
        <w:rPr>
          <w:rFonts w:ascii="Arial" w:hAnsi="Arial" w:cs="Arial"/>
          <w:sz w:val="24"/>
        </w:rPr>
        <w:t>概不接受。</w:t>
      </w:r>
    </w:p>
    <w:p w14:paraId="56EC8C4F">
      <w:pPr>
        <w:snapToGrid w:val="0"/>
        <w:spacing w:line="400" w:lineRule="exact"/>
        <w:rPr>
          <w:rFonts w:ascii="Arial" w:hAnsi="Arial" w:cs="Arial"/>
          <w:sz w:val="24"/>
        </w:rPr>
      </w:pPr>
      <w:r>
        <w:rPr>
          <w:rFonts w:ascii="Arial" w:hAnsi="Arial" w:cs="Arial"/>
          <w:sz w:val="24"/>
        </w:rPr>
        <w:t>19．</w:t>
      </w:r>
      <w:r>
        <w:rPr>
          <w:rFonts w:hint="eastAsia" w:ascii="Arial" w:hAnsi="Arial" w:cs="Arial"/>
          <w:sz w:val="24"/>
        </w:rPr>
        <w:t>谈判</w:t>
      </w:r>
      <w:r>
        <w:rPr>
          <w:rFonts w:ascii="Arial" w:hAnsi="Arial" w:cs="Arial"/>
          <w:sz w:val="24"/>
        </w:rPr>
        <w:t>保证金</w:t>
      </w:r>
    </w:p>
    <w:p w14:paraId="4BCF95E7">
      <w:pPr>
        <w:snapToGrid w:val="0"/>
        <w:spacing w:line="400" w:lineRule="exact"/>
        <w:ind w:left="600" w:hanging="600" w:hangingChars="250"/>
        <w:rPr>
          <w:rFonts w:ascii="Arial" w:hAnsi="Arial" w:cs="Arial"/>
          <w:sz w:val="24"/>
        </w:rPr>
      </w:pPr>
      <w:r>
        <w:rPr>
          <w:rFonts w:ascii="Arial" w:hAnsi="Arial" w:cs="Arial"/>
          <w:sz w:val="24"/>
        </w:rPr>
        <w:t>19.1</w:t>
      </w:r>
      <w:r>
        <w:rPr>
          <w:rFonts w:hint="eastAsia" w:ascii="Arial" w:hAnsi="Arial" w:cs="Arial"/>
          <w:sz w:val="24"/>
        </w:rPr>
        <w:t>谈判保证金</w:t>
      </w:r>
      <w:r>
        <w:rPr>
          <w:rFonts w:ascii="Arial" w:hAnsi="Arial" w:cs="Arial"/>
          <w:sz w:val="24"/>
        </w:rPr>
        <w:t>于</w:t>
      </w:r>
      <w:r>
        <w:rPr>
          <w:rFonts w:hint="eastAsia" w:ascii="Arial" w:hAnsi="Arial" w:cs="Arial"/>
          <w:sz w:val="24"/>
        </w:rPr>
        <w:t>谈判响应</w:t>
      </w:r>
      <w:r>
        <w:rPr>
          <w:rFonts w:ascii="Arial" w:hAnsi="Arial" w:cs="Arial"/>
          <w:sz w:val="24"/>
        </w:rPr>
        <w:t>截止时间前向</w:t>
      </w:r>
      <w:r>
        <w:rPr>
          <w:rFonts w:hint="eastAsia" w:ascii="Arial" w:hAnsi="Arial" w:cs="Arial"/>
          <w:sz w:val="24"/>
        </w:rPr>
        <w:t>采购代理机构</w:t>
      </w:r>
      <w:r>
        <w:rPr>
          <w:rFonts w:ascii="Arial" w:hAnsi="Arial" w:cs="Arial"/>
          <w:sz w:val="24"/>
        </w:rPr>
        <w:t>交纳</w:t>
      </w:r>
      <w:r>
        <w:rPr>
          <w:rFonts w:hint="eastAsia" w:ascii="Arial" w:hAnsi="Arial" w:cs="Arial"/>
          <w:sz w:val="24"/>
        </w:rPr>
        <w:t>谈判</w:t>
      </w:r>
      <w:r>
        <w:rPr>
          <w:rFonts w:ascii="Arial" w:hAnsi="Arial" w:cs="Arial"/>
          <w:sz w:val="24"/>
        </w:rPr>
        <w:t>保证金。</w:t>
      </w:r>
    </w:p>
    <w:p w14:paraId="75B6ABA3">
      <w:pPr>
        <w:snapToGrid w:val="0"/>
        <w:spacing w:line="400" w:lineRule="exact"/>
        <w:ind w:left="600" w:hanging="600" w:hangingChars="250"/>
        <w:rPr>
          <w:rFonts w:ascii="Arial" w:hAnsi="Arial" w:cs="Arial"/>
          <w:sz w:val="24"/>
        </w:rPr>
      </w:pPr>
      <w:r>
        <w:rPr>
          <w:rFonts w:ascii="Arial" w:hAnsi="Arial" w:cs="Arial"/>
          <w:sz w:val="24"/>
        </w:rPr>
        <w:t>19.2 本次</w:t>
      </w:r>
      <w:r>
        <w:rPr>
          <w:rFonts w:hint="eastAsia" w:ascii="Arial" w:hAnsi="Arial" w:cs="Arial"/>
          <w:sz w:val="24"/>
        </w:rPr>
        <w:t>谈判</w:t>
      </w:r>
      <w:r>
        <w:rPr>
          <w:rFonts w:ascii="Arial" w:hAnsi="Arial" w:cs="Arial"/>
          <w:sz w:val="24"/>
        </w:rPr>
        <w:t>可接受</w:t>
      </w:r>
      <w:r>
        <w:rPr>
          <w:rFonts w:hint="eastAsia" w:ascii="Arial" w:hAnsi="Arial" w:cs="Arial"/>
          <w:sz w:val="24"/>
        </w:rPr>
        <w:t>供应商自主选择以支票、汇票、本票、电汇、转账或者金融机构、担保机构出具的保函、电子保函等非现金形式提交，谈判</w:t>
      </w:r>
      <w:r>
        <w:rPr>
          <w:rFonts w:ascii="Arial" w:hAnsi="Arial" w:cs="Arial"/>
          <w:sz w:val="24"/>
        </w:rPr>
        <w:t>保证金</w:t>
      </w:r>
      <w:r>
        <w:rPr>
          <w:rFonts w:hint="eastAsia" w:ascii="Arial" w:hAnsi="Arial" w:cs="Arial"/>
          <w:sz w:val="24"/>
        </w:rPr>
        <w:t>有效期应当与谈判响应有效期一致</w:t>
      </w:r>
      <w:r>
        <w:rPr>
          <w:rFonts w:ascii="Arial" w:hAnsi="Arial" w:cs="Arial"/>
          <w:sz w:val="24"/>
        </w:rPr>
        <w:t>。</w:t>
      </w:r>
    </w:p>
    <w:p w14:paraId="7BE37B8E">
      <w:pPr>
        <w:snapToGrid w:val="0"/>
        <w:spacing w:line="400" w:lineRule="exact"/>
        <w:ind w:left="600" w:hanging="600" w:hangingChars="250"/>
        <w:rPr>
          <w:rFonts w:ascii="Arial" w:hAnsi="Arial" w:cs="Arial"/>
          <w:sz w:val="24"/>
        </w:rPr>
      </w:pPr>
      <w:r>
        <w:rPr>
          <w:rFonts w:ascii="Arial" w:hAnsi="Arial" w:cs="Arial"/>
          <w:sz w:val="24"/>
        </w:rPr>
        <w:t>19.3</w:t>
      </w:r>
      <w:r>
        <w:rPr>
          <w:rFonts w:hint="eastAsia" w:ascii="Arial" w:hAnsi="Arial" w:cs="Arial"/>
          <w:sz w:val="24"/>
        </w:rPr>
        <w:t>谈判保证金的退还时间：</w:t>
      </w:r>
    </w:p>
    <w:p w14:paraId="6107F3CA">
      <w:pPr>
        <w:snapToGrid w:val="0"/>
        <w:spacing w:line="400" w:lineRule="exact"/>
        <w:ind w:left="720" w:hanging="720" w:hangingChars="300"/>
        <w:rPr>
          <w:rFonts w:ascii="Arial" w:hAnsi="Arial" w:cs="Arial"/>
          <w:sz w:val="24"/>
        </w:rPr>
      </w:pPr>
      <w:r>
        <w:rPr>
          <w:rFonts w:hint="eastAsia" w:ascii="Arial" w:hAnsi="Arial" w:cs="Arial"/>
          <w:sz w:val="24"/>
        </w:rPr>
        <w:t>19.3.1在成交通知书发出后5个工作日内退还未成交供应商的谈判保证金，在采购合同签订后5个工作日内退还成交供应商的谈判保证金。</w:t>
      </w:r>
    </w:p>
    <w:p w14:paraId="09207A4E">
      <w:pPr>
        <w:snapToGrid w:val="0"/>
        <w:spacing w:line="400" w:lineRule="exact"/>
        <w:rPr>
          <w:rFonts w:ascii="Arial" w:hAnsi="Arial" w:cs="Arial"/>
          <w:b/>
          <w:sz w:val="24"/>
        </w:rPr>
      </w:pPr>
      <w:r>
        <w:rPr>
          <w:rFonts w:ascii="Arial" w:hAnsi="Arial" w:cs="Arial"/>
          <w:sz w:val="24"/>
        </w:rPr>
        <w:t>19.4</w:t>
      </w:r>
      <w:r>
        <w:rPr>
          <w:rFonts w:ascii="Arial" w:hAnsi="Arial" w:cs="Arial"/>
          <w:b/>
          <w:sz w:val="24"/>
        </w:rPr>
        <w:t>未按规定提交</w:t>
      </w:r>
      <w:r>
        <w:rPr>
          <w:rFonts w:hint="eastAsia" w:ascii="Arial" w:hAnsi="Arial" w:cs="Arial"/>
          <w:b/>
          <w:sz w:val="24"/>
        </w:rPr>
        <w:t>谈判</w:t>
      </w:r>
      <w:r>
        <w:rPr>
          <w:rFonts w:ascii="Arial" w:hAnsi="Arial" w:cs="Arial"/>
          <w:b/>
          <w:sz w:val="24"/>
        </w:rPr>
        <w:t>保证金的</w:t>
      </w:r>
      <w:r>
        <w:rPr>
          <w:rFonts w:hint="eastAsia" w:ascii="Arial" w:hAnsi="Arial" w:cs="Arial"/>
          <w:b/>
          <w:sz w:val="24"/>
        </w:rPr>
        <w:t>谈判响应</w:t>
      </w:r>
      <w:r>
        <w:rPr>
          <w:rFonts w:ascii="Arial" w:hAnsi="Arial" w:cs="Arial"/>
          <w:b/>
          <w:sz w:val="24"/>
        </w:rPr>
        <w:t>，将被视为</w:t>
      </w:r>
      <w:r>
        <w:rPr>
          <w:rFonts w:hint="eastAsia" w:ascii="Arial" w:hAnsi="Arial" w:cs="Arial"/>
          <w:b/>
          <w:sz w:val="24"/>
        </w:rPr>
        <w:t>谈判</w:t>
      </w:r>
      <w:r>
        <w:rPr>
          <w:rFonts w:ascii="Arial" w:hAnsi="Arial" w:cs="Arial"/>
          <w:b/>
          <w:sz w:val="24"/>
        </w:rPr>
        <w:t>无效。</w:t>
      </w:r>
    </w:p>
    <w:p w14:paraId="3E00C7B8">
      <w:pPr>
        <w:pStyle w:val="39"/>
        <w:snapToGrid w:val="0"/>
        <w:spacing w:line="400" w:lineRule="exact"/>
        <w:rPr>
          <w:rFonts w:ascii="Arial" w:hAnsi="Arial" w:cs="Arial"/>
          <w:sz w:val="24"/>
        </w:rPr>
      </w:pPr>
      <w:r>
        <w:rPr>
          <w:rFonts w:ascii="Arial" w:hAnsi="Arial" w:cs="Arial"/>
          <w:sz w:val="24"/>
        </w:rPr>
        <w:t>19.5下列任何情况发生时，</w:t>
      </w:r>
      <w:r>
        <w:rPr>
          <w:rFonts w:hint="eastAsia" w:ascii="Arial" w:hAnsi="Arial" w:cs="Arial"/>
          <w:sz w:val="24"/>
        </w:rPr>
        <w:t>谈判</w:t>
      </w:r>
      <w:r>
        <w:rPr>
          <w:rFonts w:ascii="Arial" w:hAnsi="Arial" w:cs="Arial"/>
          <w:sz w:val="24"/>
        </w:rPr>
        <w:t>保证金将被没收：</w:t>
      </w:r>
    </w:p>
    <w:p w14:paraId="3EFABF53">
      <w:pPr>
        <w:pStyle w:val="39"/>
        <w:snapToGrid w:val="0"/>
        <w:spacing w:line="400" w:lineRule="exact"/>
        <w:rPr>
          <w:rFonts w:ascii="Arial" w:hAnsi="Arial" w:cs="Arial"/>
          <w:sz w:val="24"/>
        </w:rPr>
      </w:pPr>
      <w:r>
        <w:rPr>
          <w:rFonts w:ascii="Arial" w:hAnsi="Arial" w:cs="Arial"/>
          <w:sz w:val="24"/>
        </w:rPr>
        <w:t>19.5.1供应商在谈判文件规定的</w:t>
      </w:r>
      <w:r>
        <w:rPr>
          <w:rFonts w:hint="eastAsia" w:ascii="Arial" w:hAnsi="Arial" w:cs="Arial"/>
          <w:sz w:val="24"/>
        </w:rPr>
        <w:t>谈判响应</w:t>
      </w:r>
      <w:r>
        <w:rPr>
          <w:rFonts w:ascii="Arial" w:hAnsi="Arial" w:cs="Arial"/>
          <w:sz w:val="24"/>
        </w:rPr>
        <w:t>有效期内撤回其</w:t>
      </w:r>
      <w:r>
        <w:rPr>
          <w:rFonts w:hint="eastAsia" w:ascii="Arial" w:hAnsi="Arial" w:cs="Arial"/>
          <w:sz w:val="24"/>
        </w:rPr>
        <w:t>谈判</w:t>
      </w:r>
      <w:r>
        <w:rPr>
          <w:rFonts w:ascii="Arial" w:hAnsi="Arial" w:cs="Arial"/>
          <w:sz w:val="24"/>
        </w:rPr>
        <w:t>；</w:t>
      </w:r>
    </w:p>
    <w:p w14:paraId="348AB90E">
      <w:pPr>
        <w:pStyle w:val="39"/>
        <w:snapToGrid w:val="0"/>
        <w:spacing w:line="400" w:lineRule="exact"/>
        <w:rPr>
          <w:rFonts w:ascii="Arial" w:hAnsi="Arial" w:cs="Arial"/>
          <w:sz w:val="24"/>
        </w:rPr>
      </w:pPr>
      <w:r>
        <w:rPr>
          <w:rFonts w:ascii="Arial" w:hAnsi="Arial" w:cs="Arial"/>
          <w:sz w:val="24"/>
        </w:rPr>
        <w:t>19.5.2</w:t>
      </w:r>
      <w:r>
        <w:rPr>
          <w:rFonts w:hint="eastAsia" w:ascii="Arial" w:hAnsi="Arial" w:cs="Arial"/>
          <w:sz w:val="24"/>
        </w:rPr>
        <w:t>成交人</w:t>
      </w:r>
      <w:r>
        <w:rPr>
          <w:rFonts w:ascii="Arial" w:hAnsi="Arial" w:cs="Arial"/>
          <w:sz w:val="24"/>
        </w:rPr>
        <w:t>在规定期限内未能：</w:t>
      </w:r>
    </w:p>
    <w:p w14:paraId="48EA2920">
      <w:pPr>
        <w:pStyle w:val="39"/>
        <w:snapToGrid w:val="0"/>
        <w:spacing w:line="400" w:lineRule="exact"/>
        <w:rPr>
          <w:rFonts w:ascii="Arial" w:hAnsi="Arial" w:cs="Arial"/>
          <w:sz w:val="24"/>
        </w:rPr>
      </w:pPr>
      <w:r>
        <w:rPr>
          <w:rFonts w:ascii="Arial" w:hAnsi="Arial" w:cs="Arial"/>
          <w:sz w:val="24"/>
        </w:rPr>
        <w:t>19.5.2.1按本须知第31条规定签订合同；</w:t>
      </w:r>
    </w:p>
    <w:p w14:paraId="5A387EB3">
      <w:pPr>
        <w:pStyle w:val="39"/>
        <w:snapToGrid w:val="0"/>
        <w:spacing w:line="400" w:lineRule="exact"/>
        <w:rPr>
          <w:rFonts w:ascii="Arial" w:hAnsi="Arial" w:cs="Arial"/>
          <w:sz w:val="24"/>
        </w:rPr>
      </w:pPr>
      <w:r>
        <w:rPr>
          <w:rFonts w:ascii="Arial" w:hAnsi="Arial" w:cs="Arial"/>
          <w:sz w:val="24"/>
        </w:rPr>
        <w:t>19.5.2.2按须知第32条向买方提交履约保证金；</w:t>
      </w:r>
    </w:p>
    <w:p w14:paraId="44617D35">
      <w:pPr>
        <w:pStyle w:val="39"/>
        <w:snapToGrid w:val="0"/>
        <w:spacing w:line="400" w:lineRule="exact"/>
        <w:rPr>
          <w:rFonts w:ascii="Arial" w:hAnsi="Arial" w:cs="Arial"/>
          <w:sz w:val="24"/>
        </w:rPr>
      </w:pPr>
      <w:r>
        <w:rPr>
          <w:rFonts w:ascii="Arial" w:hAnsi="Arial" w:cs="Arial"/>
          <w:sz w:val="24"/>
        </w:rPr>
        <w:t>19.5.2.3按本须知第33条规定向</w:t>
      </w:r>
      <w:r>
        <w:rPr>
          <w:rFonts w:hint="eastAsia" w:ascii="Arial" w:hAnsi="Arial" w:cs="Arial"/>
          <w:sz w:val="24"/>
        </w:rPr>
        <w:t>采购代理机构</w:t>
      </w:r>
      <w:r>
        <w:rPr>
          <w:rFonts w:ascii="Arial" w:hAnsi="Arial" w:cs="Arial"/>
          <w:sz w:val="24"/>
        </w:rPr>
        <w:t>交纳</w:t>
      </w:r>
      <w:r>
        <w:rPr>
          <w:rFonts w:hint="eastAsia" w:ascii="Arial" w:hAnsi="Arial" w:cs="Arial"/>
          <w:sz w:val="24"/>
        </w:rPr>
        <w:t>代理</w:t>
      </w:r>
      <w:r>
        <w:rPr>
          <w:rFonts w:ascii="Arial" w:hAnsi="Arial" w:cs="Arial"/>
          <w:sz w:val="24"/>
        </w:rPr>
        <w:t>服务费。</w:t>
      </w:r>
    </w:p>
    <w:p w14:paraId="6B0D2E79">
      <w:pPr>
        <w:pStyle w:val="4"/>
        <w:snapToGrid w:val="0"/>
        <w:spacing w:before="100" w:beforeAutospacing="1" w:after="100" w:afterAutospacing="1" w:line="400" w:lineRule="exact"/>
        <w:rPr>
          <w:rFonts w:eastAsia="宋体" w:cs="Arial"/>
          <w:sz w:val="28"/>
          <w:szCs w:val="28"/>
        </w:rPr>
      </w:pPr>
      <w:bookmarkStart w:id="31" w:name="_Toc19508"/>
      <w:bookmarkStart w:id="32" w:name="_Toc349573124"/>
      <w:bookmarkStart w:id="33" w:name="_Toc349637923"/>
      <w:bookmarkStart w:id="34" w:name="_Toc267301285"/>
      <w:bookmarkStart w:id="35" w:name="_Toc298240408"/>
      <w:r>
        <w:rPr>
          <w:rFonts w:eastAsia="宋体" w:cs="Arial"/>
          <w:sz w:val="28"/>
          <w:szCs w:val="28"/>
        </w:rPr>
        <w:t>D  谈判响应文件的递交</w:t>
      </w:r>
      <w:bookmarkEnd w:id="31"/>
      <w:bookmarkEnd w:id="32"/>
      <w:bookmarkEnd w:id="33"/>
      <w:bookmarkEnd w:id="34"/>
      <w:bookmarkEnd w:id="35"/>
    </w:p>
    <w:p w14:paraId="73BCB816">
      <w:pPr>
        <w:adjustRightInd w:val="0"/>
        <w:snapToGrid w:val="0"/>
        <w:spacing w:line="400" w:lineRule="exact"/>
        <w:rPr>
          <w:rFonts w:ascii="Arial" w:hAnsi="Arial" w:cs="Arial"/>
          <w:sz w:val="24"/>
        </w:rPr>
      </w:pPr>
      <w:r>
        <w:rPr>
          <w:rFonts w:ascii="Arial" w:hAnsi="Arial" w:cs="Arial"/>
          <w:sz w:val="24"/>
        </w:rPr>
        <w:t xml:space="preserve">20. </w:t>
      </w:r>
      <w:r>
        <w:rPr>
          <w:rFonts w:hint="eastAsia" w:ascii="Arial" w:hAnsi="Arial" w:cs="Arial"/>
          <w:sz w:val="24"/>
        </w:rPr>
        <w:t>电子谈判响应</w:t>
      </w:r>
      <w:r>
        <w:rPr>
          <w:rFonts w:ascii="Arial" w:hAnsi="Arial" w:cs="Arial"/>
          <w:sz w:val="24"/>
        </w:rPr>
        <w:t>文件的</w:t>
      </w:r>
      <w:r>
        <w:rPr>
          <w:rFonts w:hint="eastAsia" w:ascii="Arial" w:hAnsi="Arial" w:cs="Arial"/>
          <w:sz w:val="24"/>
        </w:rPr>
        <w:t>递交</w:t>
      </w:r>
    </w:p>
    <w:p w14:paraId="29EF25FF">
      <w:pPr>
        <w:adjustRightInd w:val="0"/>
        <w:snapToGrid w:val="0"/>
        <w:spacing w:line="400" w:lineRule="exact"/>
        <w:ind w:left="600" w:hanging="600" w:hangingChars="250"/>
        <w:rPr>
          <w:rFonts w:ascii="Arial" w:hAnsi="Arial" w:cs="Arial"/>
          <w:sz w:val="24"/>
        </w:rPr>
      </w:pPr>
      <w:r>
        <w:rPr>
          <w:rFonts w:ascii="Arial" w:hAnsi="Arial" w:cs="Arial"/>
          <w:sz w:val="24"/>
        </w:rPr>
        <w:t xml:space="preserve">20.1 </w:t>
      </w:r>
      <w:r>
        <w:rPr>
          <w:rFonts w:hint="eastAsia" w:ascii="Arial" w:hAnsi="Arial" w:cs="Arial"/>
          <w:sz w:val="24"/>
        </w:rPr>
        <w:t>供应商须在政采云平台编制并上传谈判响应文件。</w:t>
      </w:r>
    </w:p>
    <w:p w14:paraId="569160CE">
      <w:pPr>
        <w:snapToGrid w:val="0"/>
        <w:spacing w:line="400" w:lineRule="exact"/>
        <w:rPr>
          <w:rFonts w:ascii="Arial" w:hAnsi="Arial" w:cs="Arial"/>
          <w:sz w:val="24"/>
        </w:rPr>
      </w:pPr>
      <w:r>
        <w:rPr>
          <w:rFonts w:ascii="Arial" w:hAnsi="Arial" w:cs="Arial"/>
          <w:sz w:val="24"/>
        </w:rPr>
        <w:t xml:space="preserve">21. </w:t>
      </w:r>
      <w:r>
        <w:rPr>
          <w:rFonts w:hint="eastAsia" w:ascii="Arial" w:hAnsi="Arial" w:cs="Arial"/>
          <w:sz w:val="24"/>
        </w:rPr>
        <w:t>谈判响应文件递交</w:t>
      </w:r>
      <w:r>
        <w:rPr>
          <w:rFonts w:ascii="Arial" w:hAnsi="Arial" w:cs="Arial"/>
          <w:sz w:val="24"/>
        </w:rPr>
        <w:t>截止时间</w:t>
      </w:r>
    </w:p>
    <w:p w14:paraId="223BAF61">
      <w:pPr>
        <w:snapToGrid w:val="0"/>
        <w:spacing w:line="400" w:lineRule="exact"/>
        <w:rPr>
          <w:rFonts w:ascii="Arial" w:hAnsi="Arial" w:cs="Arial"/>
          <w:sz w:val="24"/>
        </w:rPr>
      </w:pPr>
      <w:r>
        <w:rPr>
          <w:rFonts w:ascii="Arial" w:hAnsi="Arial" w:cs="Arial"/>
          <w:sz w:val="24"/>
        </w:rPr>
        <w:t>21.1</w:t>
      </w:r>
      <w:r>
        <w:rPr>
          <w:rFonts w:ascii="Arial" w:hAnsi="Arial" w:cs="Arial"/>
          <w:sz w:val="24"/>
          <w:highlight w:val="none"/>
        </w:rPr>
        <w:t xml:space="preserve"> 谈判响应文件的递交不得迟于</w:t>
      </w:r>
      <w:r>
        <w:rPr>
          <w:rFonts w:hint="eastAsia" w:ascii="Arial" w:hAnsi="Arial" w:cs="Arial"/>
          <w:sz w:val="24"/>
          <w:highlight w:val="none"/>
        </w:rPr>
        <w:t>2026年</w:t>
      </w:r>
      <w:r>
        <w:rPr>
          <w:rFonts w:hint="eastAsia" w:ascii="Arial" w:hAnsi="Arial" w:cs="Arial"/>
          <w:sz w:val="24"/>
          <w:highlight w:val="none"/>
          <w:lang w:val="en-US" w:eastAsia="zh-CN"/>
        </w:rPr>
        <w:t>10</w:t>
      </w:r>
      <w:r>
        <w:rPr>
          <w:rFonts w:hint="eastAsia" w:ascii="Arial" w:hAnsi="Arial" w:cs="Arial"/>
          <w:sz w:val="24"/>
          <w:highlight w:val="none"/>
        </w:rPr>
        <w:t>月</w:t>
      </w:r>
      <w:r>
        <w:rPr>
          <w:rFonts w:hint="eastAsia" w:ascii="Arial" w:hAnsi="Arial" w:cs="Arial"/>
          <w:sz w:val="24"/>
          <w:highlight w:val="none"/>
          <w:lang w:val="en-US" w:eastAsia="zh-CN"/>
        </w:rPr>
        <w:t>30</w:t>
      </w:r>
      <w:r>
        <w:rPr>
          <w:rFonts w:hint="eastAsia" w:ascii="Arial" w:hAnsi="Arial" w:cs="Arial"/>
          <w:sz w:val="24"/>
          <w:highlight w:val="none"/>
        </w:rPr>
        <w:t>日</w:t>
      </w:r>
      <w:r>
        <w:rPr>
          <w:rFonts w:hint="eastAsia" w:ascii="Arial" w:hAnsi="Arial" w:cs="Arial"/>
          <w:sz w:val="24"/>
          <w:highlight w:val="none"/>
          <w:lang w:val="en-US" w:eastAsia="zh-CN"/>
        </w:rPr>
        <w:t>10</w:t>
      </w:r>
      <w:r>
        <w:rPr>
          <w:rFonts w:hint="eastAsia" w:ascii="Arial" w:hAnsi="Arial" w:cs="Arial"/>
          <w:sz w:val="24"/>
          <w:highlight w:val="none"/>
        </w:rPr>
        <w:t>时</w:t>
      </w:r>
      <w:r>
        <w:rPr>
          <w:rFonts w:hint="eastAsia" w:ascii="Arial" w:hAnsi="Arial" w:cs="Arial"/>
          <w:sz w:val="24"/>
          <w:highlight w:val="none"/>
          <w:lang w:val="en-US" w:eastAsia="zh-CN"/>
        </w:rPr>
        <w:t>30分</w:t>
      </w:r>
      <w:r>
        <w:rPr>
          <w:rFonts w:hint="eastAsia" w:ascii="Arial" w:hAnsi="Arial" w:cs="Arial"/>
          <w:sz w:val="24"/>
          <w:highlight w:val="none"/>
        </w:rPr>
        <w:t>（北京时间）</w:t>
      </w:r>
    </w:p>
    <w:p w14:paraId="66C3EF55">
      <w:pPr>
        <w:snapToGrid w:val="0"/>
        <w:spacing w:line="400" w:lineRule="exact"/>
        <w:ind w:left="539" w:leftChars="257"/>
        <w:rPr>
          <w:rFonts w:ascii="Arial" w:hAnsi="Arial" w:cs="Arial"/>
          <w:sz w:val="24"/>
        </w:rPr>
      </w:pPr>
      <w:r>
        <w:rPr>
          <w:rFonts w:hint="eastAsia" w:ascii="Arial" w:hAnsi="Arial" w:cs="Arial"/>
          <w:sz w:val="24"/>
        </w:rPr>
        <w:t>电子</w:t>
      </w:r>
      <w:r>
        <w:rPr>
          <w:rFonts w:ascii="Arial" w:hAnsi="Arial" w:cs="Arial"/>
          <w:sz w:val="24"/>
        </w:rPr>
        <w:t>谈判响应文件以</w:t>
      </w:r>
      <w:r>
        <w:rPr>
          <w:rFonts w:hint="eastAsia" w:ascii="Arial" w:hAnsi="Arial" w:cs="Arial"/>
          <w:sz w:val="24"/>
        </w:rPr>
        <w:t>加密</w:t>
      </w:r>
      <w:r>
        <w:rPr>
          <w:rFonts w:ascii="Arial" w:hAnsi="Arial" w:cs="Arial"/>
          <w:sz w:val="24"/>
        </w:rPr>
        <w:t>形式递交至：</w:t>
      </w:r>
      <w:r>
        <w:rPr>
          <w:rFonts w:hint="eastAsia" w:ascii="宋体" w:hAnsi="宋体" w:cs="宋体"/>
          <w:sz w:val="24"/>
          <w:szCs w:val="24"/>
        </w:rPr>
        <w:t>政采云线上</w:t>
      </w:r>
      <w:r>
        <w:rPr>
          <w:rFonts w:hint="eastAsia" w:ascii="Arial" w:hAnsi="Arial" w:cs="Arial"/>
          <w:sz w:val="24"/>
          <w:szCs w:val="22"/>
        </w:rPr>
        <w:t>（www.zcygov.cn）</w:t>
      </w:r>
    </w:p>
    <w:p w14:paraId="05C17A95">
      <w:pPr>
        <w:snapToGrid w:val="0"/>
        <w:spacing w:line="400" w:lineRule="exact"/>
        <w:ind w:left="600" w:hanging="600" w:hangingChars="250"/>
        <w:rPr>
          <w:rFonts w:ascii="Arial" w:hAnsi="Arial" w:cs="Arial"/>
          <w:sz w:val="24"/>
        </w:rPr>
      </w:pPr>
      <w:r>
        <w:rPr>
          <w:rFonts w:ascii="Arial" w:hAnsi="Arial" w:cs="Arial"/>
          <w:sz w:val="24"/>
        </w:rPr>
        <w:t>21.2 出现第8.</w:t>
      </w:r>
      <w:r>
        <w:rPr>
          <w:rFonts w:hint="eastAsia" w:ascii="Arial" w:hAnsi="Arial" w:cs="Arial"/>
          <w:sz w:val="24"/>
        </w:rPr>
        <w:t>3</w:t>
      </w:r>
      <w:r>
        <w:rPr>
          <w:rFonts w:ascii="Arial" w:hAnsi="Arial" w:cs="Arial"/>
          <w:sz w:val="24"/>
        </w:rPr>
        <w:t>款因谈判文件的修改推迟</w:t>
      </w:r>
      <w:r>
        <w:rPr>
          <w:rFonts w:hint="eastAsia" w:ascii="Arial" w:hAnsi="Arial" w:cs="Arial"/>
          <w:sz w:val="24"/>
        </w:rPr>
        <w:t>谈判</w:t>
      </w:r>
      <w:r>
        <w:rPr>
          <w:rFonts w:ascii="Arial" w:hAnsi="Arial" w:cs="Arial"/>
          <w:sz w:val="24"/>
        </w:rPr>
        <w:t>截止时间时，则按</w:t>
      </w:r>
      <w:r>
        <w:rPr>
          <w:rFonts w:hint="eastAsia" w:ascii="Arial" w:hAnsi="Arial" w:cs="Arial"/>
          <w:sz w:val="24"/>
        </w:rPr>
        <w:t>采购代理机构</w:t>
      </w:r>
      <w:r>
        <w:rPr>
          <w:rFonts w:ascii="Arial" w:hAnsi="Arial" w:cs="Arial"/>
          <w:sz w:val="24"/>
        </w:rPr>
        <w:t>修改通知规定的时间递交。</w:t>
      </w:r>
    </w:p>
    <w:p w14:paraId="6A884C6A">
      <w:pPr>
        <w:snapToGrid w:val="0"/>
        <w:spacing w:line="400" w:lineRule="exact"/>
        <w:rPr>
          <w:rFonts w:ascii="Arial" w:hAnsi="Arial" w:cs="Arial"/>
          <w:sz w:val="24"/>
        </w:rPr>
      </w:pPr>
      <w:r>
        <w:rPr>
          <w:rFonts w:ascii="Arial" w:hAnsi="Arial" w:cs="Arial"/>
          <w:sz w:val="24"/>
        </w:rPr>
        <w:t>22．谈判响应文件的修改和撤销</w:t>
      </w:r>
    </w:p>
    <w:p w14:paraId="09E877BF">
      <w:pPr>
        <w:snapToGrid w:val="0"/>
        <w:spacing w:line="400" w:lineRule="exact"/>
        <w:ind w:left="600" w:hanging="600" w:hangingChars="250"/>
        <w:rPr>
          <w:rFonts w:ascii="Arial" w:hAnsi="Arial" w:cs="Arial"/>
          <w:sz w:val="24"/>
        </w:rPr>
      </w:pPr>
      <w:r>
        <w:rPr>
          <w:rFonts w:ascii="Arial" w:hAnsi="Arial" w:cs="Arial"/>
          <w:sz w:val="24"/>
        </w:rPr>
        <w:t>22.1 供应商在提交</w:t>
      </w:r>
      <w:r>
        <w:rPr>
          <w:rFonts w:hint="eastAsia" w:ascii="Arial" w:hAnsi="Arial" w:cs="Arial"/>
          <w:sz w:val="24"/>
        </w:rPr>
        <w:t>谈判</w:t>
      </w:r>
      <w:r>
        <w:rPr>
          <w:rFonts w:ascii="Arial" w:hAnsi="Arial" w:cs="Arial"/>
          <w:sz w:val="24"/>
        </w:rPr>
        <w:t>响应文件后可对其</w:t>
      </w:r>
      <w:r>
        <w:rPr>
          <w:rFonts w:hint="eastAsia" w:ascii="Arial" w:hAnsi="Arial" w:cs="Arial"/>
          <w:sz w:val="24"/>
        </w:rPr>
        <w:t>谈判</w:t>
      </w:r>
      <w:r>
        <w:rPr>
          <w:rFonts w:ascii="Arial" w:hAnsi="Arial" w:cs="Arial"/>
          <w:sz w:val="24"/>
        </w:rPr>
        <w:t>响应文件进行修改或撤销，</w:t>
      </w:r>
      <w:r>
        <w:rPr>
          <w:rFonts w:hint="eastAsia" w:ascii="Arial" w:hAnsi="Arial" w:cs="Arial"/>
          <w:sz w:val="24"/>
        </w:rPr>
        <w:t>供应商自行在政采云平台撤回上传的电子文件，修改后重新上传至政采云平台</w:t>
      </w:r>
      <w:r>
        <w:rPr>
          <w:rFonts w:ascii="Arial" w:hAnsi="Arial" w:cs="Arial"/>
          <w:sz w:val="24"/>
        </w:rPr>
        <w:t>。</w:t>
      </w:r>
    </w:p>
    <w:p w14:paraId="364689D1">
      <w:pPr>
        <w:pStyle w:val="29"/>
        <w:snapToGrid w:val="0"/>
        <w:spacing w:line="400" w:lineRule="exact"/>
        <w:ind w:firstLine="0"/>
        <w:rPr>
          <w:rFonts w:hint="eastAsia"/>
        </w:rPr>
      </w:pPr>
      <w:r>
        <w:rPr>
          <w:rFonts w:hint="eastAsia" w:ascii="Arial" w:hAnsi="Arial" w:cs="Arial"/>
        </w:rPr>
        <w:t>22.2 谈判响应</w:t>
      </w:r>
      <w:r>
        <w:rPr>
          <w:rFonts w:ascii="Arial" w:hAnsi="Arial" w:cs="Arial"/>
        </w:rPr>
        <w:t>截止时间以后不得修改</w:t>
      </w:r>
      <w:r>
        <w:rPr>
          <w:rFonts w:hint="eastAsia" w:ascii="Arial" w:hAnsi="Arial" w:cs="Arial"/>
        </w:rPr>
        <w:t>谈判</w:t>
      </w:r>
      <w:r>
        <w:rPr>
          <w:rFonts w:ascii="Arial" w:hAnsi="Arial" w:cs="Arial"/>
        </w:rPr>
        <w:t>响应文件</w:t>
      </w:r>
    </w:p>
    <w:p w14:paraId="4B21EFF1">
      <w:pPr>
        <w:snapToGrid w:val="0"/>
        <w:spacing w:line="400" w:lineRule="exact"/>
        <w:ind w:left="600" w:hanging="600" w:hangingChars="250"/>
        <w:rPr>
          <w:rFonts w:ascii="Arial" w:hAnsi="Arial" w:cs="Arial"/>
          <w:sz w:val="24"/>
        </w:rPr>
      </w:pPr>
      <w:r>
        <w:rPr>
          <w:rFonts w:ascii="Arial" w:hAnsi="Arial" w:cs="Arial"/>
          <w:sz w:val="24"/>
        </w:rPr>
        <w:t>22.</w:t>
      </w:r>
      <w:r>
        <w:rPr>
          <w:rFonts w:hint="eastAsia" w:ascii="Arial" w:hAnsi="Arial" w:cs="Arial"/>
          <w:sz w:val="24"/>
        </w:rPr>
        <w:t>3</w:t>
      </w:r>
      <w:r>
        <w:rPr>
          <w:rFonts w:ascii="Arial" w:hAnsi="Arial" w:cs="Arial"/>
          <w:sz w:val="24"/>
        </w:rPr>
        <w:t xml:space="preserve"> 供应商不得在</w:t>
      </w:r>
      <w:r>
        <w:rPr>
          <w:rFonts w:hint="eastAsia" w:ascii="Arial" w:hAnsi="Arial" w:cs="Arial"/>
          <w:sz w:val="24"/>
        </w:rPr>
        <w:t>谈判</w:t>
      </w:r>
      <w:r>
        <w:rPr>
          <w:rFonts w:ascii="Arial" w:hAnsi="Arial" w:cs="Arial"/>
          <w:sz w:val="24"/>
        </w:rPr>
        <w:t>时间起至</w:t>
      </w:r>
      <w:r>
        <w:rPr>
          <w:rFonts w:hint="eastAsia" w:ascii="Arial" w:hAnsi="Arial" w:cs="Arial"/>
          <w:sz w:val="24"/>
        </w:rPr>
        <w:t>谈判</w:t>
      </w:r>
      <w:r>
        <w:rPr>
          <w:rFonts w:ascii="Arial" w:hAnsi="Arial" w:cs="Arial"/>
          <w:sz w:val="24"/>
        </w:rPr>
        <w:t>有效期期满前撤销谈判响应文件。否则</w:t>
      </w:r>
      <w:r>
        <w:rPr>
          <w:rFonts w:hint="eastAsia" w:ascii="Arial" w:hAnsi="Arial" w:cs="Arial"/>
          <w:sz w:val="24"/>
        </w:rPr>
        <w:t>采购代理机构</w:t>
      </w:r>
      <w:r>
        <w:rPr>
          <w:rFonts w:ascii="Arial" w:hAnsi="Arial" w:cs="Arial"/>
          <w:sz w:val="24"/>
        </w:rPr>
        <w:t>将没收其</w:t>
      </w:r>
      <w:r>
        <w:rPr>
          <w:rFonts w:hint="eastAsia" w:ascii="Arial" w:hAnsi="Arial" w:cs="Arial"/>
          <w:sz w:val="24"/>
        </w:rPr>
        <w:t>谈判</w:t>
      </w:r>
      <w:r>
        <w:rPr>
          <w:rFonts w:ascii="Arial" w:hAnsi="Arial" w:cs="Arial"/>
          <w:sz w:val="24"/>
        </w:rPr>
        <w:t>保证金。</w:t>
      </w:r>
    </w:p>
    <w:p w14:paraId="6FFEC24C">
      <w:pPr>
        <w:pStyle w:val="4"/>
        <w:snapToGrid w:val="0"/>
        <w:spacing w:before="100" w:beforeAutospacing="1" w:after="100" w:afterAutospacing="1" w:line="400" w:lineRule="exact"/>
        <w:rPr>
          <w:rFonts w:eastAsia="宋体" w:cs="Arial"/>
          <w:sz w:val="28"/>
          <w:szCs w:val="28"/>
        </w:rPr>
      </w:pPr>
      <w:bookmarkStart w:id="36" w:name="_Toc298240409"/>
      <w:bookmarkStart w:id="37" w:name="_Toc349573125"/>
      <w:bookmarkStart w:id="38" w:name="_Toc31142"/>
      <w:bookmarkStart w:id="39" w:name="_Toc267301286"/>
      <w:bookmarkStart w:id="40" w:name="_Toc349637924"/>
      <w:r>
        <w:rPr>
          <w:rFonts w:eastAsia="宋体" w:cs="Arial"/>
          <w:sz w:val="28"/>
          <w:szCs w:val="28"/>
        </w:rPr>
        <w:t xml:space="preserve">E  </w:t>
      </w:r>
      <w:r>
        <w:rPr>
          <w:rFonts w:hint="eastAsia" w:eastAsia="宋体" w:cs="Arial"/>
          <w:sz w:val="28"/>
          <w:szCs w:val="28"/>
        </w:rPr>
        <w:t>谈判</w:t>
      </w:r>
      <w:r>
        <w:rPr>
          <w:rFonts w:eastAsia="宋体" w:cs="Arial"/>
          <w:sz w:val="28"/>
          <w:szCs w:val="28"/>
        </w:rPr>
        <w:t>程序</w:t>
      </w:r>
      <w:bookmarkEnd w:id="36"/>
      <w:bookmarkEnd w:id="37"/>
      <w:bookmarkEnd w:id="38"/>
      <w:bookmarkEnd w:id="39"/>
      <w:bookmarkEnd w:id="40"/>
    </w:p>
    <w:p w14:paraId="1B70BDF8">
      <w:pPr>
        <w:adjustRightInd w:val="0"/>
        <w:snapToGrid w:val="0"/>
        <w:spacing w:line="400" w:lineRule="exact"/>
        <w:rPr>
          <w:rFonts w:ascii="Arial" w:hAnsi="Arial" w:cs="Arial"/>
          <w:sz w:val="24"/>
        </w:rPr>
      </w:pPr>
      <w:r>
        <w:rPr>
          <w:rFonts w:ascii="Arial" w:hAnsi="Arial" w:cs="Arial"/>
          <w:sz w:val="24"/>
        </w:rPr>
        <w:t>23．</w:t>
      </w:r>
      <w:r>
        <w:rPr>
          <w:rFonts w:hint="eastAsia" w:ascii="Arial" w:hAnsi="Arial" w:cs="Arial"/>
          <w:sz w:val="24"/>
        </w:rPr>
        <w:t>谈判</w:t>
      </w:r>
    </w:p>
    <w:p w14:paraId="4F349D59">
      <w:pPr>
        <w:adjustRightInd w:val="0"/>
        <w:snapToGrid w:val="0"/>
        <w:spacing w:line="400" w:lineRule="exact"/>
        <w:ind w:left="600" w:hanging="600" w:hangingChars="250"/>
        <w:rPr>
          <w:rFonts w:ascii="Arial" w:hAnsi="Arial" w:cs="Arial"/>
          <w:sz w:val="24"/>
        </w:rPr>
      </w:pPr>
      <w:r>
        <w:rPr>
          <w:rFonts w:ascii="Arial" w:hAnsi="Arial" w:cs="Arial"/>
          <w:sz w:val="24"/>
        </w:rPr>
        <w:t>23.</w:t>
      </w:r>
      <w:r>
        <w:rPr>
          <w:rFonts w:hint="eastAsia" w:ascii="Arial" w:hAnsi="Arial" w:cs="Arial"/>
          <w:sz w:val="24"/>
        </w:rPr>
        <w:t>1</w:t>
      </w:r>
      <w:r>
        <w:rPr>
          <w:rFonts w:ascii="Arial" w:hAnsi="Arial" w:cs="Arial"/>
          <w:sz w:val="24"/>
        </w:rPr>
        <w:t xml:space="preserve"> 本次</w:t>
      </w:r>
      <w:r>
        <w:rPr>
          <w:rFonts w:hint="eastAsia" w:ascii="Arial" w:hAnsi="Arial" w:cs="Arial"/>
          <w:sz w:val="24"/>
        </w:rPr>
        <w:t>谈判</w:t>
      </w:r>
      <w:r>
        <w:rPr>
          <w:rFonts w:ascii="Arial" w:hAnsi="Arial" w:cs="Arial"/>
          <w:sz w:val="24"/>
        </w:rPr>
        <w:t>按</w:t>
      </w:r>
      <w:r>
        <w:rPr>
          <w:rFonts w:hint="eastAsia" w:ascii="Arial" w:hAnsi="Arial" w:cs="Arial"/>
          <w:sz w:val="24"/>
        </w:rPr>
        <w:t>谈判</w:t>
      </w:r>
      <w:r>
        <w:rPr>
          <w:rFonts w:ascii="Arial" w:hAnsi="Arial" w:cs="Arial"/>
          <w:sz w:val="24"/>
        </w:rPr>
        <w:t>文件中</w:t>
      </w:r>
      <w:r>
        <w:rPr>
          <w:rFonts w:hint="eastAsia" w:ascii="Arial" w:hAnsi="Arial" w:cs="Arial"/>
          <w:sz w:val="24"/>
        </w:rPr>
        <w:t>谈判</w:t>
      </w:r>
      <w:r>
        <w:rPr>
          <w:rFonts w:ascii="Arial" w:hAnsi="Arial" w:cs="Arial"/>
          <w:sz w:val="24"/>
        </w:rPr>
        <w:t>邀请规定的时间地点进行</w:t>
      </w:r>
      <w:r>
        <w:rPr>
          <w:rFonts w:hint="eastAsia" w:ascii="Arial" w:hAnsi="Arial" w:cs="Arial"/>
          <w:sz w:val="24"/>
        </w:rPr>
        <w:t>。</w:t>
      </w:r>
    </w:p>
    <w:p w14:paraId="30853966">
      <w:pPr>
        <w:adjustRightInd w:val="0"/>
        <w:snapToGrid w:val="0"/>
        <w:spacing w:line="400" w:lineRule="exact"/>
        <w:ind w:left="600" w:hanging="600" w:hangingChars="250"/>
        <w:rPr>
          <w:rFonts w:ascii="Arial" w:hAnsi="Arial" w:cs="Arial"/>
          <w:sz w:val="24"/>
        </w:rPr>
      </w:pPr>
      <w:r>
        <w:rPr>
          <w:rFonts w:hint="eastAsia" w:ascii="Arial" w:hAnsi="Arial" w:cs="Arial"/>
          <w:sz w:val="24"/>
        </w:rPr>
        <w:t>23.2</w:t>
      </w:r>
      <w:r>
        <w:rPr>
          <w:rFonts w:ascii="Arial" w:hAnsi="Arial" w:cs="Arial"/>
          <w:sz w:val="24"/>
        </w:rPr>
        <w:t>本</w:t>
      </w:r>
      <w:r>
        <w:rPr>
          <w:rFonts w:hint="eastAsia" w:ascii="Arial" w:hAnsi="Arial" w:cs="Arial"/>
          <w:sz w:val="24"/>
        </w:rPr>
        <w:t>项目</w:t>
      </w:r>
      <w:r>
        <w:rPr>
          <w:rFonts w:ascii="Arial" w:hAnsi="Arial" w:cs="Arial"/>
          <w:sz w:val="24"/>
        </w:rPr>
        <w:t>采用网上开标、评标系统，供应商在线参加</w:t>
      </w:r>
      <w:r>
        <w:rPr>
          <w:rFonts w:hint="eastAsia" w:ascii="Arial" w:hAnsi="Arial" w:cs="Arial"/>
          <w:sz w:val="24"/>
        </w:rPr>
        <w:t>谈判响应</w:t>
      </w:r>
      <w:r>
        <w:rPr>
          <w:rFonts w:ascii="Arial" w:hAnsi="Arial" w:cs="Arial"/>
          <w:sz w:val="24"/>
        </w:rPr>
        <w:t>（无需到开标现场）</w:t>
      </w:r>
      <w:r>
        <w:rPr>
          <w:rFonts w:hint="eastAsia" w:ascii="Arial" w:hAnsi="Arial" w:cs="Arial"/>
          <w:sz w:val="24"/>
        </w:rPr>
        <w:t>，谈判响应文件开启</w:t>
      </w:r>
      <w:r>
        <w:rPr>
          <w:rFonts w:ascii="Arial" w:hAnsi="Arial" w:cs="Arial"/>
          <w:sz w:val="24"/>
        </w:rPr>
        <w:t>前供应商完成设备测试，保证摄像头及麦克风正常使用。自</w:t>
      </w:r>
      <w:r>
        <w:rPr>
          <w:rFonts w:hint="eastAsia" w:ascii="Arial" w:hAnsi="Arial" w:cs="Arial"/>
          <w:sz w:val="24"/>
        </w:rPr>
        <w:t>谈判响应文件开启</w:t>
      </w:r>
      <w:r>
        <w:rPr>
          <w:rFonts w:ascii="Arial" w:hAnsi="Arial" w:cs="Arial"/>
          <w:sz w:val="24"/>
        </w:rPr>
        <w:t>时间起至评审结束，供应商须登录</w:t>
      </w:r>
      <w:r>
        <w:rPr>
          <w:rFonts w:hint="eastAsia" w:ascii="Arial" w:hAnsi="Arial" w:cs="Arial"/>
          <w:sz w:val="24"/>
        </w:rPr>
        <w:t>《</w:t>
      </w:r>
      <w:r>
        <w:rPr>
          <w:rFonts w:ascii="Arial" w:hAnsi="Arial" w:cs="Arial"/>
          <w:sz w:val="24"/>
        </w:rPr>
        <w:t>新疆政府采购网</w:t>
      </w:r>
      <w:r>
        <w:rPr>
          <w:rFonts w:hint="eastAsia" w:ascii="Arial" w:hAnsi="Arial" w:cs="Arial"/>
          <w:sz w:val="24"/>
        </w:rPr>
        <w:t>》</w:t>
      </w:r>
      <w:r>
        <w:rPr>
          <w:rFonts w:ascii="Arial" w:hAnsi="Arial" w:cs="Arial"/>
          <w:sz w:val="24"/>
        </w:rPr>
        <w:t>政采云平台并保持网络通畅，随时答复</w:t>
      </w:r>
      <w:r>
        <w:rPr>
          <w:rFonts w:hint="eastAsia" w:ascii="Arial" w:hAnsi="Arial" w:cs="Arial"/>
          <w:sz w:val="24"/>
        </w:rPr>
        <w:t>评审委员会</w:t>
      </w:r>
      <w:r>
        <w:rPr>
          <w:rFonts w:ascii="Arial" w:hAnsi="Arial" w:cs="Arial"/>
          <w:sz w:val="24"/>
        </w:rPr>
        <w:t>的疑问。若供应商未在规定时间内答复的，由此产生的后果将由供应商自行承担</w:t>
      </w:r>
      <w:r>
        <w:rPr>
          <w:rFonts w:hint="eastAsia" w:ascii="Arial" w:hAnsi="Arial" w:cs="Arial"/>
          <w:sz w:val="24"/>
        </w:rPr>
        <w:t>。</w:t>
      </w:r>
    </w:p>
    <w:p w14:paraId="01F7BE46">
      <w:pPr>
        <w:adjustRightInd w:val="0"/>
        <w:snapToGrid w:val="0"/>
        <w:spacing w:line="400" w:lineRule="exact"/>
        <w:ind w:left="600" w:hanging="600" w:hangingChars="250"/>
        <w:rPr>
          <w:rFonts w:ascii="Arial" w:hAnsi="Arial" w:cs="Arial"/>
          <w:sz w:val="24"/>
        </w:rPr>
      </w:pPr>
      <w:r>
        <w:rPr>
          <w:rFonts w:ascii="Arial" w:hAnsi="Arial" w:cs="Arial"/>
          <w:sz w:val="24"/>
        </w:rPr>
        <w:t>23.</w:t>
      </w:r>
      <w:r>
        <w:rPr>
          <w:rFonts w:hint="eastAsia" w:ascii="Arial" w:hAnsi="Arial" w:cs="Arial"/>
          <w:sz w:val="24"/>
        </w:rPr>
        <w:t>3谈判响应文件开启</w:t>
      </w:r>
      <w:r>
        <w:rPr>
          <w:rFonts w:ascii="Arial" w:hAnsi="Arial" w:cs="Arial"/>
          <w:sz w:val="24"/>
        </w:rPr>
        <w:t>时供应商登录政采云平台，在</w:t>
      </w:r>
      <w:r>
        <w:rPr>
          <w:rFonts w:hint="eastAsia" w:ascii="Arial" w:hAnsi="Arial" w:cs="Arial"/>
          <w:sz w:val="24"/>
        </w:rPr>
        <w:t>谈判响应文件开启解密</w:t>
      </w:r>
      <w:r>
        <w:rPr>
          <w:rFonts w:ascii="Arial" w:hAnsi="Arial" w:cs="Arial"/>
          <w:sz w:val="24"/>
        </w:rPr>
        <w:t>30分钟内用“项目采购----开标评标”功能</w:t>
      </w:r>
      <w:r>
        <w:rPr>
          <w:rFonts w:hint="eastAsia" w:ascii="Arial" w:hAnsi="Arial" w:cs="Arial"/>
          <w:sz w:val="24"/>
        </w:rPr>
        <w:t>对</w:t>
      </w:r>
      <w:r>
        <w:rPr>
          <w:rFonts w:ascii="Arial" w:hAnsi="Arial" w:cs="Arial"/>
          <w:sz w:val="24"/>
        </w:rPr>
        <w:t>电子版</w:t>
      </w:r>
      <w:r>
        <w:rPr>
          <w:rFonts w:hint="eastAsia" w:ascii="Arial" w:hAnsi="Arial" w:cs="Arial"/>
          <w:sz w:val="24"/>
        </w:rPr>
        <w:t>谈判响应</w:t>
      </w:r>
      <w:r>
        <w:rPr>
          <w:rFonts w:ascii="Arial" w:hAnsi="Arial" w:cs="Arial"/>
          <w:sz w:val="24"/>
        </w:rPr>
        <w:t>文件</w:t>
      </w:r>
      <w:r>
        <w:rPr>
          <w:rFonts w:hint="eastAsia" w:ascii="Arial" w:hAnsi="Arial" w:cs="Arial"/>
          <w:sz w:val="24"/>
        </w:rPr>
        <w:t>进行</w:t>
      </w:r>
      <w:r>
        <w:rPr>
          <w:rFonts w:ascii="Arial" w:hAnsi="Arial" w:cs="Arial"/>
          <w:sz w:val="24"/>
        </w:rPr>
        <w:t>解密。若供应商在规定时间内未按时解密的，视为无效</w:t>
      </w:r>
      <w:r>
        <w:rPr>
          <w:rFonts w:hint="eastAsia" w:ascii="Arial" w:hAnsi="Arial" w:cs="Arial"/>
          <w:sz w:val="24"/>
        </w:rPr>
        <w:t>响应</w:t>
      </w:r>
      <w:r>
        <w:rPr>
          <w:rFonts w:ascii="Arial" w:hAnsi="Arial" w:cs="Arial"/>
          <w:sz w:val="24"/>
        </w:rPr>
        <w:t>。解密与加密电子版响应文件须使用同一个CA</w:t>
      </w:r>
      <w:r>
        <w:rPr>
          <w:rFonts w:hint="eastAsia" w:ascii="Arial" w:hAnsi="Arial" w:cs="Arial"/>
          <w:sz w:val="24"/>
        </w:rPr>
        <w:t>。</w:t>
      </w:r>
    </w:p>
    <w:p w14:paraId="184B2A18">
      <w:pPr>
        <w:adjustRightInd w:val="0"/>
        <w:snapToGrid w:val="0"/>
        <w:spacing w:line="400" w:lineRule="exact"/>
        <w:ind w:left="720" w:hanging="720" w:hangingChars="300"/>
        <w:rPr>
          <w:rFonts w:ascii="Arial" w:hAnsi="Arial" w:cs="Arial"/>
          <w:sz w:val="24"/>
        </w:rPr>
      </w:pPr>
      <w:r>
        <w:rPr>
          <w:rFonts w:ascii="Arial" w:hAnsi="Arial" w:cs="Arial"/>
          <w:sz w:val="24"/>
        </w:rPr>
        <w:t>23.</w:t>
      </w:r>
      <w:r>
        <w:rPr>
          <w:rFonts w:hint="eastAsia" w:ascii="Arial" w:hAnsi="Arial" w:cs="Arial"/>
          <w:sz w:val="24"/>
        </w:rPr>
        <w:t>4谈判响应文件解密后采购代理机构将在政采云平台开启报价确认，供应商需在政采云平</w:t>
      </w:r>
    </w:p>
    <w:p w14:paraId="169AAA13">
      <w:pPr>
        <w:adjustRightInd w:val="0"/>
        <w:snapToGrid w:val="0"/>
        <w:spacing w:line="400" w:lineRule="exact"/>
        <w:ind w:left="598" w:leftChars="228" w:hanging="120" w:hangingChars="50"/>
        <w:rPr>
          <w:rFonts w:ascii="Arial" w:hAnsi="Arial" w:cs="Arial"/>
          <w:sz w:val="24"/>
        </w:rPr>
      </w:pPr>
      <w:r>
        <w:rPr>
          <w:rFonts w:hint="eastAsia" w:ascii="Arial" w:hAnsi="Arial" w:cs="Arial"/>
          <w:sz w:val="24"/>
        </w:rPr>
        <w:t>台对谈判报价进行确认。</w:t>
      </w:r>
    </w:p>
    <w:p w14:paraId="467B4CBB">
      <w:pPr>
        <w:snapToGrid w:val="0"/>
        <w:spacing w:line="400" w:lineRule="exact"/>
        <w:rPr>
          <w:rFonts w:ascii="Arial" w:hAnsi="Arial" w:cs="Arial"/>
          <w:sz w:val="24"/>
        </w:rPr>
      </w:pPr>
      <w:r>
        <w:rPr>
          <w:rFonts w:hint="eastAsia" w:ascii="Arial" w:hAnsi="Arial" w:cs="Arial"/>
          <w:sz w:val="24"/>
        </w:rPr>
        <w:t>23.5 对采购人的纪律要求</w:t>
      </w:r>
    </w:p>
    <w:p w14:paraId="033B73C2">
      <w:pPr>
        <w:adjustRightInd w:val="0"/>
        <w:snapToGrid w:val="0"/>
        <w:spacing w:line="400" w:lineRule="exact"/>
        <w:ind w:left="105" w:leftChars="50" w:firstLine="480" w:firstLineChars="200"/>
        <w:rPr>
          <w:rFonts w:ascii="Arial" w:hAnsi="Arial" w:cs="Arial"/>
          <w:sz w:val="24"/>
        </w:rPr>
      </w:pPr>
      <w:r>
        <w:rPr>
          <w:rFonts w:hint="eastAsia" w:ascii="Arial" w:hAnsi="Arial" w:cs="Arial"/>
          <w:sz w:val="24"/>
        </w:rPr>
        <w:t>采购人不得泄露谈判活动中应当保密的情况和资料，不得与供应商串通损害国家利益、社会公共利益或者他人合法权益。</w:t>
      </w:r>
    </w:p>
    <w:p w14:paraId="1AD49A71">
      <w:pPr>
        <w:snapToGrid w:val="0"/>
        <w:spacing w:line="400" w:lineRule="exact"/>
        <w:rPr>
          <w:rFonts w:ascii="Arial" w:hAnsi="Arial" w:cs="Arial"/>
          <w:sz w:val="24"/>
        </w:rPr>
      </w:pPr>
      <w:r>
        <w:rPr>
          <w:rFonts w:hint="eastAsia" w:ascii="Arial" w:hAnsi="Arial" w:cs="Arial"/>
          <w:sz w:val="24"/>
        </w:rPr>
        <w:t>23.6对供应商的纪律要求</w:t>
      </w:r>
    </w:p>
    <w:p w14:paraId="6935A709">
      <w:pPr>
        <w:adjustRightInd w:val="0"/>
        <w:snapToGrid w:val="0"/>
        <w:spacing w:line="400" w:lineRule="exact"/>
        <w:ind w:firstLine="480" w:firstLineChars="200"/>
        <w:rPr>
          <w:rFonts w:ascii="Arial" w:hAnsi="Arial" w:cs="Arial"/>
          <w:sz w:val="24"/>
        </w:rPr>
      </w:pPr>
      <w:r>
        <w:rPr>
          <w:rFonts w:hint="eastAsia" w:ascii="Arial" w:hAnsi="Arial" w:cs="Arial"/>
          <w:sz w:val="24"/>
        </w:rPr>
        <w:t>供应商不得互相串通谈判或者与采购人串通谈判，不得向采购人或者谈判小组成员行贿谋取成交，不得以他人名义谈判或者以其他方式弄虚作假骗取成交；供应商不得以任何方式干扰、影响谈判工作。</w:t>
      </w:r>
    </w:p>
    <w:p w14:paraId="4A55E7C6">
      <w:pPr>
        <w:snapToGrid w:val="0"/>
        <w:spacing w:line="400" w:lineRule="exact"/>
        <w:rPr>
          <w:rFonts w:ascii="Arial" w:hAnsi="Arial" w:cs="Arial"/>
          <w:sz w:val="24"/>
        </w:rPr>
      </w:pPr>
      <w:r>
        <w:rPr>
          <w:rFonts w:hint="eastAsia" w:ascii="Arial" w:hAnsi="Arial" w:cs="Arial"/>
          <w:sz w:val="24"/>
        </w:rPr>
        <w:t>23.7对与谈判活动有关的工作人员的纪律要求</w:t>
      </w:r>
    </w:p>
    <w:p w14:paraId="5CA97929">
      <w:pPr>
        <w:adjustRightInd w:val="0"/>
        <w:snapToGrid w:val="0"/>
        <w:spacing w:line="400" w:lineRule="exact"/>
        <w:ind w:firstLine="480" w:firstLineChars="200"/>
        <w:rPr>
          <w:rFonts w:ascii="Arial" w:hAnsi="Arial" w:cs="Arial"/>
          <w:sz w:val="24"/>
        </w:rPr>
      </w:pPr>
      <w:r>
        <w:rPr>
          <w:rFonts w:hint="eastAsia" w:ascii="Arial" w:hAnsi="Arial" w:cs="Arial"/>
          <w:sz w:val="24"/>
        </w:rPr>
        <w:t>与谈判活动有关的工作人员不得收受他人的财物或者好处，不得向其他人透露对谈判响应文件的评审和比较、成交候选人的推荐情况及谈判有关其他情况。在谈判活动中，与谈判活动有关的工作人员不得擅离职守，影响谈判程序正常进行。</w:t>
      </w:r>
    </w:p>
    <w:p w14:paraId="6C99F8C0">
      <w:pPr>
        <w:snapToGrid w:val="0"/>
        <w:spacing w:line="400" w:lineRule="exact"/>
        <w:rPr>
          <w:rFonts w:ascii="Arial" w:hAnsi="Arial" w:cs="Arial"/>
          <w:sz w:val="24"/>
        </w:rPr>
      </w:pPr>
      <w:r>
        <w:rPr>
          <w:rFonts w:hint="eastAsia" w:ascii="Arial" w:hAnsi="Arial" w:cs="Arial"/>
          <w:sz w:val="24"/>
        </w:rPr>
        <w:t>23.8对谈判小组成员要求谈判纪律</w:t>
      </w:r>
    </w:p>
    <w:p w14:paraId="69E8DC4D">
      <w:pPr>
        <w:adjustRightInd w:val="0"/>
        <w:snapToGrid w:val="0"/>
        <w:spacing w:line="400" w:lineRule="exact"/>
        <w:ind w:left="720" w:hanging="720" w:hangingChars="300"/>
        <w:rPr>
          <w:rFonts w:ascii="Arial" w:hAnsi="Arial" w:cs="Arial"/>
          <w:sz w:val="24"/>
        </w:rPr>
      </w:pPr>
      <w:r>
        <w:rPr>
          <w:rFonts w:hint="eastAsia" w:ascii="Arial" w:hAnsi="Arial" w:cs="Arial"/>
          <w:sz w:val="24"/>
        </w:rPr>
        <w:t>23.8.1谈判小组应当依照有关法律法规的规定，按照谈判文件确定的谈判标准和办法客观、公正的对谈判响应文件提出评审意见。谈判文件没有规定的谈判标准和方法不得作为谈判依据。</w:t>
      </w:r>
    </w:p>
    <w:p w14:paraId="25586E3C">
      <w:pPr>
        <w:adjustRightInd w:val="0"/>
        <w:snapToGrid w:val="0"/>
        <w:spacing w:line="400" w:lineRule="exact"/>
        <w:ind w:left="720" w:hanging="720" w:hangingChars="300"/>
        <w:rPr>
          <w:rFonts w:ascii="Arial" w:hAnsi="Arial" w:cs="Arial"/>
          <w:sz w:val="24"/>
        </w:rPr>
      </w:pPr>
      <w:r>
        <w:rPr>
          <w:rFonts w:hint="eastAsia" w:ascii="Arial" w:hAnsi="Arial" w:cs="Arial"/>
          <w:sz w:val="24"/>
        </w:rPr>
        <w:t>23.8.2谈判小组成员不得私下接触供应商，不得收受供应商给予的财务或者其他好处，不得向采购人征询确定成交人意向。</w:t>
      </w:r>
    </w:p>
    <w:p w14:paraId="4C89BBBA">
      <w:pPr>
        <w:snapToGrid w:val="0"/>
        <w:spacing w:line="400" w:lineRule="exact"/>
        <w:rPr>
          <w:rFonts w:ascii="Arial" w:hAnsi="Arial" w:cs="Arial"/>
          <w:sz w:val="24"/>
        </w:rPr>
      </w:pPr>
      <w:r>
        <w:rPr>
          <w:rFonts w:hint="eastAsia" w:ascii="Arial" w:hAnsi="Arial" w:cs="Arial"/>
          <w:sz w:val="24"/>
        </w:rPr>
        <w:t>23.8.3不得接受任何单位或个人明示或暗示提出的倾向或排斥特定供应商的要求。</w:t>
      </w:r>
    </w:p>
    <w:p w14:paraId="5AF3B6CB">
      <w:pPr>
        <w:snapToGrid w:val="0"/>
        <w:spacing w:line="400" w:lineRule="exact"/>
        <w:rPr>
          <w:rFonts w:ascii="Arial" w:hAnsi="Arial" w:cs="Arial"/>
          <w:sz w:val="24"/>
        </w:rPr>
      </w:pPr>
      <w:r>
        <w:rPr>
          <w:rFonts w:hint="eastAsia" w:ascii="Arial" w:hAnsi="Arial" w:cs="Arial"/>
          <w:sz w:val="24"/>
        </w:rPr>
        <w:t>23.8.4不得有其他不客观，不公正履行职务的行为。</w:t>
      </w:r>
    </w:p>
    <w:p w14:paraId="52B87CFC">
      <w:pPr>
        <w:snapToGrid w:val="0"/>
        <w:spacing w:line="400" w:lineRule="exact"/>
        <w:rPr>
          <w:rFonts w:ascii="Arial" w:hAnsi="Arial" w:cs="Arial"/>
          <w:sz w:val="24"/>
        </w:rPr>
      </w:pPr>
      <w:r>
        <w:rPr>
          <w:rFonts w:hint="eastAsia" w:ascii="Arial" w:hAnsi="Arial" w:cs="Arial"/>
          <w:sz w:val="24"/>
        </w:rPr>
        <w:t>23.8.5评审专家与参加采购活动的供应商存在下列利害关系之一的,应当回避：</w:t>
      </w:r>
    </w:p>
    <w:p w14:paraId="0A9FB753">
      <w:pPr>
        <w:adjustRightInd w:val="0"/>
        <w:snapToGrid w:val="0"/>
        <w:spacing w:line="400" w:lineRule="exact"/>
        <w:ind w:left="840" w:hanging="840" w:hangingChars="350"/>
        <w:rPr>
          <w:rFonts w:ascii="Arial" w:hAnsi="Arial" w:cs="Arial"/>
          <w:sz w:val="24"/>
        </w:rPr>
      </w:pPr>
      <w:r>
        <w:rPr>
          <w:rFonts w:hint="eastAsia" w:ascii="Arial" w:hAnsi="Arial" w:cs="Arial"/>
          <w:sz w:val="24"/>
        </w:rPr>
        <w:t>23.8.5.1参加采购活动前三年内,与供应商存在劳动关系,或者担任过供应商的董事、监事,或者是供应商的控股股东或实际控制人；</w:t>
      </w:r>
    </w:p>
    <w:p w14:paraId="2C48B495">
      <w:pPr>
        <w:adjustRightInd w:val="0"/>
        <w:snapToGrid w:val="0"/>
        <w:spacing w:line="400" w:lineRule="exact"/>
        <w:ind w:left="840" w:hanging="840" w:hangingChars="350"/>
        <w:rPr>
          <w:rFonts w:ascii="Arial" w:hAnsi="Arial" w:cs="Arial"/>
          <w:sz w:val="24"/>
        </w:rPr>
      </w:pPr>
      <w:r>
        <w:rPr>
          <w:rFonts w:hint="eastAsia" w:ascii="Arial" w:hAnsi="Arial" w:cs="Arial"/>
          <w:sz w:val="24"/>
        </w:rPr>
        <w:t>23.8.5.2与供应商的法定代表人或者负责人有夫妻、直系血亲、三代以内旁系血亲或者近姻亲关系；</w:t>
      </w:r>
    </w:p>
    <w:p w14:paraId="7C449244">
      <w:pPr>
        <w:adjustRightInd w:val="0"/>
        <w:snapToGrid w:val="0"/>
        <w:spacing w:line="400" w:lineRule="exact"/>
        <w:ind w:left="840" w:hanging="840" w:hangingChars="350"/>
        <w:rPr>
          <w:rFonts w:ascii="Arial" w:hAnsi="Arial" w:cs="Arial"/>
          <w:sz w:val="24"/>
        </w:rPr>
      </w:pPr>
      <w:r>
        <w:rPr>
          <w:rFonts w:hint="eastAsia" w:ascii="Arial" w:hAnsi="Arial" w:cs="Arial"/>
          <w:sz w:val="24"/>
        </w:rPr>
        <w:t>23.8.5.3与供应商有其他可能影响政府采购活动公平、公正进行的关系。</w:t>
      </w:r>
    </w:p>
    <w:p w14:paraId="6DAC283F">
      <w:pPr>
        <w:snapToGrid w:val="0"/>
        <w:spacing w:line="400" w:lineRule="exact"/>
        <w:rPr>
          <w:rFonts w:ascii="Arial" w:hAnsi="Arial" w:cs="Arial"/>
          <w:sz w:val="24"/>
        </w:rPr>
      </w:pPr>
      <w:r>
        <w:rPr>
          <w:rFonts w:ascii="Arial" w:hAnsi="Arial" w:cs="Arial"/>
          <w:sz w:val="24"/>
        </w:rPr>
        <w:t>24．</w:t>
      </w:r>
      <w:r>
        <w:rPr>
          <w:rFonts w:hint="eastAsia" w:ascii="Arial" w:hAnsi="Arial" w:cs="Arial"/>
          <w:sz w:val="24"/>
        </w:rPr>
        <w:t>谈判</w:t>
      </w:r>
      <w:r>
        <w:rPr>
          <w:rFonts w:ascii="Arial" w:hAnsi="Arial" w:cs="Arial"/>
          <w:sz w:val="24"/>
        </w:rPr>
        <w:t>过程</w:t>
      </w:r>
    </w:p>
    <w:p w14:paraId="0090E84F">
      <w:pPr>
        <w:snapToGrid w:val="0"/>
        <w:spacing w:line="400" w:lineRule="exact"/>
        <w:rPr>
          <w:rFonts w:ascii="Arial" w:hAnsi="Arial" w:cs="Arial"/>
          <w:sz w:val="24"/>
        </w:rPr>
      </w:pPr>
      <w:r>
        <w:rPr>
          <w:rFonts w:ascii="Arial" w:hAnsi="Arial" w:cs="Arial"/>
          <w:sz w:val="24"/>
        </w:rPr>
        <w:t>24.1</w:t>
      </w:r>
      <w:r>
        <w:rPr>
          <w:rFonts w:hint="eastAsia" w:ascii="Arial" w:hAnsi="Arial" w:cs="Arial"/>
          <w:sz w:val="24"/>
        </w:rPr>
        <w:t>谈判</w:t>
      </w:r>
      <w:r>
        <w:rPr>
          <w:rFonts w:ascii="Arial" w:hAnsi="Arial" w:cs="Arial"/>
          <w:sz w:val="24"/>
        </w:rPr>
        <w:t>的依据为谈判文件和谈判响应文件。</w:t>
      </w:r>
    </w:p>
    <w:p w14:paraId="522CD612">
      <w:pPr>
        <w:snapToGrid w:val="0"/>
        <w:spacing w:line="400" w:lineRule="exact"/>
        <w:ind w:left="600" w:hanging="600" w:hangingChars="250"/>
        <w:rPr>
          <w:rFonts w:ascii="Arial" w:hAnsi="Arial" w:cs="Arial"/>
        </w:rPr>
      </w:pPr>
      <w:r>
        <w:rPr>
          <w:rFonts w:ascii="Arial" w:hAnsi="Arial" w:cs="Arial"/>
          <w:sz w:val="24"/>
        </w:rPr>
        <w:t>24.2在对谈判响应文件进行详细评估之前，</w:t>
      </w:r>
      <w:r>
        <w:rPr>
          <w:rFonts w:hint="eastAsia" w:ascii="Arial" w:hAnsi="Arial" w:cs="Arial"/>
          <w:sz w:val="24"/>
        </w:rPr>
        <w:t>谈判小组将</w:t>
      </w:r>
      <w:r>
        <w:rPr>
          <w:rFonts w:ascii="Arial" w:hAnsi="Arial" w:cs="Arial"/>
          <w:sz w:val="24"/>
        </w:rPr>
        <w:t>依据供应商提供的资格证明文件审查供应商的财务、技术和生产能力。</w:t>
      </w:r>
      <w:r>
        <w:rPr>
          <w:rFonts w:hint="eastAsia" w:hAnsi="宋体" w:cs="宋体"/>
          <w:sz w:val="24"/>
          <w:szCs w:val="24"/>
        </w:rPr>
        <w:t>本次项目为全流程电子</w:t>
      </w:r>
      <w:r>
        <w:rPr>
          <w:rFonts w:hint="eastAsia" w:hAnsi="宋体" w:cs="宋体"/>
          <w:sz w:val="24"/>
          <w:szCs w:val="24"/>
          <w:lang w:val="en-US" w:eastAsia="zh-CN"/>
        </w:rPr>
        <w:t>采购</w:t>
      </w:r>
      <w:r>
        <w:rPr>
          <w:rFonts w:hint="eastAsia" w:hAnsi="宋体" w:cs="宋体"/>
          <w:sz w:val="24"/>
          <w:szCs w:val="24"/>
        </w:rPr>
        <w:t>，供应商提供的电子谈判响应文件中资格审查部分需按政采云平台要求上传，未在资格审查部分提供齐全的资格证明文件的谈判响应将被拒绝。</w:t>
      </w:r>
      <w:r>
        <w:rPr>
          <w:rFonts w:ascii="Arial" w:hAnsi="Arial" w:cs="Arial"/>
          <w:sz w:val="24"/>
        </w:rPr>
        <w:t>如果确定供应商无资格履行合同，其</w:t>
      </w:r>
      <w:r>
        <w:rPr>
          <w:rFonts w:hint="eastAsia" w:ascii="Arial" w:hAnsi="Arial" w:cs="Arial"/>
          <w:sz w:val="24"/>
        </w:rPr>
        <w:t>响应</w:t>
      </w:r>
      <w:r>
        <w:rPr>
          <w:rFonts w:ascii="Arial" w:hAnsi="Arial" w:cs="Arial"/>
          <w:sz w:val="24"/>
        </w:rPr>
        <w:t>将被拒绝。</w:t>
      </w:r>
    </w:p>
    <w:p w14:paraId="1D1D534C">
      <w:pPr>
        <w:pStyle w:val="29"/>
        <w:snapToGrid w:val="0"/>
        <w:spacing w:line="400" w:lineRule="exact"/>
        <w:jc w:val="center"/>
        <w:rPr>
          <w:rFonts w:hint="eastAsia"/>
        </w:rPr>
      </w:pPr>
      <w:r>
        <w:rPr>
          <w:rFonts w:hint="eastAsia" w:ascii="Arial" w:hAnsi="Arial" w:cs="Arial"/>
        </w:rPr>
        <w:t>资格审查表</w:t>
      </w:r>
    </w:p>
    <w:tbl>
      <w:tblPr>
        <w:tblStyle w:val="78"/>
        <w:tblW w:w="99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1"/>
        <w:gridCol w:w="7730"/>
        <w:gridCol w:w="1278"/>
      </w:tblGrid>
      <w:tr w14:paraId="502B1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981" w:type="dxa"/>
          </w:tcPr>
          <w:p w14:paraId="091158FD">
            <w:pPr>
              <w:adjustRightInd w:val="0"/>
              <w:snapToGrid w:val="0"/>
              <w:jc w:val="center"/>
              <w:rPr>
                <w:rFonts w:hint="eastAsia" w:ascii="宋体" w:hAnsi="宋体" w:cs="宋体"/>
                <w:b/>
                <w:bCs/>
                <w:sz w:val="24"/>
                <w:szCs w:val="24"/>
              </w:rPr>
            </w:pPr>
            <w:r>
              <w:rPr>
                <w:rFonts w:hint="eastAsia" w:ascii="宋体" w:hAnsi="宋体" w:cs="宋体"/>
                <w:b/>
                <w:bCs/>
                <w:sz w:val="24"/>
                <w:szCs w:val="24"/>
              </w:rPr>
              <w:t>序号</w:t>
            </w:r>
          </w:p>
        </w:tc>
        <w:tc>
          <w:tcPr>
            <w:tcW w:w="7730" w:type="dxa"/>
            <w:vAlign w:val="center"/>
          </w:tcPr>
          <w:p w14:paraId="798F953C">
            <w:pPr>
              <w:adjustRightInd w:val="0"/>
              <w:snapToGrid w:val="0"/>
              <w:jc w:val="center"/>
              <w:rPr>
                <w:rFonts w:hint="eastAsia" w:ascii="宋体" w:hAnsi="宋体" w:cs="宋体"/>
                <w:b/>
                <w:bCs/>
                <w:sz w:val="24"/>
                <w:szCs w:val="24"/>
              </w:rPr>
            </w:pPr>
            <w:r>
              <w:rPr>
                <w:rFonts w:hint="eastAsia" w:ascii="宋体" w:hAnsi="宋体" w:cs="宋体"/>
                <w:b/>
                <w:bCs/>
                <w:sz w:val="24"/>
                <w:szCs w:val="24"/>
              </w:rPr>
              <w:t>评审内容</w:t>
            </w:r>
          </w:p>
        </w:tc>
        <w:tc>
          <w:tcPr>
            <w:tcW w:w="1278" w:type="dxa"/>
            <w:vAlign w:val="center"/>
          </w:tcPr>
          <w:p w14:paraId="145D08E6">
            <w:pPr>
              <w:adjustRightInd w:val="0"/>
              <w:snapToGrid w:val="0"/>
              <w:jc w:val="center"/>
              <w:rPr>
                <w:rFonts w:hint="eastAsia" w:ascii="宋体" w:hAnsi="宋体" w:cs="宋体"/>
                <w:b/>
                <w:bCs/>
                <w:sz w:val="24"/>
                <w:szCs w:val="24"/>
              </w:rPr>
            </w:pPr>
            <w:r>
              <w:rPr>
                <w:rFonts w:hint="eastAsia" w:ascii="宋体" w:hAnsi="宋体" w:cs="宋体"/>
                <w:b/>
                <w:bCs/>
                <w:sz w:val="24"/>
                <w:szCs w:val="24"/>
              </w:rPr>
              <w:t>是否符合</w:t>
            </w:r>
          </w:p>
        </w:tc>
      </w:tr>
      <w:tr w14:paraId="3E7E8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981" w:type="dxa"/>
            <w:vAlign w:val="center"/>
          </w:tcPr>
          <w:p w14:paraId="20B0DE21">
            <w:pPr>
              <w:jc w:val="center"/>
              <w:rPr>
                <w:rFonts w:hint="eastAsia" w:ascii="宋体" w:hAnsi="宋体" w:cs="宋体"/>
                <w:b/>
                <w:bCs/>
                <w:sz w:val="24"/>
                <w:szCs w:val="24"/>
              </w:rPr>
            </w:pPr>
            <w:r>
              <w:rPr>
                <w:rFonts w:hint="eastAsia" w:ascii="宋体" w:hAnsi="宋体" w:cs="宋体"/>
                <w:b/>
                <w:bCs/>
                <w:sz w:val="24"/>
                <w:szCs w:val="24"/>
              </w:rPr>
              <w:t>1</w:t>
            </w:r>
          </w:p>
        </w:tc>
        <w:tc>
          <w:tcPr>
            <w:tcW w:w="7730" w:type="dxa"/>
            <w:vAlign w:val="center"/>
          </w:tcPr>
          <w:p w14:paraId="3C466AC9">
            <w:pPr>
              <w:rPr>
                <w:rFonts w:hint="eastAsia" w:ascii="宋体" w:hAnsi="宋体" w:cs="宋体"/>
                <w:b/>
                <w:bCs/>
                <w:sz w:val="24"/>
                <w:szCs w:val="24"/>
              </w:rPr>
            </w:pPr>
            <w:r>
              <w:rPr>
                <w:rFonts w:hint="eastAsia" w:ascii="宋体" w:hAnsi="宋体" w:cs="宋体"/>
                <w:b/>
                <w:bCs/>
                <w:spacing w:val="8"/>
                <w:sz w:val="24"/>
                <w:szCs w:val="24"/>
              </w:rPr>
              <w:t>具有独立承担民事责任的能力；（供应商为企业（包括合伙企业）的，应提供有效的“营业执照”；供应商为个体工商户的，应提供有效的“个体工商户营业执照”；供应商为自然人的，应提供有效的自然人身份证明。）</w:t>
            </w:r>
            <w:r>
              <w:rPr>
                <w:rFonts w:hint="eastAsia" w:ascii="宋体" w:hAnsi="宋体" w:cs="宋体"/>
                <w:b/>
                <w:bCs/>
                <w:sz w:val="24"/>
                <w:szCs w:val="24"/>
              </w:rPr>
              <w:t>；</w:t>
            </w:r>
          </w:p>
        </w:tc>
        <w:tc>
          <w:tcPr>
            <w:tcW w:w="1278" w:type="dxa"/>
          </w:tcPr>
          <w:p w14:paraId="747B6FD7">
            <w:pPr>
              <w:adjustRightInd w:val="0"/>
              <w:snapToGrid w:val="0"/>
              <w:jc w:val="center"/>
              <w:rPr>
                <w:rFonts w:hint="eastAsia" w:ascii="宋体" w:hAnsi="宋体" w:cs="宋体"/>
                <w:b/>
                <w:bCs/>
                <w:sz w:val="24"/>
                <w:szCs w:val="24"/>
              </w:rPr>
            </w:pPr>
          </w:p>
        </w:tc>
      </w:tr>
      <w:tr w14:paraId="30022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81" w:type="dxa"/>
            <w:vAlign w:val="center"/>
          </w:tcPr>
          <w:p w14:paraId="1831A1C2">
            <w:pPr>
              <w:jc w:val="center"/>
              <w:rPr>
                <w:rFonts w:hint="eastAsia" w:ascii="宋体" w:hAnsi="宋体" w:cs="宋体"/>
                <w:b/>
                <w:bCs/>
                <w:sz w:val="24"/>
                <w:szCs w:val="24"/>
              </w:rPr>
            </w:pPr>
            <w:r>
              <w:rPr>
                <w:rFonts w:hint="eastAsia" w:ascii="宋体" w:hAnsi="宋体" w:cs="宋体"/>
                <w:b/>
                <w:bCs/>
                <w:sz w:val="24"/>
                <w:szCs w:val="24"/>
              </w:rPr>
              <w:t>2</w:t>
            </w:r>
          </w:p>
        </w:tc>
        <w:tc>
          <w:tcPr>
            <w:tcW w:w="7730" w:type="dxa"/>
            <w:vAlign w:val="center"/>
          </w:tcPr>
          <w:p w14:paraId="431753F6">
            <w:pPr>
              <w:rPr>
                <w:rFonts w:hint="eastAsia" w:ascii="宋体" w:hAnsi="宋体" w:cs="宋体"/>
                <w:b/>
                <w:bCs/>
                <w:sz w:val="24"/>
                <w:szCs w:val="24"/>
              </w:rPr>
            </w:pPr>
            <w:r>
              <w:rPr>
                <w:rFonts w:hint="eastAsia" w:ascii="宋体" w:hAnsi="宋体" w:cs="宋体"/>
                <w:b/>
                <w:bCs/>
                <w:spacing w:val="8"/>
                <w:sz w:val="24"/>
                <w:szCs w:val="24"/>
              </w:rPr>
              <w:t>具有良好的商业信誉和健全的财务会计制度；（提供会计师事务所出具的近一年度（2025年度）财务审计报告，新成立不足一年的提供成立之日起至今的财务报表和基本开户银行出具的资信证明）</w:t>
            </w:r>
          </w:p>
        </w:tc>
        <w:tc>
          <w:tcPr>
            <w:tcW w:w="1278" w:type="dxa"/>
          </w:tcPr>
          <w:p w14:paraId="70FCDEF4">
            <w:pPr>
              <w:adjustRightInd w:val="0"/>
              <w:snapToGrid w:val="0"/>
              <w:jc w:val="center"/>
              <w:rPr>
                <w:rFonts w:hint="eastAsia" w:ascii="宋体" w:hAnsi="宋体" w:cs="宋体"/>
                <w:b/>
                <w:bCs/>
                <w:sz w:val="24"/>
                <w:szCs w:val="24"/>
              </w:rPr>
            </w:pPr>
          </w:p>
        </w:tc>
      </w:tr>
      <w:tr w14:paraId="7BA93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1" w:type="dxa"/>
            <w:vAlign w:val="center"/>
          </w:tcPr>
          <w:p w14:paraId="5DB74864">
            <w:pPr>
              <w:jc w:val="center"/>
              <w:rPr>
                <w:rFonts w:hint="eastAsia" w:ascii="宋体" w:hAnsi="宋体" w:cs="宋体"/>
                <w:b/>
                <w:bCs/>
                <w:sz w:val="24"/>
                <w:szCs w:val="24"/>
              </w:rPr>
            </w:pPr>
            <w:r>
              <w:rPr>
                <w:rFonts w:hint="eastAsia" w:ascii="宋体" w:hAnsi="宋体" w:cs="宋体"/>
                <w:b/>
                <w:bCs/>
                <w:sz w:val="24"/>
                <w:szCs w:val="24"/>
              </w:rPr>
              <w:t>3</w:t>
            </w:r>
          </w:p>
        </w:tc>
        <w:tc>
          <w:tcPr>
            <w:tcW w:w="7730" w:type="dxa"/>
            <w:vAlign w:val="center"/>
          </w:tcPr>
          <w:p w14:paraId="5B611CA9">
            <w:pPr>
              <w:rPr>
                <w:rFonts w:hint="eastAsia" w:ascii="宋体" w:hAnsi="宋体" w:cs="宋体"/>
                <w:b/>
                <w:bCs/>
                <w:sz w:val="24"/>
                <w:szCs w:val="24"/>
              </w:rPr>
            </w:pPr>
            <w:r>
              <w:rPr>
                <w:rFonts w:hint="eastAsia" w:ascii="宋体" w:hAnsi="宋体" w:cs="宋体"/>
                <w:b/>
                <w:bCs/>
                <w:sz w:val="24"/>
                <w:szCs w:val="24"/>
              </w:rPr>
              <w:t>具有履行合同所必需的设备和专业技术能力；（提供承诺函，加盖单位公章）</w:t>
            </w:r>
          </w:p>
        </w:tc>
        <w:tc>
          <w:tcPr>
            <w:tcW w:w="1278" w:type="dxa"/>
          </w:tcPr>
          <w:p w14:paraId="379574A8">
            <w:pPr>
              <w:adjustRightInd w:val="0"/>
              <w:snapToGrid w:val="0"/>
              <w:jc w:val="center"/>
              <w:rPr>
                <w:rFonts w:hint="eastAsia" w:ascii="宋体" w:hAnsi="宋体" w:cs="宋体"/>
                <w:b/>
                <w:bCs/>
                <w:sz w:val="24"/>
                <w:szCs w:val="24"/>
              </w:rPr>
            </w:pPr>
          </w:p>
        </w:tc>
      </w:tr>
      <w:tr w14:paraId="5369B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81" w:type="dxa"/>
            <w:vAlign w:val="center"/>
          </w:tcPr>
          <w:p w14:paraId="25684CF8">
            <w:pPr>
              <w:jc w:val="center"/>
              <w:rPr>
                <w:rFonts w:hint="eastAsia" w:ascii="宋体" w:hAnsi="宋体" w:cs="宋体"/>
                <w:b/>
                <w:bCs/>
                <w:sz w:val="24"/>
                <w:szCs w:val="24"/>
              </w:rPr>
            </w:pPr>
            <w:r>
              <w:rPr>
                <w:rFonts w:hint="eastAsia" w:ascii="宋体" w:hAnsi="宋体" w:cs="宋体"/>
                <w:b/>
                <w:bCs/>
                <w:sz w:val="24"/>
                <w:szCs w:val="24"/>
              </w:rPr>
              <w:t>4</w:t>
            </w:r>
          </w:p>
        </w:tc>
        <w:tc>
          <w:tcPr>
            <w:tcW w:w="7730" w:type="dxa"/>
            <w:vAlign w:val="center"/>
          </w:tcPr>
          <w:p w14:paraId="2D5D8410">
            <w:pPr>
              <w:rPr>
                <w:rFonts w:hint="eastAsia" w:ascii="宋体" w:hAnsi="宋体" w:cs="宋体"/>
                <w:b/>
                <w:bCs/>
                <w:spacing w:val="8"/>
                <w:sz w:val="24"/>
                <w:szCs w:val="24"/>
              </w:rPr>
            </w:pPr>
            <w:r>
              <w:rPr>
                <w:rFonts w:hint="eastAsia" w:ascii="宋体" w:hAnsi="宋体" w:cs="宋体"/>
                <w:b/>
                <w:bCs/>
                <w:spacing w:val="8"/>
                <w:sz w:val="24"/>
                <w:szCs w:val="24"/>
              </w:rPr>
              <w:t>有依法缴纳税收和社会保障资金的良好记录；（提供近一年任意连续三个月缴税记录及社保缴纳证明，新成立公司自成立之日起提供）</w:t>
            </w:r>
          </w:p>
        </w:tc>
        <w:tc>
          <w:tcPr>
            <w:tcW w:w="1278" w:type="dxa"/>
          </w:tcPr>
          <w:p w14:paraId="77A0159A">
            <w:pPr>
              <w:adjustRightInd w:val="0"/>
              <w:snapToGrid w:val="0"/>
              <w:jc w:val="center"/>
              <w:rPr>
                <w:rFonts w:hint="eastAsia" w:ascii="宋体" w:hAnsi="宋体" w:cs="宋体"/>
                <w:b/>
                <w:bCs/>
                <w:sz w:val="24"/>
                <w:szCs w:val="24"/>
              </w:rPr>
            </w:pPr>
          </w:p>
        </w:tc>
      </w:tr>
      <w:tr w14:paraId="6039E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81" w:type="dxa"/>
            <w:vAlign w:val="center"/>
          </w:tcPr>
          <w:p w14:paraId="190C87EB">
            <w:pPr>
              <w:jc w:val="center"/>
              <w:rPr>
                <w:rFonts w:hint="eastAsia" w:ascii="宋体" w:hAnsi="宋体" w:cs="宋体"/>
                <w:b/>
                <w:bCs/>
                <w:sz w:val="24"/>
                <w:szCs w:val="24"/>
              </w:rPr>
            </w:pPr>
            <w:r>
              <w:rPr>
                <w:rFonts w:hint="eastAsia" w:ascii="宋体" w:hAnsi="宋体" w:cs="宋体"/>
                <w:b/>
                <w:bCs/>
                <w:sz w:val="24"/>
                <w:szCs w:val="24"/>
              </w:rPr>
              <w:t>5</w:t>
            </w:r>
          </w:p>
        </w:tc>
        <w:tc>
          <w:tcPr>
            <w:tcW w:w="7730" w:type="dxa"/>
            <w:vAlign w:val="center"/>
          </w:tcPr>
          <w:p w14:paraId="10C6F46D">
            <w:pPr>
              <w:rPr>
                <w:rFonts w:hint="eastAsia" w:ascii="宋体" w:hAnsi="宋体" w:cs="宋体"/>
                <w:b/>
                <w:bCs/>
                <w:sz w:val="24"/>
                <w:szCs w:val="24"/>
              </w:rPr>
            </w:pPr>
            <w:r>
              <w:rPr>
                <w:rFonts w:hint="eastAsia" w:ascii="宋体" w:hAnsi="宋体" w:cs="宋体"/>
                <w:b/>
                <w:bCs/>
                <w:sz w:val="24"/>
                <w:szCs w:val="24"/>
              </w:rPr>
              <w:t>参加采购活动前三年内，在经营活动中没有重大违法记录。查询渠道“中国政府采购网”、“信用中国”，被列入失信被执行人、重大税收违法案件当事人名单、政府采购严重违法失信行为记录名单的供应商，不得参与本次政府采购活动。以现场查询为准</w:t>
            </w:r>
          </w:p>
        </w:tc>
        <w:tc>
          <w:tcPr>
            <w:tcW w:w="1278" w:type="dxa"/>
          </w:tcPr>
          <w:p w14:paraId="3B9BB9F6">
            <w:pPr>
              <w:adjustRightInd w:val="0"/>
              <w:snapToGrid w:val="0"/>
              <w:jc w:val="center"/>
              <w:rPr>
                <w:rFonts w:hint="eastAsia" w:ascii="宋体" w:hAnsi="宋体" w:cs="宋体"/>
                <w:b/>
                <w:bCs/>
                <w:sz w:val="24"/>
                <w:szCs w:val="24"/>
              </w:rPr>
            </w:pPr>
          </w:p>
        </w:tc>
      </w:tr>
      <w:tr w14:paraId="7A341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81" w:type="dxa"/>
            <w:vAlign w:val="center"/>
          </w:tcPr>
          <w:p w14:paraId="29529CFD">
            <w:pPr>
              <w:jc w:val="center"/>
              <w:rPr>
                <w:rFonts w:hint="eastAsia" w:ascii="宋体" w:hAnsi="宋体" w:cs="宋体"/>
                <w:b/>
                <w:bCs/>
                <w:sz w:val="24"/>
                <w:szCs w:val="24"/>
              </w:rPr>
            </w:pPr>
            <w:r>
              <w:rPr>
                <w:rFonts w:hint="eastAsia" w:ascii="宋体" w:hAnsi="宋体" w:cs="宋体"/>
                <w:b/>
                <w:bCs/>
                <w:sz w:val="24"/>
                <w:szCs w:val="24"/>
              </w:rPr>
              <w:t>6</w:t>
            </w:r>
          </w:p>
        </w:tc>
        <w:tc>
          <w:tcPr>
            <w:tcW w:w="7730" w:type="dxa"/>
            <w:vAlign w:val="center"/>
          </w:tcPr>
          <w:p w14:paraId="615D57D8">
            <w:pPr>
              <w:rPr>
                <w:rFonts w:hint="eastAsia" w:ascii="宋体" w:hAnsi="宋体" w:cs="宋体"/>
                <w:b/>
                <w:bCs/>
                <w:sz w:val="24"/>
                <w:szCs w:val="24"/>
              </w:rPr>
            </w:pPr>
            <w:r>
              <w:rPr>
                <w:rFonts w:hint="eastAsia" w:ascii="宋体" w:hAnsi="宋体" w:cs="宋体"/>
                <w:b/>
                <w:bCs/>
                <w:sz w:val="24"/>
                <w:szCs w:val="24"/>
              </w:rPr>
              <w:t>法律、行政法规规定的其他条件；（提供承诺函，格式自拟，加盖单位公章）</w:t>
            </w:r>
          </w:p>
        </w:tc>
        <w:tc>
          <w:tcPr>
            <w:tcW w:w="1278" w:type="dxa"/>
          </w:tcPr>
          <w:p w14:paraId="54FFF3AD">
            <w:pPr>
              <w:adjustRightInd w:val="0"/>
              <w:snapToGrid w:val="0"/>
              <w:jc w:val="center"/>
              <w:rPr>
                <w:rFonts w:hint="eastAsia" w:ascii="宋体" w:hAnsi="宋体" w:cs="宋体"/>
                <w:b/>
                <w:bCs/>
                <w:sz w:val="24"/>
                <w:szCs w:val="24"/>
              </w:rPr>
            </w:pPr>
          </w:p>
        </w:tc>
      </w:tr>
      <w:tr w14:paraId="36E9E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81" w:type="dxa"/>
            <w:vAlign w:val="center"/>
          </w:tcPr>
          <w:p w14:paraId="3B7679AB">
            <w:pPr>
              <w:jc w:val="center"/>
              <w:rPr>
                <w:rFonts w:hint="eastAsia" w:ascii="宋体" w:hAnsi="宋体" w:cs="宋体"/>
                <w:b/>
                <w:bCs/>
                <w:sz w:val="24"/>
                <w:szCs w:val="24"/>
              </w:rPr>
            </w:pPr>
            <w:r>
              <w:rPr>
                <w:rFonts w:hint="eastAsia" w:ascii="宋体" w:hAnsi="宋体" w:cs="宋体"/>
                <w:b/>
                <w:bCs/>
                <w:sz w:val="24"/>
                <w:szCs w:val="24"/>
              </w:rPr>
              <w:t>7</w:t>
            </w:r>
          </w:p>
        </w:tc>
        <w:tc>
          <w:tcPr>
            <w:tcW w:w="7730" w:type="dxa"/>
            <w:vAlign w:val="center"/>
          </w:tcPr>
          <w:p w14:paraId="4B266BD0">
            <w:pPr>
              <w:tabs>
                <w:tab w:val="left" w:pos="252"/>
                <w:tab w:val="left" w:pos="671"/>
              </w:tabs>
              <w:contextualSpacing/>
              <w:rPr>
                <w:rFonts w:hint="eastAsia" w:ascii="宋体" w:hAnsi="宋体" w:cs="宋体"/>
                <w:b/>
                <w:bCs/>
                <w:sz w:val="24"/>
                <w:szCs w:val="24"/>
              </w:rPr>
            </w:pPr>
            <w:r>
              <w:rPr>
                <w:rFonts w:hint="eastAsia" w:ascii="宋体" w:hAnsi="宋体" w:cs="宋体"/>
                <w:b/>
                <w:bCs/>
                <w:sz w:val="24"/>
                <w:szCs w:val="32"/>
              </w:rPr>
              <w:t>不允许联合体投标；（提供承诺函，格式自拟，加盖单位公章）</w:t>
            </w:r>
          </w:p>
        </w:tc>
        <w:tc>
          <w:tcPr>
            <w:tcW w:w="1278" w:type="dxa"/>
          </w:tcPr>
          <w:p w14:paraId="1C02EA79">
            <w:pPr>
              <w:adjustRightInd w:val="0"/>
              <w:snapToGrid w:val="0"/>
              <w:jc w:val="center"/>
              <w:rPr>
                <w:rFonts w:hint="eastAsia" w:ascii="宋体" w:hAnsi="宋体" w:cs="宋体"/>
                <w:b/>
                <w:bCs/>
                <w:sz w:val="24"/>
                <w:szCs w:val="24"/>
              </w:rPr>
            </w:pPr>
          </w:p>
        </w:tc>
      </w:tr>
      <w:tr w14:paraId="39223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81" w:type="dxa"/>
            <w:vAlign w:val="center"/>
          </w:tcPr>
          <w:p w14:paraId="46DA6DE3">
            <w:pPr>
              <w:jc w:val="center"/>
              <w:rPr>
                <w:rFonts w:hint="eastAsia" w:ascii="宋体" w:hAnsi="宋体" w:cs="宋体"/>
                <w:b/>
                <w:bCs/>
                <w:sz w:val="24"/>
                <w:szCs w:val="24"/>
              </w:rPr>
            </w:pPr>
            <w:r>
              <w:rPr>
                <w:rFonts w:hint="eastAsia" w:ascii="宋体" w:hAnsi="宋体" w:cs="宋体"/>
                <w:b/>
                <w:bCs/>
                <w:sz w:val="24"/>
                <w:szCs w:val="24"/>
              </w:rPr>
              <w:t>8</w:t>
            </w:r>
          </w:p>
        </w:tc>
        <w:tc>
          <w:tcPr>
            <w:tcW w:w="7730" w:type="dxa"/>
            <w:vAlign w:val="center"/>
          </w:tcPr>
          <w:p w14:paraId="44B68A09">
            <w:pPr>
              <w:tabs>
                <w:tab w:val="left" w:pos="252"/>
                <w:tab w:val="left" w:pos="671"/>
              </w:tabs>
              <w:contextualSpacing/>
              <w:rPr>
                <w:rFonts w:hint="eastAsia" w:ascii="宋体" w:hAnsi="宋体" w:cs="宋体"/>
                <w:b/>
                <w:bCs/>
                <w:sz w:val="24"/>
                <w:szCs w:val="24"/>
              </w:rPr>
            </w:pPr>
            <w:r>
              <w:rPr>
                <w:rFonts w:hint="eastAsia" w:ascii="宋体" w:hAnsi="宋体" w:cs="宋体"/>
                <w:b/>
                <w:bCs/>
                <w:sz w:val="24"/>
                <w:szCs w:val="32"/>
              </w:rPr>
              <w:t>单位负责人为同一人或者存在直接控股、管理关系的不同</w:t>
            </w:r>
            <w:r>
              <w:rPr>
                <w:rFonts w:hint="eastAsia" w:ascii="宋体" w:hAnsi="宋体" w:cs="宋体"/>
                <w:b/>
                <w:bCs/>
                <w:sz w:val="24"/>
                <w:szCs w:val="32"/>
                <w:lang w:eastAsia="zh-CN"/>
              </w:rPr>
              <w:t>供应商</w:t>
            </w:r>
            <w:r>
              <w:rPr>
                <w:rFonts w:hint="eastAsia" w:ascii="宋体" w:hAnsi="宋体" w:cs="宋体"/>
                <w:b/>
                <w:bCs/>
                <w:sz w:val="24"/>
                <w:szCs w:val="32"/>
              </w:rPr>
              <w:t>，不得参加同一合同项下的政府采购活动（提供承诺函，格式自拟，加盖单位公章）</w:t>
            </w:r>
          </w:p>
        </w:tc>
        <w:tc>
          <w:tcPr>
            <w:tcW w:w="1278" w:type="dxa"/>
          </w:tcPr>
          <w:p w14:paraId="29DA5CAE">
            <w:pPr>
              <w:adjustRightInd w:val="0"/>
              <w:snapToGrid w:val="0"/>
              <w:jc w:val="center"/>
              <w:rPr>
                <w:rFonts w:hint="eastAsia" w:ascii="宋体" w:hAnsi="宋体" w:cs="宋体"/>
                <w:b/>
                <w:bCs/>
                <w:sz w:val="24"/>
                <w:szCs w:val="24"/>
              </w:rPr>
            </w:pPr>
          </w:p>
        </w:tc>
      </w:tr>
      <w:tr w14:paraId="78609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81" w:type="dxa"/>
            <w:vAlign w:val="center"/>
          </w:tcPr>
          <w:p w14:paraId="70C2D2D0">
            <w:pPr>
              <w:jc w:val="center"/>
              <w:rPr>
                <w:rFonts w:hint="eastAsia" w:ascii="宋体" w:hAnsi="宋体" w:cs="宋体"/>
                <w:b/>
                <w:bCs/>
                <w:sz w:val="24"/>
                <w:szCs w:val="24"/>
              </w:rPr>
            </w:pPr>
            <w:r>
              <w:rPr>
                <w:rFonts w:hint="eastAsia" w:ascii="宋体" w:hAnsi="宋体" w:cs="宋体"/>
                <w:b/>
                <w:bCs/>
                <w:sz w:val="24"/>
                <w:szCs w:val="24"/>
              </w:rPr>
              <w:t>9</w:t>
            </w:r>
          </w:p>
        </w:tc>
        <w:tc>
          <w:tcPr>
            <w:tcW w:w="7730" w:type="dxa"/>
            <w:vAlign w:val="center"/>
          </w:tcPr>
          <w:p w14:paraId="7D1E699F">
            <w:pPr>
              <w:tabs>
                <w:tab w:val="left" w:pos="252"/>
                <w:tab w:val="left" w:pos="671"/>
              </w:tabs>
              <w:contextualSpacing/>
              <w:rPr>
                <w:rFonts w:hint="eastAsia" w:ascii="宋体" w:hAnsi="宋体" w:cs="宋体"/>
                <w:b/>
                <w:bCs/>
                <w:sz w:val="24"/>
                <w:szCs w:val="24"/>
              </w:rPr>
            </w:pPr>
            <w:r>
              <w:rPr>
                <w:rFonts w:hint="eastAsia" w:ascii="宋体" w:hAnsi="宋体" w:cs="宋体"/>
                <w:b/>
                <w:bCs/>
                <w:sz w:val="24"/>
                <w:szCs w:val="32"/>
              </w:rPr>
              <w:t>落实政府采购政策需满足的资格要求：本项目专门面向中小企业，提供《中小企业声明函》。</w:t>
            </w:r>
          </w:p>
        </w:tc>
        <w:tc>
          <w:tcPr>
            <w:tcW w:w="1278" w:type="dxa"/>
          </w:tcPr>
          <w:p w14:paraId="12C706E7">
            <w:pPr>
              <w:adjustRightInd w:val="0"/>
              <w:snapToGrid w:val="0"/>
              <w:jc w:val="center"/>
              <w:rPr>
                <w:rFonts w:hint="eastAsia" w:ascii="宋体" w:hAnsi="宋体" w:cs="宋体"/>
                <w:b/>
                <w:bCs/>
                <w:sz w:val="24"/>
                <w:szCs w:val="24"/>
              </w:rPr>
            </w:pPr>
          </w:p>
        </w:tc>
      </w:tr>
      <w:tr w14:paraId="1979B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8711" w:type="dxa"/>
            <w:gridSpan w:val="2"/>
          </w:tcPr>
          <w:p w14:paraId="2C513158">
            <w:pPr>
              <w:adjustRightInd w:val="0"/>
              <w:snapToGrid w:val="0"/>
              <w:jc w:val="center"/>
              <w:rPr>
                <w:rFonts w:hint="eastAsia" w:ascii="宋体" w:hAnsi="宋体" w:cs="宋体"/>
                <w:b/>
                <w:bCs/>
                <w:sz w:val="24"/>
                <w:szCs w:val="24"/>
              </w:rPr>
            </w:pPr>
            <w:r>
              <w:rPr>
                <w:rFonts w:hint="eastAsia" w:ascii="宋体" w:hAnsi="宋体" w:cs="宋体"/>
                <w:b/>
                <w:bCs/>
                <w:sz w:val="24"/>
                <w:szCs w:val="24"/>
              </w:rPr>
              <w:t>审查结果</w:t>
            </w:r>
          </w:p>
        </w:tc>
        <w:tc>
          <w:tcPr>
            <w:tcW w:w="1278" w:type="dxa"/>
          </w:tcPr>
          <w:p w14:paraId="41DEC008">
            <w:pPr>
              <w:adjustRightInd w:val="0"/>
              <w:snapToGrid w:val="0"/>
              <w:jc w:val="center"/>
              <w:rPr>
                <w:rFonts w:hint="eastAsia" w:ascii="宋体" w:hAnsi="宋体" w:cs="宋体"/>
                <w:b/>
                <w:bCs/>
                <w:sz w:val="24"/>
                <w:szCs w:val="24"/>
              </w:rPr>
            </w:pPr>
          </w:p>
        </w:tc>
      </w:tr>
    </w:tbl>
    <w:p w14:paraId="6E3549A3">
      <w:pPr>
        <w:snapToGrid w:val="0"/>
        <w:spacing w:line="400" w:lineRule="exact"/>
        <w:ind w:left="600" w:hanging="600" w:hangingChars="250"/>
        <w:rPr>
          <w:rFonts w:ascii="Arial" w:hAnsi="Arial" w:cs="Arial"/>
          <w:sz w:val="24"/>
        </w:rPr>
      </w:pPr>
      <w:r>
        <w:rPr>
          <w:rFonts w:ascii="Arial" w:hAnsi="Arial" w:cs="Arial"/>
          <w:sz w:val="24"/>
        </w:rPr>
        <w:t>24.3</w:t>
      </w:r>
      <w:r>
        <w:rPr>
          <w:rFonts w:hint="eastAsia" w:ascii="Arial" w:hAnsi="Arial" w:cs="Arial"/>
          <w:sz w:val="24"/>
        </w:rPr>
        <w:t>谈判</w:t>
      </w:r>
      <w:r>
        <w:rPr>
          <w:rFonts w:ascii="Arial" w:hAnsi="Arial" w:cs="Arial"/>
          <w:sz w:val="24"/>
        </w:rPr>
        <w:t>后</w:t>
      </w:r>
      <w:r>
        <w:rPr>
          <w:rFonts w:hint="eastAsia" w:ascii="Arial" w:hAnsi="Arial" w:cs="Arial"/>
          <w:sz w:val="24"/>
        </w:rPr>
        <w:t>谈判小组</w:t>
      </w:r>
      <w:r>
        <w:rPr>
          <w:rFonts w:ascii="Arial" w:hAnsi="Arial" w:cs="Arial"/>
          <w:sz w:val="24"/>
        </w:rPr>
        <w:t>审查谈判响应文件是否完整，是否有计算错误，要求的</w:t>
      </w:r>
      <w:r>
        <w:rPr>
          <w:rFonts w:hint="eastAsia" w:ascii="Arial" w:hAnsi="Arial" w:cs="Arial"/>
          <w:sz w:val="24"/>
        </w:rPr>
        <w:t>谈判</w:t>
      </w:r>
      <w:r>
        <w:rPr>
          <w:rFonts w:ascii="Arial" w:hAnsi="Arial" w:cs="Arial"/>
          <w:sz w:val="24"/>
        </w:rPr>
        <w:t>保证金是否提供，文件是否恰当地签署。</w:t>
      </w:r>
    </w:p>
    <w:p w14:paraId="0D56E801">
      <w:pPr>
        <w:snapToGrid w:val="0"/>
        <w:spacing w:line="400" w:lineRule="exact"/>
        <w:ind w:left="600" w:hanging="600" w:hangingChars="250"/>
        <w:rPr>
          <w:rFonts w:ascii="Arial" w:hAnsi="Arial" w:cs="Arial"/>
          <w:sz w:val="24"/>
        </w:rPr>
      </w:pPr>
      <w:r>
        <w:rPr>
          <w:rFonts w:ascii="Arial" w:hAnsi="Arial" w:cs="Arial"/>
          <w:sz w:val="24"/>
        </w:rPr>
        <w:t>24.4</w:t>
      </w:r>
      <w:r>
        <w:rPr>
          <w:rFonts w:hint="eastAsia" w:ascii="Arial" w:hAnsi="Arial" w:cs="Arial"/>
          <w:sz w:val="24"/>
        </w:rPr>
        <w:t>谈判小组</w:t>
      </w:r>
      <w:r>
        <w:rPr>
          <w:rFonts w:ascii="Arial" w:hAnsi="Arial" w:cs="Arial"/>
          <w:sz w:val="24"/>
        </w:rPr>
        <w:t>将确定每一</w:t>
      </w:r>
      <w:r>
        <w:rPr>
          <w:rFonts w:hint="eastAsia" w:ascii="Arial" w:hAnsi="Arial" w:cs="Arial"/>
          <w:sz w:val="24"/>
        </w:rPr>
        <w:t>谈判响应文件</w:t>
      </w:r>
      <w:r>
        <w:rPr>
          <w:rFonts w:ascii="Arial" w:hAnsi="Arial" w:cs="Arial"/>
          <w:sz w:val="24"/>
        </w:rPr>
        <w:t>是否对谈判文件的要求作出了实质性的响应，而没有重大偏离。实质性响应的</w:t>
      </w:r>
      <w:r>
        <w:rPr>
          <w:rFonts w:hint="eastAsia" w:ascii="Arial" w:hAnsi="Arial" w:cs="Arial"/>
          <w:sz w:val="24"/>
        </w:rPr>
        <w:t>谈判响应文件</w:t>
      </w:r>
      <w:r>
        <w:rPr>
          <w:rFonts w:ascii="Arial" w:hAnsi="Arial" w:cs="Arial"/>
          <w:sz w:val="24"/>
        </w:rPr>
        <w:t>是指没有重大偏离或保留。重大偏离或保留系指影响到谈判文件规定的供货范围、质量和性能，或限制了买方的权利和供应商的义务的规定，而纠正这些偏离将影响到其他提交实质性响应的供应商的公平竞争地位。</w:t>
      </w:r>
    </w:p>
    <w:p w14:paraId="5A0F3685">
      <w:pPr>
        <w:pStyle w:val="29"/>
        <w:snapToGrid w:val="0"/>
        <w:spacing w:line="400" w:lineRule="exact"/>
        <w:jc w:val="center"/>
        <w:rPr>
          <w:rFonts w:ascii="Arial" w:hAnsi="Arial" w:cs="Arial"/>
        </w:rPr>
      </w:pPr>
      <w:r>
        <w:rPr>
          <w:rFonts w:hint="eastAsia" w:ascii="Arial" w:hAnsi="Arial" w:cs="Arial"/>
        </w:rPr>
        <w:t>符合性审查表</w:t>
      </w:r>
    </w:p>
    <w:tbl>
      <w:tblPr>
        <w:tblStyle w:val="78"/>
        <w:tblW w:w="99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7969"/>
        <w:gridCol w:w="1278"/>
      </w:tblGrid>
      <w:tr w14:paraId="3114A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42" w:type="dxa"/>
            <w:vAlign w:val="center"/>
          </w:tcPr>
          <w:p w14:paraId="14AB6316">
            <w:pPr>
              <w:adjustRightInd w:val="0"/>
              <w:snapToGrid w:val="0"/>
              <w:jc w:val="center"/>
              <w:rPr>
                <w:rFonts w:hint="eastAsia" w:ascii="宋体" w:hAnsi="宋体" w:cs="宋体"/>
                <w:b/>
                <w:bCs/>
                <w:sz w:val="24"/>
                <w:szCs w:val="24"/>
              </w:rPr>
            </w:pPr>
            <w:bookmarkStart w:id="41" w:name="_Hlk39707193"/>
            <w:r>
              <w:rPr>
                <w:rFonts w:hint="eastAsia" w:ascii="宋体" w:hAnsi="宋体" w:cs="宋体"/>
                <w:b/>
                <w:bCs/>
                <w:sz w:val="24"/>
                <w:szCs w:val="24"/>
              </w:rPr>
              <w:t>序号</w:t>
            </w:r>
          </w:p>
        </w:tc>
        <w:tc>
          <w:tcPr>
            <w:tcW w:w="7969" w:type="dxa"/>
          </w:tcPr>
          <w:p w14:paraId="0E050382">
            <w:pPr>
              <w:adjustRightInd w:val="0"/>
              <w:snapToGrid w:val="0"/>
              <w:jc w:val="center"/>
              <w:rPr>
                <w:rFonts w:hint="eastAsia" w:ascii="宋体" w:hAnsi="宋体" w:cs="宋体"/>
                <w:b/>
                <w:bCs/>
                <w:sz w:val="24"/>
                <w:szCs w:val="24"/>
              </w:rPr>
            </w:pPr>
            <w:r>
              <w:rPr>
                <w:rFonts w:hint="eastAsia" w:ascii="宋体" w:hAnsi="宋体" w:cs="宋体"/>
                <w:b/>
                <w:bCs/>
                <w:sz w:val="24"/>
                <w:szCs w:val="24"/>
              </w:rPr>
              <w:t>评审内容</w:t>
            </w:r>
          </w:p>
        </w:tc>
        <w:tc>
          <w:tcPr>
            <w:tcW w:w="1278" w:type="dxa"/>
          </w:tcPr>
          <w:p w14:paraId="716454C3">
            <w:pPr>
              <w:adjustRightInd w:val="0"/>
              <w:snapToGrid w:val="0"/>
              <w:jc w:val="center"/>
              <w:rPr>
                <w:rFonts w:hint="eastAsia" w:ascii="宋体" w:hAnsi="宋体" w:cs="宋体"/>
                <w:b/>
                <w:bCs/>
                <w:sz w:val="24"/>
                <w:szCs w:val="24"/>
              </w:rPr>
            </w:pPr>
            <w:r>
              <w:rPr>
                <w:rFonts w:hint="eastAsia" w:ascii="宋体" w:hAnsi="宋体" w:cs="宋体"/>
                <w:b/>
                <w:bCs/>
                <w:sz w:val="24"/>
                <w:szCs w:val="24"/>
              </w:rPr>
              <w:t>是否符合</w:t>
            </w:r>
          </w:p>
        </w:tc>
      </w:tr>
      <w:tr w14:paraId="6A554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742" w:type="dxa"/>
            <w:vAlign w:val="center"/>
          </w:tcPr>
          <w:p w14:paraId="7F9A4F4C">
            <w:pPr>
              <w:adjustRightInd w:val="0"/>
              <w:snapToGrid w:val="0"/>
              <w:jc w:val="center"/>
              <w:rPr>
                <w:rFonts w:hint="eastAsia" w:ascii="宋体" w:hAnsi="宋体" w:cs="宋体"/>
                <w:b/>
                <w:bCs/>
                <w:sz w:val="24"/>
                <w:szCs w:val="24"/>
              </w:rPr>
            </w:pPr>
            <w:r>
              <w:rPr>
                <w:rFonts w:hint="eastAsia" w:ascii="宋体" w:hAnsi="宋体" w:cs="宋体"/>
                <w:b/>
                <w:bCs/>
                <w:sz w:val="24"/>
                <w:szCs w:val="24"/>
              </w:rPr>
              <w:t>1</w:t>
            </w:r>
          </w:p>
        </w:tc>
        <w:tc>
          <w:tcPr>
            <w:tcW w:w="7969" w:type="dxa"/>
          </w:tcPr>
          <w:p w14:paraId="5DE110BE">
            <w:pPr>
              <w:adjustRightInd w:val="0"/>
              <w:snapToGrid w:val="0"/>
              <w:rPr>
                <w:rFonts w:hint="eastAsia" w:ascii="宋体" w:hAnsi="宋体" w:cs="宋体"/>
                <w:b/>
                <w:bCs/>
                <w:sz w:val="24"/>
                <w:szCs w:val="24"/>
              </w:rPr>
            </w:pPr>
            <w:r>
              <w:rPr>
                <w:rFonts w:hint="eastAsia" w:ascii="宋体" w:hAnsi="宋体" w:cs="宋体"/>
                <w:b/>
                <w:bCs/>
                <w:sz w:val="24"/>
                <w:szCs w:val="24"/>
              </w:rPr>
              <w:t>在谈判过程中，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异常低价投标（响应）审查详见谈判文件13.1.1）</w:t>
            </w:r>
          </w:p>
        </w:tc>
        <w:tc>
          <w:tcPr>
            <w:tcW w:w="1278" w:type="dxa"/>
          </w:tcPr>
          <w:p w14:paraId="1E4C25DD">
            <w:pPr>
              <w:adjustRightInd w:val="0"/>
              <w:snapToGrid w:val="0"/>
              <w:jc w:val="center"/>
              <w:rPr>
                <w:rFonts w:hint="eastAsia" w:ascii="宋体" w:hAnsi="宋体" w:cs="宋体"/>
                <w:b/>
                <w:bCs/>
                <w:sz w:val="24"/>
                <w:szCs w:val="24"/>
              </w:rPr>
            </w:pPr>
          </w:p>
        </w:tc>
      </w:tr>
      <w:tr w14:paraId="72A2F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742" w:type="dxa"/>
            <w:vAlign w:val="center"/>
          </w:tcPr>
          <w:p w14:paraId="643CA105">
            <w:pPr>
              <w:adjustRightInd w:val="0"/>
              <w:snapToGrid w:val="0"/>
              <w:jc w:val="center"/>
              <w:rPr>
                <w:rFonts w:hint="eastAsia" w:ascii="宋体" w:hAnsi="宋体" w:cs="宋体"/>
                <w:b/>
                <w:bCs/>
                <w:sz w:val="24"/>
                <w:szCs w:val="24"/>
              </w:rPr>
            </w:pPr>
            <w:r>
              <w:rPr>
                <w:rFonts w:hint="eastAsia" w:ascii="宋体" w:hAnsi="宋体" w:cs="宋体"/>
                <w:b/>
                <w:bCs/>
                <w:sz w:val="24"/>
                <w:szCs w:val="24"/>
              </w:rPr>
              <w:t>2</w:t>
            </w:r>
          </w:p>
        </w:tc>
        <w:tc>
          <w:tcPr>
            <w:tcW w:w="7969" w:type="dxa"/>
          </w:tcPr>
          <w:p w14:paraId="04FA1A08">
            <w:pPr>
              <w:adjustRightInd w:val="0"/>
              <w:snapToGrid w:val="0"/>
              <w:rPr>
                <w:rFonts w:hint="eastAsia" w:ascii="宋体" w:hAnsi="宋体" w:cs="宋体"/>
                <w:b/>
                <w:bCs/>
                <w:sz w:val="24"/>
                <w:szCs w:val="24"/>
              </w:rPr>
            </w:pPr>
            <w:r>
              <w:rPr>
                <w:rFonts w:hint="eastAsia" w:ascii="宋体" w:hAnsi="宋体" w:cs="宋体"/>
                <w:b/>
                <w:bCs/>
                <w:sz w:val="24"/>
                <w:szCs w:val="24"/>
              </w:rPr>
              <w:t>谈判报价未高于设定的</w:t>
            </w:r>
            <w:r>
              <w:rPr>
                <w:rFonts w:hint="eastAsia" w:ascii="宋体" w:hAnsi="宋体" w:cs="宋体"/>
                <w:b/>
                <w:bCs/>
                <w:sz w:val="24"/>
                <w:szCs w:val="24"/>
                <w:lang w:val="en-US" w:eastAsia="zh-CN"/>
              </w:rPr>
              <w:t>最高限价</w:t>
            </w:r>
            <w:r>
              <w:rPr>
                <w:rFonts w:hint="eastAsia" w:ascii="宋体" w:hAnsi="宋体" w:cs="宋体"/>
                <w:b/>
                <w:bCs/>
                <w:sz w:val="24"/>
                <w:szCs w:val="24"/>
              </w:rPr>
              <w:t>。</w:t>
            </w:r>
          </w:p>
        </w:tc>
        <w:tc>
          <w:tcPr>
            <w:tcW w:w="1278" w:type="dxa"/>
          </w:tcPr>
          <w:p w14:paraId="09C556E3">
            <w:pPr>
              <w:adjustRightInd w:val="0"/>
              <w:snapToGrid w:val="0"/>
              <w:jc w:val="center"/>
              <w:rPr>
                <w:rFonts w:hint="eastAsia" w:ascii="宋体" w:hAnsi="宋体" w:cs="宋体"/>
                <w:b/>
                <w:bCs/>
                <w:sz w:val="24"/>
                <w:szCs w:val="24"/>
              </w:rPr>
            </w:pPr>
          </w:p>
        </w:tc>
      </w:tr>
      <w:tr w14:paraId="10DEC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42" w:type="dxa"/>
            <w:vAlign w:val="center"/>
          </w:tcPr>
          <w:p w14:paraId="71A50601">
            <w:pPr>
              <w:adjustRightInd w:val="0"/>
              <w:snapToGrid w:val="0"/>
              <w:jc w:val="center"/>
              <w:rPr>
                <w:rFonts w:hint="eastAsia" w:ascii="宋体" w:hAnsi="宋体" w:cs="宋体"/>
                <w:b/>
                <w:bCs/>
                <w:sz w:val="24"/>
                <w:szCs w:val="24"/>
              </w:rPr>
            </w:pPr>
            <w:r>
              <w:rPr>
                <w:rFonts w:hint="eastAsia" w:ascii="宋体" w:hAnsi="宋体" w:cs="宋体"/>
                <w:b/>
                <w:bCs/>
                <w:sz w:val="24"/>
                <w:szCs w:val="24"/>
              </w:rPr>
              <w:t>3</w:t>
            </w:r>
          </w:p>
        </w:tc>
        <w:tc>
          <w:tcPr>
            <w:tcW w:w="7969" w:type="dxa"/>
          </w:tcPr>
          <w:p w14:paraId="62E44188">
            <w:pPr>
              <w:adjustRightInd w:val="0"/>
              <w:snapToGrid w:val="0"/>
              <w:rPr>
                <w:rFonts w:hint="eastAsia" w:ascii="宋体" w:hAnsi="宋体" w:cs="宋体"/>
                <w:b/>
                <w:bCs/>
                <w:sz w:val="24"/>
                <w:szCs w:val="24"/>
              </w:rPr>
            </w:pPr>
            <w:r>
              <w:rPr>
                <w:rFonts w:hint="eastAsia" w:ascii="宋体" w:hAnsi="宋体" w:cs="宋体"/>
                <w:b/>
                <w:bCs/>
                <w:sz w:val="24"/>
                <w:szCs w:val="24"/>
              </w:rPr>
              <w:t>在谈判过程中，谈判小组未发现供应商以他人名义投标、串通投标、以行贿手段谋取成交或者以其他弄虚作假方式骗取成交的，该供应商的谈判响应认定为无效响应。</w:t>
            </w:r>
          </w:p>
        </w:tc>
        <w:tc>
          <w:tcPr>
            <w:tcW w:w="1278" w:type="dxa"/>
          </w:tcPr>
          <w:p w14:paraId="69B2F145">
            <w:pPr>
              <w:adjustRightInd w:val="0"/>
              <w:snapToGrid w:val="0"/>
              <w:jc w:val="center"/>
              <w:rPr>
                <w:rFonts w:hint="eastAsia" w:ascii="宋体" w:hAnsi="宋体" w:cs="宋体"/>
                <w:b/>
                <w:bCs/>
                <w:sz w:val="24"/>
                <w:szCs w:val="24"/>
              </w:rPr>
            </w:pPr>
          </w:p>
        </w:tc>
      </w:tr>
      <w:tr w14:paraId="7DF9B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42" w:type="dxa"/>
            <w:vAlign w:val="center"/>
          </w:tcPr>
          <w:p w14:paraId="4EC600D2">
            <w:pPr>
              <w:adjustRightInd w:val="0"/>
              <w:snapToGrid w:val="0"/>
              <w:jc w:val="center"/>
              <w:rPr>
                <w:rFonts w:hint="eastAsia" w:ascii="宋体" w:hAnsi="宋体" w:cs="宋体"/>
                <w:b/>
                <w:bCs/>
                <w:sz w:val="24"/>
                <w:szCs w:val="24"/>
              </w:rPr>
            </w:pPr>
            <w:r>
              <w:rPr>
                <w:rFonts w:hint="eastAsia" w:ascii="宋体" w:hAnsi="宋体" w:cs="宋体"/>
                <w:b/>
                <w:bCs/>
                <w:sz w:val="24"/>
                <w:szCs w:val="24"/>
              </w:rPr>
              <w:t>4</w:t>
            </w:r>
          </w:p>
        </w:tc>
        <w:tc>
          <w:tcPr>
            <w:tcW w:w="7969" w:type="dxa"/>
          </w:tcPr>
          <w:p w14:paraId="1D1A508F">
            <w:pPr>
              <w:adjustRightInd w:val="0"/>
              <w:snapToGrid w:val="0"/>
              <w:rPr>
                <w:rFonts w:hint="eastAsia" w:ascii="宋体" w:hAnsi="宋体" w:cs="宋体"/>
                <w:b/>
                <w:bCs/>
                <w:sz w:val="24"/>
                <w:szCs w:val="24"/>
              </w:rPr>
            </w:pPr>
            <w:r>
              <w:rPr>
                <w:rFonts w:hint="eastAsia" w:ascii="宋体" w:hAnsi="宋体" w:cs="宋体"/>
                <w:b/>
                <w:bCs/>
                <w:sz w:val="24"/>
                <w:szCs w:val="24"/>
              </w:rPr>
              <w:t>提供法定代表人身份证明书或法定代表人授权委托书。</w:t>
            </w:r>
          </w:p>
        </w:tc>
        <w:tc>
          <w:tcPr>
            <w:tcW w:w="1278" w:type="dxa"/>
          </w:tcPr>
          <w:p w14:paraId="15913061">
            <w:pPr>
              <w:adjustRightInd w:val="0"/>
              <w:snapToGrid w:val="0"/>
              <w:jc w:val="center"/>
              <w:rPr>
                <w:rFonts w:hint="eastAsia" w:ascii="宋体" w:hAnsi="宋体" w:cs="宋体"/>
                <w:b/>
                <w:bCs/>
                <w:sz w:val="24"/>
                <w:szCs w:val="24"/>
              </w:rPr>
            </w:pPr>
          </w:p>
        </w:tc>
      </w:tr>
      <w:tr w14:paraId="32DA6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742" w:type="dxa"/>
            <w:vAlign w:val="center"/>
          </w:tcPr>
          <w:p w14:paraId="6FCB09FC">
            <w:pPr>
              <w:adjustRightInd w:val="0"/>
              <w:snapToGrid w:val="0"/>
              <w:jc w:val="center"/>
              <w:rPr>
                <w:rFonts w:hint="eastAsia" w:ascii="宋体" w:hAnsi="宋体" w:cs="宋体"/>
                <w:b/>
                <w:bCs/>
                <w:sz w:val="24"/>
                <w:szCs w:val="24"/>
              </w:rPr>
            </w:pPr>
            <w:r>
              <w:rPr>
                <w:rFonts w:hint="eastAsia" w:ascii="宋体" w:hAnsi="宋体" w:cs="宋体"/>
                <w:b/>
                <w:bCs/>
                <w:sz w:val="24"/>
                <w:szCs w:val="24"/>
              </w:rPr>
              <w:t>5</w:t>
            </w:r>
          </w:p>
        </w:tc>
        <w:tc>
          <w:tcPr>
            <w:tcW w:w="7969" w:type="dxa"/>
          </w:tcPr>
          <w:p w14:paraId="5B4AF7F7">
            <w:pPr>
              <w:adjustRightInd w:val="0"/>
              <w:snapToGrid w:val="0"/>
              <w:rPr>
                <w:rFonts w:hint="eastAsia" w:ascii="宋体" w:hAnsi="宋体" w:cs="宋体"/>
                <w:b/>
                <w:bCs/>
                <w:sz w:val="24"/>
                <w:szCs w:val="24"/>
              </w:rPr>
            </w:pPr>
            <w:r>
              <w:rPr>
                <w:rFonts w:hint="eastAsia" w:ascii="宋体" w:hAnsi="宋体" w:cs="宋体"/>
                <w:b/>
                <w:bCs/>
                <w:sz w:val="24"/>
                <w:szCs w:val="24"/>
              </w:rPr>
              <w:t>谈判小组应当根据谈判文件，审查并逐项列出响应文件的全部投标偏差。若存在重大偏差将被视为未实质性响应谈判文件。重大偏差系指：第三章货物需求及技术要求中，技术参数负偏离累计</w:t>
            </w:r>
            <w:r>
              <w:rPr>
                <w:rFonts w:hint="eastAsia" w:ascii="宋体" w:hAnsi="宋体" w:cs="宋体"/>
                <w:b/>
                <w:bCs/>
                <w:sz w:val="24"/>
                <w:szCs w:val="24"/>
                <w:highlight w:val="none"/>
              </w:rPr>
              <w:t>＞5</w:t>
            </w:r>
            <w:r>
              <w:rPr>
                <w:rFonts w:hint="eastAsia" w:ascii="宋体" w:hAnsi="宋体" w:cs="宋体"/>
                <w:b/>
                <w:bCs/>
                <w:sz w:val="24"/>
                <w:szCs w:val="24"/>
              </w:rPr>
              <w:t>项即视为未实质性响应谈判文件。</w:t>
            </w:r>
          </w:p>
        </w:tc>
        <w:tc>
          <w:tcPr>
            <w:tcW w:w="1278" w:type="dxa"/>
          </w:tcPr>
          <w:p w14:paraId="66179C77">
            <w:pPr>
              <w:adjustRightInd w:val="0"/>
              <w:snapToGrid w:val="0"/>
              <w:jc w:val="center"/>
              <w:rPr>
                <w:rFonts w:hint="eastAsia" w:ascii="宋体" w:hAnsi="宋体" w:cs="宋体"/>
                <w:b/>
                <w:bCs/>
                <w:sz w:val="24"/>
                <w:szCs w:val="24"/>
              </w:rPr>
            </w:pPr>
          </w:p>
        </w:tc>
      </w:tr>
      <w:tr w14:paraId="2F410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2" w:type="dxa"/>
            <w:vAlign w:val="center"/>
          </w:tcPr>
          <w:p w14:paraId="7F3AA3D1">
            <w:pPr>
              <w:adjustRightInd w:val="0"/>
              <w:snapToGrid w:val="0"/>
              <w:jc w:val="center"/>
              <w:rPr>
                <w:rFonts w:hint="eastAsia" w:ascii="宋体" w:hAnsi="宋体" w:cs="宋体"/>
                <w:b/>
                <w:bCs/>
                <w:sz w:val="24"/>
                <w:szCs w:val="24"/>
              </w:rPr>
            </w:pPr>
            <w:r>
              <w:rPr>
                <w:rFonts w:hint="eastAsia" w:ascii="宋体" w:hAnsi="宋体" w:cs="宋体"/>
                <w:b/>
                <w:bCs/>
                <w:sz w:val="24"/>
                <w:szCs w:val="24"/>
              </w:rPr>
              <w:t>6</w:t>
            </w:r>
          </w:p>
        </w:tc>
        <w:tc>
          <w:tcPr>
            <w:tcW w:w="7969" w:type="dxa"/>
          </w:tcPr>
          <w:p w14:paraId="07AB9100">
            <w:pPr>
              <w:adjustRightInd w:val="0"/>
              <w:snapToGrid w:val="0"/>
              <w:jc w:val="left"/>
              <w:rPr>
                <w:rFonts w:hint="eastAsia" w:ascii="宋体" w:hAnsi="宋体" w:cs="宋体"/>
                <w:b/>
                <w:bCs/>
                <w:sz w:val="24"/>
                <w:szCs w:val="24"/>
              </w:rPr>
            </w:pPr>
            <w:r>
              <w:rPr>
                <w:rFonts w:hint="eastAsia" w:ascii="宋体" w:hAnsi="宋体" w:cs="宋体"/>
                <w:b/>
                <w:bCs/>
                <w:sz w:val="24"/>
                <w:szCs w:val="24"/>
              </w:rPr>
              <w:t>谈判保证金的缴纳主体与供应商一致的，按照谈判文件要求提供谈判担保或谈判保证金。</w:t>
            </w:r>
          </w:p>
        </w:tc>
        <w:tc>
          <w:tcPr>
            <w:tcW w:w="1278" w:type="dxa"/>
          </w:tcPr>
          <w:p w14:paraId="5BE65B14">
            <w:pPr>
              <w:adjustRightInd w:val="0"/>
              <w:snapToGrid w:val="0"/>
              <w:jc w:val="center"/>
              <w:rPr>
                <w:rFonts w:hint="eastAsia" w:ascii="宋体" w:hAnsi="宋体" w:cs="宋体"/>
                <w:b/>
                <w:bCs/>
                <w:sz w:val="24"/>
                <w:szCs w:val="24"/>
              </w:rPr>
            </w:pPr>
          </w:p>
        </w:tc>
      </w:tr>
      <w:tr w14:paraId="50A60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742" w:type="dxa"/>
            <w:vAlign w:val="center"/>
          </w:tcPr>
          <w:p w14:paraId="6C289688">
            <w:pPr>
              <w:adjustRightInd w:val="0"/>
              <w:snapToGrid w:val="0"/>
              <w:jc w:val="center"/>
              <w:rPr>
                <w:rFonts w:hint="eastAsia" w:ascii="宋体" w:hAnsi="宋体" w:cs="宋体"/>
                <w:b/>
                <w:bCs/>
                <w:sz w:val="24"/>
                <w:szCs w:val="24"/>
              </w:rPr>
            </w:pPr>
            <w:r>
              <w:rPr>
                <w:rFonts w:hint="eastAsia" w:ascii="宋体" w:hAnsi="宋体" w:cs="宋体"/>
                <w:b/>
                <w:bCs/>
                <w:sz w:val="24"/>
                <w:szCs w:val="24"/>
              </w:rPr>
              <w:t>7</w:t>
            </w:r>
          </w:p>
        </w:tc>
        <w:tc>
          <w:tcPr>
            <w:tcW w:w="7969" w:type="dxa"/>
          </w:tcPr>
          <w:p w14:paraId="6C23DF62">
            <w:pPr>
              <w:adjustRightInd w:val="0"/>
              <w:snapToGrid w:val="0"/>
              <w:jc w:val="left"/>
              <w:rPr>
                <w:rFonts w:hint="eastAsia" w:ascii="宋体" w:hAnsi="宋体" w:cs="宋体"/>
                <w:b/>
                <w:bCs/>
                <w:sz w:val="24"/>
                <w:szCs w:val="24"/>
              </w:rPr>
            </w:pPr>
            <w:r>
              <w:rPr>
                <w:rFonts w:hint="eastAsia" w:ascii="宋体" w:hAnsi="宋体" w:cs="宋体"/>
                <w:b/>
                <w:bCs/>
                <w:sz w:val="24"/>
                <w:szCs w:val="24"/>
              </w:rPr>
              <w:t>质保期、交货期满足谈判文件要求。</w:t>
            </w:r>
          </w:p>
        </w:tc>
        <w:tc>
          <w:tcPr>
            <w:tcW w:w="1278" w:type="dxa"/>
          </w:tcPr>
          <w:p w14:paraId="373D95BC">
            <w:pPr>
              <w:adjustRightInd w:val="0"/>
              <w:snapToGrid w:val="0"/>
              <w:jc w:val="center"/>
              <w:rPr>
                <w:rFonts w:hint="eastAsia" w:ascii="宋体" w:hAnsi="宋体" w:cs="宋体"/>
                <w:b/>
                <w:bCs/>
                <w:sz w:val="24"/>
                <w:szCs w:val="24"/>
              </w:rPr>
            </w:pPr>
          </w:p>
        </w:tc>
      </w:tr>
      <w:tr w14:paraId="72713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42" w:type="dxa"/>
            <w:vAlign w:val="center"/>
          </w:tcPr>
          <w:p w14:paraId="0D4468EA">
            <w:pPr>
              <w:adjustRightInd w:val="0"/>
              <w:snapToGrid w:val="0"/>
              <w:jc w:val="center"/>
              <w:rPr>
                <w:rFonts w:hint="eastAsia" w:ascii="宋体" w:hAnsi="宋体" w:cs="宋体"/>
                <w:b/>
                <w:bCs/>
                <w:sz w:val="24"/>
                <w:szCs w:val="24"/>
              </w:rPr>
            </w:pPr>
            <w:r>
              <w:rPr>
                <w:rFonts w:hint="eastAsia" w:ascii="宋体" w:hAnsi="宋体" w:cs="宋体"/>
                <w:b/>
                <w:bCs/>
                <w:sz w:val="24"/>
                <w:szCs w:val="24"/>
              </w:rPr>
              <w:t>8</w:t>
            </w:r>
          </w:p>
        </w:tc>
        <w:tc>
          <w:tcPr>
            <w:tcW w:w="7969" w:type="dxa"/>
          </w:tcPr>
          <w:p w14:paraId="147984D8">
            <w:pPr>
              <w:adjustRightInd w:val="0"/>
              <w:snapToGrid w:val="0"/>
              <w:jc w:val="left"/>
              <w:rPr>
                <w:rFonts w:hint="eastAsia" w:ascii="宋体" w:hAnsi="宋体" w:cs="宋体"/>
                <w:b/>
                <w:bCs/>
                <w:sz w:val="24"/>
                <w:szCs w:val="24"/>
              </w:rPr>
            </w:pPr>
            <w:r>
              <w:rPr>
                <w:rFonts w:hint="eastAsia" w:ascii="宋体" w:hAnsi="宋体" w:cs="宋体"/>
                <w:b/>
                <w:bCs/>
                <w:sz w:val="24"/>
                <w:szCs w:val="24"/>
              </w:rPr>
              <w:t>谈判响应文件是否满足谈判文件中“★”的实质性条款，不满足将导致废标。</w:t>
            </w:r>
          </w:p>
        </w:tc>
        <w:tc>
          <w:tcPr>
            <w:tcW w:w="1278" w:type="dxa"/>
          </w:tcPr>
          <w:p w14:paraId="14EA0FEA">
            <w:pPr>
              <w:adjustRightInd w:val="0"/>
              <w:snapToGrid w:val="0"/>
              <w:jc w:val="center"/>
              <w:rPr>
                <w:rFonts w:hint="eastAsia" w:ascii="宋体" w:hAnsi="宋体" w:cs="宋体"/>
                <w:b/>
                <w:bCs/>
                <w:sz w:val="24"/>
                <w:szCs w:val="24"/>
              </w:rPr>
            </w:pPr>
          </w:p>
        </w:tc>
      </w:tr>
      <w:tr w14:paraId="0C8DA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42" w:type="dxa"/>
            <w:vAlign w:val="center"/>
          </w:tcPr>
          <w:p w14:paraId="7C19E556">
            <w:pPr>
              <w:adjustRightInd w:val="0"/>
              <w:snapToGrid w:val="0"/>
              <w:jc w:val="center"/>
              <w:rPr>
                <w:rFonts w:hint="eastAsia" w:ascii="宋体" w:hAnsi="宋体" w:cs="宋体"/>
                <w:b/>
                <w:bCs/>
                <w:sz w:val="24"/>
                <w:szCs w:val="24"/>
              </w:rPr>
            </w:pPr>
            <w:r>
              <w:rPr>
                <w:rFonts w:hint="eastAsia" w:ascii="宋体" w:hAnsi="宋体" w:cs="宋体"/>
                <w:b/>
                <w:bCs/>
                <w:sz w:val="24"/>
                <w:szCs w:val="24"/>
              </w:rPr>
              <w:t>9</w:t>
            </w:r>
          </w:p>
        </w:tc>
        <w:tc>
          <w:tcPr>
            <w:tcW w:w="7969" w:type="dxa"/>
          </w:tcPr>
          <w:p w14:paraId="08801473">
            <w:pPr>
              <w:adjustRightInd w:val="0"/>
              <w:snapToGrid w:val="0"/>
              <w:jc w:val="left"/>
              <w:rPr>
                <w:rFonts w:hint="eastAsia" w:ascii="宋体" w:hAnsi="宋体" w:cs="宋体"/>
                <w:b/>
                <w:bCs/>
                <w:sz w:val="24"/>
                <w:szCs w:val="24"/>
              </w:rPr>
            </w:pPr>
            <w:r>
              <w:rPr>
                <w:rFonts w:hint="eastAsia" w:ascii="宋体" w:hAnsi="宋体" w:cs="宋体"/>
                <w:b/>
                <w:bCs/>
                <w:sz w:val="24"/>
                <w:szCs w:val="24"/>
              </w:rPr>
              <w:t>谈判响应文件未附有采购人不能接受的附加条件及法律、法规和谈判文件规定的其他无效情形。</w:t>
            </w:r>
          </w:p>
        </w:tc>
        <w:tc>
          <w:tcPr>
            <w:tcW w:w="1278" w:type="dxa"/>
          </w:tcPr>
          <w:p w14:paraId="349D2B29">
            <w:pPr>
              <w:adjustRightInd w:val="0"/>
              <w:snapToGrid w:val="0"/>
              <w:jc w:val="center"/>
              <w:rPr>
                <w:rFonts w:hint="eastAsia" w:ascii="宋体" w:hAnsi="宋体" w:cs="宋体"/>
                <w:b/>
                <w:bCs/>
                <w:sz w:val="24"/>
                <w:szCs w:val="24"/>
              </w:rPr>
            </w:pPr>
          </w:p>
        </w:tc>
      </w:tr>
      <w:tr w14:paraId="290F7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8711" w:type="dxa"/>
            <w:gridSpan w:val="2"/>
            <w:vAlign w:val="center"/>
          </w:tcPr>
          <w:p w14:paraId="30E31BB8">
            <w:pPr>
              <w:adjustRightInd w:val="0"/>
              <w:snapToGrid w:val="0"/>
              <w:jc w:val="center"/>
              <w:rPr>
                <w:rFonts w:hint="eastAsia" w:ascii="宋体" w:hAnsi="宋体" w:cs="宋体"/>
                <w:b/>
                <w:bCs/>
                <w:sz w:val="24"/>
                <w:szCs w:val="24"/>
              </w:rPr>
            </w:pPr>
            <w:r>
              <w:rPr>
                <w:rFonts w:hint="eastAsia" w:ascii="宋体" w:hAnsi="宋体" w:cs="宋体"/>
                <w:b/>
                <w:bCs/>
                <w:sz w:val="24"/>
                <w:szCs w:val="24"/>
              </w:rPr>
              <w:t>审查结果</w:t>
            </w:r>
          </w:p>
        </w:tc>
        <w:tc>
          <w:tcPr>
            <w:tcW w:w="1278" w:type="dxa"/>
          </w:tcPr>
          <w:p w14:paraId="13AB2DF9">
            <w:pPr>
              <w:adjustRightInd w:val="0"/>
              <w:snapToGrid w:val="0"/>
              <w:jc w:val="center"/>
              <w:rPr>
                <w:rFonts w:hint="eastAsia" w:ascii="宋体" w:hAnsi="宋体" w:cs="宋体"/>
                <w:b/>
                <w:bCs/>
                <w:sz w:val="24"/>
                <w:szCs w:val="24"/>
              </w:rPr>
            </w:pPr>
          </w:p>
        </w:tc>
      </w:tr>
      <w:bookmarkEnd w:id="41"/>
    </w:tbl>
    <w:p w14:paraId="5091EA49">
      <w:pPr>
        <w:adjustRightInd w:val="0"/>
        <w:snapToGrid w:val="0"/>
        <w:spacing w:line="400" w:lineRule="atLeast"/>
        <w:rPr>
          <w:rFonts w:ascii="Arial" w:hAnsi="Arial" w:cs="Arial"/>
          <w:b/>
          <w:sz w:val="24"/>
          <w:szCs w:val="24"/>
        </w:rPr>
      </w:pPr>
      <w:r>
        <w:rPr>
          <w:rFonts w:hint="eastAsia" w:ascii="Arial" w:hAnsi="Arial" w:cs="Arial"/>
          <w:b/>
          <w:sz w:val="24"/>
          <w:szCs w:val="24"/>
        </w:rPr>
        <w:t>本项目需要落实的政府采购政策：</w:t>
      </w:r>
    </w:p>
    <w:p w14:paraId="08D5C8EA">
      <w:pPr>
        <w:adjustRightInd w:val="0"/>
        <w:snapToGrid w:val="0"/>
        <w:spacing w:line="400" w:lineRule="atLeast"/>
        <w:ind w:firstLine="480" w:firstLineChars="200"/>
        <w:rPr>
          <w:rFonts w:ascii="Arial" w:hAnsi="Arial" w:cs="Arial"/>
          <w:b/>
          <w:sz w:val="24"/>
          <w:szCs w:val="24"/>
        </w:rPr>
      </w:pPr>
      <w:r>
        <w:rPr>
          <w:rFonts w:hint="eastAsia" w:ascii="Arial" w:hAnsi="Arial" w:cs="Arial"/>
          <w:b/>
          <w:sz w:val="24"/>
          <w:szCs w:val="24"/>
        </w:rPr>
        <w:t>1、《政府采购促进中小企业发展管理办法》（财库〔2020〕46号）</w:t>
      </w:r>
    </w:p>
    <w:p w14:paraId="0C897D0C">
      <w:pPr>
        <w:adjustRightInd w:val="0"/>
        <w:snapToGrid w:val="0"/>
        <w:spacing w:line="400" w:lineRule="atLeast"/>
        <w:ind w:firstLine="480" w:firstLineChars="200"/>
        <w:rPr>
          <w:rFonts w:ascii="Arial" w:hAnsi="Arial" w:cs="Arial"/>
          <w:b/>
          <w:sz w:val="24"/>
          <w:szCs w:val="24"/>
        </w:rPr>
      </w:pPr>
      <w:r>
        <w:rPr>
          <w:rFonts w:hint="eastAsia" w:ascii="Arial" w:hAnsi="Arial" w:cs="Arial"/>
          <w:b/>
          <w:sz w:val="24"/>
          <w:szCs w:val="24"/>
        </w:rPr>
        <w:t>2、《财政部、司法部关于政府采购支持</w:t>
      </w:r>
      <w:r>
        <w:rPr>
          <w:rFonts w:hint="eastAsia" w:ascii="Arial" w:hAnsi="Arial" w:cs="Arial"/>
          <w:b/>
          <w:sz w:val="24"/>
          <w:szCs w:val="24"/>
          <w:lang w:eastAsia="zh-CN"/>
        </w:rPr>
        <w:t>监狱</w:t>
      </w:r>
      <w:r>
        <w:rPr>
          <w:rFonts w:hint="eastAsia" w:ascii="Arial" w:hAnsi="Arial" w:cs="Arial"/>
          <w:b/>
          <w:sz w:val="24"/>
          <w:szCs w:val="24"/>
        </w:rPr>
        <w:t>企业发展有关问题的通知》（财库〔2014〕68号）</w:t>
      </w:r>
    </w:p>
    <w:p w14:paraId="118EE624">
      <w:pPr>
        <w:adjustRightInd w:val="0"/>
        <w:snapToGrid w:val="0"/>
        <w:spacing w:line="400" w:lineRule="atLeast"/>
        <w:ind w:firstLine="480" w:firstLineChars="200"/>
        <w:rPr>
          <w:rFonts w:ascii="Arial" w:hAnsi="Arial" w:cs="Arial"/>
          <w:b/>
          <w:sz w:val="24"/>
          <w:szCs w:val="24"/>
        </w:rPr>
      </w:pPr>
      <w:r>
        <w:rPr>
          <w:rFonts w:hint="eastAsia" w:ascii="Arial" w:hAnsi="Arial" w:cs="Arial"/>
          <w:b/>
          <w:sz w:val="24"/>
          <w:szCs w:val="24"/>
        </w:rPr>
        <w:t>3、《财政部、民政部中国残疾人联合会关于促进残疾人就业政府采购政策的通知》（财库〔2017〕141号）</w:t>
      </w:r>
    </w:p>
    <w:p w14:paraId="321FB012">
      <w:pPr>
        <w:adjustRightInd w:val="0"/>
        <w:snapToGrid w:val="0"/>
        <w:spacing w:line="400" w:lineRule="atLeast"/>
        <w:ind w:firstLine="480" w:firstLineChars="200"/>
        <w:rPr>
          <w:rFonts w:cs="Arial"/>
          <w:b/>
          <w:bCs/>
        </w:rPr>
      </w:pPr>
      <w:r>
        <w:rPr>
          <w:rFonts w:hint="eastAsia" w:ascii="Arial" w:hAnsi="Arial" w:cs="Arial"/>
          <w:b/>
          <w:sz w:val="24"/>
          <w:szCs w:val="24"/>
        </w:rPr>
        <w:t>（本项目对应的中小企业划分标准所属行业为：</w:t>
      </w:r>
      <w:r>
        <w:rPr>
          <w:rFonts w:hint="eastAsia" w:ascii="Arial" w:hAnsi="Arial" w:cs="Arial"/>
          <w:b/>
          <w:sz w:val="24"/>
          <w:szCs w:val="24"/>
          <w:u w:val="single"/>
        </w:rPr>
        <w:t>工业</w:t>
      </w:r>
      <w:r>
        <w:rPr>
          <w:rFonts w:hint="eastAsia" w:ascii="Arial" w:hAnsi="Arial" w:cs="Arial"/>
          <w:b/>
          <w:sz w:val="24"/>
          <w:szCs w:val="24"/>
        </w:rPr>
        <w:t>）</w:t>
      </w:r>
    </w:p>
    <w:p w14:paraId="04B276D6">
      <w:pPr>
        <w:adjustRightInd w:val="0"/>
        <w:snapToGrid w:val="0"/>
        <w:spacing w:line="400" w:lineRule="atLeast"/>
        <w:ind w:firstLine="420" w:firstLineChars="200"/>
        <w:rPr>
          <w:rFonts w:cs="Arial"/>
          <w:b/>
          <w:bCs/>
        </w:rPr>
      </w:pPr>
      <w:r>
        <w:rPr>
          <w:rFonts w:hint="eastAsia" w:cs="Arial"/>
          <w:b/>
          <w:bCs/>
        </w:rPr>
        <w:t>依据《新疆维吾尔自治区政府采购促进中小企业发展管理实施办法》规定享受扶持政策获得政府采购合同的，小微企业不得将合同分包给大中型企业，中型企业不得将合同分包给大型企业。</w:t>
      </w:r>
    </w:p>
    <w:p w14:paraId="4D85B07B">
      <w:pPr>
        <w:adjustRightInd w:val="0"/>
        <w:snapToGrid w:val="0"/>
        <w:spacing w:line="400" w:lineRule="atLeast"/>
        <w:ind w:firstLine="420" w:firstLineChars="200"/>
        <w:rPr>
          <w:rFonts w:cs="Arial"/>
          <w:b/>
          <w:bCs/>
        </w:rPr>
      </w:pPr>
      <w:r>
        <w:rPr>
          <w:rFonts w:hint="eastAsia" w:cs="Arial"/>
          <w:b/>
          <w:bCs/>
        </w:rPr>
        <w:t>注：本项目专门面向中小企业采购，不再执行小微企业价格扣除政策。供应商应按照财库〔2020〕46号规定提供《中小企业声明函》</w:t>
      </w:r>
      <w:r>
        <w:rPr>
          <w:rFonts w:hint="eastAsia" w:cs="Arial"/>
          <w:b/>
          <w:bCs/>
          <w:highlight w:val="none"/>
        </w:rPr>
        <w:t>，否则其响应文件按无效处理。</w:t>
      </w:r>
      <w:r>
        <w:rPr>
          <w:rFonts w:hint="eastAsia" w:cs="Arial"/>
          <w:b/>
          <w:bCs/>
        </w:rPr>
        <w:t>残疾人福利性单位、监狱企业视同小型、微型企业，符合条件的应提供相应声明函或证明文件；其本身属于小型、微型企业的，不重复享受政策。</w:t>
      </w:r>
    </w:p>
    <w:p w14:paraId="3A2EDDD5">
      <w:pPr>
        <w:adjustRightInd w:val="0"/>
        <w:snapToGrid w:val="0"/>
        <w:spacing w:line="400" w:lineRule="atLeast"/>
        <w:ind w:firstLine="420" w:firstLineChars="200"/>
        <w:rPr>
          <w:rFonts w:hint="eastAsia" w:cs="Arial"/>
          <w:b/>
          <w:bCs/>
        </w:rPr>
      </w:pPr>
      <w:r>
        <w:rPr>
          <w:rFonts w:hint="eastAsia" w:cs="Arial"/>
          <w:b/>
          <w:bCs/>
        </w:rPr>
        <w:t>供应商所投产品属于《环境标志产品政府采购品目清单》（财库〔2019〕18号）范围，且提供国家确定的认证机构出具的、处于有效期之内的环境标志产品认证证书的，对该部分产品价格给予5%的扣除，评标价格=环境标志产品部分价格×（100%-5%）+供应商报价中不属于环境标志产品的价格部分；未提供有效认证证书或产品不在品目清单范围内的，不享受价格扣除，评标价=投标报价。</w:t>
      </w:r>
    </w:p>
    <w:p w14:paraId="7AB9427D">
      <w:pPr>
        <w:adjustRightInd w:val="0"/>
        <w:snapToGrid w:val="0"/>
        <w:spacing w:line="400" w:lineRule="atLeast"/>
        <w:ind w:firstLine="420" w:firstLineChars="200"/>
        <w:rPr>
          <w:rFonts w:cs="Arial"/>
          <w:b/>
          <w:bCs/>
        </w:rPr>
      </w:pPr>
      <w:r>
        <w:rPr>
          <w:rFonts w:hint="eastAsia" w:cs="Arial"/>
          <w:b/>
          <w:bCs/>
        </w:rPr>
        <w:t>根据财库【2019】9号文件及财库【2019】19号文件要求，供应商所投的产品中属于政府采购强制采购★号设备等必须提供节能产品认证证书，否则视为未实质性响应</w:t>
      </w:r>
      <w:r>
        <w:rPr>
          <w:rFonts w:hint="eastAsia" w:cs="Arial"/>
          <w:b/>
          <w:bCs/>
          <w:lang w:val="en-US" w:eastAsia="zh-CN"/>
        </w:rPr>
        <w:t>竞争性谈判采购</w:t>
      </w:r>
      <w:r>
        <w:rPr>
          <w:rFonts w:hint="eastAsia" w:cs="Arial"/>
          <w:b/>
          <w:bCs/>
        </w:rPr>
        <w:t>文件。</w:t>
      </w:r>
    </w:p>
    <w:p w14:paraId="30389F96">
      <w:pPr>
        <w:adjustRightInd w:val="0"/>
        <w:snapToGrid w:val="0"/>
        <w:spacing w:line="400" w:lineRule="atLeast"/>
        <w:ind w:firstLine="420" w:firstLineChars="200"/>
        <w:rPr>
          <w:rFonts w:cs="Arial"/>
          <w:b/>
          <w:bCs/>
        </w:rPr>
      </w:pPr>
      <w:r>
        <w:rPr>
          <w:rFonts w:hint="eastAsia" w:cs="Arial"/>
          <w:b/>
          <w:bCs/>
        </w:rPr>
        <w:t>提供核心产品相同品牌产品且通过资格审查、符合性审查的不同供应商参加同一合同项下投标的，按一家供应商计算，评审后最终报价最低的同品牌供应商获得成交供应商推荐资格。</w:t>
      </w:r>
    </w:p>
    <w:p w14:paraId="074EFFCF">
      <w:pPr>
        <w:adjustRightInd w:val="0"/>
        <w:snapToGrid w:val="0"/>
        <w:spacing w:line="400" w:lineRule="atLeast"/>
        <w:ind w:firstLine="420" w:firstLineChars="200"/>
        <w:rPr>
          <w:rFonts w:hint="eastAsia" w:cs="Arial"/>
          <w:b/>
          <w:bCs/>
        </w:rPr>
      </w:pPr>
      <w:r>
        <w:rPr>
          <w:rFonts w:hint="eastAsia" w:cs="Arial"/>
          <w:b/>
          <w:bCs/>
        </w:rPr>
        <w:t>对本国产品的支持政策: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5932456">
      <w:pPr>
        <w:pStyle w:val="2"/>
        <w:ind w:firstLine="420" w:firstLineChars="200"/>
        <w:rPr>
          <w:rFonts w:hint="eastAsia" w:ascii="Times New Roman" w:hAnsi="Times New Roman" w:eastAsia="宋体" w:cs="Arial"/>
          <w:b/>
          <w:bCs/>
          <w:kern w:val="2"/>
          <w:sz w:val="21"/>
          <w:lang w:val="en-US" w:eastAsia="zh-CN" w:bidi="ar-SA"/>
        </w:rPr>
      </w:pPr>
      <w:r>
        <w:rPr>
          <w:rFonts w:hint="eastAsia" w:ascii="Times New Roman" w:hAnsi="Times New Roman" w:eastAsia="宋体" w:cs="Arial"/>
          <w:b/>
          <w:bCs/>
          <w:kern w:val="2"/>
          <w:sz w:val="21"/>
          <w:lang w:val="en-US" w:eastAsia="zh-CN" w:bidi="ar-SA"/>
        </w:rPr>
        <w:t>本项目环境标志产品5%价格扣除与本国产品20%价格评审优惠可以叠加适用：环境标志产品优惠以产品属于财库〔2019〕18号品目清单范围并提供有效认证证书为前提，本国产品优惠以既有本国产品又有非本国产品参与竞争且供应商提供《关于符合本国产品标准的声明函》为触发条件，两项扣除均以原始报价为基数分别计算，即评标价=原始报价−环境标志产品部分价格×5%−符合本国产品标准的部分价格×20%（若符合80%比例条件则按总报价×20%扣除），鉴于本项目专门面向中小企业且不再执行小微扣除，仅需叠加上述两项优惠即可。</w:t>
      </w:r>
    </w:p>
    <w:p w14:paraId="7CB85228">
      <w:pPr>
        <w:snapToGrid w:val="0"/>
        <w:spacing w:line="400" w:lineRule="exact"/>
        <w:rPr>
          <w:rFonts w:ascii="Arial" w:hAnsi="Arial" w:cs="Arial"/>
          <w:sz w:val="24"/>
        </w:rPr>
      </w:pPr>
      <w:r>
        <w:rPr>
          <w:rFonts w:ascii="Arial" w:hAnsi="Arial" w:cs="Arial"/>
          <w:sz w:val="24"/>
        </w:rPr>
        <w:t>25．谈判响应文件的澄清</w:t>
      </w:r>
    </w:p>
    <w:p w14:paraId="4634BDF2">
      <w:pPr>
        <w:snapToGrid w:val="0"/>
        <w:spacing w:line="400" w:lineRule="exact"/>
        <w:ind w:left="600" w:hanging="600" w:hangingChars="250"/>
        <w:rPr>
          <w:rFonts w:ascii="Arial" w:hAnsi="Arial" w:cs="Arial"/>
          <w:sz w:val="24"/>
        </w:rPr>
      </w:pPr>
      <w:r>
        <w:rPr>
          <w:rFonts w:ascii="Arial" w:hAnsi="Arial" w:cs="Arial"/>
          <w:sz w:val="24"/>
        </w:rPr>
        <w:t>25.1为有助于对谈判响应文件进行审查、评估和比较，谈判小组将</w:t>
      </w:r>
      <w:r>
        <w:rPr>
          <w:rFonts w:hint="eastAsia" w:ascii="Arial" w:hAnsi="Arial" w:cs="Arial"/>
          <w:sz w:val="24"/>
        </w:rPr>
        <w:t>对</w:t>
      </w:r>
      <w:r>
        <w:rPr>
          <w:rFonts w:ascii="Arial" w:hAnsi="Arial" w:cs="Arial"/>
          <w:sz w:val="24"/>
        </w:rPr>
        <w:t>供应商进行</w:t>
      </w:r>
      <w:r>
        <w:rPr>
          <w:rFonts w:hint="eastAsia" w:ascii="Arial" w:hAnsi="Arial" w:cs="Arial"/>
          <w:sz w:val="24"/>
        </w:rPr>
        <w:t>谈判</w:t>
      </w:r>
      <w:r>
        <w:rPr>
          <w:rFonts w:ascii="Arial" w:hAnsi="Arial" w:cs="Arial"/>
          <w:sz w:val="24"/>
        </w:rPr>
        <w:t>，请供应商澄清其</w:t>
      </w:r>
      <w:r>
        <w:rPr>
          <w:rFonts w:hint="eastAsia" w:ascii="Arial" w:hAnsi="Arial" w:cs="Arial"/>
          <w:sz w:val="24"/>
        </w:rPr>
        <w:t>谈判</w:t>
      </w:r>
      <w:r>
        <w:rPr>
          <w:rFonts w:ascii="Arial" w:hAnsi="Arial" w:cs="Arial"/>
          <w:sz w:val="24"/>
        </w:rPr>
        <w:t>内容，供应商有责任按照</w:t>
      </w:r>
      <w:r>
        <w:rPr>
          <w:rFonts w:hint="eastAsia" w:ascii="Arial" w:hAnsi="Arial" w:cs="Arial"/>
          <w:sz w:val="24"/>
        </w:rPr>
        <w:t>采购代理机构</w:t>
      </w:r>
      <w:r>
        <w:rPr>
          <w:rFonts w:ascii="Arial" w:hAnsi="Arial" w:cs="Arial"/>
          <w:sz w:val="24"/>
        </w:rPr>
        <w:t>通知的时间、地点指派专人进行答疑和澄清。</w:t>
      </w:r>
      <w:r>
        <w:rPr>
          <w:rFonts w:hint="eastAsia" w:ascii="Arial" w:hAnsi="Arial" w:cs="Arial"/>
          <w:sz w:val="24"/>
        </w:rPr>
        <w:t>谈判</w:t>
      </w:r>
      <w:r>
        <w:rPr>
          <w:rFonts w:ascii="Arial" w:hAnsi="Arial" w:cs="Arial"/>
          <w:sz w:val="24"/>
        </w:rPr>
        <w:t>时供应商代表应作书面记录。并对重要内容作出书面答复。</w:t>
      </w:r>
    </w:p>
    <w:p w14:paraId="7067B8AA">
      <w:pPr>
        <w:snapToGrid w:val="0"/>
        <w:spacing w:line="400" w:lineRule="exact"/>
        <w:ind w:left="600" w:hanging="600" w:hangingChars="250"/>
        <w:rPr>
          <w:rFonts w:ascii="Arial" w:hAnsi="Arial" w:cs="Arial"/>
          <w:sz w:val="24"/>
        </w:rPr>
      </w:pPr>
      <w:r>
        <w:rPr>
          <w:rFonts w:ascii="Arial" w:hAnsi="Arial" w:cs="Arial"/>
          <w:sz w:val="24"/>
        </w:rPr>
        <w:t>25.2 澄清的答复应是书面的，但不得对</w:t>
      </w:r>
      <w:r>
        <w:rPr>
          <w:rFonts w:hint="eastAsia" w:ascii="Arial" w:hAnsi="Arial" w:cs="Arial"/>
          <w:sz w:val="24"/>
        </w:rPr>
        <w:t>谈判</w:t>
      </w:r>
      <w:r>
        <w:rPr>
          <w:rFonts w:ascii="Arial" w:hAnsi="Arial" w:cs="Arial"/>
          <w:sz w:val="24"/>
        </w:rPr>
        <w:t>内容进行实质性修改。澄清文件须由供应商法人代表或法人授权代表签字</w:t>
      </w:r>
      <w:r>
        <w:rPr>
          <w:rFonts w:hint="eastAsia" w:ascii="Arial" w:hAnsi="Arial" w:cs="Arial"/>
          <w:sz w:val="24"/>
        </w:rPr>
        <w:t>或</w:t>
      </w:r>
      <w:r>
        <w:rPr>
          <w:rFonts w:ascii="Arial" w:hAnsi="Arial" w:cs="Arial"/>
          <w:sz w:val="24"/>
        </w:rPr>
        <w:t>加盖公章并作为谈判响应文件的组成部分。</w:t>
      </w:r>
    </w:p>
    <w:p w14:paraId="56244419">
      <w:pPr>
        <w:snapToGrid w:val="0"/>
        <w:spacing w:line="400" w:lineRule="exact"/>
        <w:ind w:left="600" w:hanging="600" w:hangingChars="250"/>
        <w:rPr>
          <w:rFonts w:ascii="Arial" w:hAnsi="Arial" w:cs="Arial"/>
          <w:sz w:val="24"/>
        </w:rPr>
      </w:pPr>
      <w:r>
        <w:rPr>
          <w:rFonts w:hint="eastAsia" w:ascii="Arial" w:hAnsi="Arial" w:cs="Arial"/>
          <w:sz w:val="24"/>
        </w:rPr>
        <w:t>25.3谈判结束后，谈判小组要求所有参加谈判的供应商在规定的时间内进行最后报价。</w:t>
      </w:r>
    </w:p>
    <w:p w14:paraId="4855541D">
      <w:pPr>
        <w:snapToGrid w:val="0"/>
        <w:spacing w:line="400" w:lineRule="exact"/>
        <w:rPr>
          <w:rFonts w:ascii="Arial" w:hAnsi="Arial" w:cs="Arial"/>
          <w:sz w:val="24"/>
        </w:rPr>
      </w:pPr>
      <w:r>
        <w:rPr>
          <w:rFonts w:ascii="Arial" w:hAnsi="Arial" w:cs="Arial"/>
          <w:sz w:val="24"/>
        </w:rPr>
        <w:t>26．</w:t>
      </w:r>
      <w:r>
        <w:rPr>
          <w:rFonts w:hint="eastAsia" w:ascii="Arial" w:hAnsi="Arial" w:cs="Arial"/>
          <w:sz w:val="24"/>
        </w:rPr>
        <w:t>确定成交供应商的办法</w:t>
      </w:r>
    </w:p>
    <w:p w14:paraId="0C88BEFF">
      <w:pPr>
        <w:snapToGrid w:val="0"/>
        <w:spacing w:line="400" w:lineRule="exact"/>
        <w:ind w:left="600" w:hanging="600" w:hangingChars="250"/>
        <w:rPr>
          <w:rFonts w:ascii="Arial" w:hAnsi="Arial" w:cs="Arial"/>
          <w:bCs/>
          <w:sz w:val="24"/>
        </w:rPr>
      </w:pPr>
      <w:r>
        <w:rPr>
          <w:rFonts w:hint="eastAsia" w:ascii="Arial" w:hAnsi="Arial" w:cs="Arial"/>
          <w:bCs/>
          <w:sz w:val="24"/>
        </w:rPr>
        <w:t>26.1</w:t>
      </w:r>
      <w:r>
        <w:rPr>
          <w:rFonts w:ascii="Arial" w:hAnsi="Arial" w:cs="Arial"/>
          <w:bCs/>
          <w:sz w:val="24"/>
        </w:rPr>
        <w:t>谈判小组按照谈判文件要求对谈判响应文件中的供应商重要技术指标以及技术和商务上要求的其它重要内容进行审核</w:t>
      </w:r>
      <w:r>
        <w:rPr>
          <w:rFonts w:hint="eastAsia" w:ascii="Arial" w:hAnsi="Arial" w:cs="Arial"/>
          <w:bCs/>
          <w:sz w:val="24"/>
        </w:rPr>
        <w:t>。</w:t>
      </w:r>
    </w:p>
    <w:p w14:paraId="7513E3AC">
      <w:pPr>
        <w:snapToGrid w:val="0"/>
        <w:spacing w:line="400" w:lineRule="exact"/>
        <w:ind w:left="600" w:hanging="600" w:hangingChars="250"/>
        <w:rPr>
          <w:rFonts w:ascii="Arial" w:hAnsi="Arial" w:cs="Arial"/>
          <w:bCs/>
          <w:sz w:val="24"/>
        </w:rPr>
      </w:pPr>
      <w:r>
        <w:rPr>
          <w:rFonts w:hint="eastAsia" w:ascii="Arial" w:hAnsi="Arial" w:cs="Arial"/>
          <w:bCs/>
          <w:sz w:val="24"/>
        </w:rPr>
        <w:t>26.2</w:t>
      </w:r>
      <w:r>
        <w:rPr>
          <w:rFonts w:ascii="Arial" w:hAnsi="Arial" w:cs="Arial"/>
          <w:bCs/>
          <w:sz w:val="24"/>
        </w:rPr>
        <w:t>谈判小组</w:t>
      </w:r>
      <w:r>
        <w:rPr>
          <w:rFonts w:hint="eastAsia" w:ascii="Arial" w:hAnsi="Arial" w:cs="Arial"/>
          <w:bCs/>
          <w:sz w:val="24"/>
        </w:rPr>
        <w:t>和供应商谈判过程中作出的书面承诺是否符合谈判文件中对质量、技术和服务的要求。</w:t>
      </w:r>
    </w:p>
    <w:p w14:paraId="17122FAE">
      <w:pPr>
        <w:snapToGrid w:val="0"/>
        <w:spacing w:line="400" w:lineRule="exact"/>
        <w:ind w:left="600" w:hanging="600" w:hangingChars="250"/>
        <w:rPr>
          <w:rFonts w:ascii="Arial" w:hAnsi="Arial" w:cs="Arial"/>
          <w:bCs/>
          <w:sz w:val="24"/>
        </w:rPr>
      </w:pPr>
      <w:r>
        <w:rPr>
          <w:rFonts w:hint="eastAsia" w:ascii="Arial" w:hAnsi="Arial" w:cs="Arial"/>
          <w:bCs/>
          <w:sz w:val="24"/>
        </w:rPr>
        <w:t>26.3 谈判小组将根据需要决定对所有合格的谈判供应商在规定时间内进行第二次或最后报价，最后报价将作为谈判小组评比的最终依据。</w:t>
      </w:r>
    </w:p>
    <w:p w14:paraId="2FBBD2CB">
      <w:pPr>
        <w:snapToGrid w:val="0"/>
        <w:spacing w:line="400" w:lineRule="exact"/>
        <w:ind w:left="600" w:hanging="600" w:hangingChars="250"/>
        <w:rPr>
          <w:rFonts w:ascii="Arial" w:hAnsi="Arial" w:cs="Arial"/>
          <w:bCs/>
          <w:sz w:val="24"/>
        </w:rPr>
      </w:pPr>
      <w:r>
        <w:rPr>
          <w:rFonts w:hint="eastAsia" w:ascii="Arial" w:hAnsi="Arial" w:cs="Arial"/>
          <w:bCs/>
          <w:sz w:val="24"/>
        </w:rPr>
        <w:t>26.4符合采购需求、质量和服务满足谈判文件要求且报价最低的原则确定成交供应商，并将结果通知所有参加谈判的未成交的供应商。</w:t>
      </w:r>
    </w:p>
    <w:p w14:paraId="53929282">
      <w:pPr>
        <w:snapToGrid w:val="0"/>
        <w:spacing w:line="400" w:lineRule="exact"/>
        <w:ind w:left="600" w:hanging="600" w:hangingChars="250"/>
        <w:rPr>
          <w:rFonts w:ascii="Arial" w:hAnsi="Arial" w:cs="Arial"/>
          <w:bCs/>
          <w:sz w:val="24"/>
        </w:rPr>
      </w:pPr>
      <w:r>
        <w:rPr>
          <w:rFonts w:hint="eastAsia" w:ascii="Arial" w:hAnsi="Arial" w:cs="Arial"/>
          <w:bCs/>
          <w:sz w:val="24"/>
        </w:rPr>
        <w:t>26.5采购人根据谈判小组推荐的成交候选供应商名单，根据相关法律法规的规定确定最终成交商。如果排名第一的成交候选供应商的实际情况与其谈判资料不相符，将取消其成交资格，由排名第二的成交候选供应商递补，以此类推。</w:t>
      </w:r>
    </w:p>
    <w:p w14:paraId="390B5A1F">
      <w:pPr>
        <w:snapToGrid w:val="0"/>
        <w:spacing w:line="400" w:lineRule="exact"/>
        <w:rPr>
          <w:rFonts w:ascii="Arial" w:hAnsi="Arial" w:cs="Arial"/>
          <w:sz w:val="24"/>
        </w:rPr>
      </w:pPr>
      <w:r>
        <w:rPr>
          <w:rFonts w:ascii="Arial" w:hAnsi="Arial" w:cs="Arial"/>
          <w:sz w:val="24"/>
        </w:rPr>
        <w:t>27．</w:t>
      </w:r>
      <w:r>
        <w:rPr>
          <w:rFonts w:hint="eastAsia" w:ascii="Arial" w:hAnsi="Arial" w:cs="Arial"/>
          <w:sz w:val="24"/>
        </w:rPr>
        <w:t>谈判</w:t>
      </w:r>
      <w:r>
        <w:rPr>
          <w:rFonts w:ascii="Arial" w:hAnsi="Arial" w:cs="Arial"/>
          <w:sz w:val="24"/>
        </w:rPr>
        <w:t>过程的保密性</w:t>
      </w:r>
    </w:p>
    <w:p w14:paraId="038D2963">
      <w:pPr>
        <w:snapToGrid w:val="0"/>
        <w:spacing w:line="400" w:lineRule="exact"/>
        <w:ind w:left="552" w:hanging="552" w:hangingChars="230"/>
        <w:rPr>
          <w:rFonts w:ascii="Arial" w:hAnsi="Arial" w:cs="Arial"/>
          <w:sz w:val="24"/>
        </w:rPr>
      </w:pPr>
      <w:r>
        <w:rPr>
          <w:rFonts w:ascii="Arial" w:hAnsi="Arial" w:cs="Arial"/>
          <w:sz w:val="24"/>
        </w:rPr>
        <w:t>27.1</w:t>
      </w:r>
      <w:r>
        <w:rPr>
          <w:rFonts w:hint="eastAsia" w:ascii="Arial" w:hAnsi="Arial" w:cs="Arial"/>
          <w:sz w:val="24"/>
        </w:rPr>
        <w:t>谈判</w:t>
      </w:r>
      <w:r>
        <w:rPr>
          <w:rFonts w:ascii="Arial" w:hAnsi="Arial" w:cs="Arial"/>
          <w:sz w:val="24"/>
        </w:rPr>
        <w:t>后，直到授予合同为止，凡是属于审查、澄清、评价和比较的有关资料以及授</w:t>
      </w:r>
      <w:r>
        <w:rPr>
          <w:rFonts w:hint="eastAsia" w:ascii="Arial" w:hAnsi="Arial" w:cs="Arial"/>
          <w:sz w:val="24"/>
        </w:rPr>
        <w:t>予成交人的</w:t>
      </w:r>
      <w:r>
        <w:rPr>
          <w:rFonts w:ascii="Arial" w:hAnsi="Arial" w:cs="Arial"/>
          <w:sz w:val="24"/>
        </w:rPr>
        <w:t>建议等</w:t>
      </w:r>
      <w:r>
        <w:rPr>
          <w:rFonts w:hint="eastAsia" w:ascii="Arial" w:hAnsi="Arial" w:cs="Arial"/>
          <w:sz w:val="24"/>
        </w:rPr>
        <w:t>谈判小组成员</w:t>
      </w:r>
      <w:r>
        <w:rPr>
          <w:rFonts w:ascii="Arial" w:hAnsi="Arial" w:cs="Arial"/>
          <w:sz w:val="24"/>
        </w:rPr>
        <w:t>或参与</w:t>
      </w:r>
      <w:r>
        <w:rPr>
          <w:rFonts w:hint="eastAsia" w:ascii="Arial" w:hAnsi="Arial" w:cs="Arial"/>
          <w:sz w:val="24"/>
        </w:rPr>
        <w:t>谈判</w:t>
      </w:r>
      <w:r>
        <w:rPr>
          <w:rFonts w:ascii="Arial" w:hAnsi="Arial" w:cs="Arial"/>
          <w:sz w:val="24"/>
        </w:rPr>
        <w:t>的有关工作人员均不得向供应商或其他无关的人员透露，违者给予警告、取消担任</w:t>
      </w:r>
      <w:r>
        <w:rPr>
          <w:rFonts w:hint="eastAsia" w:ascii="Arial" w:hAnsi="Arial" w:cs="Arial"/>
          <w:sz w:val="24"/>
        </w:rPr>
        <w:t>谈判小组成员</w:t>
      </w:r>
      <w:r>
        <w:rPr>
          <w:rFonts w:ascii="Arial" w:hAnsi="Arial" w:cs="Arial"/>
          <w:sz w:val="24"/>
        </w:rPr>
        <w:t>的资格，不得再参加任何项目的</w:t>
      </w:r>
      <w:r>
        <w:rPr>
          <w:rFonts w:hint="eastAsia" w:ascii="Arial" w:hAnsi="Arial" w:cs="Arial"/>
          <w:sz w:val="24"/>
        </w:rPr>
        <w:t>谈判</w:t>
      </w:r>
      <w:r>
        <w:rPr>
          <w:rFonts w:ascii="Arial" w:hAnsi="Arial" w:cs="Arial"/>
          <w:sz w:val="24"/>
        </w:rPr>
        <w:t>。</w:t>
      </w:r>
    </w:p>
    <w:p w14:paraId="59797170">
      <w:pPr>
        <w:snapToGrid w:val="0"/>
        <w:spacing w:line="400" w:lineRule="exact"/>
        <w:ind w:left="552" w:hanging="552" w:hangingChars="230"/>
        <w:rPr>
          <w:rFonts w:ascii="Arial" w:hAnsi="Arial" w:cs="Arial"/>
          <w:sz w:val="24"/>
        </w:rPr>
      </w:pPr>
      <w:r>
        <w:rPr>
          <w:rFonts w:ascii="Arial" w:hAnsi="Arial" w:cs="Arial"/>
          <w:sz w:val="24"/>
        </w:rPr>
        <w:t>27.2供应商在</w:t>
      </w:r>
      <w:r>
        <w:rPr>
          <w:rFonts w:hint="eastAsia" w:ascii="Arial" w:hAnsi="Arial" w:cs="Arial"/>
          <w:sz w:val="24"/>
        </w:rPr>
        <w:t>谈判</w:t>
      </w:r>
      <w:r>
        <w:rPr>
          <w:rFonts w:ascii="Arial" w:hAnsi="Arial" w:cs="Arial"/>
          <w:sz w:val="24"/>
        </w:rPr>
        <w:t>过程中，所进行的力图影响</w:t>
      </w:r>
      <w:r>
        <w:rPr>
          <w:rFonts w:hint="eastAsia" w:ascii="Arial" w:hAnsi="Arial" w:cs="Arial"/>
          <w:sz w:val="24"/>
        </w:rPr>
        <w:t>谈判</w:t>
      </w:r>
      <w:r>
        <w:rPr>
          <w:rFonts w:ascii="Arial" w:hAnsi="Arial" w:cs="Arial"/>
          <w:sz w:val="24"/>
        </w:rPr>
        <w:t>结果的</w:t>
      </w:r>
      <w:r>
        <w:rPr>
          <w:rFonts w:hint="eastAsia" w:ascii="Arial" w:hAnsi="Arial" w:cs="Arial"/>
          <w:sz w:val="24"/>
        </w:rPr>
        <w:t>，</w:t>
      </w:r>
      <w:r>
        <w:rPr>
          <w:rFonts w:ascii="Arial" w:hAnsi="Arial" w:cs="Arial"/>
          <w:sz w:val="24"/>
        </w:rPr>
        <w:t>不符合《政府采购法》及本次</w:t>
      </w:r>
      <w:r>
        <w:rPr>
          <w:rFonts w:hint="eastAsia" w:ascii="Arial" w:hAnsi="Arial" w:cs="Arial"/>
          <w:sz w:val="24"/>
        </w:rPr>
        <w:t>谈判</w:t>
      </w:r>
      <w:r>
        <w:rPr>
          <w:rFonts w:ascii="Arial" w:hAnsi="Arial" w:cs="Arial"/>
          <w:sz w:val="24"/>
        </w:rPr>
        <w:t>中有关规定的活动，将被取消其</w:t>
      </w:r>
      <w:r>
        <w:rPr>
          <w:rFonts w:hint="eastAsia" w:ascii="Arial" w:hAnsi="Arial" w:cs="Arial"/>
          <w:sz w:val="24"/>
        </w:rPr>
        <w:t>谈判</w:t>
      </w:r>
      <w:r>
        <w:rPr>
          <w:rFonts w:ascii="Arial" w:hAnsi="Arial" w:cs="Arial"/>
          <w:sz w:val="24"/>
        </w:rPr>
        <w:t>资格。</w:t>
      </w:r>
    </w:p>
    <w:p w14:paraId="2301B18D">
      <w:pPr>
        <w:pStyle w:val="4"/>
        <w:snapToGrid w:val="0"/>
        <w:spacing w:before="100" w:beforeAutospacing="1" w:after="100" w:afterAutospacing="1" w:line="400" w:lineRule="exact"/>
        <w:rPr>
          <w:rFonts w:eastAsia="宋体" w:cs="Arial"/>
          <w:sz w:val="28"/>
          <w:szCs w:val="28"/>
        </w:rPr>
      </w:pPr>
      <w:bookmarkStart w:id="42" w:name="_Toc267301287"/>
      <w:bookmarkStart w:id="43" w:name="_Toc26666"/>
      <w:bookmarkStart w:id="44" w:name="_Toc349573126"/>
      <w:bookmarkStart w:id="45" w:name="_Toc349637925"/>
      <w:bookmarkStart w:id="46" w:name="_Toc298240410"/>
      <w:r>
        <w:rPr>
          <w:rFonts w:eastAsia="宋体" w:cs="Arial"/>
          <w:sz w:val="28"/>
          <w:szCs w:val="28"/>
        </w:rPr>
        <w:t>F  授予合同</w:t>
      </w:r>
      <w:bookmarkEnd w:id="42"/>
      <w:bookmarkEnd w:id="43"/>
      <w:bookmarkEnd w:id="44"/>
      <w:bookmarkEnd w:id="45"/>
      <w:bookmarkEnd w:id="46"/>
    </w:p>
    <w:p w14:paraId="13053C3A">
      <w:pPr>
        <w:snapToGrid w:val="0"/>
        <w:spacing w:line="400" w:lineRule="exact"/>
        <w:rPr>
          <w:rFonts w:ascii="Arial" w:hAnsi="Arial" w:cs="Arial"/>
          <w:sz w:val="24"/>
        </w:rPr>
      </w:pPr>
      <w:r>
        <w:rPr>
          <w:rFonts w:ascii="Arial" w:hAnsi="Arial" w:cs="Arial"/>
          <w:sz w:val="24"/>
        </w:rPr>
        <w:t>28．合同授予标准</w:t>
      </w:r>
    </w:p>
    <w:p w14:paraId="4AE433EB">
      <w:pPr>
        <w:snapToGrid w:val="0"/>
        <w:spacing w:line="400" w:lineRule="exact"/>
        <w:ind w:left="600" w:hanging="600" w:hangingChars="250"/>
      </w:pPr>
      <w:r>
        <w:rPr>
          <w:rFonts w:ascii="Arial" w:hAnsi="Arial" w:cs="Arial"/>
          <w:sz w:val="24"/>
        </w:rPr>
        <w:t>28.1合同将授予被确定为实质上响应谈判文件要求，</w:t>
      </w:r>
      <w:r>
        <w:rPr>
          <w:rFonts w:hint="eastAsia" w:ascii="Arial" w:hAnsi="Arial" w:cs="Arial"/>
          <w:sz w:val="24"/>
        </w:rPr>
        <w:t>符合采购需求、质量和服务满足谈判文件要求且报价最低的供应商</w:t>
      </w:r>
      <w:r>
        <w:rPr>
          <w:rFonts w:ascii="Arial" w:hAnsi="Arial" w:cs="Arial"/>
          <w:sz w:val="24"/>
        </w:rPr>
        <w:t>。</w:t>
      </w:r>
    </w:p>
    <w:p w14:paraId="2FA896B6">
      <w:pPr>
        <w:snapToGrid w:val="0"/>
        <w:spacing w:line="400" w:lineRule="exact"/>
        <w:ind w:left="480" w:hanging="480" w:hangingChars="200"/>
        <w:rPr>
          <w:rFonts w:ascii="Arial" w:hAnsi="Arial" w:cs="Arial"/>
          <w:sz w:val="24"/>
        </w:rPr>
      </w:pPr>
      <w:r>
        <w:rPr>
          <w:rFonts w:ascii="Arial" w:hAnsi="Arial" w:cs="Arial"/>
          <w:sz w:val="24"/>
        </w:rPr>
        <w:t>28.2</w:t>
      </w:r>
      <w:r>
        <w:rPr>
          <w:rFonts w:hint="eastAsia" w:ascii="Arial" w:hAnsi="Arial" w:cs="Arial"/>
          <w:sz w:val="24"/>
        </w:rPr>
        <w:t>享受扶持政策获得政府采购合同的，中小企业不得将合同分包给大中型企业，中型企业不得将合同分包给大型企业。</w:t>
      </w:r>
    </w:p>
    <w:p w14:paraId="71AAA3DF">
      <w:pPr>
        <w:snapToGrid w:val="0"/>
        <w:spacing w:line="400" w:lineRule="exact"/>
        <w:ind w:left="480" w:hanging="480" w:hangingChars="200"/>
        <w:rPr>
          <w:rFonts w:ascii="Arial" w:hAnsi="Arial" w:cs="Arial"/>
          <w:sz w:val="24"/>
        </w:rPr>
      </w:pPr>
      <w:r>
        <w:rPr>
          <w:rFonts w:ascii="Arial" w:hAnsi="Arial" w:cs="Arial"/>
          <w:sz w:val="24"/>
        </w:rPr>
        <w:t>28.3最低</w:t>
      </w:r>
      <w:r>
        <w:rPr>
          <w:rFonts w:hint="eastAsia" w:ascii="Arial" w:hAnsi="Arial" w:cs="Arial"/>
          <w:sz w:val="24"/>
        </w:rPr>
        <w:t>报</w:t>
      </w:r>
      <w:r>
        <w:rPr>
          <w:rFonts w:ascii="Arial" w:hAnsi="Arial" w:cs="Arial"/>
          <w:sz w:val="24"/>
        </w:rPr>
        <w:t>价不一定是被授予合同的保证。</w:t>
      </w:r>
    </w:p>
    <w:p w14:paraId="3A5DA776">
      <w:pPr>
        <w:snapToGrid w:val="0"/>
        <w:spacing w:line="400" w:lineRule="exact"/>
        <w:ind w:left="480" w:hanging="480" w:hangingChars="200"/>
        <w:rPr>
          <w:rFonts w:ascii="Arial" w:hAnsi="Arial" w:cs="Arial"/>
          <w:sz w:val="24"/>
        </w:rPr>
      </w:pPr>
      <w:r>
        <w:rPr>
          <w:rFonts w:hint="eastAsia" w:ascii="Arial" w:hAnsi="Arial" w:cs="Arial"/>
          <w:sz w:val="24"/>
        </w:rPr>
        <w:t>28.4</w:t>
      </w:r>
      <w:r>
        <w:rPr>
          <w:rFonts w:ascii="Arial" w:hAnsi="Arial" w:cs="Arial"/>
          <w:sz w:val="24"/>
        </w:rPr>
        <w:t>如果确定该供应商无法圆满履行合同，</w:t>
      </w:r>
      <w:r>
        <w:rPr>
          <w:rFonts w:hint="eastAsia" w:ascii="Arial" w:hAnsi="Arial" w:cs="Arial"/>
          <w:sz w:val="24"/>
        </w:rPr>
        <w:t>采购代理机构</w:t>
      </w:r>
      <w:r>
        <w:rPr>
          <w:rFonts w:ascii="Arial" w:hAnsi="Arial" w:cs="Arial"/>
          <w:sz w:val="24"/>
        </w:rPr>
        <w:t>将对下一个可能</w:t>
      </w:r>
      <w:r>
        <w:rPr>
          <w:rFonts w:hint="eastAsia" w:ascii="Arial" w:hAnsi="Arial" w:cs="Arial"/>
          <w:sz w:val="24"/>
        </w:rPr>
        <w:t>成交</w:t>
      </w:r>
      <w:r>
        <w:rPr>
          <w:rFonts w:ascii="Arial" w:hAnsi="Arial" w:cs="Arial"/>
          <w:sz w:val="24"/>
        </w:rPr>
        <w:t>的供应商资格作出类似的审查。</w:t>
      </w:r>
    </w:p>
    <w:p w14:paraId="35EE20AD">
      <w:pPr>
        <w:snapToGrid w:val="0"/>
        <w:spacing w:line="400" w:lineRule="exact"/>
        <w:rPr>
          <w:rFonts w:ascii="Arial" w:hAnsi="Arial" w:cs="Arial"/>
          <w:sz w:val="24"/>
        </w:rPr>
      </w:pPr>
      <w:r>
        <w:rPr>
          <w:rFonts w:ascii="Arial" w:hAnsi="Arial" w:cs="Arial"/>
          <w:sz w:val="24"/>
        </w:rPr>
        <w:t>29．接受和拒绝任何或所有</w:t>
      </w:r>
      <w:r>
        <w:rPr>
          <w:rFonts w:hint="eastAsia" w:ascii="Arial" w:hAnsi="Arial" w:cs="Arial"/>
          <w:sz w:val="24"/>
        </w:rPr>
        <w:t>谈判</w:t>
      </w:r>
      <w:r>
        <w:rPr>
          <w:rFonts w:ascii="Arial" w:hAnsi="Arial" w:cs="Arial"/>
          <w:sz w:val="24"/>
        </w:rPr>
        <w:t>的权力</w:t>
      </w:r>
    </w:p>
    <w:p w14:paraId="0B685947">
      <w:pPr>
        <w:snapToGrid w:val="0"/>
        <w:spacing w:line="400" w:lineRule="exact"/>
        <w:ind w:left="600" w:hanging="600" w:hangingChars="250"/>
        <w:rPr>
          <w:rFonts w:ascii="Arial" w:hAnsi="Arial" w:cs="Arial"/>
          <w:sz w:val="24"/>
        </w:rPr>
      </w:pPr>
      <w:r>
        <w:rPr>
          <w:rFonts w:ascii="Arial" w:hAnsi="Arial" w:cs="Arial"/>
          <w:sz w:val="24"/>
        </w:rPr>
        <w:t>29.1为维护国家利益，</w:t>
      </w:r>
      <w:r>
        <w:rPr>
          <w:rFonts w:hint="eastAsia" w:ascii="Arial" w:hAnsi="Arial" w:cs="Arial"/>
          <w:sz w:val="24"/>
        </w:rPr>
        <w:t>买方</w:t>
      </w:r>
      <w:r>
        <w:rPr>
          <w:rFonts w:ascii="Arial" w:hAnsi="Arial" w:cs="Arial"/>
          <w:sz w:val="24"/>
        </w:rPr>
        <w:t>在授予合同之前仍有选择或拒绝任何全部</w:t>
      </w:r>
      <w:r>
        <w:rPr>
          <w:rFonts w:hint="eastAsia" w:ascii="Arial" w:hAnsi="Arial" w:cs="Arial"/>
          <w:sz w:val="24"/>
        </w:rPr>
        <w:t>谈判</w:t>
      </w:r>
      <w:r>
        <w:rPr>
          <w:rFonts w:ascii="Arial" w:hAnsi="Arial" w:cs="Arial"/>
          <w:sz w:val="24"/>
        </w:rPr>
        <w:t>的权力，并对所采取的行为不作任何解释。</w:t>
      </w:r>
    </w:p>
    <w:p w14:paraId="3D35B6C2">
      <w:pPr>
        <w:snapToGrid w:val="0"/>
        <w:spacing w:line="400" w:lineRule="exact"/>
        <w:rPr>
          <w:rFonts w:ascii="Arial" w:hAnsi="Arial" w:cs="Arial"/>
          <w:sz w:val="24"/>
        </w:rPr>
      </w:pPr>
      <w:r>
        <w:rPr>
          <w:rFonts w:ascii="Arial" w:hAnsi="Arial" w:cs="Arial"/>
          <w:sz w:val="24"/>
        </w:rPr>
        <w:t>30．成交通知书</w:t>
      </w:r>
    </w:p>
    <w:p w14:paraId="50B112A2">
      <w:pPr>
        <w:snapToGrid w:val="0"/>
        <w:spacing w:line="400" w:lineRule="exact"/>
        <w:ind w:left="552" w:hanging="552" w:hangingChars="230"/>
        <w:rPr>
          <w:rFonts w:ascii="Arial" w:hAnsi="Arial" w:cs="Arial"/>
          <w:sz w:val="24"/>
        </w:rPr>
      </w:pPr>
      <w:r>
        <w:rPr>
          <w:rFonts w:ascii="Arial" w:hAnsi="Arial" w:cs="Arial"/>
          <w:sz w:val="24"/>
        </w:rPr>
        <w:t>30.1</w:t>
      </w:r>
      <w:r>
        <w:rPr>
          <w:rFonts w:hint="eastAsia" w:ascii="Arial" w:hAnsi="Arial" w:cs="Arial"/>
          <w:sz w:val="24"/>
        </w:rPr>
        <w:t>公告成交结果的同时</w:t>
      </w:r>
      <w:r>
        <w:rPr>
          <w:rFonts w:ascii="Arial" w:hAnsi="Arial" w:cs="Arial"/>
          <w:sz w:val="24"/>
        </w:rPr>
        <w:t>，</w:t>
      </w:r>
      <w:r>
        <w:rPr>
          <w:rFonts w:hint="eastAsia" w:ascii="Arial" w:hAnsi="Arial" w:cs="Arial"/>
          <w:sz w:val="24"/>
        </w:rPr>
        <w:t>采购代理机构</w:t>
      </w:r>
      <w:r>
        <w:rPr>
          <w:rFonts w:ascii="Arial" w:hAnsi="Arial" w:cs="Arial"/>
          <w:sz w:val="24"/>
        </w:rPr>
        <w:t>将以书面形式发出《</w:t>
      </w:r>
      <w:r>
        <w:rPr>
          <w:rFonts w:hint="eastAsia" w:ascii="Arial" w:hAnsi="Arial" w:cs="Arial"/>
          <w:sz w:val="24"/>
        </w:rPr>
        <w:t>成交</w:t>
      </w:r>
      <w:r>
        <w:rPr>
          <w:rFonts w:ascii="Arial" w:hAnsi="Arial" w:cs="Arial"/>
          <w:sz w:val="24"/>
        </w:rPr>
        <w:t>通知书》，但发出时间不超过</w:t>
      </w:r>
      <w:r>
        <w:rPr>
          <w:rFonts w:hint="eastAsia" w:ascii="Arial" w:hAnsi="Arial" w:cs="Arial"/>
          <w:sz w:val="24"/>
        </w:rPr>
        <w:t>谈判</w:t>
      </w:r>
      <w:r>
        <w:rPr>
          <w:rFonts w:ascii="Arial" w:hAnsi="Arial" w:cs="Arial"/>
          <w:sz w:val="24"/>
        </w:rPr>
        <w:t>有效期，《成交通知书》一经发出即发生法律效力。</w:t>
      </w:r>
    </w:p>
    <w:p w14:paraId="3424A8BE">
      <w:pPr>
        <w:snapToGrid w:val="0"/>
        <w:spacing w:line="400" w:lineRule="exact"/>
        <w:rPr>
          <w:rFonts w:ascii="Arial" w:hAnsi="Arial" w:cs="Arial"/>
          <w:sz w:val="24"/>
        </w:rPr>
      </w:pPr>
      <w:r>
        <w:rPr>
          <w:rFonts w:ascii="Arial" w:hAnsi="Arial" w:cs="Arial"/>
          <w:sz w:val="24"/>
        </w:rPr>
        <w:t>30.2《成交通知书》将作为签订合同的依据。</w:t>
      </w:r>
    </w:p>
    <w:p w14:paraId="7D6A5D55">
      <w:pPr>
        <w:snapToGrid w:val="0"/>
        <w:spacing w:line="400" w:lineRule="exact"/>
        <w:ind w:left="600" w:hanging="600" w:hangingChars="250"/>
        <w:rPr>
          <w:rFonts w:ascii="Arial" w:hAnsi="Arial" w:cs="Arial"/>
          <w:sz w:val="24"/>
        </w:rPr>
      </w:pPr>
      <w:r>
        <w:rPr>
          <w:rFonts w:ascii="Arial" w:hAnsi="Arial" w:cs="Arial"/>
          <w:sz w:val="24"/>
        </w:rPr>
        <w:t>30.3</w:t>
      </w:r>
      <w:r>
        <w:rPr>
          <w:rFonts w:hint="eastAsia" w:ascii="Arial" w:hAnsi="Arial" w:cs="Arial"/>
          <w:sz w:val="24"/>
        </w:rPr>
        <w:t>采购代理机构</w:t>
      </w:r>
      <w:r>
        <w:rPr>
          <w:rFonts w:ascii="Arial" w:hAnsi="Arial" w:cs="Arial"/>
          <w:sz w:val="24"/>
        </w:rPr>
        <w:t>将在</w:t>
      </w:r>
      <w:r>
        <w:rPr>
          <w:rFonts w:hint="eastAsia" w:ascii="Arial" w:hAnsi="Arial" w:cs="Arial"/>
          <w:sz w:val="24"/>
        </w:rPr>
        <w:t>成交人</w:t>
      </w:r>
      <w:r>
        <w:rPr>
          <w:rFonts w:ascii="Arial" w:hAnsi="Arial" w:cs="Arial"/>
          <w:sz w:val="24"/>
        </w:rPr>
        <w:t>按规定签订合同并提交履约保证金后退还其</w:t>
      </w:r>
      <w:r>
        <w:rPr>
          <w:rFonts w:hint="eastAsia" w:ascii="Arial" w:hAnsi="Arial" w:cs="Arial"/>
          <w:sz w:val="24"/>
        </w:rPr>
        <w:t>谈判</w:t>
      </w:r>
      <w:r>
        <w:rPr>
          <w:rFonts w:ascii="Arial" w:hAnsi="Arial" w:cs="Arial"/>
          <w:sz w:val="24"/>
        </w:rPr>
        <w:t>保证金。</w:t>
      </w:r>
    </w:p>
    <w:p w14:paraId="748B7DB0">
      <w:pPr>
        <w:snapToGrid w:val="0"/>
        <w:spacing w:line="400" w:lineRule="exact"/>
        <w:rPr>
          <w:rFonts w:ascii="Arial" w:hAnsi="Arial" w:cs="Arial"/>
          <w:sz w:val="24"/>
        </w:rPr>
      </w:pPr>
      <w:r>
        <w:rPr>
          <w:rFonts w:ascii="Arial" w:hAnsi="Arial" w:cs="Arial"/>
          <w:sz w:val="24"/>
        </w:rPr>
        <w:t>31．签订合同</w:t>
      </w:r>
    </w:p>
    <w:p w14:paraId="2661B3DD">
      <w:pPr>
        <w:adjustRightInd w:val="0"/>
        <w:snapToGrid w:val="0"/>
        <w:spacing w:line="400" w:lineRule="exact"/>
        <w:ind w:left="600" w:hanging="600" w:hangingChars="250"/>
        <w:rPr>
          <w:rFonts w:ascii="Arial" w:hAnsi="Arial" w:cs="Arial"/>
          <w:sz w:val="24"/>
        </w:rPr>
      </w:pPr>
      <w:r>
        <w:rPr>
          <w:rFonts w:ascii="Arial" w:hAnsi="Arial" w:cs="Arial"/>
          <w:sz w:val="24"/>
        </w:rPr>
        <w:t>31.1供应商收到《</w:t>
      </w:r>
      <w:r>
        <w:rPr>
          <w:rFonts w:hint="eastAsia" w:ascii="Arial" w:hAnsi="Arial" w:cs="Arial"/>
          <w:sz w:val="24"/>
        </w:rPr>
        <w:t>成交</w:t>
      </w:r>
      <w:r>
        <w:rPr>
          <w:rFonts w:ascii="Arial" w:hAnsi="Arial" w:cs="Arial"/>
          <w:sz w:val="24"/>
        </w:rPr>
        <w:t>通知书》后，</w:t>
      </w:r>
      <w:r>
        <w:rPr>
          <w:rFonts w:hint="eastAsia" w:ascii="Arial" w:hAnsi="Arial" w:cs="Arial"/>
          <w:sz w:val="24"/>
        </w:rPr>
        <w:t>三十天内</w:t>
      </w:r>
      <w:r>
        <w:rPr>
          <w:rFonts w:ascii="Arial" w:hAnsi="Arial" w:cs="Arial"/>
          <w:sz w:val="24"/>
        </w:rPr>
        <w:t>按规定的地点与买方签订合同。买方和</w:t>
      </w:r>
      <w:r>
        <w:rPr>
          <w:rFonts w:hint="eastAsia" w:ascii="Arial" w:hAnsi="Arial" w:cs="Arial"/>
          <w:sz w:val="24"/>
        </w:rPr>
        <w:t>成交人</w:t>
      </w:r>
      <w:r>
        <w:rPr>
          <w:rFonts w:ascii="Arial" w:hAnsi="Arial" w:cs="Arial"/>
          <w:sz w:val="24"/>
        </w:rPr>
        <w:t>不得再订立背离合同实质性内容的其他协议。</w:t>
      </w:r>
    </w:p>
    <w:p w14:paraId="0D3DE08F">
      <w:pPr>
        <w:adjustRightInd w:val="0"/>
        <w:snapToGrid w:val="0"/>
        <w:spacing w:line="400" w:lineRule="exact"/>
        <w:ind w:left="600" w:hanging="600" w:hangingChars="250"/>
        <w:rPr>
          <w:rFonts w:ascii="Arial" w:hAnsi="Arial" w:cs="Arial"/>
          <w:sz w:val="24"/>
        </w:rPr>
      </w:pPr>
      <w:r>
        <w:rPr>
          <w:rFonts w:hint="eastAsia" w:ascii="Arial" w:hAnsi="Arial" w:cs="Arial"/>
          <w:sz w:val="24"/>
        </w:rPr>
        <w:t>31.2供应商在中标（成交）后需要融资时可以申请政府采购合同融资，具体详见《新疆维吾尔自治区政府采购合同融资工作方案》新财购[2023]17号。</w:t>
      </w:r>
    </w:p>
    <w:p w14:paraId="19DC7510">
      <w:pPr>
        <w:snapToGrid w:val="0"/>
        <w:spacing w:line="400" w:lineRule="exact"/>
        <w:rPr>
          <w:rFonts w:ascii="Arial" w:hAnsi="Arial" w:cs="Arial"/>
          <w:sz w:val="24"/>
        </w:rPr>
      </w:pPr>
      <w:r>
        <w:rPr>
          <w:rFonts w:ascii="Arial" w:hAnsi="Arial" w:cs="Arial"/>
          <w:sz w:val="24"/>
        </w:rPr>
        <w:t>31.3如</w:t>
      </w:r>
      <w:r>
        <w:rPr>
          <w:rFonts w:hint="eastAsia" w:ascii="Arial" w:hAnsi="Arial" w:cs="Arial"/>
          <w:sz w:val="24"/>
        </w:rPr>
        <w:t>成交人</w:t>
      </w:r>
      <w:r>
        <w:rPr>
          <w:rFonts w:ascii="Arial" w:hAnsi="Arial" w:cs="Arial"/>
          <w:sz w:val="24"/>
        </w:rPr>
        <w:t>拒签合同，则按违约处理。</w:t>
      </w:r>
      <w:r>
        <w:rPr>
          <w:rFonts w:hint="eastAsia" w:ascii="Arial" w:hAnsi="Arial" w:cs="Arial"/>
          <w:sz w:val="24"/>
        </w:rPr>
        <w:t>采购代理机构</w:t>
      </w:r>
      <w:r>
        <w:rPr>
          <w:rFonts w:ascii="Arial" w:hAnsi="Arial" w:cs="Arial"/>
          <w:sz w:val="24"/>
        </w:rPr>
        <w:t>没收其</w:t>
      </w:r>
      <w:r>
        <w:rPr>
          <w:rFonts w:hint="eastAsia" w:ascii="Arial" w:hAnsi="Arial" w:cs="Arial"/>
          <w:sz w:val="24"/>
        </w:rPr>
        <w:t>谈判</w:t>
      </w:r>
      <w:r>
        <w:rPr>
          <w:rFonts w:ascii="Arial" w:hAnsi="Arial" w:cs="Arial"/>
          <w:sz w:val="24"/>
        </w:rPr>
        <w:t>保证金。</w:t>
      </w:r>
    </w:p>
    <w:p w14:paraId="3983B99C">
      <w:pPr>
        <w:snapToGrid w:val="0"/>
        <w:spacing w:line="400" w:lineRule="atLeast"/>
        <w:rPr>
          <w:rFonts w:ascii="Arial" w:hAnsi="Arial" w:cs="Arial"/>
          <w:sz w:val="24"/>
        </w:rPr>
      </w:pPr>
      <w:r>
        <w:rPr>
          <w:rFonts w:hint="eastAsia" w:ascii="Arial" w:hAnsi="Arial" w:cs="Arial"/>
          <w:sz w:val="24"/>
        </w:rPr>
        <w:t>31.4</w:t>
      </w:r>
      <w:r>
        <w:rPr>
          <w:rFonts w:ascii="Arial" w:hAnsi="Arial" w:cs="Arial"/>
          <w:sz w:val="24"/>
        </w:rPr>
        <w:t>谈判文件、</w:t>
      </w:r>
      <w:r>
        <w:rPr>
          <w:rFonts w:hint="eastAsia" w:ascii="Arial" w:hAnsi="Arial" w:cs="Arial"/>
          <w:sz w:val="24"/>
        </w:rPr>
        <w:t>成交人</w:t>
      </w:r>
      <w:r>
        <w:rPr>
          <w:rFonts w:ascii="Arial" w:hAnsi="Arial" w:cs="Arial"/>
          <w:sz w:val="24"/>
        </w:rPr>
        <w:t>的谈判响应文件及其澄清文件等，均为签订经济合同的依据。</w:t>
      </w:r>
    </w:p>
    <w:p w14:paraId="0D746480">
      <w:pPr>
        <w:snapToGrid w:val="0"/>
        <w:spacing w:line="400" w:lineRule="atLeast"/>
        <w:rPr>
          <w:rFonts w:ascii="Arial" w:hAnsi="Arial" w:cs="Arial"/>
          <w:sz w:val="24"/>
        </w:rPr>
      </w:pPr>
      <w:r>
        <w:rPr>
          <w:rFonts w:ascii="Arial" w:hAnsi="Arial" w:cs="Arial"/>
          <w:sz w:val="24"/>
        </w:rPr>
        <w:t>32．履约保证金（如适用）</w:t>
      </w:r>
    </w:p>
    <w:p w14:paraId="45403946">
      <w:pPr>
        <w:snapToGrid w:val="0"/>
        <w:spacing w:line="400" w:lineRule="atLeast"/>
        <w:rPr>
          <w:rFonts w:ascii="Arial" w:hAnsi="Arial" w:cs="Arial"/>
          <w:sz w:val="24"/>
        </w:rPr>
      </w:pPr>
      <w:r>
        <w:rPr>
          <w:rFonts w:ascii="Arial" w:hAnsi="Arial" w:cs="Arial"/>
          <w:sz w:val="24"/>
        </w:rPr>
        <w:t>32.1</w:t>
      </w:r>
      <w:r>
        <w:rPr>
          <w:rFonts w:hint="eastAsia" w:ascii="Arial" w:hAnsi="Arial" w:cs="Arial"/>
          <w:sz w:val="24"/>
        </w:rPr>
        <w:t>成交</w:t>
      </w:r>
      <w:r>
        <w:rPr>
          <w:rFonts w:ascii="Arial" w:hAnsi="Arial" w:cs="Arial"/>
          <w:sz w:val="24"/>
        </w:rPr>
        <w:t>人应按合同规定的方式、时间和金额向买方提交履约保证金。</w:t>
      </w:r>
    </w:p>
    <w:p w14:paraId="4BE203CD">
      <w:pPr>
        <w:snapToGrid w:val="0"/>
        <w:spacing w:line="400" w:lineRule="exact"/>
        <w:rPr>
          <w:rFonts w:ascii="Arial" w:hAnsi="Arial" w:cs="Arial"/>
          <w:sz w:val="24"/>
        </w:rPr>
      </w:pPr>
      <w:r>
        <w:rPr>
          <w:rFonts w:ascii="Arial" w:hAnsi="Arial" w:cs="Arial"/>
          <w:sz w:val="24"/>
        </w:rPr>
        <w:t>33．</w:t>
      </w:r>
      <w:r>
        <w:rPr>
          <w:rFonts w:hint="eastAsia" w:ascii="Arial" w:hAnsi="Arial" w:cs="Arial"/>
          <w:sz w:val="24"/>
        </w:rPr>
        <w:t>谈判代理</w:t>
      </w:r>
      <w:r>
        <w:rPr>
          <w:rFonts w:ascii="Arial" w:hAnsi="Arial" w:cs="Arial"/>
          <w:sz w:val="24"/>
        </w:rPr>
        <w:t>服务费</w:t>
      </w:r>
    </w:p>
    <w:p w14:paraId="38B8B35A">
      <w:pPr>
        <w:pStyle w:val="39"/>
        <w:snapToGrid w:val="0"/>
        <w:spacing w:line="400" w:lineRule="exact"/>
        <w:rPr>
          <w:rFonts w:ascii="Arial" w:hAnsi="Arial" w:cs="Arial"/>
          <w:sz w:val="24"/>
        </w:rPr>
      </w:pPr>
      <w:r>
        <w:rPr>
          <w:rFonts w:ascii="Arial" w:hAnsi="Arial" w:cs="Arial"/>
          <w:sz w:val="24"/>
        </w:rPr>
        <w:t>33.1</w:t>
      </w:r>
      <w:r>
        <w:rPr>
          <w:rFonts w:hint="eastAsia" w:ascii="Arial" w:hAnsi="Arial" w:cs="Arial"/>
          <w:sz w:val="24"/>
        </w:rPr>
        <w:t>成交人</w:t>
      </w:r>
      <w:r>
        <w:rPr>
          <w:rFonts w:ascii="Arial" w:hAnsi="Arial" w:cs="Arial"/>
          <w:sz w:val="24"/>
        </w:rPr>
        <w:t>须向</w:t>
      </w:r>
      <w:r>
        <w:rPr>
          <w:rFonts w:hint="eastAsia" w:ascii="Arial" w:hAnsi="Arial" w:cs="Arial"/>
          <w:sz w:val="24"/>
        </w:rPr>
        <w:t>采购代理机构</w:t>
      </w:r>
      <w:r>
        <w:rPr>
          <w:rFonts w:ascii="Arial" w:hAnsi="Arial" w:cs="Arial"/>
          <w:sz w:val="24"/>
        </w:rPr>
        <w:t>按如下标准和期限交纳</w:t>
      </w:r>
      <w:r>
        <w:rPr>
          <w:rFonts w:hint="eastAsia" w:ascii="Arial" w:hAnsi="Arial" w:cs="Arial"/>
          <w:sz w:val="24"/>
        </w:rPr>
        <w:t>谈判代理</w:t>
      </w:r>
      <w:r>
        <w:rPr>
          <w:rFonts w:ascii="Arial" w:hAnsi="Arial" w:cs="Arial"/>
          <w:sz w:val="24"/>
        </w:rPr>
        <w:t>服务费：</w:t>
      </w:r>
    </w:p>
    <w:p w14:paraId="20C56268">
      <w:pPr>
        <w:pStyle w:val="39"/>
        <w:adjustRightInd w:val="0"/>
        <w:snapToGrid w:val="0"/>
        <w:spacing w:line="400" w:lineRule="exact"/>
        <w:ind w:left="720" w:hanging="720" w:hangingChars="300"/>
        <w:rPr>
          <w:rFonts w:ascii="Arial" w:hAnsi="Arial" w:cs="Arial"/>
          <w:sz w:val="24"/>
        </w:rPr>
      </w:pPr>
      <w:r>
        <w:rPr>
          <w:rFonts w:ascii="Arial" w:hAnsi="Arial" w:cs="Arial"/>
          <w:sz w:val="24"/>
        </w:rPr>
        <w:t>33.1.1</w:t>
      </w:r>
      <w:r>
        <w:rPr>
          <w:rFonts w:hint="eastAsia" w:ascii="Arial" w:hAnsi="Arial" w:cs="Arial"/>
          <w:sz w:val="24"/>
        </w:rPr>
        <w:t>成交人</w:t>
      </w:r>
      <w:r>
        <w:rPr>
          <w:rFonts w:ascii="Arial" w:hAnsi="Arial" w:cs="Arial"/>
          <w:sz w:val="24"/>
        </w:rPr>
        <w:t>须向新疆招标有限公司</w:t>
      </w:r>
      <w:r>
        <w:rPr>
          <w:rFonts w:hint="eastAsia" w:ascii="Arial" w:hAnsi="Arial" w:cs="Arial"/>
          <w:sz w:val="24"/>
        </w:rPr>
        <w:t>阿克苏分公司</w:t>
      </w:r>
      <w:r>
        <w:rPr>
          <w:rFonts w:ascii="Arial" w:hAnsi="Arial" w:cs="Arial"/>
          <w:sz w:val="24"/>
        </w:rPr>
        <w:t>支付</w:t>
      </w:r>
      <w:r>
        <w:rPr>
          <w:rFonts w:hint="eastAsia" w:ascii="Arial" w:hAnsi="Arial" w:cs="Arial"/>
          <w:sz w:val="24"/>
        </w:rPr>
        <w:t>代理</w:t>
      </w:r>
      <w:r>
        <w:rPr>
          <w:rFonts w:ascii="Arial" w:hAnsi="Arial" w:cs="Arial"/>
          <w:sz w:val="24"/>
        </w:rPr>
        <w:t>服务费</w:t>
      </w:r>
      <w:r>
        <w:rPr>
          <w:rFonts w:hint="eastAsia" w:ascii="Arial" w:hAnsi="Arial" w:cs="Arial"/>
          <w:sz w:val="24"/>
        </w:rPr>
        <w:t>，</w:t>
      </w:r>
      <w:r>
        <w:rPr>
          <w:rFonts w:ascii="Arial" w:hAnsi="Arial" w:cs="Arial"/>
          <w:sz w:val="24"/>
        </w:rPr>
        <w:t>支付</w:t>
      </w:r>
      <w:r>
        <w:rPr>
          <w:rFonts w:hint="eastAsia" w:ascii="Arial" w:hAnsi="Arial" w:cs="Arial"/>
          <w:sz w:val="24"/>
        </w:rPr>
        <w:t>标准参考</w:t>
      </w:r>
      <w:r>
        <w:rPr>
          <w:rFonts w:ascii="Arial" w:hAnsi="Arial" w:cs="Arial"/>
          <w:sz w:val="24"/>
        </w:rPr>
        <w:t>按照</w:t>
      </w:r>
      <w:r>
        <w:rPr>
          <w:rFonts w:hint="eastAsia" w:ascii="Arial" w:hAnsi="Arial" w:cs="Arial"/>
          <w:sz w:val="24"/>
        </w:rPr>
        <w:t>计委（2002）1980号文下浮20%执行（不含税）</w:t>
      </w:r>
      <w:r>
        <w:rPr>
          <w:rFonts w:ascii="Arial" w:hAnsi="Arial" w:cs="Arial"/>
          <w:sz w:val="24"/>
        </w:rPr>
        <w:t>。</w:t>
      </w:r>
    </w:p>
    <w:p w14:paraId="4F5CFA09">
      <w:pPr>
        <w:pStyle w:val="39"/>
        <w:tabs>
          <w:tab w:val="left" w:pos="720"/>
          <w:tab w:val="left" w:pos="900"/>
          <w:tab w:val="left" w:pos="1260"/>
        </w:tabs>
        <w:adjustRightInd w:val="0"/>
        <w:spacing w:line="460" w:lineRule="exact"/>
        <w:ind w:left="720" w:hanging="720" w:hangingChars="300"/>
        <w:rPr>
          <w:rFonts w:ascii="Arial" w:hAnsi="Arial" w:cs="Arial"/>
          <w:bCs/>
          <w:sz w:val="24"/>
        </w:rPr>
      </w:pPr>
      <w:r>
        <w:rPr>
          <w:rFonts w:ascii="Arial" w:hAnsi="Arial" w:cs="Arial"/>
          <w:bCs/>
          <w:sz w:val="24"/>
        </w:rPr>
        <w:t>33.1.2</w:t>
      </w:r>
      <w:r>
        <w:rPr>
          <w:rFonts w:hint="eastAsia" w:ascii="Arial" w:hAnsi="Arial" w:cs="Arial"/>
          <w:bCs/>
          <w:sz w:val="24"/>
        </w:rPr>
        <w:t>成交人</w:t>
      </w:r>
      <w:r>
        <w:rPr>
          <w:rFonts w:hAnsi="宋体" w:cs="Courier New"/>
          <w:color w:val="000000"/>
          <w:sz w:val="24"/>
        </w:rPr>
        <w:t>须在领取《</w:t>
      </w:r>
      <w:r>
        <w:rPr>
          <w:rFonts w:hint="eastAsia" w:hAnsi="宋体" w:cs="Courier New"/>
          <w:color w:val="000000"/>
          <w:sz w:val="24"/>
          <w:lang w:val="en-US" w:eastAsia="zh-CN"/>
        </w:rPr>
        <w:t>成交</w:t>
      </w:r>
      <w:r>
        <w:rPr>
          <w:rFonts w:hAnsi="宋体" w:cs="Courier New"/>
          <w:color w:val="000000"/>
          <w:sz w:val="24"/>
        </w:rPr>
        <w:t>通知书》的同时，向</w:t>
      </w:r>
      <w:r>
        <w:rPr>
          <w:rFonts w:hint="eastAsia" w:hAnsi="宋体" w:cs="Courier New"/>
          <w:color w:val="000000"/>
          <w:sz w:val="24"/>
          <w:lang w:val="en-US" w:eastAsia="zh-CN"/>
        </w:rPr>
        <w:t>采购代理</w:t>
      </w:r>
      <w:r>
        <w:rPr>
          <w:rFonts w:hAnsi="宋体" w:cs="Courier New"/>
          <w:color w:val="000000"/>
          <w:sz w:val="24"/>
        </w:rPr>
        <w:t>机构缴纳招标代理服务费</w:t>
      </w:r>
      <w:r>
        <w:rPr>
          <w:rFonts w:hint="eastAsia" w:hAnsi="宋体" w:cs="Courier New"/>
          <w:color w:val="000000"/>
          <w:sz w:val="24"/>
        </w:rPr>
        <w:t>。</w:t>
      </w:r>
      <w:r>
        <w:rPr>
          <w:rFonts w:hint="eastAsia" w:ascii="Arial" w:hAnsi="Arial" w:cs="Arial"/>
          <w:bCs/>
          <w:sz w:val="24"/>
        </w:rPr>
        <w:t>成交人</w:t>
      </w:r>
      <w:r>
        <w:rPr>
          <w:rFonts w:ascii="Arial" w:hAnsi="Arial" w:cs="Arial"/>
          <w:bCs/>
          <w:sz w:val="24"/>
        </w:rPr>
        <w:t>须按规定的标准以</w:t>
      </w:r>
      <w:r>
        <w:rPr>
          <w:rFonts w:hAnsi="宋体" w:cs="Courier New"/>
          <w:bCs/>
          <w:color w:val="000000"/>
          <w:sz w:val="24"/>
        </w:rPr>
        <w:t>现金、银行汇票、转帐支票或电汇</w:t>
      </w:r>
      <w:r>
        <w:rPr>
          <w:rFonts w:hint="eastAsia" w:ascii="Arial" w:hAnsi="Arial" w:cs="Arial"/>
          <w:bCs/>
          <w:sz w:val="24"/>
        </w:rPr>
        <w:t>等</w:t>
      </w:r>
      <w:r>
        <w:rPr>
          <w:rFonts w:ascii="Arial" w:hAnsi="Arial" w:cs="Arial"/>
          <w:bCs/>
          <w:sz w:val="24"/>
        </w:rPr>
        <w:t>方式一次性向</w:t>
      </w:r>
      <w:r>
        <w:rPr>
          <w:rFonts w:hint="eastAsia" w:ascii="Arial" w:hAnsi="Arial" w:cs="Arial"/>
          <w:bCs/>
          <w:sz w:val="24"/>
        </w:rPr>
        <w:t>采购代理机构</w:t>
      </w:r>
      <w:r>
        <w:rPr>
          <w:rFonts w:ascii="Arial" w:hAnsi="Arial" w:cs="Arial"/>
          <w:bCs/>
          <w:sz w:val="24"/>
        </w:rPr>
        <w:t>缴纳</w:t>
      </w:r>
      <w:r>
        <w:rPr>
          <w:rFonts w:hint="eastAsia" w:ascii="Arial" w:hAnsi="Arial" w:cs="Arial"/>
          <w:bCs/>
          <w:sz w:val="24"/>
        </w:rPr>
        <w:t>代理</w:t>
      </w:r>
      <w:r>
        <w:rPr>
          <w:rFonts w:ascii="Arial" w:hAnsi="Arial" w:cs="Arial"/>
          <w:bCs/>
          <w:sz w:val="24"/>
        </w:rPr>
        <w:t>服务费。</w:t>
      </w:r>
      <w:bookmarkStart w:id="47" w:name="_Toc267301288"/>
    </w:p>
    <w:p w14:paraId="3CF10555">
      <w:pPr>
        <w:pStyle w:val="39"/>
        <w:tabs>
          <w:tab w:val="left" w:pos="720"/>
          <w:tab w:val="left" w:pos="900"/>
          <w:tab w:val="left" w:pos="1260"/>
        </w:tabs>
        <w:adjustRightInd w:val="0"/>
        <w:spacing w:line="460" w:lineRule="exact"/>
        <w:ind w:left="720" w:hanging="720" w:hangingChars="300"/>
        <w:rPr>
          <w:rFonts w:hint="eastAsia" w:hAnsi="宋体" w:cs="Courier New"/>
          <w:bCs/>
          <w:color w:val="000000"/>
          <w:sz w:val="24"/>
        </w:rPr>
      </w:pPr>
      <w:r>
        <w:rPr>
          <w:rFonts w:hint="eastAsia" w:ascii="Arial" w:hAnsi="Arial" w:cs="Arial"/>
          <w:bCs/>
          <w:sz w:val="24"/>
        </w:rPr>
        <w:t>33.1.3供应商</w:t>
      </w:r>
      <w:r>
        <w:rPr>
          <w:rFonts w:hint="eastAsia" w:hAnsi="宋体" w:cs="Courier New"/>
          <w:bCs/>
          <w:color w:val="000000"/>
          <w:sz w:val="24"/>
        </w:rPr>
        <w:t>在成交后需要融资时可以申请政府采购合同融资，具体详见《新疆维吾尔自治区政府采购合同融资工作方案》新财购[202</w:t>
      </w:r>
      <w:r>
        <w:rPr>
          <w:rFonts w:hint="eastAsia" w:hAnsi="宋体" w:cs="Courier New"/>
          <w:bCs/>
          <w:color w:val="000000"/>
          <w:sz w:val="24"/>
          <w:lang w:val="en-US" w:eastAsia="zh-CN"/>
        </w:rPr>
        <w:t>3</w:t>
      </w:r>
      <w:r>
        <w:rPr>
          <w:rFonts w:hint="eastAsia" w:hAnsi="宋体" w:cs="Courier New"/>
          <w:bCs/>
          <w:color w:val="000000"/>
          <w:sz w:val="24"/>
        </w:rPr>
        <w:t>]17号。</w:t>
      </w:r>
    </w:p>
    <w:p w14:paraId="05667476">
      <w:pPr>
        <w:pStyle w:val="39"/>
        <w:tabs>
          <w:tab w:val="left" w:pos="720"/>
          <w:tab w:val="left" w:pos="900"/>
          <w:tab w:val="left" w:pos="1260"/>
        </w:tabs>
        <w:adjustRightInd w:val="0"/>
        <w:spacing w:line="460" w:lineRule="exact"/>
        <w:ind w:left="723" w:hanging="720" w:hangingChars="300"/>
        <w:rPr>
          <w:rFonts w:hint="eastAsia" w:hAnsi="宋体" w:cs="Courier New"/>
          <w:bCs/>
          <w:color w:val="000000"/>
          <w:sz w:val="24"/>
        </w:rPr>
      </w:pPr>
      <w:r>
        <w:rPr>
          <w:rFonts w:hint="eastAsia" w:hAnsi="宋体" w:cs="Courier New"/>
          <w:b/>
          <w:bCs/>
          <w:sz w:val="24"/>
        </w:rPr>
        <w:t>34.享受扶持政策获得政府采购合同的，中小企业不得将合同分包给大中型企业，中型企业不得将合同分包给大型企业。</w:t>
      </w:r>
    </w:p>
    <w:p w14:paraId="468E7988">
      <w:pPr>
        <w:pStyle w:val="39"/>
        <w:tabs>
          <w:tab w:val="left" w:pos="720"/>
          <w:tab w:val="left" w:pos="900"/>
          <w:tab w:val="left" w:pos="1260"/>
        </w:tabs>
        <w:adjustRightInd w:val="0"/>
        <w:snapToGrid w:val="0"/>
        <w:spacing w:line="400" w:lineRule="exact"/>
        <w:ind w:left="720" w:hanging="720" w:hangingChars="300"/>
        <w:rPr>
          <w:rFonts w:ascii="Arial" w:hAnsi="Arial" w:cs="Arial"/>
          <w:bCs/>
          <w:sz w:val="24"/>
        </w:rPr>
      </w:pPr>
    </w:p>
    <w:p w14:paraId="62D925C1">
      <w:pPr>
        <w:pStyle w:val="4"/>
        <w:snapToGrid w:val="0"/>
        <w:spacing w:before="100" w:beforeAutospacing="1" w:after="100" w:afterAutospacing="1" w:line="400" w:lineRule="exact"/>
        <w:rPr>
          <w:rFonts w:cs="Arial"/>
          <w:bCs/>
          <w:sz w:val="24"/>
        </w:rPr>
      </w:pPr>
      <w:bookmarkStart w:id="48" w:name="_Toc24258"/>
      <w:r>
        <w:rPr>
          <w:rFonts w:hint="eastAsia" w:eastAsia="宋体" w:cs="Arial"/>
          <w:sz w:val="28"/>
          <w:szCs w:val="28"/>
        </w:rPr>
        <w:t>G</w:t>
      </w:r>
      <w:r>
        <w:rPr>
          <w:rFonts w:eastAsia="宋体" w:cs="Arial"/>
          <w:sz w:val="28"/>
          <w:szCs w:val="28"/>
        </w:rPr>
        <w:t xml:space="preserve">  </w:t>
      </w:r>
      <w:r>
        <w:rPr>
          <w:rFonts w:hint="eastAsia" w:eastAsia="宋体" w:cs="Arial"/>
          <w:sz w:val="28"/>
          <w:szCs w:val="28"/>
        </w:rPr>
        <w:t>谈判失败条件</w:t>
      </w:r>
      <w:bookmarkEnd w:id="48"/>
    </w:p>
    <w:p w14:paraId="3F8A44AA">
      <w:pPr>
        <w:spacing w:before="80" w:after="60" w:line="440" w:lineRule="exact"/>
        <w:ind w:left="420" w:hanging="420"/>
        <w:rPr>
          <w:rFonts w:hint="eastAsia" w:ascii="宋体" w:hAnsi="宋体" w:cs="宋体"/>
          <w:b/>
          <w:bCs/>
          <w:sz w:val="24"/>
          <w:szCs w:val="24"/>
        </w:rPr>
      </w:pPr>
      <w:r>
        <w:rPr>
          <w:rFonts w:hint="eastAsia" w:ascii="宋体" w:hAnsi="宋体" w:cs="宋体"/>
          <w:b/>
          <w:bCs/>
          <w:sz w:val="24"/>
          <w:szCs w:val="24"/>
        </w:rPr>
        <w:t>34.响应无效的情形</w:t>
      </w:r>
    </w:p>
    <w:p w14:paraId="367908A6">
      <w:pPr>
        <w:widowControl/>
        <w:spacing w:line="440" w:lineRule="exact"/>
        <w:ind w:firstLine="480" w:firstLineChars="200"/>
        <w:rPr>
          <w:sz w:val="24"/>
          <w:szCs w:val="22"/>
        </w:rPr>
      </w:pPr>
      <w:r>
        <w:rPr>
          <w:rFonts w:hint="eastAsia"/>
          <w:sz w:val="24"/>
          <w:szCs w:val="22"/>
        </w:rPr>
        <w:t>34.1</w:t>
      </w:r>
      <w:r>
        <w:rPr>
          <w:rFonts w:hint="eastAsia" w:ascii="宋体" w:hAnsi="宋体" w:cs="宋体"/>
          <w:sz w:val="24"/>
          <w:szCs w:val="24"/>
        </w:rPr>
        <w:t>供应商存在下列情况之一的，视为供应商串通响应，</w:t>
      </w:r>
      <w:r>
        <w:rPr>
          <w:rFonts w:hint="eastAsia" w:cs="宋体"/>
          <w:sz w:val="24"/>
          <w:szCs w:val="24"/>
        </w:rPr>
        <w:t>其</w:t>
      </w:r>
      <w:r>
        <w:rPr>
          <w:rFonts w:hint="eastAsia" w:cs="宋体"/>
          <w:b/>
          <w:bCs/>
          <w:sz w:val="24"/>
          <w:szCs w:val="24"/>
        </w:rPr>
        <w:t>响应</w:t>
      </w:r>
      <w:r>
        <w:rPr>
          <w:rFonts w:hint="eastAsia" w:ascii="宋体" w:hAnsi="宋体" w:cs="宋体"/>
          <w:b/>
          <w:bCs/>
          <w:sz w:val="24"/>
          <w:szCs w:val="24"/>
        </w:rPr>
        <w:t>无效</w:t>
      </w:r>
      <w:r>
        <w:rPr>
          <w:rFonts w:hint="eastAsia" w:ascii="宋体" w:hAnsi="宋体" w:cs="宋体"/>
          <w:sz w:val="24"/>
          <w:szCs w:val="24"/>
        </w:rPr>
        <w:t>：</w:t>
      </w:r>
    </w:p>
    <w:p w14:paraId="5C4D8871">
      <w:pPr>
        <w:pStyle w:val="515"/>
        <w:spacing w:line="440" w:lineRule="exact"/>
        <w:ind w:firstLine="480" w:firstLineChars="200"/>
        <w:textAlignment w:val="auto"/>
        <w:rPr>
          <w:rFonts w:hint="eastAsia" w:hAnsi="宋体" w:cs="宋体"/>
          <w:sz w:val="24"/>
          <w:szCs w:val="24"/>
        </w:rPr>
      </w:pPr>
      <w:r>
        <w:rPr>
          <w:rFonts w:hint="eastAsia" w:hAnsi="宋体" w:cs="宋体"/>
          <w:sz w:val="24"/>
          <w:szCs w:val="24"/>
        </w:rPr>
        <w:t>（1）不同供应商的响应文件由同一单位或者个人编制；</w:t>
      </w:r>
    </w:p>
    <w:p w14:paraId="25784379">
      <w:pPr>
        <w:pStyle w:val="515"/>
        <w:spacing w:line="440" w:lineRule="exact"/>
        <w:ind w:firstLine="480" w:firstLineChars="200"/>
        <w:textAlignment w:val="auto"/>
        <w:rPr>
          <w:rFonts w:hint="eastAsia" w:hAnsi="宋体" w:cs="宋体"/>
          <w:sz w:val="24"/>
          <w:szCs w:val="24"/>
        </w:rPr>
      </w:pPr>
      <w:r>
        <w:rPr>
          <w:rFonts w:hint="eastAsia" w:hAnsi="宋体" w:cs="宋体"/>
          <w:sz w:val="24"/>
          <w:szCs w:val="24"/>
        </w:rPr>
        <w:t>（2）不同供应商委托同一单位或者个人办理谈判响应事宜；</w:t>
      </w:r>
    </w:p>
    <w:p w14:paraId="11C14C6E">
      <w:pPr>
        <w:pStyle w:val="515"/>
        <w:spacing w:line="440" w:lineRule="exact"/>
        <w:ind w:firstLine="480" w:firstLineChars="200"/>
        <w:textAlignment w:val="auto"/>
        <w:rPr>
          <w:rFonts w:hint="eastAsia" w:hAnsi="宋体" w:cs="宋体"/>
          <w:sz w:val="24"/>
          <w:szCs w:val="24"/>
        </w:rPr>
      </w:pPr>
      <w:r>
        <w:rPr>
          <w:rFonts w:hint="eastAsia" w:hAnsi="宋体" w:cs="宋体"/>
          <w:sz w:val="24"/>
          <w:szCs w:val="24"/>
        </w:rPr>
        <w:t>（3）不同供应商的响应文件载明的项目管理成员或者联系人员为同一人；</w:t>
      </w:r>
    </w:p>
    <w:p w14:paraId="3F9DD8C6">
      <w:pPr>
        <w:pStyle w:val="515"/>
        <w:spacing w:line="440" w:lineRule="exact"/>
        <w:ind w:firstLine="480" w:firstLineChars="200"/>
        <w:textAlignment w:val="auto"/>
        <w:rPr>
          <w:rFonts w:hint="eastAsia" w:hAnsi="宋体" w:cs="宋体"/>
          <w:sz w:val="24"/>
          <w:szCs w:val="24"/>
        </w:rPr>
      </w:pPr>
      <w:r>
        <w:rPr>
          <w:rFonts w:hint="eastAsia" w:hAnsi="宋体" w:cs="宋体"/>
          <w:sz w:val="24"/>
          <w:szCs w:val="24"/>
        </w:rPr>
        <w:t>（4）不同供应商的响应文件异常一致或者谈判报价呈规律性差异；</w:t>
      </w:r>
    </w:p>
    <w:p w14:paraId="25920257">
      <w:pPr>
        <w:pStyle w:val="515"/>
        <w:spacing w:line="440" w:lineRule="exact"/>
        <w:ind w:firstLine="480" w:firstLineChars="200"/>
        <w:textAlignment w:val="auto"/>
        <w:rPr>
          <w:rFonts w:hint="eastAsia" w:hAnsi="宋体" w:cs="宋体"/>
          <w:sz w:val="24"/>
          <w:szCs w:val="24"/>
        </w:rPr>
      </w:pPr>
      <w:r>
        <w:rPr>
          <w:rFonts w:hint="eastAsia" w:hAnsi="宋体" w:cs="宋体"/>
          <w:sz w:val="24"/>
          <w:szCs w:val="24"/>
        </w:rPr>
        <w:t>（5）不同供应商的响应文件相互混装；</w:t>
      </w:r>
    </w:p>
    <w:p w14:paraId="6D709859">
      <w:pPr>
        <w:pStyle w:val="515"/>
        <w:spacing w:line="440" w:lineRule="exact"/>
        <w:ind w:firstLine="480" w:firstLineChars="200"/>
        <w:textAlignment w:val="auto"/>
        <w:rPr>
          <w:rFonts w:hint="eastAsia" w:hAnsi="宋体" w:cs="宋体"/>
          <w:sz w:val="24"/>
          <w:szCs w:val="24"/>
        </w:rPr>
      </w:pPr>
      <w:r>
        <w:rPr>
          <w:rFonts w:hint="eastAsia" w:hAnsi="宋体" w:cs="宋体"/>
          <w:sz w:val="24"/>
          <w:szCs w:val="24"/>
        </w:rPr>
        <w:t>（6）不同供应商的谈判保证金从同一单位或者个人的账户转出；</w:t>
      </w:r>
    </w:p>
    <w:p w14:paraId="139178E2">
      <w:pPr>
        <w:pStyle w:val="516"/>
        <w:spacing w:line="440" w:lineRule="exact"/>
        <w:ind w:firstLine="480"/>
        <w:rPr>
          <w:rFonts w:hint="eastAsia" w:ascii="宋体" w:hAnsi="宋体" w:cs="宋体"/>
          <w:sz w:val="24"/>
          <w:szCs w:val="24"/>
        </w:rPr>
      </w:pPr>
      <w:r>
        <w:rPr>
          <w:rFonts w:hint="eastAsia" w:ascii="宋体" w:hAnsi="宋体" w:cs="宋体"/>
          <w:sz w:val="24"/>
          <w:szCs w:val="24"/>
        </w:rPr>
        <w:t>（7）法律、法规、规章和竞争性谈判文件规定的其他响应无效的情形。</w:t>
      </w:r>
    </w:p>
    <w:p w14:paraId="4ED734F7">
      <w:pPr>
        <w:pStyle w:val="515"/>
        <w:spacing w:line="440" w:lineRule="exact"/>
        <w:ind w:firstLine="480" w:firstLineChars="200"/>
        <w:textAlignment w:val="auto"/>
        <w:rPr>
          <w:rFonts w:hint="eastAsia" w:hAnsi="宋体" w:cs="宋体"/>
          <w:sz w:val="24"/>
          <w:szCs w:val="24"/>
        </w:rPr>
      </w:pPr>
      <w:r>
        <w:rPr>
          <w:rFonts w:hint="eastAsia" w:hAnsi="宋体" w:cs="宋体"/>
          <w:sz w:val="24"/>
          <w:szCs w:val="24"/>
        </w:rPr>
        <w:t>34.2 谈判小组应当审查所有供应商的响应文件是否对竞争性谈判文件提出的所有实质性要求和条件做出响应。未能在实质上响应的供应商，其</w:t>
      </w:r>
      <w:r>
        <w:rPr>
          <w:rFonts w:hint="eastAsia" w:hAnsi="宋体" w:cs="宋体"/>
          <w:b/>
          <w:bCs/>
          <w:sz w:val="24"/>
          <w:szCs w:val="24"/>
        </w:rPr>
        <w:t>响应无效</w:t>
      </w:r>
      <w:r>
        <w:rPr>
          <w:rFonts w:hint="eastAsia" w:hAnsi="宋体" w:cs="宋体"/>
          <w:sz w:val="24"/>
          <w:szCs w:val="24"/>
        </w:rPr>
        <w:t>。</w:t>
      </w:r>
    </w:p>
    <w:p w14:paraId="3117D0C8">
      <w:pPr>
        <w:pStyle w:val="516"/>
        <w:spacing w:line="440" w:lineRule="exact"/>
        <w:ind w:firstLine="480"/>
        <w:rPr>
          <w:rFonts w:cs="Helvetica"/>
          <w:szCs w:val="24"/>
          <w:lang w:val="zh-CN"/>
        </w:rPr>
      </w:pPr>
      <w:r>
        <w:rPr>
          <w:rFonts w:hint="eastAsia" w:ascii="宋体" w:hAnsi="宋体" w:cs="宋体"/>
          <w:sz w:val="24"/>
          <w:szCs w:val="24"/>
        </w:rPr>
        <w:t>34.3 供应商不得误导、干扰谈判小组的评审活动，否则其</w:t>
      </w:r>
      <w:r>
        <w:rPr>
          <w:rFonts w:hint="eastAsia" w:ascii="宋体" w:hAnsi="宋体" w:cs="宋体"/>
          <w:b/>
          <w:bCs/>
          <w:sz w:val="24"/>
          <w:szCs w:val="24"/>
        </w:rPr>
        <w:t>响应无效</w:t>
      </w:r>
      <w:r>
        <w:rPr>
          <w:rFonts w:hint="eastAsia" w:ascii="宋体" w:hAnsi="宋体" w:cs="宋体"/>
          <w:sz w:val="24"/>
          <w:szCs w:val="24"/>
        </w:rPr>
        <w:t>。</w:t>
      </w:r>
    </w:p>
    <w:p w14:paraId="79B15574">
      <w:pPr>
        <w:pStyle w:val="39"/>
        <w:tabs>
          <w:tab w:val="left" w:pos="720"/>
          <w:tab w:val="left" w:pos="900"/>
          <w:tab w:val="left" w:pos="1260"/>
        </w:tabs>
        <w:spacing w:line="400" w:lineRule="atLeast"/>
        <w:ind w:left="723" w:hanging="720" w:hangingChars="300"/>
        <w:rPr>
          <w:rFonts w:hint="eastAsia" w:hAnsi="宋体" w:cs="宋体"/>
          <w:bCs/>
          <w:sz w:val="24"/>
        </w:rPr>
      </w:pPr>
      <w:r>
        <w:rPr>
          <w:rFonts w:hint="eastAsia" w:hAnsi="宋体" w:cs="宋体"/>
          <w:b/>
          <w:bCs/>
          <w:sz w:val="24"/>
          <w:szCs w:val="24"/>
        </w:rPr>
        <w:t>35.谈判失败的情形</w:t>
      </w:r>
    </w:p>
    <w:p w14:paraId="23284A50">
      <w:pPr>
        <w:pStyle w:val="39"/>
        <w:tabs>
          <w:tab w:val="left" w:pos="720"/>
          <w:tab w:val="left" w:pos="900"/>
          <w:tab w:val="left" w:pos="1260"/>
        </w:tabs>
        <w:spacing w:line="400" w:lineRule="atLeast"/>
        <w:ind w:left="720" w:hanging="720" w:hangingChars="300"/>
        <w:rPr>
          <w:rFonts w:hint="eastAsia" w:hAnsi="宋体" w:cs="宋体"/>
          <w:bCs/>
          <w:sz w:val="24"/>
        </w:rPr>
      </w:pPr>
      <w:r>
        <w:rPr>
          <w:rFonts w:hint="eastAsia" w:hAnsi="宋体" w:cs="宋体"/>
          <w:bCs/>
          <w:sz w:val="24"/>
        </w:rPr>
        <w:t>35.1 出现影响采购公正的违法、违规行为的；</w:t>
      </w:r>
    </w:p>
    <w:p w14:paraId="5BB7AC9D">
      <w:pPr>
        <w:pStyle w:val="39"/>
        <w:tabs>
          <w:tab w:val="left" w:pos="720"/>
          <w:tab w:val="left" w:pos="900"/>
          <w:tab w:val="left" w:pos="1260"/>
        </w:tabs>
        <w:spacing w:line="400" w:lineRule="atLeast"/>
        <w:ind w:left="720" w:hanging="720" w:hangingChars="300"/>
        <w:rPr>
          <w:rFonts w:hint="eastAsia" w:hAnsi="宋体" w:cs="宋体"/>
          <w:bCs/>
          <w:sz w:val="24"/>
        </w:rPr>
      </w:pPr>
      <w:r>
        <w:rPr>
          <w:rFonts w:hint="eastAsia" w:hAnsi="宋体" w:cs="宋体"/>
          <w:bCs/>
          <w:sz w:val="24"/>
        </w:rPr>
        <w:t>35.2 因重大变故，采购任务取消的；</w:t>
      </w:r>
    </w:p>
    <w:p w14:paraId="3065DCCD">
      <w:pPr>
        <w:pStyle w:val="39"/>
        <w:tabs>
          <w:tab w:val="left" w:pos="720"/>
          <w:tab w:val="left" w:pos="900"/>
          <w:tab w:val="left" w:pos="1260"/>
        </w:tabs>
        <w:spacing w:line="400" w:lineRule="atLeast"/>
        <w:ind w:left="720" w:hanging="720" w:hangingChars="300"/>
        <w:rPr>
          <w:rFonts w:hint="eastAsia" w:hAnsi="宋体" w:cs="宋体"/>
          <w:bCs/>
          <w:sz w:val="24"/>
        </w:rPr>
      </w:pPr>
      <w:r>
        <w:rPr>
          <w:rFonts w:hint="eastAsia" w:hAnsi="宋体" w:cs="宋体"/>
          <w:bCs/>
          <w:sz w:val="24"/>
        </w:rPr>
        <w:t>35.3 谈判响应文件截止时间后，实际参与的供应商不足法定家数的；</w:t>
      </w:r>
    </w:p>
    <w:p w14:paraId="4ED46F2D">
      <w:pPr>
        <w:pStyle w:val="39"/>
        <w:tabs>
          <w:tab w:val="left" w:pos="720"/>
          <w:tab w:val="left" w:pos="900"/>
          <w:tab w:val="left" w:pos="1260"/>
        </w:tabs>
        <w:spacing w:line="400" w:lineRule="atLeast"/>
        <w:ind w:left="720" w:hanging="720" w:hangingChars="300"/>
        <w:rPr>
          <w:rFonts w:hint="eastAsia" w:hAnsi="宋体" w:cs="宋体"/>
          <w:bCs/>
          <w:sz w:val="24"/>
        </w:rPr>
      </w:pPr>
      <w:r>
        <w:rPr>
          <w:rFonts w:hint="eastAsia" w:hAnsi="宋体" w:cs="宋体"/>
          <w:bCs/>
          <w:sz w:val="24"/>
        </w:rPr>
        <w:t>35.4 最终报价均超过采购预算的；</w:t>
      </w:r>
    </w:p>
    <w:p w14:paraId="46B9EEDC">
      <w:pPr>
        <w:pStyle w:val="39"/>
        <w:tabs>
          <w:tab w:val="left" w:pos="720"/>
          <w:tab w:val="left" w:pos="900"/>
          <w:tab w:val="left" w:pos="1260"/>
        </w:tabs>
        <w:adjustRightInd w:val="0"/>
        <w:snapToGrid w:val="0"/>
        <w:spacing w:line="400" w:lineRule="exact"/>
        <w:ind w:left="720" w:hanging="720" w:hangingChars="300"/>
        <w:rPr>
          <w:rFonts w:ascii="Arial" w:hAnsi="Arial" w:cs="Arial"/>
          <w:bCs/>
          <w:sz w:val="24"/>
        </w:rPr>
        <w:sectPr>
          <w:footerReference r:id="rId4" w:type="default"/>
          <w:pgSz w:w="11906" w:h="16838"/>
          <w:pgMar w:top="1440" w:right="1080" w:bottom="1440" w:left="1080" w:header="851" w:footer="850" w:gutter="0"/>
          <w:pgNumType w:start="1"/>
          <w:cols w:space="720" w:num="1"/>
          <w:docGrid w:type="linesAndChars" w:linePitch="312" w:charSpace="0"/>
        </w:sectPr>
      </w:pPr>
      <w:r>
        <w:rPr>
          <w:rFonts w:hint="eastAsia" w:hAnsi="宋体" w:cs="宋体"/>
          <w:bCs/>
          <w:sz w:val="24"/>
        </w:rPr>
        <w:t>35.5 对谈判文件作出实质性响应的供应商不足法定家数的。</w:t>
      </w:r>
    </w:p>
    <w:p w14:paraId="660D3BC5">
      <w:pPr>
        <w:pStyle w:val="4"/>
      </w:pPr>
      <w:bookmarkStart w:id="49" w:name="_Toc349573127"/>
      <w:bookmarkStart w:id="50" w:name="_Toc349637926"/>
      <w:bookmarkStart w:id="51" w:name="_Toc298240411"/>
      <w:bookmarkStart w:id="52" w:name="_Toc130"/>
      <w:r>
        <w:rPr>
          <w:rFonts w:hint="eastAsia"/>
        </w:rPr>
        <w:t>第三部分</w:t>
      </w:r>
      <w:bookmarkEnd w:id="47"/>
      <w:bookmarkEnd w:id="49"/>
      <w:bookmarkEnd w:id="50"/>
      <w:bookmarkEnd w:id="51"/>
      <w:r>
        <w:t>　</w:t>
      </w:r>
      <w:r>
        <w:rPr>
          <w:rFonts w:hint="eastAsia"/>
        </w:rPr>
        <w:t>货物需求及技术要求</w:t>
      </w:r>
      <w:bookmarkEnd w:id="52"/>
      <w:bookmarkStart w:id="53" w:name="_Toc298240422"/>
      <w:bookmarkStart w:id="54" w:name="_Toc267301295"/>
      <w:bookmarkStart w:id="55" w:name="_Toc349637936"/>
      <w:bookmarkStart w:id="56" w:name="_Toc349573137"/>
    </w:p>
    <w:p w14:paraId="24BAEA35">
      <w:pPr>
        <w:spacing w:line="460" w:lineRule="exact"/>
        <w:rPr>
          <w:rFonts w:hint="eastAsia" w:ascii="宋体" w:hAnsi="宋体"/>
          <w:b/>
          <w:bCs/>
          <w:sz w:val="24"/>
          <w:szCs w:val="24"/>
        </w:rPr>
      </w:pPr>
      <w:r>
        <w:rPr>
          <w:rFonts w:hint="eastAsia" w:ascii="宋体" w:hAnsi="宋体"/>
          <w:b/>
          <w:bCs/>
          <w:sz w:val="24"/>
          <w:szCs w:val="24"/>
        </w:rPr>
        <w:t>一、技术部分</w:t>
      </w:r>
    </w:p>
    <w:p w14:paraId="31B7AD79">
      <w:pPr>
        <w:spacing w:line="460" w:lineRule="exact"/>
        <w:rPr>
          <w:rFonts w:hint="eastAsia" w:ascii="宋体" w:hAnsi="宋体" w:eastAsia="宋体"/>
          <w:b/>
          <w:bCs/>
          <w:color w:val="000000"/>
          <w:sz w:val="24"/>
          <w:szCs w:val="24"/>
          <w:highlight w:val="none"/>
          <w:lang w:eastAsia="zh-CN"/>
        </w:rPr>
      </w:pPr>
      <w:r>
        <w:rPr>
          <w:rFonts w:hint="eastAsia" w:ascii="宋体" w:hAnsi="宋体"/>
          <w:b/>
          <w:bCs/>
          <w:sz w:val="24"/>
          <w:szCs w:val="24"/>
          <w:highlight w:val="none"/>
        </w:rPr>
        <w:t>（一）</w:t>
      </w:r>
      <w:r>
        <w:rPr>
          <w:rFonts w:hint="eastAsia" w:ascii="宋体" w:hAnsi="宋体"/>
          <w:b/>
          <w:bCs/>
          <w:color w:val="000000"/>
          <w:sz w:val="24"/>
          <w:szCs w:val="24"/>
          <w:highlight w:val="none"/>
        </w:rPr>
        <w:t>货物清单</w:t>
      </w:r>
    </w:p>
    <w:tbl>
      <w:tblPr>
        <w:tblStyle w:val="78"/>
        <w:tblW w:w="5000" w:type="pct"/>
        <w:tblInd w:w="0" w:type="dxa"/>
        <w:tblLayout w:type="fixed"/>
        <w:tblCellMar>
          <w:top w:w="0" w:type="dxa"/>
          <w:left w:w="108" w:type="dxa"/>
          <w:bottom w:w="0" w:type="dxa"/>
          <w:right w:w="108" w:type="dxa"/>
        </w:tblCellMar>
      </w:tblPr>
      <w:tblGrid>
        <w:gridCol w:w="797"/>
        <w:gridCol w:w="2281"/>
        <w:gridCol w:w="5663"/>
        <w:gridCol w:w="795"/>
        <w:gridCol w:w="1055"/>
      </w:tblGrid>
      <w:tr w14:paraId="1BEA2FAE">
        <w:tblPrEx>
          <w:tblCellMar>
            <w:top w:w="0" w:type="dxa"/>
            <w:left w:w="108" w:type="dxa"/>
            <w:bottom w:w="0" w:type="dxa"/>
            <w:right w:w="108" w:type="dxa"/>
          </w:tblCellMar>
        </w:tblPrEx>
        <w:trPr>
          <w:trHeight w:val="312" w:hRule="atLeast"/>
        </w:trPr>
        <w:tc>
          <w:tcPr>
            <w:tcW w:w="376" w:type="pct"/>
            <w:vMerge w:val="restart"/>
            <w:tcBorders>
              <w:top w:val="single" w:color="000000" w:sz="8" w:space="0"/>
              <w:left w:val="single" w:color="000000" w:sz="8" w:space="0"/>
              <w:bottom w:val="single" w:color="000000" w:sz="4" w:space="0"/>
              <w:right w:val="single" w:color="000000" w:sz="4" w:space="0"/>
            </w:tcBorders>
            <w:noWrap/>
            <w:vAlign w:val="center"/>
          </w:tcPr>
          <w:p w14:paraId="5EE90D63">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编号</w:t>
            </w:r>
          </w:p>
        </w:tc>
        <w:tc>
          <w:tcPr>
            <w:tcW w:w="1076" w:type="pct"/>
            <w:vMerge w:val="restart"/>
            <w:tcBorders>
              <w:top w:val="single" w:color="000000" w:sz="8" w:space="0"/>
              <w:left w:val="single" w:color="000000" w:sz="4" w:space="0"/>
              <w:bottom w:val="single" w:color="000000" w:sz="4" w:space="0"/>
              <w:right w:val="single" w:color="000000" w:sz="4" w:space="0"/>
            </w:tcBorders>
            <w:vAlign w:val="center"/>
          </w:tcPr>
          <w:p w14:paraId="5752658C">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标的名称</w:t>
            </w:r>
          </w:p>
        </w:tc>
        <w:tc>
          <w:tcPr>
            <w:tcW w:w="2671" w:type="pct"/>
            <w:vMerge w:val="restart"/>
            <w:tcBorders>
              <w:top w:val="single" w:color="000000" w:sz="8" w:space="0"/>
              <w:left w:val="single" w:color="000000" w:sz="4" w:space="0"/>
              <w:bottom w:val="single" w:color="000000" w:sz="4" w:space="0"/>
              <w:right w:val="single" w:color="000000" w:sz="4" w:space="0"/>
            </w:tcBorders>
            <w:noWrap/>
            <w:vAlign w:val="center"/>
          </w:tcPr>
          <w:p w14:paraId="13A82740">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货物参数</w:t>
            </w:r>
          </w:p>
        </w:tc>
        <w:tc>
          <w:tcPr>
            <w:tcW w:w="376" w:type="pct"/>
            <w:vMerge w:val="restart"/>
            <w:tcBorders>
              <w:top w:val="single" w:color="000000" w:sz="8" w:space="0"/>
              <w:left w:val="single" w:color="000000" w:sz="4" w:space="0"/>
              <w:bottom w:val="single" w:color="000000" w:sz="4" w:space="0"/>
              <w:right w:val="single" w:color="000000" w:sz="4" w:space="0"/>
            </w:tcBorders>
            <w:noWrap/>
            <w:vAlign w:val="center"/>
          </w:tcPr>
          <w:p w14:paraId="015D959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单位</w:t>
            </w:r>
          </w:p>
        </w:tc>
        <w:tc>
          <w:tcPr>
            <w:tcW w:w="498" w:type="pct"/>
            <w:vMerge w:val="restart"/>
            <w:tcBorders>
              <w:top w:val="single" w:color="000000" w:sz="8" w:space="0"/>
              <w:left w:val="single" w:color="000000" w:sz="4" w:space="0"/>
              <w:bottom w:val="single" w:color="000000" w:sz="4" w:space="0"/>
              <w:right w:val="single" w:color="000000" w:sz="4" w:space="0"/>
            </w:tcBorders>
            <w:noWrap/>
            <w:vAlign w:val="center"/>
          </w:tcPr>
          <w:p w14:paraId="47363DDC">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数量</w:t>
            </w:r>
          </w:p>
        </w:tc>
      </w:tr>
      <w:tr w14:paraId="21650F8E">
        <w:tblPrEx>
          <w:tblCellMar>
            <w:top w:w="0" w:type="dxa"/>
            <w:left w:w="108" w:type="dxa"/>
            <w:bottom w:w="0" w:type="dxa"/>
            <w:right w:w="108" w:type="dxa"/>
          </w:tblCellMar>
        </w:tblPrEx>
        <w:trPr>
          <w:trHeight w:val="322" w:hRule="atLeast"/>
        </w:trPr>
        <w:tc>
          <w:tcPr>
            <w:tcW w:w="376" w:type="pct"/>
            <w:vMerge w:val="continue"/>
            <w:tcBorders>
              <w:top w:val="single" w:color="000000" w:sz="8" w:space="0"/>
              <w:left w:val="single" w:color="000000" w:sz="8" w:space="0"/>
              <w:bottom w:val="single" w:color="000000" w:sz="4" w:space="0"/>
              <w:right w:val="single" w:color="000000" w:sz="4" w:space="0"/>
            </w:tcBorders>
            <w:noWrap/>
            <w:vAlign w:val="center"/>
          </w:tcPr>
          <w:p w14:paraId="4152A3E3">
            <w:pPr>
              <w:jc w:val="center"/>
              <w:rPr>
                <w:rFonts w:ascii="Times New Roman" w:hAnsi="Times New Roman" w:eastAsia="宋体" w:cs="Times New Roman"/>
                <w:color w:val="000000"/>
                <w:sz w:val="28"/>
                <w:szCs w:val="28"/>
              </w:rPr>
            </w:pPr>
          </w:p>
        </w:tc>
        <w:tc>
          <w:tcPr>
            <w:tcW w:w="1076" w:type="pct"/>
            <w:vMerge w:val="continue"/>
            <w:tcBorders>
              <w:top w:val="single" w:color="000000" w:sz="8" w:space="0"/>
              <w:left w:val="single" w:color="000000" w:sz="4" w:space="0"/>
              <w:bottom w:val="single" w:color="000000" w:sz="4" w:space="0"/>
              <w:right w:val="single" w:color="000000" w:sz="4" w:space="0"/>
            </w:tcBorders>
            <w:vAlign w:val="center"/>
          </w:tcPr>
          <w:p w14:paraId="64F8141D">
            <w:pPr>
              <w:jc w:val="center"/>
              <w:rPr>
                <w:rFonts w:hint="eastAsia" w:ascii="仿宋_GB2312" w:hAnsi="宋体" w:eastAsia="仿宋_GB2312" w:cs="仿宋_GB2312"/>
                <w:color w:val="000000"/>
                <w:sz w:val="28"/>
                <w:szCs w:val="28"/>
              </w:rPr>
            </w:pPr>
          </w:p>
        </w:tc>
        <w:tc>
          <w:tcPr>
            <w:tcW w:w="2671" w:type="pct"/>
            <w:vMerge w:val="continue"/>
            <w:tcBorders>
              <w:top w:val="single" w:color="000000" w:sz="8" w:space="0"/>
              <w:left w:val="single" w:color="000000" w:sz="4" w:space="0"/>
              <w:bottom w:val="single" w:color="000000" w:sz="4" w:space="0"/>
              <w:right w:val="single" w:color="000000" w:sz="4" w:space="0"/>
            </w:tcBorders>
            <w:noWrap/>
            <w:vAlign w:val="center"/>
          </w:tcPr>
          <w:p w14:paraId="01BC7A67">
            <w:pPr>
              <w:jc w:val="center"/>
              <w:rPr>
                <w:rFonts w:hint="eastAsia" w:ascii="宋体" w:hAnsi="宋体" w:eastAsia="宋体" w:cs="宋体"/>
                <w:color w:val="000000"/>
                <w:sz w:val="28"/>
                <w:szCs w:val="28"/>
              </w:rPr>
            </w:pPr>
          </w:p>
        </w:tc>
        <w:tc>
          <w:tcPr>
            <w:tcW w:w="376" w:type="pct"/>
            <w:vMerge w:val="continue"/>
            <w:tcBorders>
              <w:top w:val="single" w:color="000000" w:sz="8" w:space="0"/>
              <w:left w:val="single" w:color="000000" w:sz="4" w:space="0"/>
              <w:bottom w:val="single" w:color="000000" w:sz="4" w:space="0"/>
              <w:right w:val="single" w:color="000000" w:sz="4" w:space="0"/>
            </w:tcBorders>
            <w:noWrap/>
            <w:vAlign w:val="center"/>
          </w:tcPr>
          <w:p w14:paraId="079C75D6">
            <w:pPr>
              <w:jc w:val="center"/>
              <w:rPr>
                <w:rFonts w:ascii="Times New Roman" w:hAnsi="Times New Roman" w:eastAsia="宋体" w:cs="Times New Roman"/>
                <w:color w:val="000000"/>
                <w:sz w:val="28"/>
                <w:szCs w:val="28"/>
              </w:rPr>
            </w:pPr>
          </w:p>
        </w:tc>
        <w:tc>
          <w:tcPr>
            <w:tcW w:w="498" w:type="pct"/>
            <w:vMerge w:val="continue"/>
            <w:tcBorders>
              <w:top w:val="single" w:color="000000" w:sz="8" w:space="0"/>
              <w:left w:val="single" w:color="000000" w:sz="4" w:space="0"/>
              <w:bottom w:val="single" w:color="000000" w:sz="4" w:space="0"/>
              <w:right w:val="single" w:color="000000" w:sz="4" w:space="0"/>
            </w:tcBorders>
            <w:noWrap/>
            <w:vAlign w:val="center"/>
          </w:tcPr>
          <w:p w14:paraId="25A62DA9">
            <w:pPr>
              <w:jc w:val="center"/>
              <w:rPr>
                <w:rFonts w:ascii="Times New Roman" w:hAnsi="Times New Roman" w:eastAsia="宋体" w:cs="Times New Roman"/>
                <w:color w:val="000000"/>
                <w:sz w:val="28"/>
                <w:szCs w:val="28"/>
              </w:rPr>
            </w:pPr>
          </w:p>
        </w:tc>
      </w:tr>
      <w:tr w14:paraId="06BF2E62">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1B8E5162">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1</w:t>
            </w:r>
          </w:p>
        </w:tc>
        <w:tc>
          <w:tcPr>
            <w:tcW w:w="1076" w:type="pct"/>
            <w:tcBorders>
              <w:top w:val="single" w:color="000000" w:sz="4" w:space="0"/>
              <w:left w:val="single" w:color="000000" w:sz="4" w:space="0"/>
              <w:bottom w:val="single" w:color="000000" w:sz="4" w:space="0"/>
              <w:right w:val="single" w:color="000000" w:sz="4" w:space="0"/>
            </w:tcBorders>
            <w:vAlign w:val="center"/>
          </w:tcPr>
          <w:p w14:paraId="47E2ABF3">
            <w:pPr>
              <w:widowControl/>
              <w:jc w:val="center"/>
              <w:textAlignment w:val="center"/>
              <w:rPr>
                <w:rFonts w:hint="default" w:ascii="仿宋_GB2312" w:hAnsi="宋体" w:eastAsia="仿宋_GB2312" w:cs="仿宋_GB2312"/>
                <w:color w:val="000000"/>
                <w:sz w:val="22"/>
                <w:szCs w:val="22"/>
                <w:lang w:val="en-US" w:eastAsia="zh-CN"/>
              </w:rPr>
            </w:pPr>
            <w:r>
              <w:rPr>
                <w:rFonts w:ascii="仿宋_GB2312" w:hAnsi="宋体" w:eastAsia="仿宋_GB2312" w:cs="仿宋_GB2312"/>
                <w:color w:val="000000"/>
                <w:kern w:val="0"/>
                <w:sz w:val="22"/>
                <w:szCs w:val="22"/>
                <w:lang w:bidi="ar"/>
              </w:rPr>
              <w:t>全自动风蚀监测仪</w:t>
            </w:r>
            <w:r>
              <w:rPr>
                <w:rFonts w:hint="eastAsia" w:ascii="仿宋_GB2312" w:hAnsi="宋体" w:eastAsia="仿宋_GB2312" w:cs="仿宋_GB2312"/>
                <w:color w:val="000000"/>
                <w:kern w:val="0"/>
                <w:sz w:val="22"/>
                <w:szCs w:val="22"/>
                <w:lang w:eastAsia="zh-CN" w:bidi="ar"/>
              </w:rPr>
              <w:t>（</w:t>
            </w:r>
            <w:r>
              <w:rPr>
                <w:rFonts w:hint="eastAsia" w:ascii="仿宋_GB2312" w:hAnsi="宋体" w:eastAsia="仿宋_GB2312" w:cs="仿宋_GB2312"/>
                <w:color w:val="000000"/>
                <w:kern w:val="0"/>
                <w:sz w:val="22"/>
                <w:szCs w:val="22"/>
                <w:lang w:val="en-US" w:eastAsia="zh-CN" w:bidi="ar"/>
              </w:rPr>
              <w:t>核心产品）</w:t>
            </w:r>
          </w:p>
        </w:tc>
        <w:tc>
          <w:tcPr>
            <w:tcW w:w="2671" w:type="pct"/>
            <w:tcBorders>
              <w:top w:val="single" w:color="000000" w:sz="4" w:space="0"/>
              <w:left w:val="single" w:color="000000" w:sz="4" w:space="0"/>
              <w:bottom w:val="single" w:color="000000" w:sz="4" w:space="0"/>
              <w:right w:val="single" w:color="000000" w:sz="4" w:space="0"/>
            </w:tcBorders>
            <w:vAlign w:val="center"/>
          </w:tcPr>
          <w:p w14:paraId="17E80A3C">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1.集成式自动风蚀监测系统，风蚀圈：集沙仪8个，每个集沙仪5组；集沙仪：包括采沙盒、集沙盒、盒托和固定杆，固定杆上0～5cm、10～15cm、30～35cm、70～75cm和150～155cm处设有5组采沙盒、集沙盒和盒托</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2.高精度称重传感器，集沙分辨率0.001g，集沙测量精度：0.01g；集沙测量范围：0～1300g；</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3.风速测量范围0~60m/s，精度±(0.2+0.03V)m/s，分辨率0.1m/s；</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4.风向测量范围0~360°，精度±0.5%，分辨率：0.1%；</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5.雨量测量范围：0.01～40mm/min，精度：±0.01mm，分辨率：0.001mm；</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6.温度测量范围：-30～70℃，精度：±0.2℃，分辨率：0.01℃；</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7.湿度测量范围：0～100%RH，精度：±3%RH，分辨率：0.1%RH；</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8.</w:t>
            </w:r>
            <w:r>
              <w:rPr>
                <w:rFonts w:hint="eastAsia" w:ascii="宋体" w:hAnsi="宋体" w:eastAsia="宋体" w:cs="宋体"/>
                <w:color w:val="000000"/>
                <w:kern w:val="0"/>
                <w:sz w:val="20"/>
                <w:szCs w:val="20"/>
                <w:highlight w:val="none"/>
                <w:lang w:bidi="ar"/>
              </w:rPr>
              <w:t>大气压测量范围：10～1100hpa，精度：±0.3 hPa，分辨率：0.1hPa；</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9.太阳辐射测量范围：</w:t>
            </w:r>
            <w:r>
              <w:rPr>
                <w:rFonts w:hint="eastAsia" w:ascii="宋体" w:hAnsi="宋体" w:eastAsia="宋体" w:cs="宋体"/>
                <w:color w:val="000000"/>
                <w:kern w:val="0"/>
                <w:sz w:val="20"/>
                <w:szCs w:val="20"/>
                <w:highlight w:val="none"/>
                <w:lang w:bidi="ar"/>
              </w:rPr>
              <w:t>0～2000W/m²</w:t>
            </w:r>
            <w:r>
              <w:rPr>
                <w:rFonts w:hint="eastAsia" w:ascii="宋体" w:hAnsi="宋体" w:eastAsia="宋体" w:cs="宋体"/>
                <w:color w:val="000000"/>
                <w:kern w:val="0"/>
                <w:sz w:val="20"/>
                <w:szCs w:val="20"/>
                <w:lang w:bidi="ar"/>
              </w:rPr>
              <w:t>，精度：±3 W/m²，分辨率：1W/m²；</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10.数据采集器，存储容量≥1年，采集间隔1min~24h可设；</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11.GPRS/4G无线传输，传输接口：支持RS485线缆传输接口；本地存储数据：16G,CSV格式；</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12.市政（AC220V）和太阳能(DC12V)单/双供电+蓄电池，连续阴雨天≥7天；</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13.防护等级：外壳IP54；电气IP65；传感器IP67，工作温度-15℃~+55℃，相对湿度：10%～95%RH；</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14.304不锈钢材质，抗风沙腐蚀；</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15.含安装支架、基础及配套软件。</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7E701AF1">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lang w:bidi="ar"/>
              </w:rPr>
              <w:t>个</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6A526566">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2</w:t>
            </w:r>
          </w:p>
        </w:tc>
      </w:tr>
      <w:tr w14:paraId="113CCC02">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7F4AA141">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2</w:t>
            </w:r>
          </w:p>
        </w:tc>
        <w:tc>
          <w:tcPr>
            <w:tcW w:w="1076" w:type="pct"/>
            <w:tcBorders>
              <w:top w:val="single" w:color="000000" w:sz="4" w:space="0"/>
              <w:left w:val="single" w:color="000000" w:sz="4" w:space="0"/>
              <w:bottom w:val="single" w:color="000000" w:sz="4" w:space="0"/>
              <w:right w:val="single" w:color="000000" w:sz="4" w:space="0"/>
            </w:tcBorders>
            <w:vAlign w:val="center"/>
          </w:tcPr>
          <w:p w14:paraId="6F86C4E2">
            <w:pPr>
              <w:widowControl/>
              <w:jc w:val="center"/>
              <w:textAlignment w:val="center"/>
              <w:rPr>
                <w:rFonts w:hint="eastAsia" w:ascii="仿宋_GB2312" w:hAnsi="宋体" w:eastAsia="仿宋_GB2312" w:cs="仿宋_GB2312"/>
                <w:color w:val="000000"/>
                <w:sz w:val="22"/>
                <w:szCs w:val="22"/>
              </w:rPr>
            </w:pPr>
            <w:r>
              <w:rPr>
                <w:rFonts w:ascii="仿宋_GB2312" w:hAnsi="宋体" w:eastAsia="仿宋_GB2312" w:cs="仿宋_GB2312"/>
                <w:color w:val="000000"/>
                <w:kern w:val="0"/>
                <w:sz w:val="22"/>
                <w:szCs w:val="22"/>
                <w:lang w:bidi="ar"/>
              </w:rPr>
              <w:t>无人机</w:t>
            </w:r>
          </w:p>
        </w:tc>
        <w:tc>
          <w:tcPr>
            <w:tcW w:w="2671" w:type="pct"/>
            <w:tcBorders>
              <w:top w:val="single" w:color="000000" w:sz="4" w:space="0"/>
              <w:left w:val="single" w:color="000000" w:sz="4" w:space="0"/>
              <w:bottom w:val="single" w:color="000000" w:sz="4" w:space="0"/>
              <w:right w:val="single" w:color="000000" w:sz="4" w:space="0"/>
            </w:tcBorders>
            <w:vAlign w:val="center"/>
          </w:tcPr>
          <w:p w14:paraId="63D35CBA">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1.多旋翼测绘无人机，起飞重量≤1.5kg；</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2.单电池续航时间≥45分钟；</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3.广角相机≥2000万像素，配备机械快门，最快0.5秒定时拍照；</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4.支持RTK厘米级定位，水平精度±1cm+1ppm，垂直精度±1.5cm+1ppm；</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5.最大抗风等级6级（12m/s）；</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6.最大飞行海拔≥5000m，适用于高海拔地区；</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7.工作温度-20℃~+50℃；</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8.图传距离≥5km；</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9.支持航点规划、正射影像采集；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10.含遥控器、充电管家、备用电池≥2块、收纳箱。</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33CBC82B">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lang w:bidi="ar"/>
              </w:rPr>
              <w:t>台</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1A750134">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1</w:t>
            </w:r>
          </w:p>
        </w:tc>
      </w:tr>
      <w:tr w14:paraId="36A33464">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64576238">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w:t>
            </w:r>
          </w:p>
        </w:tc>
        <w:tc>
          <w:tcPr>
            <w:tcW w:w="1076" w:type="pct"/>
            <w:tcBorders>
              <w:top w:val="single" w:color="000000" w:sz="4" w:space="0"/>
              <w:left w:val="single" w:color="000000" w:sz="4" w:space="0"/>
              <w:bottom w:val="single" w:color="000000" w:sz="4" w:space="0"/>
              <w:right w:val="single" w:color="000000" w:sz="4" w:space="0"/>
            </w:tcBorders>
            <w:vAlign w:val="center"/>
          </w:tcPr>
          <w:p w14:paraId="343C289B">
            <w:pPr>
              <w:widowControl/>
              <w:jc w:val="center"/>
              <w:textAlignment w:val="center"/>
              <w:rPr>
                <w:rFonts w:hint="eastAsia" w:ascii="仿宋_GB2312" w:hAnsi="宋体" w:eastAsia="仿宋_GB2312" w:cs="仿宋_GB2312"/>
                <w:color w:val="000000"/>
                <w:sz w:val="22"/>
                <w:szCs w:val="22"/>
              </w:rPr>
            </w:pPr>
            <w:r>
              <w:rPr>
                <w:rFonts w:ascii="仿宋_GB2312" w:hAnsi="宋体" w:eastAsia="仿宋_GB2312" w:cs="仿宋_GB2312"/>
                <w:color w:val="000000"/>
                <w:kern w:val="0"/>
                <w:sz w:val="22"/>
                <w:szCs w:val="22"/>
                <w:lang w:bidi="ar"/>
              </w:rPr>
              <w:t>植被盖度测量仪+植被盖度仪翻译软件</w:t>
            </w:r>
          </w:p>
        </w:tc>
        <w:tc>
          <w:tcPr>
            <w:tcW w:w="2671" w:type="pct"/>
            <w:tcBorders>
              <w:top w:val="single" w:color="000000" w:sz="4" w:space="0"/>
              <w:left w:val="single" w:color="000000" w:sz="4" w:space="0"/>
              <w:bottom w:val="single" w:color="000000" w:sz="4" w:space="0"/>
              <w:right w:val="single" w:color="000000" w:sz="4" w:space="0"/>
            </w:tcBorders>
            <w:vAlign w:val="center"/>
          </w:tcPr>
          <w:p w14:paraId="618F9E9E">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2台测量仪：1.基于数字图像分析法测量植被覆盖度；</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2.高分辨率CMOS传感器，像素≥1200万；</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3.测量范围0~100%，测量误差≤3%；</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4.内置GPS定位模块，记录采样点坐标；</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5.便携式设计，重量≤1kg；</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6.锂电池供电，连续工作≥8小时；</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7.配套植被盖度分析软件，支持图像自动分割、批量处理；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8.数据可导出Excel格式；</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9.工作温度-10℃~+50℃；</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10.含遮光罩、三脚架、数据传输线。</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配1套翻译软件:1.支持中英文等多语言界面切换；</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2.内置多种图像分割算法（阈值法、机器学习法）；</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3.支持批量处理，单次≥100张；</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4.可计算植被覆盖度、郁闭度、叶面积指数等指标；</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5.支持NDVI、EVI等多种植被指数计算；</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6.数据导出格式：Excel、PDF、图片；</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7.支持GPS坐标与影像关联；</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8.含软件加密锁、用户手册、1年免费升级。</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67AFB162">
            <w:pPr>
              <w:widowControl/>
              <w:jc w:val="center"/>
              <w:textAlignment w:val="center"/>
              <w:rPr>
                <w:rFonts w:hint="eastAsia" w:ascii="仿宋_GB2312" w:hAnsi="宋体" w:eastAsia="仿宋_GB2312" w:cs="仿宋_GB2312"/>
                <w:color w:val="000000"/>
                <w:sz w:val="22"/>
                <w:szCs w:val="22"/>
              </w:rPr>
            </w:pPr>
            <w:r>
              <w:rPr>
                <w:rFonts w:ascii="仿宋_GB2312" w:hAnsi="宋体" w:eastAsia="仿宋_GB2312" w:cs="仿宋_GB2312"/>
                <w:color w:val="000000"/>
                <w:kern w:val="0"/>
                <w:sz w:val="22"/>
                <w:szCs w:val="22"/>
                <w:lang w:bidi="ar"/>
              </w:rPr>
              <w:t>台</w:t>
            </w:r>
            <w:r>
              <w:rPr>
                <w:rFonts w:ascii="Times New Roman" w:hAnsi="Times New Roman" w:eastAsia="仿宋_GB2312" w:cs="Times New Roman"/>
                <w:color w:val="000000"/>
                <w:kern w:val="0"/>
                <w:sz w:val="22"/>
                <w:szCs w:val="22"/>
                <w:lang w:bidi="ar"/>
              </w:rPr>
              <w:t>/</w:t>
            </w:r>
            <w:r>
              <w:rPr>
                <w:rFonts w:hint="eastAsia" w:ascii="宋体" w:hAnsi="宋体" w:eastAsia="宋体" w:cs="宋体"/>
                <w:color w:val="000000"/>
                <w:sz w:val="22"/>
                <w:szCs w:val="22"/>
                <w:lang w:bidi="ar"/>
              </w:rPr>
              <w:t>套</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332D91DB">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2</w:t>
            </w:r>
            <w:r>
              <w:rPr>
                <w:rFonts w:hint="eastAsia" w:ascii="宋体" w:hAnsi="宋体" w:eastAsia="宋体" w:cs="宋体"/>
                <w:color w:val="000000"/>
                <w:sz w:val="22"/>
                <w:szCs w:val="22"/>
                <w:lang w:bidi="ar"/>
              </w:rPr>
              <w:t>台</w:t>
            </w:r>
            <w:r>
              <w:rPr>
                <w:rFonts w:ascii="Times New Roman" w:hAnsi="Times New Roman" w:eastAsia="宋体" w:cs="Times New Roman"/>
                <w:color w:val="000000"/>
                <w:kern w:val="0"/>
                <w:sz w:val="22"/>
                <w:szCs w:val="22"/>
                <w:lang w:bidi="ar"/>
              </w:rPr>
              <w:t>/1</w:t>
            </w:r>
            <w:r>
              <w:rPr>
                <w:rFonts w:hint="eastAsia" w:ascii="宋体" w:hAnsi="宋体" w:eastAsia="宋体" w:cs="宋体"/>
                <w:color w:val="000000"/>
                <w:sz w:val="22"/>
                <w:szCs w:val="22"/>
                <w:lang w:bidi="ar"/>
              </w:rPr>
              <w:t>套</w:t>
            </w:r>
          </w:p>
        </w:tc>
      </w:tr>
      <w:tr w14:paraId="211B0AE3">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3CCC0CC2">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4</w:t>
            </w:r>
          </w:p>
        </w:tc>
        <w:tc>
          <w:tcPr>
            <w:tcW w:w="1076" w:type="pct"/>
            <w:tcBorders>
              <w:top w:val="single" w:color="000000" w:sz="4" w:space="0"/>
              <w:left w:val="single" w:color="000000" w:sz="4" w:space="0"/>
              <w:bottom w:val="single" w:color="000000" w:sz="4" w:space="0"/>
              <w:right w:val="single" w:color="000000" w:sz="4" w:space="0"/>
            </w:tcBorders>
            <w:vAlign w:val="center"/>
          </w:tcPr>
          <w:p w14:paraId="479F5FB1">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lang w:bidi="ar"/>
              </w:rPr>
              <w:t>智慧型风蚀通量观测塔</w:t>
            </w:r>
          </w:p>
        </w:tc>
        <w:tc>
          <w:tcPr>
            <w:tcW w:w="2671" w:type="pct"/>
            <w:tcBorders>
              <w:top w:val="single" w:color="000000" w:sz="4" w:space="0"/>
              <w:left w:val="single" w:color="000000" w:sz="4" w:space="0"/>
              <w:bottom w:val="single" w:color="000000" w:sz="4" w:space="0"/>
              <w:right w:val="single" w:color="000000" w:sz="4" w:space="0"/>
            </w:tcBorders>
            <w:vAlign w:val="center"/>
          </w:tcPr>
          <w:p w14:paraId="7AC7DE4D">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1.塔高≥10m，三角桁架钢结构；</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2.配置6套自动集沙装置（1m~10m梯度布设）；</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3.配置6套风速仪（与集沙装置同高度梯度布设）；</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4.配置1套风向传感器（塔顶）；</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5.配置1套太阳辐射传感器；</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6.低功耗 ，多通道同步采集；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7.GPRS/4G无线数据传输，远程监控；</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8.太阳能供电系统，含光伏板、蓄电池、控制器；</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9.防雷接地系统，接地电阻≤4Ω；</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10.抗风等级≥12级，设计使用年限≥20年；</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11.含基础施工、安装调试、配套软件。</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4C639110">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lang w:bidi="ar"/>
              </w:rPr>
              <w:t>套</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2FFD1376">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1</w:t>
            </w:r>
          </w:p>
        </w:tc>
      </w:tr>
      <w:tr w14:paraId="14A1C3B4">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0F28F34D">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5</w:t>
            </w:r>
          </w:p>
        </w:tc>
        <w:tc>
          <w:tcPr>
            <w:tcW w:w="1076" w:type="pct"/>
            <w:tcBorders>
              <w:top w:val="single" w:color="000000" w:sz="4" w:space="0"/>
              <w:left w:val="single" w:color="000000" w:sz="4" w:space="0"/>
              <w:bottom w:val="single" w:color="000000" w:sz="4" w:space="0"/>
              <w:right w:val="single" w:color="000000" w:sz="4" w:space="0"/>
            </w:tcBorders>
            <w:vAlign w:val="center"/>
          </w:tcPr>
          <w:p w14:paraId="26E74117">
            <w:pPr>
              <w:widowControl/>
              <w:jc w:val="center"/>
              <w:textAlignment w:val="center"/>
              <w:rPr>
                <w:rFonts w:hint="eastAsia" w:ascii="仿宋_GB2312" w:hAnsi="宋体" w:eastAsia="仿宋_GB2312" w:cs="仿宋_GB2312"/>
                <w:color w:val="000000"/>
                <w:sz w:val="22"/>
                <w:szCs w:val="22"/>
              </w:rPr>
            </w:pPr>
            <w:r>
              <w:rPr>
                <w:rFonts w:ascii="仿宋_GB2312" w:hAnsi="宋体" w:eastAsia="仿宋_GB2312" w:cs="仿宋_GB2312"/>
                <w:color w:val="000000"/>
                <w:kern w:val="0"/>
                <w:sz w:val="22"/>
                <w:szCs w:val="22"/>
                <w:lang w:bidi="ar"/>
              </w:rPr>
              <w:t>自动集沙装置</w:t>
            </w:r>
          </w:p>
        </w:tc>
        <w:tc>
          <w:tcPr>
            <w:tcW w:w="2671" w:type="pct"/>
            <w:tcBorders>
              <w:top w:val="single" w:color="000000" w:sz="4" w:space="0"/>
              <w:left w:val="single" w:color="000000" w:sz="4" w:space="0"/>
              <w:bottom w:val="single" w:color="000000" w:sz="4" w:space="0"/>
              <w:right w:val="single" w:color="000000" w:sz="4" w:space="0"/>
            </w:tcBorders>
            <w:vAlign w:val="center"/>
          </w:tcPr>
          <w:p w14:paraId="5717B3A5">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1.风向自动跟踪结构，集沙口始终对准来风方向；</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2.集沙口尺寸2cm×5cm（宽×高）；</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3.集沙盒容量≥500g，60目不锈钢筛网；</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4.沙尘收集效率≥90%；</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5.可选配高精度称重模块，分辨率0.1g；</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6.304不锈钢材质，表面抛光处理；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7.含排气孔、降速腔设计；</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8.工作温度-40℃~+60℃；</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9.使用寿命≥10年。</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706591C4">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lang w:bidi="ar"/>
              </w:rPr>
              <w:t>套</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1DA20AD9">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6</w:t>
            </w:r>
          </w:p>
        </w:tc>
      </w:tr>
      <w:tr w14:paraId="41123844">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68295E85">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6</w:t>
            </w:r>
          </w:p>
        </w:tc>
        <w:tc>
          <w:tcPr>
            <w:tcW w:w="1076" w:type="pct"/>
            <w:tcBorders>
              <w:top w:val="single" w:color="000000" w:sz="4" w:space="0"/>
              <w:left w:val="single" w:color="000000" w:sz="4" w:space="0"/>
              <w:bottom w:val="single" w:color="000000" w:sz="4" w:space="0"/>
              <w:right w:val="single" w:color="000000" w:sz="4" w:space="0"/>
            </w:tcBorders>
            <w:vAlign w:val="center"/>
          </w:tcPr>
          <w:p w14:paraId="0EF8905D">
            <w:pPr>
              <w:widowControl/>
              <w:jc w:val="center"/>
              <w:textAlignment w:val="center"/>
              <w:rPr>
                <w:rFonts w:hint="eastAsia" w:ascii="仿宋_GB2312" w:hAnsi="宋体" w:eastAsia="仿宋_GB2312" w:cs="仿宋_GB2312"/>
                <w:color w:val="000000"/>
                <w:sz w:val="22"/>
                <w:szCs w:val="22"/>
              </w:rPr>
            </w:pPr>
            <w:r>
              <w:rPr>
                <w:rFonts w:ascii="仿宋_GB2312" w:hAnsi="宋体" w:eastAsia="仿宋_GB2312" w:cs="仿宋_GB2312"/>
                <w:color w:val="000000"/>
                <w:kern w:val="0"/>
                <w:sz w:val="22"/>
                <w:szCs w:val="22"/>
                <w:lang w:bidi="ar"/>
              </w:rPr>
              <w:t>风速仪</w:t>
            </w:r>
          </w:p>
        </w:tc>
        <w:tc>
          <w:tcPr>
            <w:tcW w:w="2671" w:type="pct"/>
            <w:tcBorders>
              <w:top w:val="single" w:color="000000" w:sz="4" w:space="0"/>
              <w:left w:val="single" w:color="000000" w:sz="4" w:space="0"/>
              <w:bottom w:val="single" w:color="000000" w:sz="4" w:space="0"/>
              <w:right w:val="single" w:color="000000" w:sz="4" w:space="0"/>
            </w:tcBorders>
            <w:vAlign w:val="center"/>
          </w:tcPr>
          <w:p w14:paraId="6D56329E">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1.测量范围0~60m/s；</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2.准确度±(0.3+0.03V)m/s；</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3.分辨率0.1m/s；</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4.启动风速≤0.5m/s；</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5.输出信号：RS485（Modbus协议）/4-20mA可选；</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6.工作温度-40℃~+60℃；</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7.防护等级IP65；</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8.风杯式或超声波式，抗风沙设计；</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9.含安装支架、信号线。</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30E6FEF4">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lang w:bidi="ar"/>
              </w:rPr>
              <w:t>套</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1B8C1CD2">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6</w:t>
            </w:r>
          </w:p>
        </w:tc>
      </w:tr>
      <w:tr w14:paraId="13B1DDDB">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046FB2A3">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7</w:t>
            </w:r>
          </w:p>
        </w:tc>
        <w:tc>
          <w:tcPr>
            <w:tcW w:w="1076" w:type="pct"/>
            <w:tcBorders>
              <w:top w:val="single" w:color="000000" w:sz="4" w:space="0"/>
              <w:left w:val="single" w:color="000000" w:sz="4" w:space="0"/>
              <w:bottom w:val="single" w:color="000000" w:sz="4" w:space="0"/>
              <w:right w:val="single" w:color="000000" w:sz="4" w:space="0"/>
            </w:tcBorders>
            <w:vAlign w:val="center"/>
          </w:tcPr>
          <w:p w14:paraId="7D68CEF1">
            <w:pPr>
              <w:widowControl/>
              <w:jc w:val="center"/>
              <w:textAlignment w:val="center"/>
              <w:rPr>
                <w:rFonts w:hint="eastAsia" w:ascii="仿宋_GB2312" w:hAnsi="宋体" w:eastAsia="仿宋_GB2312" w:cs="仿宋_GB2312"/>
                <w:color w:val="000000"/>
                <w:sz w:val="22"/>
                <w:szCs w:val="22"/>
              </w:rPr>
            </w:pPr>
            <w:r>
              <w:rPr>
                <w:rFonts w:ascii="仿宋_GB2312" w:hAnsi="宋体" w:eastAsia="仿宋_GB2312" w:cs="仿宋_GB2312"/>
                <w:color w:val="000000"/>
                <w:kern w:val="0"/>
                <w:sz w:val="22"/>
                <w:szCs w:val="22"/>
                <w:lang w:bidi="ar"/>
              </w:rPr>
              <w:t>风向传感器</w:t>
            </w:r>
          </w:p>
        </w:tc>
        <w:tc>
          <w:tcPr>
            <w:tcW w:w="2671" w:type="pct"/>
            <w:tcBorders>
              <w:top w:val="single" w:color="000000" w:sz="4" w:space="0"/>
              <w:left w:val="single" w:color="000000" w:sz="4" w:space="0"/>
              <w:bottom w:val="single" w:color="000000" w:sz="4" w:space="0"/>
              <w:right w:val="single" w:color="000000" w:sz="4" w:space="0"/>
            </w:tcBorders>
            <w:vAlign w:val="center"/>
          </w:tcPr>
          <w:p w14:paraId="53CB2286">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1.测量范围0~360°；</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2.准确度±3°；</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3.分辨率1°；</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4.启动风速≤0.5m/s；</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5.输出信号：RS485（Modbus协议）/4-20mA可选；</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6.工作温度-40℃~+60℃；</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7.防护等级IP65；</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8.防冰冻、抗风沙设计；</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9.含安装支架、信号线。</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4C61DA13">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lang w:bidi="ar"/>
              </w:rPr>
              <w:t>套</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011175F5">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1</w:t>
            </w:r>
          </w:p>
        </w:tc>
      </w:tr>
      <w:tr w14:paraId="435E3DB8">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42876E72">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8</w:t>
            </w:r>
          </w:p>
        </w:tc>
        <w:tc>
          <w:tcPr>
            <w:tcW w:w="1076" w:type="pct"/>
            <w:tcBorders>
              <w:top w:val="single" w:color="000000" w:sz="4" w:space="0"/>
              <w:left w:val="single" w:color="000000" w:sz="4" w:space="0"/>
              <w:bottom w:val="single" w:color="000000" w:sz="4" w:space="0"/>
              <w:right w:val="single" w:color="000000" w:sz="4" w:space="0"/>
            </w:tcBorders>
            <w:vAlign w:val="center"/>
          </w:tcPr>
          <w:p w14:paraId="2D041FB8">
            <w:pPr>
              <w:widowControl/>
              <w:jc w:val="center"/>
              <w:textAlignment w:val="center"/>
              <w:rPr>
                <w:rFonts w:hint="eastAsia" w:ascii="仿宋_GB2312" w:hAnsi="宋体" w:eastAsia="仿宋_GB2312" w:cs="仿宋_GB2312"/>
                <w:color w:val="000000"/>
                <w:sz w:val="22"/>
                <w:szCs w:val="22"/>
              </w:rPr>
            </w:pPr>
            <w:r>
              <w:rPr>
                <w:rFonts w:ascii="仿宋_GB2312" w:hAnsi="宋体" w:eastAsia="仿宋_GB2312" w:cs="仿宋_GB2312"/>
                <w:color w:val="000000"/>
                <w:kern w:val="0"/>
                <w:sz w:val="22"/>
                <w:szCs w:val="22"/>
                <w:lang w:bidi="ar"/>
              </w:rPr>
              <w:t>太阳辐射传感器</w:t>
            </w:r>
          </w:p>
        </w:tc>
        <w:tc>
          <w:tcPr>
            <w:tcW w:w="2671" w:type="pct"/>
            <w:tcBorders>
              <w:top w:val="single" w:color="000000" w:sz="4" w:space="0"/>
              <w:left w:val="single" w:color="000000" w:sz="4" w:space="0"/>
              <w:bottom w:val="single" w:color="000000" w:sz="4" w:space="0"/>
              <w:right w:val="single" w:color="000000" w:sz="4" w:space="0"/>
            </w:tcBorders>
            <w:vAlign w:val="center"/>
          </w:tcPr>
          <w:p w14:paraId="4622DFD0">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1.测量范围0~2000W/m²；</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2.准确度±5%；</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3.分辨率1W/m²；</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4.光谱范围300~3000nm；</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5.输出信号：RS485/4-20mA可选；</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6.双层玻璃罩，防凝结设计；</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7.工作温度-40℃~+60℃；</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8.防护等级IP65；</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9.含水平调节安装支架。</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355A6401">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lang w:bidi="ar"/>
              </w:rPr>
              <w:t>套</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765ADBC8">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1</w:t>
            </w:r>
          </w:p>
        </w:tc>
      </w:tr>
      <w:tr w14:paraId="5727CF6E">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585CF6AF">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9</w:t>
            </w:r>
          </w:p>
        </w:tc>
        <w:tc>
          <w:tcPr>
            <w:tcW w:w="1076" w:type="pct"/>
            <w:tcBorders>
              <w:top w:val="single" w:color="000000" w:sz="4" w:space="0"/>
              <w:left w:val="single" w:color="000000" w:sz="4" w:space="0"/>
              <w:bottom w:val="single" w:color="000000" w:sz="4" w:space="0"/>
              <w:right w:val="single" w:color="000000" w:sz="4" w:space="0"/>
            </w:tcBorders>
            <w:vAlign w:val="center"/>
          </w:tcPr>
          <w:p w14:paraId="298FFE5E">
            <w:pPr>
              <w:widowControl/>
              <w:jc w:val="center"/>
              <w:textAlignment w:val="center"/>
              <w:rPr>
                <w:rFonts w:hint="eastAsia" w:ascii="仿宋_GB2312" w:hAnsi="宋体" w:eastAsia="仿宋_GB2312" w:cs="仿宋_GB2312"/>
                <w:color w:val="000000"/>
                <w:sz w:val="22"/>
                <w:szCs w:val="22"/>
              </w:rPr>
            </w:pPr>
            <w:r>
              <w:rPr>
                <w:rFonts w:ascii="仿宋_GB2312" w:hAnsi="宋体" w:eastAsia="仿宋_GB2312" w:cs="仿宋_GB2312"/>
                <w:color w:val="000000"/>
                <w:kern w:val="0"/>
                <w:sz w:val="22"/>
                <w:szCs w:val="22"/>
                <w:lang w:bidi="ar"/>
              </w:rPr>
              <w:t>观测塔</w:t>
            </w:r>
          </w:p>
        </w:tc>
        <w:tc>
          <w:tcPr>
            <w:tcW w:w="2671" w:type="pct"/>
            <w:tcBorders>
              <w:top w:val="single" w:color="000000" w:sz="4" w:space="0"/>
              <w:left w:val="single" w:color="000000" w:sz="4" w:space="0"/>
              <w:bottom w:val="single" w:color="000000" w:sz="4" w:space="0"/>
              <w:right w:val="single" w:color="000000" w:sz="4" w:space="0"/>
            </w:tcBorders>
            <w:vAlign w:val="center"/>
          </w:tcPr>
          <w:p w14:paraId="3AB31EA6">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1.塔高≥10m，三角桁架结构；</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2.主材Q235B钢材，整体热镀锌防腐处理；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3.抗风等级≥12级（风速≥32.7m/s）；</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4.含避雷针、接地装置，接地电阻≤4Ω；</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5.含多层仪器安装横臂（≥6层）；</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6.基础预埋件及混凝土基础（C30）；</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7.设计使用年限≥20年；</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8.含运输、安装、调试。</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3513CA1D">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lang w:bidi="ar"/>
              </w:rPr>
              <w:t>套</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55D8C535">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1</w:t>
            </w:r>
          </w:p>
        </w:tc>
      </w:tr>
      <w:tr w14:paraId="691A1B64">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01D766AE">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10</w:t>
            </w:r>
          </w:p>
        </w:tc>
        <w:tc>
          <w:tcPr>
            <w:tcW w:w="1076" w:type="pct"/>
            <w:tcBorders>
              <w:top w:val="single" w:color="000000" w:sz="4" w:space="0"/>
              <w:left w:val="single" w:color="000000" w:sz="4" w:space="0"/>
              <w:bottom w:val="single" w:color="000000" w:sz="4" w:space="0"/>
              <w:right w:val="single" w:color="000000" w:sz="4" w:space="0"/>
            </w:tcBorders>
            <w:vAlign w:val="center"/>
          </w:tcPr>
          <w:p w14:paraId="7AAF719F">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lang w:bidi="ar"/>
              </w:rPr>
              <w:t>精细型不锈钢风蚀测钎</w:t>
            </w:r>
          </w:p>
        </w:tc>
        <w:tc>
          <w:tcPr>
            <w:tcW w:w="2671" w:type="pct"/>
            <w:tcBorders>
              <w:top w:val="single" w:color="000000" w:sz="4" w:space="0"/>
              <w:left w:val="single" w:color="000000" w:sz="4" w:space="0"/>
              <w:bottom w:val="single" w:color="000000" w:sz="4" w:space="0"/>
              <w:right w:val="single" w:color="000000" w:sz="4" w:space="0"/>
            </w:tcBorders>
            <w:vAlign w:val="center"/>
          </w:tcPr>
          <w:p w14:paraId="6540E77A">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1.材质：304不锈钢，耐腐蚀；</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2.直径：8~10mm；</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3.长度：≥500mm；</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4.刻度量程：0~200mm，分度值1mm；</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5.刻度方式：激光雕刻，永不磨损；</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6.端部：尖锥型，便于打入土中；</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7.顶部：带帽檐，防止雨水冲刷；</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8.表面抛光处理，抗风沙磨蚀；</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9.每根带唯一编号标识。</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5801EC28">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lang w:bidi="ar"/>
              </w:rPr>
              <w:t>根</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7A471564">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60</w:t>
            </w:r>
          </w:p>
        </w:tc>
      </w:tr>
      <w:tr w14:paraId="356E985A">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34739F29">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11</w:t>
            </w:r>
          </w:p>
        </w:tc>
        <w:tc>
          <w:tcPr>
            <w:tcW w:w="1076" w:type="pct"/>
            <w:tcBorders>
              <w:top w:val="single" w:color="000000" w:sz="4" w:space="0"/>
              <w:left w:val="single" w:color="000000" w:sz="4" w:space="0"/>
              <w:bottom w:val="single" w:color="000000" w:sz="4" w:space="0"/>
              <w:right w:val="single" w:color="000000" w:sz="4" w:space="0"/>
            </w:tcBorders>
            <w:vAlign w:val="center"/>
          </w:tcPr>
          <w:p w14:paraId="687AE568">
            <w:pPr>
              <w:widowControl/>
              <w:jc w:val="center"/>
              <w:textAlignment w:val="center"/>
              <w:rPr>
                <w:rFonts w:hint="eastAsia" w:ascii="仿宋_GB2312" w:hAnsi="宋体" w:eastAsia="仿宋_GB2312" w:cs="仿宋_GB2312"/>
                <w:color w:val="000000"/>
                <w:sz w:val="22"/>
                <w:szCs w:val="22"/>
              </w:rPr>
            </w:pPr>
            <w:r>
              <w:rPr>
                <w:rFonts w:ascii="仿宋_GB2312" w:hAnsi="宋体" w:eastAsia="仿宋_GB2312" w:cs="仿宋_GB2312"/>
                <w:color w:val="000000"/>
                <w:kern w:val="0"/>
                <w:sz w:val="22"/>
                <w:szCs w:val="22"/>
                <w:lang w:bidi="ar"/>
              </w:rPr>
              <w:t>土壤侵蚀厚度测距仪</w:t>
            </w:r>
          </w:p>
        </w:tc>
        <w:tc>
          <w:tcPr>
            <w:tcW w:w="2671" w:type="pct"/>
            <w:tcBorders>
              <w:top w:val="single" w:color="000000" w:sz="4" w:space="0"/>
              <w:left w:val="single" w:color="000000" w:sz="4" w:space="0"/>
              <w:bottom w:val="single" w:color="000000" w:sz="4" w:space="0"/>
              <w:right w:val="single" w:color="000000" w:sz="4" w:space="0"/>
            </w:tcBorders>
            <w:vAlign w:val="center"/>
          </w:tcPr>
          <w:p w14:paraId="20CFC62C">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1.测量原理：激光测距；</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2.测量范围：0~500mm；</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3.测量精度：±1mm；</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4.分辨率：0.1mm；</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5.数显直读，LCD显示屏；</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6.锂电池供电，连续工作≥20小时；</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7.防护等级IP65，防尘防水；</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8.工作温度-20℃~+60℃；</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9.含测量支架、充电器、便携箱；</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10.适用于风蚀/水蚀土壤厚度变化监测。</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24F4DCCB">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lang w:bidi="ar"/>
              </w:rPr>
              <w:t>台</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097B77C9">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12</w:t>
            </w:r>
          </w:p>
        </w:tc>
      </w:tr>
      <w:tr w14:paraId="56A499C8">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6E36C98E">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12</w:t>
            </w:r>
          </w:p>
        </w:tc>
        <w:tc>
          <w:tcPr>
            <w:tcW w:w="1076" w:type="pct"/>
            <w:tcBorders>
              <w:top w:val="single" w:color="000000" w:sz="4" w:space="0"/>
              <w:left w:val="single" w:color="000000" w:sz="4" w:space="0"/>
              <w:bottom w:val="single" w:color="000000" w:sz="4" w:space="0"/>
              <w:right w:val="single" w:color="000000" w:sz="4" w:space="0"/>
            </w:tcBorders>
            <w:vAlign w:val="center"/>
          </w:tcPr>
          <w:p w14:paraId="4D84DDC7">
            <w:pPr>
              <w:widowControl/>
              <w:jc w:val="center"/>
              <w:textAlignment w:val="center"/>
              <w:rPr>
                <w:rFonts w:hint="eastAsia" w:ascii="仿宋_GB2312" w:hAnsi="宋体" w:eastAsia="仿宋_GB2312" w:cs="仿宋_GB2312"/>
                <w:color w:val="000000"/>
                <w:sz w:val="22"/>
                <w:szCs w:val="22"/>
              </w:rPr>
            </w:pPr>
            <w:r>
              <w:rPr>
                <w:rFonts w:ascii="仿宋_GB2312" w:hAnsi="宋体" w:eastAsia="仿宋_GB2312" w:cs="仿宋_GB2312"/>
                <w:color w:val="000000"/>
                <w:kern w:val="0"/>
                <w:sz w:val="22"/>
                <w:szCs w:val="22"/>
                <w:lang w:bidi="ar"/>
              </w:rPr>
              <w:t>全自动气象站（</w:t>
            </w:r>
            <w:r>
              <w:rPr>
                <w:rFonts w:ascii="Times New Roman" w:hAnsi="Times New Roman" w:eastAsia="仿宋_GB2312" w:cs="Times New Roman"/>
                <w:color w:val="000000"/>
                <w:kern w:val="0"/>
                <w:sz w:val="22"/>
                <w:szCs w:val="22"/>
                <w:lang w:bidi="ar"/>
              </w:rPr>
              <w:t>9</w:t>
            </w:r>
            <w:r>
              <w:rPr>
                <w:rFonts w:ascii="仿宋_GB2312" w:hAnsi="宋体" w:eastAsia="仿宋_GB2312" w:cs="仿宋_GB2312"/>
                <w:color w:val="000000"/>
                <w:kern w:val="0"/>
                <w:sz w:val="22"/>
                <w:szCs w:val="22"/>
                <w:lang w:bidi="ar"/>
              </w:rPr>
              <w:t>要素）</w:t>
            </w:r>
          </w:p>
        </w:tc>
        <w:tc>
          <w:tcPr>
            <w:tcW w:w="2671" w:type="pct"/>
            <w:tcBorders>
              <w:top w:val="single" w:color="000000" w:sz="4" w:space="0"/>
              <w:left w:val="single" w:color="000000" w:sz="4" w:space="0"/>
              <w:bottom w:val="single" w:color="000000" w:sz="4" w:space="0"/>
              <w:right w:val="single" w:color="000000" w:sz="4" w:space="0"/>
            </w:tcBorders>
            <w:vAlign w:val="center"/>
          </w:tcPr>
          <w:p w14:paraId="02208E82">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1.监测要素：风速、风向、气温、相对湿度、大气压力、降雨量、蒸发、土壤温度、土壤水分（共9要素）；</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2.风速：0~70m/s，准确度±(0.3+0.03V)m/s，分辨率0.1m/s；</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3.风向：0~360°，准确度±3°，分辨率3°；</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4.气温：-50~+80℃，准确度±0.1℃，分辨率0.1℃；</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5.湿度：0~100%RH，准确度±2%（≤80%时）±5%（＞80%时）RH，分辨率1%RH；</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6.气压：500~1100hPa，准确度±0.3hPa，分辨率0.1hPa；</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7.雨量：0～999.9mm、分辨率0.1mm、精度±0.4mm（≤10mm时）±4%（＞10mm时）；</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8.蒸发：测量范围0～100mm、分辨率0.1mm、精度±1.5%；</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9.土壤温度：-40~+80℃，精度：±0.5℃；土壤水分0~100%，精度±2%，分辨率：0.1%；</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10.数据采集器：存储≥1年，采集间隔1min~24h可设；</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11.通信方式：GPRS/4G无线传输，支持远程访问；</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12.供电：太阳能+蓄电池，连续阴雨天≥7天；</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13.10m风杆，热镀锌防腐，抗风≥12级；</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14.含安装基础、调试、配套软件。</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4C58C9C4">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lang w:bidi="ar"/>
              </w:rPr>
              <w:t>套</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6D85EB9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w:t>
            </w:r>
          </w:p>
        </w:tc>
      </w:tr>
      <w:tr w14:paraId="291ABE33">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02EC9B82">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13</w:t>
            </w:r>
          </w:p>
        </w:tc>
        <w:tc>
          <w:tcPr>
            <w:tcW w:w="1076" w:type="pct"/>
            <w:tcBorders>
              <w:top w:val="single" w:color="000000" w:sz="4" w:space="0"/>
              <w:left w:val="single" w:color="000000" w:sz="4" w:space="0"/>
              <w:bottom w:val="single" w:color="000000" w:sz="4" w:space="0"/>
              <w:right w:val="single" w:color="000000" w:sz="4" w:space="0"/>
            </w:tcBorders>
            <w:vAlign w:val="center"/>
          </w:tcPr>
          <w:p w14:paraId="6097E3EB">
            <w:pPr>
              <w:widowControl/>
              <w:jc w:val="center"/>
              <w:textAlignment w:val="center"/>
              <w:rPr>
                <w:rFonts w:hint="eastAsia" w:ascii="仿宋_GB2312" w:hAnsi="宋体" w:eastAsia="仿宋_GB2312" w:cs="仿宋_GB2312"/>
                <w:color w:val="000000"/>
                <w:sz w:val="22"/>
                <w:szCs w:val="22"/>
              </w:rPr>
            </w:pPr>
            <w:r>
              <w:rPr>
                <w:rFonts w:ascii="仿宋_GB2312" w:hAnsi="宋体" w:eastAsia="仿宋_GB2312" w:cs="仿宋_GB2312"/>
                <w:color w:val="000000"/>
                <w:kern w:val="0"/>
                <w:sz w:val="22"/>
                <w:szCs w:val="22"/>
                <w:lang w:bidi="ar"/>
              </w:rPr>
              <w:t>全方位沙粒蠕移集沙仪</w:t>
            </w:r>
          </w:p>
        </w:tc>
        <w:tc>
          <w:tcPr>
            <w:tcW w:w="2671" w:type="pct"/>
            <w:tcBorders>
              <w:top w:val="single" w:color="000000" w:sz="4" w:space="0"/>
              <w:left w:val="single" w:color="000000" w:sz="4" w:space="0"/>
              <w:bottom w:val="single" w:color="000000" w:sz="4" w:space="0"/>
              <w:right w:val="single" w:color="000000" w:sz="4" w:space="0"/>
            </w:tcBorders>
            <w:vAlign w:val="center"/>
          </w:tcPr>
          <w:p w14:paraId="3C3EC237">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1.用途：收集地表以上1~2mm沿地表滚动/蠕移的沙粒；</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2.集沙方位：16方位全方位（N,NNE,NE,ENE,E,ESE,SE,SSE,S,SSW,SW,WSW,W,WNW,NW,NNW）；</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3.集沙量范围：0.1g~5000g；</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4.称重精度：0.1g（配电子天平）；</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5.进沙口末端设排气孔；</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6.材质：304不锈钢；</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7.圆筒状结构，高度≥350mm，直径≥400mm；</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8.含安装固定支架。</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4566CD83">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lang w:bidi="ar"/>
              </w:rPr>
              <w:t>个</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0659299F">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1</w:t>
            </w:r>
          </w:p>
        </w:tc>
      </w:tr>
      <w:tr w14:paraId="08DFF05B">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0A0DA1BF">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14</w:t>
            </w:r>
          </w:p>
        </w:tc>
        <w:tc>
          <w:tcPr>
            <w:tcW w:w="1076" w:type="pct"/>
            <w:tcBorders>
              <w:top w:val="single" w:color="000000" w:sz="4" w:space="0"/>
              <w:left w:val="single" w:color="000000" w:sz="4" w:space="0"/>
              <w:bottom w:val="single" w:color="000000" w:sz="4" w:space="0"/>
              <w:right w:val="single" w:color="000000" w:sz="4" w:space="0"/>
            </w:tcBorders>
            <w:vAlign w:val="center"/>
          </w:tcPr>
          <w:p w14:paraId="558BC5A2">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16</w:t>
            </w:r>
            <w:r>
              <w:rPr>
                <w:rFonts w:ascii="仿宋_GB2312" w:hAnsi="Times New Roman" w:eastAsia="仿宋_GB2312" w:cs="仿宋_GB2312"/>
                <w:color w:val="000000"/>
                <w:kern w:val="0"/>
                <w:sz w:val="22"/>
                <w:szCs w:val="22"/>
                <w:lang w:bidi="ar"/>
              </w:rPr>
              <w:t>方位跃移集沙仪</w:t>
            </w:r>
          </w:p>
        </w:tc>
        <w:tc>
          <w:tcPr>
            <w:tcW w:w="2671" w:type="pct"/>
            <w:tcBorders>
              <w:top w:val="single" w:color="000000" w:sz="4" w:space="0"/>
              <w:left w:val="single" w:color="000000" w:sz="4" w:space="0"/>
              <w:bottom w:val="single" w:color="000000" w:sz="4" w:space="0"/>
              <w:right w:val="single" w:color="000000" w:sz="4" w:space="0"/>
            </w:tcBorders>
            <w:vAlign w:val="center"/>
          </w:tcPr>
          <w:p w14:paraId="31FDB981">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1.用途：收集跃移运动沙粒（0.1~0.5m高度）；</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2.结构：16个集沙盒沿圆周均匀分布组成一层；</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3.集沙盒材质：304优质不锈钢；</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4.每个集沙盒带0~16号码标识，便于区分方位；</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5.收集口尺寸：20mm×500mm；</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6.集沙盒上部设排气孔和梯形降速腔；</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7.集沙盒取出安装便捷；</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8.含安装支架、固定配件。</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29594B02">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lang w:bidi="ar"/>
              </w:rPr>
              <w:t>个</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3981FA18">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1</w:t>
            </w:r>
          </w:p>
        </w:tc>
      </w:tr>
      <w:tr w14:paraId="0B7E4455">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16631FD3">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15</w:t>
            </w:r>
          </w:p>
        </w:tc>
        <w:tc>
          <w:tcPr>
            <w:tcW w:w="1076" w:type="pct"/>
            <w:tcBorders>
              <w:top w:val="single" w:color="000000" w:sz="4" w:space="0"/>
              <w:left w:val="single" w:color="000000" w:sz="4" w:space="0"/>
              <w:bottom w:val="single" w:color="000000" w:sz="4" w:space="0"/>
              <w:right w:val="single" w:color="000000" w:sz="4" w:space="0"/>
            </w:tcBorders>
            <w:vAlign w:val="center"/>
          </w:tcPr>
          <w:p w14:paraId="720DF790">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4</w:t>
            </w:r>
            <w:r>
              <w:rPr>
                <w:rFonts w:ascii="仿宋_GB2312" w:hAnsi="Times New Roman" w:eastAsia="仿宋_GB2312" w:cs="仿宋_GB2312"/>
                <w:color w:val="000000"/>
                <w:kern w:val="0"/>
                <w:sz w:val="22"/>
                <w:szCs w:val="22"/>
                <w:lang w:bidi="ar"/>
              </w:rPr>
              <w:t>梯度全方位沙尘悬移水平通量集沙仪</w:t>
            </w:r>
            <w:r>
              <w:rPr>
                <w:rFonts w:ascii="Times New Roman" w:hAnsi="Times New Roman" w:eastAsia="宋体" w:cs="Times New Roman"/>
                <w:color w:val="000000"/>
                <w:kern w:val="0"/>
                <w:sz w:val="22"/>
                <w:szCs w:val="22"/>
                <w:lang w:bidi="ar"/>
              </w:rPr>
              <w:t>+</w:t>
            </w:r>
            <w:r>
              <w:rPr>
                <w:rFonts w:ascii="仿宋_GB2312" w:hAnsi="Times New Roman" w:eastAsia="仿宋_GB2312" w:cs="仿宋_GB2312"/>
                <w:color w:val="000000"/>
                <w:kern w:val="0"/>
                <w:sz w:val="22"/>
                <w:szCs w:val="22"/>
                <w:lang w:bidi="ar"/>
              </w:rPr>
              <w:t>降尘缸</w:t>
            </w:r>
          </w:p>
        </w:tc>
        <w:tc>
          <w:tcPr>
            <w:tcW w:w="2671" w:type="pct"/>
            <w:tcBorders>
              <w:top w:val="single" w:color="000000" w:sz="4" w:space="0"/>
              <w:left w:val="single" w:color="000000" w:sz="4" w:space="0"/>
              <w:bottom w:val="single" w:color="000000" w:sz="4" w:space="0"/>
              <w:right w:val="single" w:color="000000" w:sz="4" w:space="0"/>
            </w:tcBorders>
            <w:vAlign w:val="center"/>
          </w:tcPr>
          <w:p w14:paraId="28A733AA">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1.梯度层数：4层（高度可定制）；</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2.集沙方式：全方位水平通量集沙；</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3.集沙口尺寸：2cm×5cm；</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4.降尘缸：直径≥150mm，高度≥300mm，304不锈钢；</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5.材质：整体304不锈钢；</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6.含风向跟踪装置（可选）；</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7.支架高度≥2m，热镀锌防腐；</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8.含安装基础、固定配件；</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9.用于沙尘悬移质通量监测。</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574491EC">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lang w:bidi="ar"/>
              </w:rPr>
              <w:t>套</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6BAB07E7">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1</w:t>
            </w:r>
          </w:p>
        </w:tc>
      </w:tr>
      <w:tr w14:paraId="2E829E54">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6639A7F0">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16</w:t>
            </w:r>
          </w:p>
        </w:tc>
        <w:tc>
          <w:tcPr>
            <w:tcW w:w="1076" w:type="pct"/>
            <w:tcBorders>
              <w:top w:val="single" w:color="000000" w:sz="4" w:space="0"/>
              <w:left w:val="single" w:color="000000" w:sz="4" w:space="0"/>
              <w:bottom w:val="single" w:color="000000" w:sz="4" w:space="0"/>
              <w:right w:val="single" w:color="000000" w:sz="4" w:space="0"/>
            </w:tcBorders>
            <w:vAlign w:val="center"/>
          </w:tcPr>
          <w:p w14:paraId="7F6728F1">
            <w:pPr>
              <w:widowControl/>
              <w:jc w:val="center"/>
              <w:textAlignment w:val="center"/>
              <w:rPr>
                <w:rFonts w:hint="eastAsia" w:ascii="仿宋_GB2312" w:hAnsi="宋体" w:eastAsia="仿宋_GB2312" w:cs="仿宋_GB2312"/>
                <w:color w:val="000000"/>
                <w:sz w:val="22"/>
                <w:szCs w:val="22"/>
              </w:rPr>
            </w:pPr>
            <w:r>
              <w:rPr>
                <w:rFonts w:ascii="仿宋_GB2312" w:hAnsi="宋体" w:eastAsia="仿宋_GB2312" w:cs="仿宋_GB2312"/>
                <w:color w:val="000000"/>
                <w:kern w:val="0"/>
                <w:sz w:val="22"/>
                <w:szCs w:val="22"/>
                <w:lang w:bidi="ar"/>
              </w:rPr>
              <w:t>梯度集沙仪</w:t>
            </w:r>
          </w:p>
        </w:tc>
        <w:tc>
          <w:tcPr>
            <w:tcW w:w="2671" w:type="pct"/>
            <w:tcBorders>
              <w:top w:val="single" w:color="000000" w:sz="4" w:space="0"/>
              <w:left w:val="single" w:color="000000" w:sz="4" w:space="0"/>
              <w:bottom w:val="single" w:color="000000" w:sz="4" w:space="0"/>
              <w:right w:val="single" w:color="000000" w:sz="4" w:space="0"/>
            </w:tcBorders>
            <w:vAlign w:val="center"/>
          </w:tcPr>
          <w:p w14:paraId="6B711C61">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1.梯度层数：≥4层，层间距可调节；</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2.外型尺寸：80mm×（1000mm～500mm）；</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3.集沙盒容量：≥500g/层；</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4.风向自动跟踪，集沙口始终对准来风方向；</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5.材质：304不锈钢；</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6.含排气孔、降速设计；</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7.支架高度≥2m，不锈钢或热镀锌材质；</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8.用于风沙流结构垂直分布监测。</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760091E0">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lang w:bidi="ar"/>
              </w:rPr>
              <w:t>个</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372471A4">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1</w:t>
            </w:r>
          </w:p>
        </w:tc>
      </w:tr>
      <w:tr w14:paraId="02C5FE74">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76062403">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17</w:t>
            </w:r>
          </w:p>
        </w:tc>
        <w:tc>
          <w:tcPr>
            <w:tcW w:w="1076" w:type="pct"/>
            <w:tcBorders>
              <w:top w:val="single" w:color="000000" w:sz="4" w:space="0"/>
              <w:left w:val="single" w:color="000000" w:sz="4" w:space="0"/>
              <w:bottom w:val="single" w:color="000000" w:sz="4" w:space="0"/>
              <w:right w:val="single" w:color="000000" w:sz="4" w:space="0"/>
            </w:tcBorders>
            <w:vAlign w:val="center"/>
          </w:tcPr>
          <w:p w14:paraId="2AA4C57C">
            <w:pPr>
              <w:widowControl/>
              <w:jc w:val="center"/>
              <w:textAlignment w:val="center"/>
              <w:rPr>
                <w:rFonts w:hint="eastAsia" w:ascii="仿宋_GB2312" w:hAnsi="宋体" w:eastAsia="仿宋_GB2312" w:cs="仿宋_GB2312"/>
                <w:color w:val="000000"/>
                <w:sz w:val="22"/>
                <w:szCs w:val="22"/>
              </w:rPr>
            </w:pPr>
            <w:r>
              <w:rPr>
                <w:rFonts w:ascii="仿宋_GB2312" w:hAnsi="宋体" w:eastAsia="仿宋_GB2312" w:cs="仿宋_GB2312"/>
                <w:color w:val="000000"/>
                <w:kern w:val="0"/>
                <w:sz w:val="22"/>
                <w:szCs w:val="22"/>
                <w:lang w:bidi="ar"/>
              </w:rPr>
              <w:t>光伏板</w:t>
            </w:r>
          </w:p>
        </w:tc>
        <w:tc>
          <w:tcPr>
            <w:tcW w:w="2671" w:type="pct"/>
            <w:tcBorders>
              <w:top w:val="single" w:color="000000" w:sz="4" w:space="0"/>
              <w:left w:val="single" w:color="000000" w:sz="4" w:space="0"/>
              <w:bottom w:val="single" w:color="000000" w:sz="4" w:space="0"/>
              <w:right w:val="single" w:color="000000" w:sz="4" w:space="0"/>
            </w:tcBorders>
            <w:vAlign w:val="center"/>
          </w:tcPr>
          <w:p w14:paraId="710C11EB">
            <w:pPr>
              <w:widowControl/>
              <w:jc w:val="left"/>
              <w:textAlignment w:val="center"/>
              <w:rPr>
                <w:rFonts w:hint="eastAsia"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1.类型：单晶硅太阳能电池板；</w:t>
            </w:r>
            <w:r>
              <w:rPr>
                <w:rFonts w:hint="eastAsia" w:ascii="宋体" w:hAnsi="宋体" w:eastAsia="宋体" w:cs="宋体"/>
                <w:color w:val="000000"/>
                <w:kern w:val="0"/>
                <w:sz w:val="20"/>
                <w:szCs w:val="20"/>
                <w:highlight w:val="none"/>
                <w:lang w:bidi="ar"/>
              </w:rPr>
              <w:br w:type="textWrapping"/>
            </w:r>
            <w:r>
              <w:rPr>
                <w:rFonts w:hint="eastAsia" w:ascii="宋体" w:hAnsi="宋体" w:eastAsia="宋体" w:cs="宋体"/>
                <w:color w:val="000000"/>
                <w:kern w:val="0"/>
                <w:sz w:val="20"/>
                <w:szCs w:val="20"/>
                <w:highlight w:val="none"/>
                <w:lang w:bidi="ar"/>
              </w:rPr>
              <w:t>2.功率：≥200W；</w:t>
            </w:r>
            <w:r>
              <w:rPr>
                <w:rFonts w:hint="eastAsia" w:ascii="宋体" w:hAnsi="宋体" w:eastAsia="宋体" w:cs="宋体"/>
                <w:color w:val="000000"/>
                <w:kern w:val="0"/>
                <w:sz w:val="20"/>
                <w:szCs w:val="20"/>
                <w:highlight w:val="none"/>
                <w:lang w:bidi="ar"/>
              </w:rPr>
              <w:br w:type="textWrapping"/>
            </w:r>
            <w:r>
              <w:rPr>
                <w:rFonts w:hint="eastAsia" w:ascii="宋体" w:hAnsi="宋体" w:eastAsia="宋体" w:cs="宋体"/>
                <w:color w:val="000000"/>
                <w:kern w:val="0"/>
                <w:sz w:val="20"/>
                <w:szCs w:val="20"/>
                <w:highlight w:val="none"/>
                <w:lang w:bidi="ar"/>
              </w:rPr>
              <w:t>3.转换效率：≥20%；</w:t>
            </w:r>
            <w:r>
              <w:rPr>
                <w:rFonts w:hint="eastAsia" w:ascii="宋体" w:hAnsi="宋体" w:eastAsia="宋体" w:cs="宋体"/>
                <w:color w:val="000000"/>
                <w:kern w:val="0"/>
                <w:sz w:val="20"/>
                <w:szCs w:val="20"/>
                <w:highlight w:val="none"/>
                <w:lang w:bidi="ar"/>
              </w:rPr>
              <w:br w:type="textWrapping"/>
            </w:r>
            <w:r>
              <w:rPr>
                <w:rFonts w:hint="eastAsia" w:ascii="宋体" w:hAnsi="宋体" w:eastAsia="宋体" w:cs="宋体"/>
                <w:color w:val="000000"/>
                <w:kern w:val="0"/>
                <w:sz w:val="20"/>
                <w:szCs w:val="20"/>
                <w:highlight w:val="none"/>
                <w:lang w:bidi="ar"/>
              </w:rPr>
              <w:t>4.工作电压：18V，开路电压≥21V；</w:t>
            </w:r>
            <w:r>
              <w:rPr>
                <w:rFonts w:hint="eastAsia" w:ascii="宋体" w:hAnsi="宋体" w:eastAsia="宋体" w:cs="宋体"/>
                <w:color w:val="000000"/>
                <w:kern w:val="0"/>
                <w:sz w:val="20"/>
                <w:szCs w:val="20"/>
                <w:highlight w:val="none"/>
                <w:lang w:bidi="ar"/>
              </w:rPr>
              <w:br w:type="textWrapping"/>
            </w:r>
            <w:r>
              <w:rPr>
                <w:rFonts w:hint="eastAsia" w:ascii="宋体" w:hAnsi="宋体" w:eastAsia="宋体" w:cs="宋体"/>
                <w:color w:val="000000"/>
                <w:kern w:val="0"/>
                <w:sz w:val="20"/>
                <w:szCs w:val="20"/>
                <w:highlight w:val="none"/>
                <w:lang w:bidi="ar"/>
              </w:rPr>
              <w:t>5.工作电流：≥11A；</w:t>
            </w:r>
            <w:r>
              <w:rPr>
                <w:rFonts w:hint="eastAsia" w:ascii="宋体" w:hAnsi="宋体" w:eastAsia="宋体" w:cs="宋体"/>
                <w:color w:val="000000"/>
                <w:kern w:val="0"/>
                <w:sz w:val="20"/>
                <w:szCs w:val="20"/>
                <w:highlight w:val="none"/>
                <w:lang w:bidi="ar"/>
              </w:rPr>
              <w:br w:type="textWrapping"/>
            </w:r>
            <w:r>
              <w:rPr>
                <w:rFonts w:hint="eastAsia" w:ascii="宋体" w:hAnsi="宋体" w:eastAsia="宋体" w:cs="宋体"/>
                <w:color w:val="000000"/>
                <w:kern w:val="0"/>
                <w:sz w:val="20"/>
                <w:szCs w:val="20"/>
                <w:highlight w:val="none"/>
                <w:lang w:bidi="ar"/>
              </w:rPr>
              <w:t>6.尺寸：约1580mm×808mm×35mm；</w:t>
            </w:r>
            <w:r>
              <w:rPr>
                <w:rFonts w:hint="eastAsia" w:ascii="宋体" w:hAnsi="宋体" w:eastAsia="宋体" w:cs="宋体"/>
                <w:color w:val="000000"/>
                <w:kern w:val="0"/>
                <w:sz w:val="20"/>
                <w:szCs w:val="20"/>
                <w:highlight w:val="none"/>
                <w:lang w:bidi="ar"/>
              </w:rPr>
              <w:br w:type="textWrapping"/>
            </w:r>
            <w:r>
              <w:rPr>
                <w:rFonts w:hint="eastAsia" w:ascii="宋体" w:hAnsi="宋体" w:eastAsia="宋体" w:cs="宋体"/>
                <w:color w:val="000000"/>
                <w:kern w:val="0"/>
                <w:sz w:val="20"/>
                <w:szCs w:val="20"/>
                <w:highlight w:val="none"/>
                <w:lang w:bidi="ar"/>
              </w:rPr>
              <w:t>7.含光伏支架（热镀锌角钢，角度可调）；</w:t>
            </w:r>
            <w:r>
              <w:rPr>
                <w:rFonts w:hint="eastAsia" w:ascii="宋体" w:hAnsi="宋体" w:eastAsia="宋体" w:cs="宋体"/>
                <w:color w:val="000000"/>
                <w:kern w:val="0"/>
                <w:sz w:val="20"/>
                <w:szCs w:val="20"/>
                <w:highlight w:val="none"/>
                <w:lang w:bidi="ar"/>
              </w:rPr>
              <w:br w:type="textWrapping"/>
            </w:r>
            <w:r>
              <w:rPr>
                <w:rFonts w:hint="eastAsia" w:ascii="宋体" w:hAnsi="宋体" w:eastAsia="宋体" w:cs="宋体"/>
                <w:color w:val="000000"/>
                <w:kern w:val="0"/>
                <w:sz w:val="20"/>
                <w:szCs w:val="20"/>
                <w:highlight w:val="none"/>
                <w:lang w:bidi="ar"/>
              </w:rPr>
              <w:t>8.含太阳能控制器（12V/24V自适应，≥20A）；</w:t>
            </w:r>
            <w:r>
              <w:rPr>
                <w:rFonts w:hint="eastAsia" w:ascii="宋体" w:hAnsi="宋体" w:eastAsia="宋体" w:cs="宋体"/>
                <w:color w:val="000000"/>
                <w:kern w:val="0"/>
                <w:sz w:val="20"/>
                <w:szCs w:val="20"/>
                <w:highlight w:val="none"/>
                <w:lang w:bidi="ar"/>
              </w:rPr>
              <w:br w:type="textWrapping"/>
            </w:r>
            <w:r>
              <w:rPr>
                <w:rFonts w:hint="eastAsia" w:ascii="宋体" w:hAnsi="宋体" w:eastAsia="宋体" w:cs="宋体"/>
                <w:color w:val="000000"/>
                <w:kern w:val="0"/>
                <w:sz w:val="20"/>
                <w:szCs w:val="20"/>
                <w:highlight w:val="none"/>
                <w:lang w:bidi="ar"/>
              </w:rPr>
              <w:t>9.抗风等级≥12级，防冰雹；</w:t>
            </w:r>
            <w:r>
              <w:rPr>
                <w:rFonts w:hint="eastAsia" w:ascii="宋体" w:hAnsi="宋体" w:eastAsia="宋体" w:cs="宋体"/>
                <w:color w:val="000000"/>
                <w:kern w:val="0"/>
                <w:sz w:val="20"/>
                <w:szCs w:val="20"/>
                <w:highlight w:val="none"/>
                <w:lang w:bidi="ar"/>
              </w:rPr>
              <w:br w:type="textWrapping"/>
            </w:r>
            <w:r>
              <w:rPr>
                <w:rFonts w:hint="eastAsia" w:ascii="宋体" w:hAnsi="宋体" w:eastAsia="宋体" w:cs="宋体"/>
                <w:color w:val="000000"/>
                <w:kern w:val="0"/>
                <w:sz w:val="20"/>
                <w:szCs w:val="20"/>
                <w:highlight w:val="none"/>
                <w:lang w:bidi="ar"/>
              </w:rPr>
              <w:t>10.工作温度-40℃~+85℃；</w:t>
            </w:r>
            <w:r>
              <w:rPr>
                <w:rFonts w:hint="eastAsia" w:ascii="宋体" w:hAnsi="宋体" w:eastAsia="宋体" w:cs="宋体"/>
                <w:color w:val="000000"/>
                <w:kern w:val="0"/>
                <w:sz w:val="20"/>
                <w:szCs w:val="20"/>
                <w:highlight w:val="none"/>
                <w:lang w:bidi="ar"/>
              </w:rPr>
              <w:br w:type="textWrapping"/>
            </w:r>
            <w:r>
              <w:rPr>
                <w:rFonts w:hint="eastAsia" w:ascii="宋体" w:hAnsi="宋体" w:eastAsia="宋体" w:cs="宋体"/>
                <w:color w:val="000000"/>
                <w:kern w:val="0"/>
                <w:sz w:val="20"/>
                <w:szCs w:val="20"/>
                <w:highlight w:val="none"/>
                <w:lang w:bidi="ar"/>
              </w:rPr>
              <w:t>11.含连接线、保险丝。</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75C0805A">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lang w:bidi="ar"/>
              </w:rPr>
              <w:t>套</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271C53D0">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1</w:t>
            </w:r>
          </w:p>
        </w:tc>
      </w:tr>
      <w:tr w14:paraId="168C2965">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56BEDB5F">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18</w:t>
            </w:r>
          </w:p>
        </w:tc>
        <w:tc>
          <w:tcPr>
            <w:tcW w:w="1076" w:type="pct"/>
            <w:tcBorders>
              <w:top w:val="single" w:color="000000" w:sz="4" w:space="0"/>
              <w:left w:val="single" w:color="000000" w:sz="4" w:space="0"/>
              <w:bottom w:val="single" w:color="000000" w:sz="4" w:space="0"/>
              <w:right w:val="single" w:color="000000" w:sz="4" w:space="0"/>
            </w:tcBorders>
            <w:vAlign w:val="center"/>
          </w:tcPr>
          <w:p w14:paraId="2D1D2609">
            <w:pPr>
              <w:widowControl/>
              <w:jc w:val="center"/>
              <w:textAlignment w:val="center"/>
              <w:rPr>
                <w:rFonts w:hint="eastAsia" w:ascii="仿宋_GB2312" w:hAnsi="宋体" w:eastAsia="仿宋_GB2312" w:cs="仿宋_GB2312"/>
                <w:color w:val="000000"/>
                <w:sz w:val="22"/>
                <w:szCs w:val="22"/>
              </w:rPr>
            </w:pPr>
            <w:r>
              <w:rPr>
                <w:rFonts w:ascii="仿宋_GB2312" w:hAnsi="宋体" w:eastAsia="仿宋_GB2312" w:cs="仿宋_GB2312"/>
                <w:color w:val="000000"/>
                <w:kern w:val="0"/>
                <w:sz w:val="22"/>
                <w:szCs w:val="22"/>
                <w:lang w:bidi="ar"/>
              </w:rPr>
              <w:t>蓄电池</w:t>
            </w:r>
          </w:p>
        </w:tc>
        <w:tc>
          <w:tcPr>
            <w:tcW w:w="2671" w:type="pct"/>
            <w:tcBorders>
              <w:top w:val="single" w:color="000000" w:sz="4" w:space="0"/>
              <w:left w:val="single" w:color="000000" w:sz="4" w:space="0"/>
              <w:bottom w:val="single" w:color="000000" w:sz="4" w:space="0"/>
              <w:right w:val="single" w:color="000000" w:sz="4" w:space="0"/>
            </w:tcBorders>
            <w:vAlign w:val="center"/>
          </w:tcPr>
          <w:p w14:paraId="2B9DC547">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1.类型：胶体蓄电池或磷酸铁锂电池（适用于低温环境）；</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2.额定电压：12V/24V系统；</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3.容量：≥100Ah（24V系统为200Ah等效）；</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4.循环寿命：≥2000次（DOD 80%）；</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5.工作温度：-40℃~+60℃（低温型）；</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6.自放电率：≤3%/月；</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7.含防水电池箱（IP65）；</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8.含电池连接线、铜排、保险丝；</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9.含安装支架、固定件；</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10.适用于高海拔低温环境野外供电。</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65385194">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lang w:bidi="ar"/>
              </w:rPr>
              <w:t>组</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4033763F">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1</w:t>
            </w:r>
          </w:p>
        </w:tc>
      </w:tr>
      <w:tr w14:paraId="087D8E82">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66390279">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19</w:t>
            </w:r>
          </w:p>
        </w:tc>
        <w:tc>
          <w:tcPr>
            <w:tcW w:w="1076" w:type="pct"/>
            <w:tcBorders>
              <w:top w:val="single" w:color="000000" w:sz="4" w:space="0"/>
              <w:left w:val="single" w:color="000000" w:sz="4" w:space="0"/>
              <w:bottom w:val="single" w:color="000000" w:sz="4" w:space="0"/>
              <w:right w:val="single" w:color="000000" w:sz="4" w:space="0"/>
            </w:tcBorders>
            <w:vAlign w:val="center"/>
          </w:tcPr>
          <w:p w14:paraId="6B2FEC2B">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lang w:bidi="ar"/>
              </w:rPr>
              <w:t>烘箱</w:t>
            </w:r>
          </w:p>
        </w:tc>
        <w:tc>
          <w:tcPr>
            <w:tcW w:w="2671" w:type="pct"/>
            <w:tcBorders>
              <w:top w:val="single" w:color="000000" w:sz="4" w:space="0"/>
              <w:left w:val="single" w:color="000000" w:sz="4" w:space="0"/>
              <w:bottom w:val="single" w:color="000000" w:sz="4" w:space="0"/>
              <w:right w:val="single" w:color="000000" w:sz="4" w:space="0"/>
            </w:tcBorders>
            <w:vAlign w:val="center"/>
          </w:tcPr>
          <w:p w14:paraId="007025C5">
            <w:pPr>
              <w:widowControl/>
              <w:jc w:val="left"/>
              <w:textAlignment w:val="center"/>
              <w:rPr>
                <w:rFonts w:hint="eastAsia"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lang w:bidi="ar"/>
              </w:rPr>
              <w:t>1.控温范围：室温+10℃~250℃；</w:t>
            </w:r>
            <w:r>
              <w:rPr>
                <w:rFonts w:hint="eastAsia" w:ascii="宋体" w:hAnsi="宋体" w:eastAsia="宋体" w:cs="宋体"/>
                <w:color w:val="000000"/>
                <w:kern w:val="0"/>
                <w:sz w:val="20"/>
                <w:szCs w:val="20"/>
                <w:highlight w:val="none"/>
                <w:lang w:bidi="ar"/>
              </w:rPr>
              <w:br w:type="textWrapping"/>
            </w:r>
            <w:r>
              <w:rPr>
                <w:rFonts w:hint="eastAsia" w:ascii="宋体" w:hAnsi="宋体" w:eastAsia="宋体" w:cs="宋体"/>
                <w:color w:val="000000"/>
                <w:kern w:val="0"/>
                <w:sz w:val="20"/>
                <w:szCs w:val="20"/>
                <w:highlight w:val="none"/>
                <w:lang w:bidi="ar"/>
              </w:rPr>
              <w:t>2.控温精度：±1℃；</w:t>
            </w:r>
            <w:r>
              <w:rPr>
                <w:rFonts w:hint="eastAsia" w:ascii="宋体" w:hAnsi="宋体" w:eastAsia="宋体" w:cs="宋体"/>
                <w:color w:val="000000"/>
                <w:kern w:val="0"/>
                <w:sz w:val="20"/>
                <w:szCs w:val="20"/>
                <w:highlight w:val="none"/>
                <w:lang w:bidi="ar"/>
              </w:rPr>
              <w:br w:type="textWrapping"/>
            </w:r>
            <w:r>
              <w:rPr>
                <w:rFonts w:hint="eastAsia" w:ascii="宋体" w:hAnsi="宋体" w:eastAsia="宋体" w:cs="宋体"/>
                <w:color w:val="000000"/>
                <w:kern w:val="0"/>
                <w:sz w:val="20"/>
                <w:szCs w:val="20"/>
                <w:highlight w:val="none"/>
                <w:lang w:bidi="ar"/>
              </w:rPr>
              <w:t>3.温度分辨率：0.1℃；</w:t>
            </w:r>
            <w:r>
              <w:rPr>
                <w:rFonts w:hint="eastAsia" w:ascii="宋体" w:hAnsi="宋体" w:eastAsia="宋体" w:cs="宋体"/>
                <w:color w:val="000000"/>
                <w:kern w:val="0"/>
                <w:sz w:val="20"/>
                <w:szCs w:val="20"/>
                <w:highlight w:val="none"/>
                <w:lang w:bidi="ar"/>
              </w:rPr>
              <w:br w:type="textWrapping"/>
            </w:r>
            <w:r>
              <w:rPr>
                <w:rFonts w:hint="eastAsia" w:ascii="宋体" w:hAnsi="宋体" w:eastAsia="宋体" w:cs="宋体"/>
                <w:color w:val="000000"/>
                <w:kern w:val="0"/>
                <w:sz w:val="20"/>
                <w:szCs w:val="20"/>
                <w:highlight w:val="none"/>
                <w:lang w:bidi="ar"/>
              </w:rPr>
              <w:t>4.容积：≥30L；</w:t>
            </w:r>
            <w:r>
              <w:rPr>
                <w:rFonts w:hint="eastAsia" w:ascii="宋体" w:hAnsi="宋体" w:eastAsia="宋体" w:cs="宋体"/>
                <w:color w:val="000000"/>
                <w:kern w:val="0"/>
                <w:sz w:val="20"/>
                <w:szCs w:val="20"/>
                <w:highlight w:val="none"/>
                <w:lang w:bidi="ar"/>
              </w:rPr>
              <w:br w:type="textWrapping"/>
            </w:r>
            <w:r>
              <w:rPr>
                <w:rFonts w:hint="eastAsia" w:ascii="宋体" w:hAnsi="宋体" w:eastAsia="宋体" w:cs="宋体"/>
                <w:color w:val="000000"/>
                <w:kern w:val="0"/>
                <w:sz w:val="20"/>
                <w:szCs w:val="20"/>
                <w:highlight w:val="none"/>
                <w:lang w:bidi="ar"/>
              </w:rPr>
              <w:t>5.内胆材质：304不锈钢；</w:t>
            </w:r>
            <w:r>
              <w:rPr>
                <w:rFonts w:hint="eastAsia" w:ascii="宋体" w:hAnsi="宋体" w:eastAsia="宋体" w:cs="宋体"/>
                <w:color w:val="000000"/>
                <w:kern w:val="0"/>
                <w:sz w:val="20"/>
                <w:szCs w:val="20"/>
                <w:highlight w:val="none"/>
                <w:lang w:bidi="ar"/>
              </w:rPr>
              <w:br w:type="textWrapping"/>
            </w:r>
            <w:r>
              <w:rPr>
                <w:rFonts w:hint="eastAsia" w:ascii="宋体" w:hAnsi="宋体" w:eastAsia="宋体" w:cs="宋体"/>
                <w:color w:val="000000"/>
                <w:kern w:val="0"/>
                <w:sz w:val="20"/>
                <w:szCs w:val="20"/>
                <w:highlight w:val="none"/>
                <w:lang w:bidi="ar"/>
              </w:rPr>
              <w:t>6.外壳材质：冷轧钢板静电喷塑；</w:t>
            </w:r>
            <w:r>
              <w:rPr>
                <w:rFonts w:hint="eastAsia" w:ascii="宋体" w:hAnsi="宋体" w:eastAsia="宋体" w:cs="宋体"/>
                <w:color w:val="000000"/>
                <w:kern w:val="0"/>
                <w:sz w:val="20"/>
                <w:szCs w:val="20"/>
                <w:highlight w:val="none"/>
                <w:lang w:bidi="ar"/>
              </w:rPr>
              <w:br w:type="textWrapping"/>
            </w:r>
            <w:r>
              <w:rPr>
                <w:rFonts w:hint="eastAsia" w:ascii="宋体" w:hAnsi="宋体" w:eastAsia="宋体" w:cs="宋体"/>
                <w:color w:val="000000"/>
                <w:kern w:val="0"/>
                <w:sz w:val="20"/>
                <w:szCs w:val="20"/>
                <w:highlight w:val="none"/>
                <w:lang w:bidi="ar"/>
              </w:rPr>
              <w:t>7.数显温控仪，PID调节；</w:t>
            </w:r>
            <w:r>
              <w:rPr>
                <w:rFonts w:hint="eastAsia" w:ascii="宋体" w:hAnsi="宋体" w:eastAsia="宋体" w:cs="宋体"/>
                <w:color w:val="000000"/>
                <w:kern w:val="0"/>
                <w:sz w:val="20"/>
                <w:szCs w:val="20"/>
                <w:highlight w:val="none"/>
                <w:lang w:bidi="ar"/>
              </w:rPr>
              <w:br w:type="textWrapping"/>
            </w:r>
            <w:r>
              <w:rPr>
                <w:rFonts w:hint="eastAsia" w:ascii="宋体" w:hAnsi="宋体" w:eastAsia="宋体" w:cs="宋体"/>
                <w:color w:val="000000"/>
                <w:kern w:val="0"/>
                <w:sz w:val="20"/>
                <w:szCs w:val="20"/>
                <w:highlight w:val="none"/>
                <w:lang w:bidi="ar"/>
              </w:rPr>
              <w:t>8.定时功能：0~9999分钟；</w:t>
            </w:r>
            <w:r>
              <w:rPr>
                <w:rFonts w:hint="eastAsia" w:ascii="宋体" w:hAnsi="宋体" w:eastAsia="宋体" w:cs="宋体"/>
                <w:color w:val="000000"/>
                <w:kern w:val="0"/>
                <w:sz w:val="20"/>
                <w:szCs w:val="20"/>
                <w:highlight w:val="none"/>
                <w:lang w:bidi="ar"/>
              </w:rPr>
              <w:br w:type="textWrapping"/>
            </w:r>
            <w:r>
              <w:rPr>
                <w:rFonts w:hint="eastAsia" w:ascii="宋体" w:hAnsi="宋体" w:eastAsia="宋体" w:cs="宋体"/>
                <w:color w:val="000000"/>
                <w:kern w:val="0"/>
                <w:sz w:val="20"/>
                <w:szCs w:val="20"/>
                <w:highlight w:val="none"/>
                <w:lang w:bidi="ar"/>
              </w:rPr>
              <w:t>9.功率：≥800W；</w:t>
            </w:r>
            <w:r>
              <w:rPr>
                <w:rFonts w:hint="eastAsia" w:ascii="宋体" w:hAnsi="宋体" w:eastAsia="宋体" w:cs="宋体"/>
                <w:color w:val="000000"/>
                <w:kern w:val="0"/>
                <w:sz w:val="20"/>
                <w:szCs w:val="20"/>
                <w:highlight w:val="none"/>
                <w:lang w:bidi="ar"/>
              </w:rPr>
              <w:br w:type="textWrapping"/>
            </w:r>
            <w:r>
              <w:rPr>
                <w:rFonts w:hint="eastAsia" w:ascii="宋体" w:hAnsi="宋体" w:eastAsia="宋体" w:cs="宋体"/>
                <w:color w:val="000000"/>
                <w:kern w:val="0"/>
                <w:sz w:val="20"/>
                <w:szCs w:val="20"/>
                <w:highlight w:val="none"/>
                <w:lang w:bidi="ar"/>
              </w:rPr>
              <w:t>10.电源：220V/50Hz；</w:t>
            </w:r>
            <w:r>
              <w:rPr>
                <w:rFonts w:hint="eastAsia" w:ascii="宋体" w:hAnsi="宋体" w:eastAsia="宋体" w:cs="宋体"/>
                <w:color w:val="000000"/>
                <w:kern w:val="0"/>
                <w:sz w:val="20"/>
                <w:szCs w:val="20"/>
                <w:highlight w:val="none"/>
                <w:lang w:bidi="ar"/>
              </w:rPr>
              <w:br w:type="textWrapping"/>
            </w:r>
            <w:r>
              <w:rPr>
                <w:rFonts w:hint="eastAsia" w:ascii="宋体" w:hAnsi="宋体" w:eastAsia="宋体" w:cs="宋体"/>
                <w:color w:val="000000"/>
                <w:kern w:val="0"/>
                <w:sz w:val="20"/>
                <w:szCs w:val="20"/>
                <w:highlight w:val="none"/>
                <w:lang w:bidi="ar"/>
              </w:rPr>
              <w:t>11.含2层网状搁架；</w:t>
            </w:r>
            <w:r>
              <w:rPr>
                <w:rFonts w:hint="eastAsia" w:ascii="宋体" w:hAnsi="宋体" w:eastAsia="宋体" w:cs="宋体"/>
                <w:color w:val="000000"/>
                <w:kern w:val="0"/>
                <w:sz w:val="20"/>
                <w:szCs w:val="20"/>
                <w:highlight w:val="none"/>
                <w:lang w:bidi="ar"/>
              </w:rPr>
              <w:br w:type="textWrapping"/>
            </w:r>
            <w:r>
              <w:rPr>
                <w:rFonts w:hint="eastAsia" w:ascii="宋体" w:hAnsi="宋体" w:eastAsia="宋体" w:cs="宋体"/>
                <w:color w:val="000000"/>
                <w:kern w:val="0"/>
                <w:sz w:val="20"/>
                <w:szCs w:val="20"/>
                <w:highlight w:val="none"/>
                <w:lang w:bidi="ar"/>
              </w:rPr>
              <w:t>12.用于土壤样品烘干、含水率测定。</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0D86F4E2">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lang w:bidi="ar"/>
              </w:rPr>
              <w:t>台</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7550C016">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2</w:t>
            </w:r>
          </w:p>
        </w:tc>
      </w:tr>
      <w:tr w14:paraId="501CE8D0">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0944CAF4">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20</w:t>
            </w:r>
          </w:p>
        </w:tc>
        <w:tc>
          <w:tcPr>
            <w:tcW w:w="1076" w:type="pct"/>
            <w:tcBorders>
              <w:top w:val="single" w:color="000000" w:sz="4" w:space="0"/>
              <w:left w:val="single" w:color="000000" w:sz="4" w:space="0"/>
              <w:bottom w:val="single" w:color="000000" w:sz="4" w:space="0"/>
              <w:right w:val="single" w:color="000000" w:sz="4" w:space="0"/>
            </w:tcBorders>
            <w:vAlign w:val="center"/>
          </w:tcPr>
          <w:p w14:paraId="74900A6B">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lang w:bidi="ar"/>
              </w:rPr>
              <w:t>电子天平</w:t>
            </w:r>
          </w:p>
        </w:tc>
        <w:tc>
          <w:tcPr>
            <w:tcW w:w="2671" w:type="pct"/>
            <w:tcBorders>
              <w:top w:val="single" w:color="000000" w:sz="4" w:space="0"/>
              <w:left w:val="single" w:color="000000" w:sz="4" w:space="0"/>
              <w:bottom w:val="single" w:color="000000" w:sz="4" w:space="0"/>
              <w:right w:val="single" w:color="000000" w:sz="4" w:space="0"/>
            </w:tcBorders>
            <w:vAlign w:val="center"/>
          </w:tcPr>
          <w:p w14:paraId="550492FB">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highlight w:val="none"/>
                <w:lang w:bidi="ar"/>
              </w:rPr>
              <w:t>1.量程：≥200g；</w:t>
            </w:r>
            <w:r>
              <w:rPr>
                <w:rFonts w:hint="eastAsia" w:ascii="宋体" w:hAnsi="宋体" w:eastAsia="宋体" w:cs="宋体"/>
                <w:color w:val="000000"/>
                <w:kern w:val="0"/>
                <w:sz w:val="20"/>
                <w:szCs w:val="20"/>
                <w:highlight w:val="none"/>
                <w:lang w:bidi="ar"/>
              </w:rPr>
              <w:br w:type="textWrapping"/>
            </w:r>
            <w:r>
              <w:rPr>
                <w:rFonts w:hint="eastAsia" w:ascii="宋体" w:hAnsi="宋体" w:eastAsia="宋体" w:cs="宋体"/>
                <w:color w:val="000000"/>
                <w:kern w:val="0"/>
                <w:sz w:val="20"/>
                <w:szCs w:val="20"/>
                <w:highlight w:val="none"/>
                <w:lang w:bidi="ar"/>
              </w:rPr>
              <w:t>2.精度：0.001g（千分之一精密天平）；</w:t>
            </w:r>
            <w:r>
              <w:rPr>
                <w:rFonts w:hint="eastAsia" w:ascii="宋体" w:hAnsi="宋体" w:eastAsia="宋体" w:cs="宋体"/>
                <w:color w:val="000000"/>
                <w:kern w:val="0"/>
                <w:sz w:val="20"/>
                <w:szCs w:val="20"/>
                <w:highlight w:val="none"/>
                <w:lang w:bidi="ar"/>
              </w:rPr>
              <w:br w:type="textWrapping"/>
            </w:r>
            <w:r>
              <w:rPr>
                <w:rFonts w:hint="eastAsia" w:ascii="宋体" w:hAnsi="宋体" w:eastAsia="宋体" w:cs="宋体"/>
                <w:color w:val="000000"/>
                <w:kern w:val="0"/>
                <w:sz w:val="20"/>
                <w:szCs w:val="20"/>
                <w:highlight w:val="none"/>
                <w:lang w:bidi="ar"/>
              </w:rPr>
              <w:t>3.可读性：≥1mg；</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4.校准方式：外部校准；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5.秤盘尺寸：≥Φ80mm，不锈钢材质；</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6.显示：LCD液晶显示；</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7.防风罩：玻璃防风罩（三面开门）；</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8.电源：220V/50Hz，内置蓄电池可选；</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9.功能：计件、百分比、单位转换；</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10.稳定时间≤3秒；</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11.用于土样、沙样称重。</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587DBD04">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lang w:bidi="ar"/>
              </w:rPr>
              <w:t>台</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54740B9E">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2</w:t>
            </w:r>
          </w:p>
        </w:tc>
      </w:tr>
      <w:tr w14:paraId="6C038EC6">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1BD577AB">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21</w:t>
            </w:r>
          </w:p>
        </w:tc>
        <w:tc>
          <w:tcPr>
            <w:tcW w:w="1076" w:type="pct"/>
            <w:tcBorders>
              <w:top w:val="single" w:color="000000" w:sz="4" w:space="0"/>
              <w:left w:val="single" w:color="000000" w:sz="4" w:space="0"/>
              <w:bottom w:val="single" w:color="000000" w:sz="4" w:space="0"/>
              <w:right w:val="single" w:color="000000" w:sz="4" w:space="0"/>
            </w:tcBorders>
            <w:vAlign w:val="center"/>
          </w:tcPr>
          <w:p w14:paraId="341FD3E4">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lang w:bidi="ar"/>
              </w:rPr>
              <w:t>土壤水分速测仪</w:t>
            </w:r>
          </w:p>
        </w:tc>
        <w:tc>
          <w:tcPr>
            <w:tcW w:w="2671" w:type="pct"/>
            <w:tcBorders>
              <w:top w:val="single" w:color="000000" w:sz="4" w:space="0"/>
              <w:left w:val="single" w:color="000000" w:sz="4" w:space="0"/>
              <w:bottom w:val="single" w:color="000000" w:sz="4" w:space="0"/>
              <w:right w:val="single" w:color="000000" w:sz="4" w:space="0"/>
            </w:tcBorders>
            <w:vAlign w:val="center"/>
          </w:tcPr>
          <w:p w14:paraId="095AB87B">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1.测量原理：TDR时域反射法；</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2.测量范围：0~100%体积含水量；</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3.测量精度：±2%（室内），±3%（野外）；</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4.分辨率：0.1%；</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5.探针长度：≥100mm，不锈钢材质；</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6.测量时间：≤5秒/次；</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7.手持数显终端，LCD显示；</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8.存储容量：≥1000组数据；</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9.供电：内置锂电池，连续工作≥8小时；</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10.通信：USB数据导出；</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11.工作温度-20℃~+60℃；</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12.含探针、手柄、充电器、便携箱。</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43019134">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lang w:bidi="ar"/>
              </w:rPr>
              <w:t>台</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00AA1AB6">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1</w:t>
            </w:r>
          </w:p>
        </w:tc>
      </w:tr>
      <w:tr w14:paraId="5CAFEAFE">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45B1F782">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22</w:t>
            </w:r>
          </w:p>
        </w:tc>
        <w:tc>
          <w:tcPr>
            <w:tcW w:w="1076" w:type="pct"/>
            <w:tcBorders>
              <w:top w:val="single" w:color="000000" w:sz="4" w:space="0"/>
              <w:left w:val="single" w:color="000000" w:sz="4" w:space="0"/>
              <w:bottom w:val="single" w:color="000000" w:sz="4" w:space="0"/>
              <w:right w:val="single" w:color="000000" w:sz="4" w:space="0"/>
            </w:tcBorders>
            <w:vAlign w:val="center"/>
          </w:tcPr>
          <w:p w14:paraId="5C8B8F07">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lang w:bidi="ar"/>
              </w:rPr>
              <w:t>洗刷设备</w:t>
            </w:r>
          </w:p>
        </w:tc>
        <w:tc>
          <w:tcPr>
            <w:tcW w:w="2671" w:type="pct"/>
            <w:tcBorders>
              <w:top w:val="single" w:color="000000" w:sz="4" w:space="0"/>
              <w:left w:val="single" w:color="000000" w:sz="4" w:space="0"/>
              <w:bottom w:val="single" w:color="000000" w:sz="4" w:space="0"/>
              <w:right w:val="single" w:color="000000" w:sz="4" w:space="0"/>
            </w:tcBorders>
            <w:vAlign w:val="center"/>
          </w:tcPr>
          <w:p w14:paraId="26DB1D43">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1.含试管刷、瓶刷、坩埚刷等实验用毛刷；</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2.含塑料清洗篮、沥水架；</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3.含实验用抹布、手套；</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4.用于实验器皿清洗。</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706E41A3">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szCs w:val="21"/>
                <w:lang w:bidi="ar"/>
              </w:rPr>
              <w:t>套</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4F493CC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w:t>
            </w:r>
          </w:p>
        </w:tc>
      </w:tr>
      <w:tr w14:paraId="1C9C196B">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3D57D70F">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23</w:t>
            </w:r>
          </w:p>
        </w:tc>
        <w:tc>
          <w:tcPr>
            <w:tcW w:w="1076" w:type="pct"/>
            <w:tcBorders>
              <w:top w:val="single" w:color="000000" w:sz="4" w:space="0"/>
              <w:left w:val="single" w:color="000000" w:sz="4" w:space="0"/>
              <w:bottom w:val="single" w:color="000000" w:sz="4" w:space="0"/>
              <w:right w:val="single" w:color="000000" w:sz="4" w:space="0"/>
            </w:tcBorders>
            <w:vAlign w:val="center"/>
          </w:tcPr>
          <w:p w14:paraId="26022293">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lang w:bidi="ar"/>
              </w:rPr>
              <w:t>坩埚</w:t>
            </w:r>
          </w:p>
        </w:tc>
        <w:tc>
          <w:tcPr>
            <w:tcW w:w="2671" w:type="pct"/>
            <w:tcBorders>
              <w:top w:val="single" w:color="000000" w:sz="4" w:space="0"/>
              <w:left w:val="single" w:color="000000" w:sz="4" w:space="0"/>
              <w:bottom w:val="single" w:color="000000" w:sz="4" w:space="0"/>
              <w:right w:val="single" w:color="000000" w:sz="4" w:space="0"/>
            </w:tcBorders>
            <w:vAlign w:val="center"/>
          </w:tcPr>
          <w:p w14:paraId="0CCA4B5A">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highlight w:val="none"/>
                <w:lang w:bidi="ar"/>
              </w:rPr>
              <w:t>1.容量：</w:t>
            </w: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highlight w:val="none"/>
                <w:lang w:bidi="ar"/>
              </w:rPr>
              <w:t>30ml；</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2.带盖；</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3.材质：高纯陶瓷；</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4.耐温：≥1200℃；</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5.用于土壤烧失量、有机质测定。</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75537EEE">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szCs w:val="21"/>
                <w:lang w:bidi="ar"/>
              </w:rPr>
              <w:t>个</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332F202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9</w:t>
            </w:r>
          </w:p>
        </w:tc>
      </w:tr>
      <w:tr w14:paraId="4B1ACF69">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0FD7E186">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24</w:t>
            </w:r>
          </w:p>
        </w:tc>
        <w:tc>
          <w:tcPr>
            <w:tcW w:w="1076" w:type="pct"/>
            <w:tcBorders>
              <w:top w:val="single" w:color="000000" w:sz="4" w:space="0"/>
              <w:left w:val="single" w:color="000000" w:sz="4" w:space="0"/>
              <w:bottom w:val="single" w:color="000000" w:sz="4" w:space="0"/>
              <w:right w:val="single" w:color="000000" w:sz="4" w:space="0"/>
            </w:tcBorders>
            <w:vAlign w:val="center"/>
          </w:tcPr>
          <w:p w14:paraId="4AB53742">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highlight w:val="none"/>
                <w:lang w:bidi="ar"/>
              </w:rPr>
              <w:t>不锈钢机械游标卡尺</w:t>
            </w:r>
          </w:p>
        </w:tc>
        <w:tc>
          <w:tcPr>
            <w:tcW w:w="2671" w:type="pct"/>
            <w:tcBorders>
              <w:top w:val="single" w:color="000000" w:sz="4" w:space="0"/>
              <w:left w:val="single" w:color="000000" w:sz="4" w:space="0"/>
              <w:bottom w:val="single" w:color="000000" w:sz="4" w:space="0"/>
              <w:right w:val="single" w:color="000000" w:sz="4" w:space="0"/>
            </w:tcBorders>
            <w:vAlign w:val="center"/>
          </w:tcPr>
          <w:p w14:paraId="0A331CD6">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1.0~150mm不锈钢机械游标卡尺，分度值0.02mm；</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2.300mm加厚不锈钢钢板尺（钢直尺），分度值1mm；</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3.卡尺含深度测量功能；</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4.不锈钢材质，防锈处理；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5.用于样品尺寸测量。</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7960F4B4">
            <w:pPr>
              <w:widowControl/>
              <w:jc w:val="center"/>
              <w:textAlignment w:val="center"/>
              <w:rPr>
                <w:rFonts w:hint="eastAsia" w:ascii="仿宋_GB2312" w:hAnsi="宋体" w:eastAsia="仿宋_GB2312" w:cs="仿宋_GB2312"/>
                <w:color w:val="000000"/>
                <w:szCs w:val="21"/>
              </w:rPr>
            </w:pPr>
            <w:r>
              <w:rPr>
                <w:rFonts w:ascii="仿宋_GB2312" w:hAnsi="宋体" w:eastAsia="仿宋_GB2312" w:cs="仿宋_GB2312"/>
                <w:color w:val="000000"/>
                <w:kern w:val="0"/>
                <w:szCs w:val="21"/>
                <w:lang w:bidi="ar"/>
              </w:rPr>
              <w:t>套</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0DFD06B6">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w:t>
            </w:r>
          </w:p>
        </w:tc>
      </w:tr>
      <w:tr w14:paraId="345D2C29">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5B42C4E0">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25</w:t>
            </w:r>
          </w:p>
        </w:tc>
        <w:tc>
          <w:tcPr>
            <w:tcW w:w="1076" w:type="pct"/>
            <w:tcBorders>
              <w:top w:val="single" w:color="000000" w:sz="4" w:space="0"/>
              <w:left w:val="single" w:color="000000" w:sz="4" w:space="0"/>
              <w:bottom w:val="single" w:color="000000" w:sz="4" w:space="0"/>
              <w:right w:val="single" w:color="000000" w:sz="4" w:space="0"/>
            </w:tcBorders>
            <w:vAlign w:val="center"/>
          </w:tcPr>
          <w:p w14:paraId="350AD0C8">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lang w:bidi="ar"/>
              </w:rPr>
              <w:t>铝盒</w:t>
            </w:r>
          </w:p>
        </w:tc>
        <w:tc>
          <w:tcPr>
            <w:tcW w:w="2671" w:type="pct"/>
            <w:tcBorders>
              <w:top w:val="single" w:color="000000" w:sz="4" w:space="0"/>
              <w:left w:val="single" w:color="000000" w:sz="4" w:space="0"/>
              <w:bottom w:val="single" w:color="000000" w:sz="4" w:space="0"/>
              <w:right w:val="single" w:color="000000" w:sz="4" w:space="0"/>
            </w:tcBorders>
            <w:vAlign w:val="center"/>
          </w:tcPr>
          <w:p w14:paraId="19691687">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1.尺寸：直径40mm×高度25mm；</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2.材质：铝合金；</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3.带盖，密封良好；</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4.恒重处理，重量稳定；</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5.用于土壤含水率测定（烘干法）；</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6.每个带编号。</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73DC45A4">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szCs w:val="21"/>
                <w:lang w:bidi="ar"/>
              </w:rPr>
              <w:t>个</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43D54E4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100</w:t>
            </w:r>
          </w:p>
        </w:tc>
      </w:tr>
      <w:tr w14:paraId="7D335A57">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044938E8">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26</w:t>
            </w:r>
          </w:p>
        </w:tc>
        <w:tc>
          <w:tcPr>
            <w:tcW w:w="1076" w:type="pct"/>
            <w:tcBorders>
              <w:top w:val="single" w:color="000000" w:sz="4" w:space="0"/>
              <w:left w:val="single" w:color="000000" w:sz="4" w:space="0"/>
              <w:bottom w:val="single" w:color="000000" w:sz="4" w:space="0"/>
              <w:right w:val="single" w:color="000000" w:sz="4" w:space="0"/>
            </w:tcBorders>
            <w:vAlign w:val="center"/>
          </w:tcPr>
          <w:p w14:paraId="5C0B177F">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lang w:bidi="ar"/>
              </w:rPr>
              <w:t>取土钻</w:t>
            </w:r>
          </w:p>
        </w:tc>
        <w:tc>
          <w:tcPr>
            <w:tcW w:w="2671" w:type="pct"/>
            <w:tcBorders>
              <w:top w:val="single" w:color="000000" w:sz="4" w:space="0"/>
              <w:left w:val="single" w:color="000000" w:sz="4" w:space="0"/>
              <w:bottom w:val="single" w:color="000000" w:sz="4" w:space="0"/>
              <w:right w:val="single" w:color="000000" w:sz="4" w:space="0"/>
            </w:tcBorders>
            <w:vAlign w:val="center"/>
          </w:tcPr>
          <w:p w14:paraId="0F6F928D">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1.长度：1m；</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2.材质：304不锈钢；</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3.钻筒直径：Φ50mm；</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4.带推土装置，便于取出原状土样；</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5.带脚踏板、敲击锤；</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6.T型手柄，便于旋转下压；</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7.可拼接延长（可选）；</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8.用于原状土壤样品采集。</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417E27CD">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szCs w:val="21"/>
                <w:lang w:bidi="ar"/>
              </w:rPr>
              <w:t>个</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10CCED68">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w:t>
            </w:r>
          </w:p>
        </w:tc>
      </w:tr>
      <w:tr w14:paraId="1D9B0292">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437DB374">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27</w:t>
            </w:r>
          </w:p>
        </w:tc>
        <w:tc>
          <w:tcPr>
            <w:tcW w:w="1076" w:type="pct"/>
            <w:tcBorders>
              <w:top w:val="single" w:color="000000" w:sz="4" w:space="0"/>
              <w:left w:val="single" w:color="000000" w:sz="4" w:space="0"/>
              <w:bottom w:val="single" w:color="000000" w:sz="4" w:space="0"/>
              <w:right w:val="single" w:color="000000" w:sz="4" w:space="0"/>
            </w:tcBorders>
            <w:vAlign w:val="center"/>
          </w:tcPr>
          <w:p w14:paraId="5B931E5F">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lang w:bidi="ar"/>
              </w:rPr>
              <w:t>取土环刀</w:t>
            </w:r>
          </w:p>
        </w:tc>
        <w:tc>
          <w:tcPr>
            <w:tcW w:w="2671" w:type="pct"/>
            <w:tcBorders>
              <w:top w:val="single" w:color="000000" w:sz="4" w:space="0"/>
              <w:left w:val="single" w:color="000000" w:sz="4" w:space="0"/>
              <w:bottom w:val="single" w:color="000000" w:sz="4" w:space="0"/>
              <w:right w:val="single" w:color="000000" w:sz="4" w:space="0"/>
            </w:tcBorders>
            <w:vAlign w:val="center"/>
          </w:tcPr>
          <w:p w14:paraId="110B8DB4">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1.尺寸：</w:t>
            </w:r>
            <w:r>
              <w:rPr>
                <w:rFonts w:hint="eastAsia" w:ascii="宋体" w:hAnsi="宋体" w:eastAsia="宋体" w:cs="宋体"/>
                <w:color w:val="000000"/>
                <w:kern w:val="0"/>
                <w:sz w:val="20"/>
                <w:szCs w:val="20"/>
                <w:highlight w:val="none"/>
                <w:lang w:bidi="ar"/>
              </w:rPr>
              <w:t>Φ50.46mm×50mm；</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2.容积：100cm³；</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3.材质：304不锈钢；</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4.带环刀盖（上盖）和底盖（下盖）；</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5.刀刃锋利，便于切入土壤；</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6.用于土壤容重、孔隙度测定；</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7.含环刀托（击实器配套）。</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3A90CC4E">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szCs w:val="21"/>
                <w:lang w:bidi="ar"/>
              </w:rPr>
              <w:t>个</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5A71F70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w:t>
            </w:r>
          </w:p>
        </w:tc>
      </w:tr>
      <w:tr w14:paraId="1836EC0E">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3254668C">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28</w:t>
            </w:r>
          </w:p>
        </w:tc>
        <w:tc>
          <w:tcPr>
            <w:tcW w:w="1076" w:type="pct"/>
            <w:tcBorders>
              <w:top w:val="single" w:color="000000" w:sz="4" w:space="0"/>
              <w:left w:val="single" w:color="000000" w:sz="4" w:space="0"/>
              <w:bottom w:val="single" w:color="000000" w:sz="4" w:space="0"/>
              <w:right w:val="single" w:color="000000" w:sz="4" w:space="0"/>
            </w:tcBorders>
            <w:vAlign w:val="center"/>
          </w:tcPr>
          <w:p w14:paraId="6BE7ED58">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lang w:bidi="ar"/>
              </w:rPr>
              <w:t>标准试验操作台（配套座椅）</w:t>
            </w:r>
          </w:p>
        </w:tc>
        <w:tc>
          <w:tcPr>
            <w:tcW w:w="2671" w:type="pct"/>
            <w:tcBorders>
              <w:top w:val="single" w:color="000000" w:sz="4" w:space="0"/>
              <w:left w:val="single" w:color="000000" w:sz="4" w:space="0"/>
              <w:bottom w:val="single" w:color="000000" w:sz="4" w:space="0"/>
              <w:right w:val="single" w:color="000000" w:sz="4" w:space="0"/>
            </w:tcBorders>
            <w:vAlign w:val="center"/>
          </w:tcPr>
          <w:p w14:paraId="1796CAC2">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1.尺寸：长度≥3000mm，宽度≥750mm，高度850mm；</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2.台面：实芯理化板，厚度≥12.7mm，耐酸碱腐蚀、耐高温；</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3.框架：钢木结构，40×60mm矩形钢管，表面环氧树脂喷涂；</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4.含试剂架（双层，钢化玻璃层板）；</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5.含PP水槽（≥1个）、单口水龙头（≥1个）；</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6.含抽屉≥4个、储物柜≥2组；</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7.配套实验座椅≥4把（可升降、带靠背）；</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8.含电源插座≥6个（带防护盖）；</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9.台面边缘加厚处理，圆角设计；</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10.用于样品处理、分析实验。</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1E4718B5">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lang w:bidi="ar"/>
              </w:rPr>
              <w:t>套</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0F155239">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1</w:t>
            </w:r>
          </w:p>
        </w:tc>
      </w:tr>
      <w:tr w14:paraId="13937EFF">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73AB4849">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29</w:t>
            </w:r>
          </w:p>
        </w:tc>
        <w:tc>
          <w:tcPr>
            <w:tcW w:w="1076" w:type="pct"/>
            <w:tcBorders>
              <w:top w:val="single" w:color="000000" w:sz="4" w:space="0"/>
              <w:left w:val="single" w:color="000000" w:sz="4" w:space="0"/>
              <w:bottom w:val="single" w:color="000000" w:sz="4" w:space="0"/>
              <w:right w:val="single" w:color="000000" w:sz="4" w:space="0"/>
            </w:tcBorders>
            <w:vAlign w:val="center"/>
          </w:tcPr>
          <w:p w14:paraId="0096311C">
            <w:pPr>
              <w:widowControl/>
              <w:jc w:val="center"/>
              <w:textAlignment w:val="center"/>
              <w:rPr>
                <w:rFonts w:hint="eastAsia" w:ascii="仿宋_GB2312" w:hAnsi="宋体" w:eastAsia="仿宋_GB2312" w:cs="仿宋_GB2312"/>
                <w:color w:val="000000"/>
                <w:sz w:val="22"/>
                <w:szCs w:val="22"/>
              </w:rPr>
            </w:pPr>
            <w:r>
              <w:rPr>
                <w:rFonts w:ascii="仿宋_GB2312" w:hAnsi="宋体" w:eastAsia="仿宋_GB2312" w:cs="仿宋_GB2312"/>
                <w:color w:val="000000"/>
                <w:kern w:val="0"/>
                <w:sz w:val="22"/>
                <w:szCs w:val="22"/>
                <w:lang w:bidi="ar"/>
              </w:rPr>
              <w:t>高清全彩筒形网络摄像机</w:t>
            </w:r>
          </w:p>
        </w:tc>
        <w:tc>
          <w:tcPr>
            <w:tcW w:w="2671" w:type="pct"/>
            <w:tcBorders>
              <w:top w:val="single" w:color="000000" w:sz="4" w:space="0"/>
              <w:left w:val="single" w:color="000000" w:sz="4" w:space="0"/>
              <w:bottom w:val="single" w:color="000000" w:sz="4" w:space="0"/>
              <w:right w:val="single" w:color="000000" w:sz="4" w:space="0"/>
            </w:tcBorders>
            <w:vAlign w:val="center"/>
          </w:tcPr>
          <w:p w14:paraId="35D919CE">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1.像素：400万，分辨率2560×1440；</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2.帧率：25fps（400万像素下）；</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3.镜头：4mm/6mm定焦可选，F1.6大光圈；</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4.夜视：白光全彩，补光距离≥30m；</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5.编码：H.265+/H.265/H.264；</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6.供电：POE（IEEE 802.3af）/DC12V；</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7.音频：内置麦克风，支持音频监听；</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8.智能分析：越界侦测、区域入侵侦测；</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9.防护等级：IP66，防尘防水；</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10.工作温度-30℃~+60℃；</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11.含安装底座、防水套件。</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6FCE69A3">
            <w:pPr>
              <w:widowControl/>
              <w:jc w:val="center"/>
              <w:textAlignment w:val="center"/>
              <w:rPr>
                <w:rFonts w:ascii="Times New Roman" w:hAnsi="Times New Roman" w:eastAsia="宋体" w:cs="Times New Roman"/>
                <w:color w:val="000000"/>
                <w:sz w:val="20"/>
                <w:szCs w:val="20"/>
              </w:rPr>
            </w:pPr>
            <w:r>
              <w:rPr>
                <w:rFonts w:ascii="仿宋_GB2312" w:hAnsi="Times New Roman" w:eastAsia="仿宋_GB2312" w:cs="仿宋_GB2312"/>
                <w:color w:val="000000"/>
                <w:sz w:val="20"/>
                <w:szCs w:val="20"/>
                <w:lang w:bidi="ar"/>
              </w:rPr>
              <w:t>台</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2EE4E4E2">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15</w:t>
            </w:r>
          </w:p>
        </w:tc>
      </w:tr>
      <w:tr w14:paraId="58D51A8A">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3A1B4150">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30</w:t>
            </w:r>
          </w:p>
        </w:tc>
        <w:tc>
          <w:tcPr>
            <w:tcW w:w="1076" w:type="pct"/>
            <w:tcBorders>
              <w:top w:val="single" w:color="000000" w:sz="4" w:space="0"/>
              <w:left w:val="single" w:color="000000" w:sz="4" w:space="0"/>
              <w:bottom w:val="single" w:color="000000" w:sz="4" w:space="0"/>
              <w:right w:val="single" w:color="000000" w:sz="4" w:space="0"/>
            </w:tcBorders>
            <w:vAlign w:val="center"/>
          </w:tcPr>
          <w:p w14:paraId="0F357592">
            <w:pPr>
              <w:widowControl/>
              <w:jc w:val="center"/>
              <w:textAlignment w:val="center"/>
              <w:rPr>
                <w:rFonts w:hint="eastAsia" w:ascii="仿宋_GB2312" w:hAnsi="宋体" w:eastAsia="仿宋_GB2312" w:cs="仿宋_GB2312"/>
                <w:color w:val="000000"/>
                <w:sz w:val="22"/>
                <w:szCs w:val="22"/>
              </w:rPr>
            </w:pPr>
            <w:r>
              <w:rPr>
                <w:rFonts w:ascii="仿宋_GB2312" w:hAnsi="宋体" w:eastAsia="仿宋_GB2312" w:cs="仿宋_GB2312"/>
                <w:color w:val="000000"/>
                <w:kern w:val="0"/>
                <w:sz w:val="22"/>
                <w:szCs w:val="22"/>
                <w:lang w:bidi="ar"/>
              </w:rPr>
              <w:t>电源适配器</w:t>
            </w:r>
          </w:p>
        </w:tc>
        <w:tc>
          <w:tcPr>
            <w:tcW w:w="2671" w:type="pct"/>
            <w:tcBorders>
              <w:top w:val="single" w:color="000000" w:sz="4" w:space="0"/>
              <w:left w:val="single" w:color="000000" w:sz="4" w:space="0"/>
              <w:bottom w:val="single" w:color="000000" w:sz="4" w:space="0"/>
              <w:right w:val="single" w:color="000000" w:sz="4" w:space="0"/>
            </w:tcBorders>
            <w:vAlign w:val="center"/>
          </w:tcPr>
          <w:p w14:paraId="580AF078">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1.输出：DC12V/2A；</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2.输入：AC100~240V，50/60Hz；</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3.室外防水型，IP65；</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4.含电源线、防水接头；</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5.用于非POE摄像机供电（备用）。</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245A36CC">
            <w:pPr>
              <w:widowControl/>
              <w:jc w:val="center"/>
              <w:textAlignment w:val="center"/>
              <w:rPr>
                <w:rFonts w:ascii="Times New Roman" w:hAnsi="Times New Roman" w:eastAsia="宋体" w:cs="Times New Roman"/>
                <w:color w:val="000000"/>
                <w:sz w:val="20"/>
                <w:szCs w:val="20"/>
              </w:rPr>
            </w:pPr>
            <w:r>
              <w:rPr>
                <w:rFonts w:ascii="仿宋_GB2312" w:hAnsi="Times New Roman" w:eastAsia="仿宋_GB2312" w:cs="仿宋_GB2312"/>
                <w:color w:val="000000"/>
                <w:sz w:val="20"/>
                <w:szCs w:val="20"/>
                <w:lang w:bidi="ar"/>
              </w:rPr>
              <w:t>台</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418C0837">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15</w:t>
            </w:r>
          </w:p>
        </w:tc>
      </w:tr>
      <w:tr w14:paraId="35335764">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69F36692">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31</w:t>
            </w:r>
          </w:p>
        </w:tc>
        <w:tc>
          <w:tcPr>
            <w:tcW w:w="1076" w:type="pct"/>
            <w:tcBorders>
              <w:top w:val="single" w:color="000000" w:sz="4" w:space="0"/>
              <w:left w:val="single" w:color="000000" w:sz="4" w:space="0"/>
              <w:bottom w:val="single" w:color="000000" w:sz="4" w:space="0"/>
              <w:right w:val="single" w:color="000000" w:sz="4" w:space="0"/>
            </w:tcBorders>
            <w:vAlign w:val="center"/>
          </w:tcPr>
          <w:p w14:paraId="7D23C45F">
            <w:pPr>
              <w:widowControl/>
              <w:jc w:val="center"/>
              <w:textAlignment w:val="center"/>
              <w:rPr>
                <w:rFonts w:hint="eastAsia" w:ascii="仿宋_GB2312" w:hAnsi="宋体" w:eastAsia="仿宋_GB2312" w:cs="仿宋_GB2312"/>
                <w:color w:val="000000"/>
                <w:sz w:val="22"/>
                <w:szCs w:val="22"/>
              </w:rPr>
            </w:pPr>
            <w:r>
              <w:rPr>
                <w:rFonts w:ascii="仿宋_GB2312" w:hAnsi="宋体" w:eastAsia="仿宋_GB2312" w:cs="仿宋_GB2312"/>
                <w:color w:val="000000"/>
                <w:kern w:val="0"/>
                <w:sz w:val="22"/>
                <w:szCs w:val="22"/>
                <w:lang w:bidi="ar"/>
              </w:rPr>
              <w:t>枪机支架</w:t>
            </w:r>
          </w:p>
        </w:tc>
        <w:tc>
          <w:tcPr>
            <w:tcW w:w="2671" w:type="pct"/>
            <w:tcBorders>
              <w:top w:val="single" w:color="000000" w:sz="4" w:space="0"/>
              <w:left w:val="single" w:color="000000" w:sz="4" w:space="0"/>
              <w:bottom w:val="single" w:color="000000" w:sz="4" w:space="0"/>
              <w:right w:val="single" w:color="000000" w:sz="4" w:space="0"/>
            </w:tcBorders>
            <w:vAlign w:val="center"/>
          </w:tcPr>
          <w:p w14:paraId="7CE172E7">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1.材质：铝合金/不锈钢；</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2.万向调节，角度可调；</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3.室外防锈防腐处理；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4.承重≥2kg；</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5.含安装螺丝、膨胀螺栓。</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7C3800AE">
            <w:pPr>
              <w:widowControl/>
              <w:jc w:val="center"/>
              <w:textAlignment w:val="center"/>
              <w:rPr>
                <w:rFonts w:ascii="Times New Roman" w:hAnsi="Times New Roman" w:eastAsia="宋体" w:cs="Times New Roman"/>
                <w:color w:val="000000"/>
                <w:sz w:val="20"/>
                <w:szCs w:val="20"/>
              </w:rPr>
            </w:pPr>
            <w:r>
              <w:rPr>
                <w:rFonts w:ascii="仿宋_GB2312" w:hAnsi="Times New Roman" w:eastAsia="仿宋_GB2312" w:cs="仿宋_GB2312"/>
                <w:color w:val="000000"/>
                <w:sz w:val="20"/>
                <w:szCs w:val="20"/>
                <w:lang w:bidi="ar"/>
              </w:rPr>
              <w:t>个</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27E10F47">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15</w:t>
            </w:r>
          </w:p>
        </w:tc>
      </w:tr>
      <w:tr w14:paraId="5339F80F">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038AF052">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32</w:t>
            </w:r>
          </w:p>
        </w:tc>
        <w:tc>
          <w:tcPr>
            <w:tcW w:w="1076" w:type="pct"/>
            <w:tcBorders>
              <w:top w:val="single" w:color="000000" w:sz="4" w:space="0"/>
              <w:left w:val="single" w:color="000000" w:sz="4" w:space="0"/>
              <w:bottom w:val="single" w:color="000000" w:sz="4" w:space="0"/>
              <w:right w:val="single" w:color="000000" w:sz="4" w:space="0"/>
            </w:tcBorders>
            <w:vAlign w:val="center"/>
          </w:tcPr>
          <w:p w14:paraId="0C437449">
            <w:pPr>
              <w:widowControl/>
              <w:jc w:val="center"/>
              <w:textAlignment w:val="center"/>
              <w:rPr>
                <w:rFonts w:hint="eastAsia" w:ascii="仿宋_GB2312" w:hAnsi="宋体" w:eastAsia="仿宋_GB2312" w:cs="仿宋_GB2312"/>
                <w:color w:val="000000"/>
                <w:sz w:val="22"/>
                <w:szCs w:val="22"/>
              </w:rPr>
            </w:pPr>
            <w:r>
              <w:rPr>
                <w:rFonts w:ascii="仿宋_GB2312" w:hAnsi="宋体" w:eastAsia="仿宋_GB2312" w:cs="仿宋_GB2312"/>
                <w:color w:val="000000"/>
                <w:kern w:val="0"/>
                <w:sz w:val="22"/>
                <w:szCs w:val="22"/>
                <w:lang w:bidi="ar"/>
              </w:rPr>
              <w:t>立杆（含基础）</w:t>
            </w:r>
          </w:p>
        </w:tc>
        <w:tc>
          <w:tcPr>
            <w:tcW w:w="2671" w:type="pct"/>
            <w:tcBorders>
              <w:top w:val="single" w:color="000000" w:sz="4" w:space="0"/>
              <w:left w:val="single" w:color="000000" w:sz="4" w:space="0"/>
              <w:bottom w:val="single" w:color="000000" w:sz="4" w:space="0"/>
              <w:right w:val="single" w:color="000000" w:sz="4" w:space="0"/>
            </w:tcBorders>
            <w:vAlign w:val="center"/>
          </w:tcPr>
          <w:p w14:paraId="0A2EB391">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1.高度：≥4m（地面以上）；</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2.材质：热镀锌钢管，直径≥114mm，壁厚≥3mm；</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3.含横臂（≥1m，可装2台摄像机）；</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4.含接线箱（防水，IP65）；</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5.基础：C30混凝土基础，尺寸≥600mm×600mm×800mm；</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6.含接地装置，接地电阻≤10Ω；</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7.含地脚螺栓、固定件；</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8.表面喷塑处理，白色/灰色；</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9.含运输、基础施工、立杆安装。</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00E854C3">
            <w:pPr>
              <w:widowControl/>
              <w:jc w:val="center"/>
              <w:textAlignment w:val="center"/>
              <w:rPr>
                <w:rFonts w:ascii="Times New Roman" w:hAnsi="Times New Roman" w:eastAsia="宋体" w:cs="Times New Roman"/>
                <w:color w:val="000000"/>
                <w:sz w:val="20"/>
                <w:szCs w:val="20"/>
              </w:rPr>
            </w:pPr>
            <w:r>
              <w:rPr>
                <w:rFonts w:ascii="仿宋_GB2312" w:hAnsi="Times New Roman" w:eastAsia="仿宋_GB2312" w:cs="仿宋_GB2312"/>
                <w:color w:val="000000"/>
                <w:sz w:val="20"/>
                <w:szCs w:val="20"/>
                <w:lang w:bidi="ar"/>
              </w:rPr>
              <w:t>套</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11EBABCC">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7</w:t>
            </w:r>
          </w:p>
        </w:tc>
      </w:tr>
      <w:tr w14:paraId="2353AC28">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02B5E043">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33</w:t>
            </w:r>
          </w:p>
        </w:tc>
        <w:tc>
          <w:tcPr>
            <w:tcW w:w="1076" w:type="pct"/>
            <w:tcBorders>
              <w:top w:val="single" w:color="000000" w:sz="4" w:space="0"/>
              <w:left w:val="single" w:color="000000" w:sz="4" w:space="0"/>
              <w:bottom w:val="single" w:color="000000" w:sz="4" w:space="0"/>
              <w:right w:val="single" w:color="000000" w:sz="4" w:space="0"/>
            </w:tcBorders>
            <w:vAlign w:val="center"/>
          </w:tcPr>
          <w:p w14:paraId="77BDCADC">
            <w:pPr>
              <w:widowControl/>
              <w:jc w:val="center"/>
              <w:textAlignment w:val="center"/>
              <w:rPr>
                <w:rFonts w:hint="eastAsia" w:ascii="仿宋_GB2312" w:hAnsi="宋体" w:eastAsia="仿宋_GB2312" w:cs="仿宋_GB2312"/>
                <w:color w:val="000000"/>
                <w:sz w:val="22"/>
                <w:szCs w:val="22"/>
              </w:rPr>
            </w:pPr>
            <w:r>
              <w:rPr>
                <w:rFonts w:ascii="仿宋_GB2312" w:hAnsi="宋体" w:eastAsia="仿宋_GB2312" w:cs="仿宋_GB2312"/>
                <w:color w:val="000000"/>
                <w:kern w:val="0"/>
                <w:sz w:val="22"/>
                <w:szCs w:val="22"/>
                <w:lang w:bidi="ar"/>
              </w:rPr>
              <w:t>光纤收发器</w:t>
            </w:r>
          </w:p>
        </w:tc>
        <w:tc>
          <w:tcPr>
            <w:tcW w:w="2671" w:type="pct"/>
            <w:tcBorders>
              <w:top w:val="single" w:color="000000" w:sz="4" w:space="0"/>
              <w:left w:val="single" w:color="000000" w:sz="4" w:space="0"/>
              <w:bottom w:val="single" w:color="000000" w:sz="4" w:space="0"/>
              <w:right w:val="single" w:color="000000" w:sz="4" w:space="0"/>
            </w:tcBorders>
            <w:vAlign w:val="center"/>
          </w:tcPr>
          <w:p w14:paraId="1D8C7FD7">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1.类型：千兆单模单纤光纤收发器；</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2.速率：10/100/1000Mbps自适应；</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3.传输距离：≥20km；</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4.接口：1个SC光纤口 + 1个RJ45千兆电口；</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5.波长：TX1310nm/RX1550nm（成对使用）；</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6.电源：DC5V/2A，含电源适配器；</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7.工作温度-20℃~+60℃；</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8.含壁挂安装支架；</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9.用于摄像机与中心站之间光纤传输。</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7623C223">
            <w:pPr>
              <w:widowControl/>
              <w:jc w:val="center"/>
              <w:textAlignment w:val="center"/>
              <w:rPr>
                <w:rFonts w:ascii="Times New Roman" w:hAnsi="Times New Roman" w:eastAsia="宋体" w:cs="Times New Roman"/>
                <w:color w:val="000000"/>
                <w:sz w:val="20"/>
                <w:szCs w:val="20"/>
              </w:rPr>
            </w:pPr>
            <w:r>
              <w:rPr>
                <w:rFonts w:ascii="仿宋_GB2312" w:hAnsi="Times New Roman" w:eastAsia="仿宋_GB2312" w:cs="仿宋_GB2312"/>
                <w:color w:val="000000"/>
                <w:sz w:val="20"/>
                <w:szCs w:val="20"/>
                <w:lang w:bidi="ar"/>
              </w:rPr>
              <w:t>个</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4C164A02">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7</w:t>
            </w:r>
          </w:p>
        </w:tc>
      </w:tr>
      <w:tr w14:paraId="7C1A771C">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6DD32844">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34</w:t>
            </w:r>
          </w:p>
        </w:tc>
        <w:tc>
          <w:tcPr>
            <w:tcW w:w="1076" w:type="pct"/>
            <w:tcBorders>
              <w:top w:val="single" w:color="000000" w:sz="4" w:space="0"/>
              <w:left w:val="single" w:color="000000" w:sz="4" w:space="0"/>
              <w:bottom w:val="single" w:color="000000" w:sz="4" w:space="0"/>
              <w:right w:val="single" w:color="000000" w:sz="4" w:space="0"/>
            </w:tcBorders>
            <w:vAlign w:val="center"/>
          </w:tcPr>
          <w:p w14:paraId="0FFA059C">
            <w:pPr>
              <w:widowControl/>
              <w:jc w:val="center"/>
              <w:textAlignment w:val="center"/>
              <w:rPr>
                <w:rFonts w:hint="eastAsia" w:ascii="仿宋_GB2312" w:hAnsi="宋体" w:eastAsia="仿宋_GB2312" w:cs="仿宋_GB2312"/>
                <w:color w:val="000000"/>
                <w:sz w:val="22"/>
                <w:szCs w:val="22"/>
              </w:rPr>
            </w:pPr>
            <w:r>
              <w:rPr>
                <w:rFonts w:ascii="仿宋_GB2312" w:hAnsi="宋体" w:eastAsia="仿宋_GB2312" w:cs="仿宋_GB2312"/>
                <w:color w:val="000000"/>
                <w:kern w:val="0"/>
                <w:sz w:val="22"/>
                <w:szCs w:val="22"/>
                <w:lang w:bidi="ar"/>
              </w:rPr>
              <w:t>交换机</w:t>
            </w:r>
          </w:p>
        </w:tc>
        <w:tc>
          <w:tcPr>
            <w:tcW w:w="2671" w:type="pct"/>
            <w:tcBorders>
              <w:top w:val="single" w:color="000000" w:sz="4" w:space="0"/>
              <w:left w:val="single" w:color="000000" w:sz="4" w:space="0"/>
              <w:bottom w:val="single" w:color="000000" w:sz="4" w:space="0"/>
              <w:right w:val="single" w:color="000000" w:sz="4" w:space="0"/>
            </w:tcBorders>
            <w:vAlign w:val="center"/>
          </w:tcPr>
          <w:p w14:paraId="70797D5B">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1.端口：≥16个千兆POE电口 + ≥2个千兆SFP光口；</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2.POE功率：≥200W，单口最大30W（IEEE 802.3af/at）；</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3.交换容量：≥128Gbps；</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4.包转发率：≥42Mpps；</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5.网管型：支持VLAN、QoS、端口镜像、STP；</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6.支持POE定时开关、端口隔离；</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7.机架式，19英寸标准机柜；</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8.含电源线、机柜安装配件；</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9.用于监控摄像机接入与POE供电。</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57777F32">
            <w:pPr>
              <w:widowControl/>
              <w:jc w:val="center"/>
              <w:textAlignment w:val="center"/>
              <w:rPr>
                <w:rFonts w:ascii="Times New Roman" w:hAnsi="Times New Roman" w:eastAsia="宋体" w:cs="Times New Roman"/>
                <w:color w:val="000000"/>
                <w:sz w:val="20"/>
                <w:szCs w:val="20"/>
              </w:rPr>
            </w:pPr>
            <w:r>
              <w:rPr>
                <w:rFonts w:ascii="仿宋_GB2312" w:hAnsi="Times New Roman" w:eastAsia="仿宋_GB2312" w:cs="仿宋_GB2312"/>
                <w:color w:val="000000"/>
                <w:sz w:val="20"/>
                <w:szCs w:val="20"/>
                <w:lang w:bidi="ar"/>
              </w:rPr>
              <w:t>台</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3F282BBA">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1</w:t>
            </w:r>
          </w:p>
        </w:tc>
      </w:tr>
      <w:tr w14:paraId="734E89D8">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3333A999">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35</w:t>
            </w:r>
          </w:p>
        </w:tc>
        <w:tc>
          <w:tcPr>
            <w:tcW w:w="1076" w:type="pct"/>
            <w:tcBorders>
              <w:top w:val="single" w:color="000000" w:sz="4" w:space="0"/>
              <w:left w:val="single" w:color="000000" w:sz="4" w:space="0"/>
              <w:bottom w:val="single" w:color="000000" w:sz="4" w:space="0"/>
              <w:right w:val="single" w:color="000000" w:sz="4" w:space="0"/>
            </w:tcBorders>
            <w:vAlign w:val="center"/>
          </w:tcPr>
          <w:p w14:paraId="51B8ED60">
            <w:pPr>
              <w:widowControl/>
              <w:jc w:val="center"/>
              <w:textAlignment w:val="center"/>
              <w:rPr>
                <w:rFonts w:hint="eastAsia" w:ascii="仿宋_GB2312" w:hAnsi="宋体" w:eastAsia="仿宋_GB2312" w:cs="仿宋_GB2312"/>
                <w:color w:val="000000"/>
                <w:sz w:val="22"/>
                <w:szCs w:val="22"/>
              </w:rPr>
            </w:pPr>
            <w:r>
              <w:rPr>
                <w:rFonts w:ascii="仿宋_GB2312" w:hAnsi="宋体" w:eastAsia="仿宋_GB2312" w:cs="仿宋_GB2312"/>
                <w:color w:val="000000"/>
                <w:kern w:val="0"/>
                <w:sz w:val="22"/>
                <w:szCs w:val="22"/>
                <w:lang w:bidi="ar"/>
              </w:rPr>
              <w:t>网络视频录像机</w:t>
            </w:r>
          </w:p>
        </w:tc>
        <w:tc>
          <w:tcPr>
            <w:tcW w:w="2671" w:type="pct"/>
            <w:tcBorders>
              <w:top w:val="single" w:color="000000" w:sz="4" w:space="0"/>
              <w:left w:val="single" w:color="000000" w:sz="4" w:space="0"/>
              <w:bottom w:val="single" w:color="000000" w:sz="4" w:space="0"/>
              <w:right w:val="single" w:color="000000" w:sz="4" w:space="0"/>
            </w:tcBorders>
            <w:vAlign w:val="center"/>
          </w:tcPr>
          <w:p w14:paraId="303A6FF3">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1.路数：≥16路（支持400万像素摄像机接入）；</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2.解码能力：支持4K高清解码输出；</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3.硬盘位：≥4个SATA接口，单盘支持≥10TB；</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4.视频输出：HDMI（4K）+ VGA；</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5.编码：支持H.265+/H.265/H.264；</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6.网络接口：≥2个千兆RJ45；</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7.USB接口：≥2个（USB3.0）；</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8.功能：录像、回放、远程访问、移动侦测报警；</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9.含鼠标、遥控器、电源线；</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10.机架式，19英寸标准机柜。</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7E04E265">
            <w:pPr>
              <w:widowControl/>
              <w:jc w:val="center"/>
              <w:textAlignment w:val="center"/>
              <w:rPr>
                <w:rFonts w:ascii="Times New Roman" w:hAnsi="Times New Roman" w:eastAsia="宋体" w:cs="Times New Roman"/>
                <w:color w:val="000000"/>
                <w:sz w:val="20"/>
                <w:szCs w:val="20"/>
              </w:rPr>
            </w:pPr>
            <w:r>
              <w:rPr>
                <w:rFonts w:ascii="仿宋_GB2312" w:hAnsi="Times New Roman" w:eastAsia="仿宋_GB2312" w:cs="仿宋_GB2312"/>
                <w:color w:val="000000"/>
                <w:sz w:val="20"/>
                <w:szCs w:val="20"/>
                <w:lang w:bidi="ar"/>
              </w:rPr>
              <w:t>台</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0DB01C6B">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1</w:t>
            </w:r>
          </w:p>
        </w:tc>
      </w:tr>
      <w:tr w14:paraId="2217FEB0">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3DDC859B">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36</w:t>
            </w:r>
          </w:p>
        </w:tc>
        <w:tc>
          <w:tcPr>
            <w:tcW w:w="1076" w:type="pct"/>
            <w:tcBorders>
              <w:top w:val="single" w:color="000000" w:sz="4" w:space="0"/>
              <w:left w:val="single" w:color="000000" w:sz="4" w:space="0"/>
              <w:bottom w:val="single" w:color="000000" w:sz="4" w:space="0"/>
              <w:right w:val="single" w:color="000000" w:sz="4" w:space="0"/>
            </w:tcBorders>
            <w:vAlign w:val="center"/>
          </w:tcPr>
          <w:p w14:paraId="3F5164C5">
            <w:pPr>
              <w:widowControl/>
              <w:jc w:val="center"/>
              <w:textAlignment w:val="center"/>
              <w:rPr>
                <w:rFonts w:hint="eastAsia" w:ascii="仿宋_GB2312" w:hAnsi="宋体" w:eastAsia="仿宋_GB2312" w:cs="仿宋_GB2312"/>
                <w:color w:val="000000"/>
                <w:sz w:val="22"/>
                <w:szCs w:val="22"/>
              </w:rPr>
            </w:pPr>
            <w:r>
              <w:rPr>
                <w:rFonts w:ascii="仿宋_GB2312" w:hAnsi="宋体" w:eastAsia="仿宋_GB2312" w:cs="仿宋_GB2312"/>
                <w:color w:val="000000"/>
                <w:kern w:val="0"/>
                <w:sz w:val="22"/>
                <w:szCs w:val="22"/>
                <w:lang w:bidi="ar"/>
              </w:rPr>
              <w:t>电视机（支持</w:t>
            </w:r>
            <w:r>
              <w:rPr>
                <w:rFonts w:ascii="Times New Roman" w:hAnsi="Times New Roman" w:eastAsia="仿宋_GB2312" w:cs="Times New Roman"/>
                <w:color w:val="000000"/>
                <w:kern w:val="0"/>
                <w:sz w:val="22"/>
                <w:szCs w:val="22"/>
                <w:lang w:bidi="ar"/>
              </w:rPr>
              <w:t>4K</w:t>
            </w:r>
            <w:r>
              <w:rPr>
                <w:rFonts w:ascii="仿宋_GB2312" w:hAnsi="宋体" w:eastAsia="仿宋_GB2312" w:cs="仿宋_GB2312"/>
                <w:color w:val="000000"/>
                <w:kern w:val="0"/>
                <w:sz w:val="22"/>
                <w:szCs w:val="22"/>
                <w:lang w:bidi="ar"/>
              </w:rPr>
              <w:t>解输）</w:t>
            </w:r>
          </w:p>
        </w:tc>
        <w:tc>
          <w:tcPr>
            <w:tcW w:w="2671" w:type="pct"/>
            <w:tcBorders>
              <w:top w:val="single" w:color="000000" w:sz="4" w:space="0"/>
              <w:left w:val="single" w:color="000000" w:sz="4" w:space="0"/>
              <w:bottom w:val="single" w:color="000000" w:sz="4" w:space="0"/>
              <w:right w:val="single" w:color="000000" w:sz="4" w:space="0"/>
            </w:tcBorders>
            <w:vAlign w:val="center"/>
          </w:tcPr>
          <w:p w14:paraId="01DBB61D">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1.屏幕尺寸：≥55英寸；</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2.分辨率：3840×2160（4K超高清）；</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3.屏幕类型：LED/LCD；</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4.智能系统：安卓或同等，支持APP安装；</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5.接口：HDMI≥2个（含HDMI2.0），USB≥2个，RJ45网口；</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6.支持WiFi、蓝牙；</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7.音效：立体声，功率≥20W；</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8.含壁挂支架；</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9.含遥控器、电源线；</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10.用于监控画面实时显示、数据展示。</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07733EA6">
            <w:pPr>
              <w:widowControl/>
              <w:jc w:val="center"/>
              <w:textAlignment w:val="center"/>
              <w:rPr>
                <w:rFonts w:ascii="Times New Roman" w:hAnsi="Times New Roman" w:eastAsia="宋体" w:cs="Times New Roman"/>
                <w:color w:val="000000"/>
                <w:sz w:val="20"/>
                <w:szCs w:val="20"/>
              </w:rPr>
            </w:pPr>
            <w:r>
              <w:rPr>
                <w:rFonts w:ascii="仿宋_GB2312" w:hAnsi="Times New Roman" w:eastAsia="仿宋_GB2312" w:cs="仿宋_GB2312"/>
                <w:color w:val="000000"/>
                <w:sz w:val="20"/>
                <w:szCs w:val="20"/>
                <w:lang w:bidi="ar"/>
              </w:rPr>
              <w:t>台</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0B098128">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1</w:t>
            </w:r>
          </w:p>
        </w:tc>
      </w:tr>
      <w:tr w14:paraId="4FB261B2">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6B1A2E44">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37</w:t>
            </w:r>
          </w:p>
        </w:tc>
        <w:tc>
          <w:tcPr>
            <w:tcW w:w="1076" w:type="pct"/>
            <w:tcBorders>
              <w:top w:val="single" w:color="000000" w:sz="4" w:space="0"/>
              <w:left w:val="single" w:color="000000" w:sz="4" w:space="0"/>
              <w:bottom w:val="single" w:color="000000" w:sz="4" w:space="0"/>
              <w:right w:val="single" w:color="000000" w:sz="4" w:space="0"/>
            </w:tcBorders>
            <w:vAlign w:val="center"/>
          </w:tcPr>
          <w:p w14:paraId="47B2DD63">
            <w:pPr>
              <w:widowControl/>
              <w:jc w:val="center"/>
              <w:textAlignment w:val="center"/>
              <w:rPr>
                <w:rFonts w:hint="eastAsia" w:ascii="仿宋_GB2312" w:hAnsi="宋体" w:eastAsia="仿宋_GB2312" w:cs="仿宋_GB2312"/>
                <w:color w:val="000000"/>
                <w:sz w:val="22"/>
                <w:szCs w:val="22"/>
              </w:rPr>
            </w:pPr>
            <w:r>
              <w:rPr>
                <w:rFonts w:ascii="仿宋_GB2312" w:hAnsi="宋体" w:eastAsia="仿宋_GB2312" w:cs="仿宋_GB2312"/>
                <w:color w:val="000000"/>
                <w:kern w:val="0"/>
                <w:sz w:val="22"/>
                <w:szCs w:val="22"/>
                <w:lang w:bidi="ar"/>
              </w:rPr>
              <w:t>硬盘</w:t>
            </w:r>
          </w:p>
        </w:tc>
        <w:tc>
          <w:tcPr>
            <w:tcW w:w="2671" w:type="pct"/>
            <w:tcBorders>
              <w:top w:val="single" w:color="000000" w:sz="4" w:space="0"/>
              <w:left w:val="single" w:color="000000" w:sz="4" w:space="0"/>
              <w:bottom w:val="single" w:color="000000" w:sz="4" w:space="0"/>
              <w:right w:val="single" w:color="000000" w:sz="4" w:space="0"/>
            </w:tcBorders>
            <w:vAlign w:val="center"/>
          </w:tcPr>
          <w:p w14:paraId="2BF70EF8">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1.类型：监控级硬盘（7×24小时连续工作）；</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2.容量：≥8TB；</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3.转速：7200rpm；</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4.缓存：≥256MB；</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5.接口：SATA 6Gb/s；</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6.工作负载率：≥180TB/年；</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7.平均无故障时间（MTBF）：≥150万小时；</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8.工作温度0℃~60℃；</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9.用于监控视频录像存储；</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10.兼容主流NVR设备。</w:t>
            </w:r>
          </w:p>
        </w:tc>
        <w:tc>
          <w:tcPr>
            <w:tcW w:w="376" w:type="pct"/>
            <w:tcBorders>
              <w:top w:val="single" w:color="000000" w:sz="4" w:space="0"/>
              <w:left w:val="single" w:color="000000" w:sz="4" w:space="0"/>
              <w:bottom w:val="single" w:color="000000" w:sz="4" w:space="0"/>
              <w:right w:val="single" w:color="000000" w:sz="4" w:space="0"/>
            </w:tcBorders>
            <w:noWrap/>
            <w:vAlign w:val="center"/>
          </w:tcPr>
          <w:p w14:paraId="7A65867A">
            <w:pPr>
              <w:widowControl/>
              <w:jc w:val="center"/>
              <w:textAlignment w:val="center"/>
              <w:rPr>
                <w:rFonts w:ascii="Times New Roman" w:hAnsi="Times New Roman" w:eastAsia="宋体" w:cs="Times New Roman"/>
                <w:color w:val="000000"/>
                <w:sz w:val="20"/>
                <w:szCs w:val="20"/>
              </w:rPr>
            </w:pPr>
            <w:r>
              <w:rPr>
                <w:rFonts w:ascii="仿宋_GB2312" w:hAnsi="Times New Roman" w:eastAsia="仿宋_GB2312" w:cs="仿宋_GB2312"/>
                <w:color w:val="000000"/>
                <w:sz w:val="20"/>
                <w:szCs w:val="20"/>
                <w:lang w:bidi="ar"/>
              </w:rPr>
              <w:t>个</w:t>
            </w:r>
          </w:p>
        </w:tc>
        <w:tc>
          <w:tcPr>
            <w:tcW w:w="498" w:type="pct"/>
            <w:tcBorders>
              <w:top w:val="single" w:color="000000" w:sz="4" w:space="0"/>
              <w:left w:val="single" w:color="000000" w:sz="4" w:space="0"/>
              <w:bottom w:val="single" w:color="000000" w:sz="4" w:space="0"/>
              <w:right w:val="single" w:color="000000" w:sz="4" w:space="0"/>
            </w:tcBorders>
            <w:noWrap/>
            <w:vAlign w:val="center"/>
          </w:tcPr>
          <w:p w14:paraId="48501C68">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7</w:t>
            </w:r>
          </w:p>
        </w:tc>
      </w:tr>
      <w:tr w14:paraId="263FEF53">
        <w:tblPrEx>
          <w:tblCellMar>
            <w:top w:w="0" w:type="dxa"/>
            <w:left w:w="108" w:type="dxa"/>
            <w:bottom w:w="0" w:type="dxa"/>
            <w:right w:w="108" w:type="dxa"/>
          </w:tblCellMar>
        </w:tblPrEx>
        <w:trPr>
          <w:trHeight w:val="23" w:hRule="atLeast"/>
        </w:trPr>
        <w:tc>
          <w:tcPr>
            <w:tcW w:w="376" w:type="pct"/>
            <w:tcBorders>
              <w:top w:val="single" w:color="000000" w:sz="4" w:space="0"/>
              <w:left w:val="single" w:color="000000" w:sz="8" w:space="0"/>
              <w:bottom w:val="single" w:color="000000" w:sz="4" w:space="0"/>
              <w:right w:val="single" w:color="000000" w:sz="4" w:space="0"/>
            </w:tcBorders>
            <w:noWrap/>
            <w:vAlign w:val="center"/>
          </w:tcPr>
          <w:p w14:paraId="19359BE2">
            <w:pPr>
              <w:widowControl/>
              <w:jc w:val="cente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kern w:val="0"/>
                <w:sz w:val="24"/>
                <w:szCs w:val="24"/>
                <w:lang w:bidi="ar"/>
              </w:rPr>
              <w:t>38</w:t>
            </w:r>
          </w:p>
        </w:tc>
        <w:tc>
          <w:tcPr>
            <w:tcW w:w="1076" w:type="pct"/>
            <w:tcBorders>
              <w:top w:val="single" w:color="000000" w:sz="4" w:space="0"/>
              <w:left w:val="single" w:color="000000" w:sz="4" w:space="0"/>
              <w:bottom w:val="single" w:color="000000" w:sz="8" w:space="0"/>
              <w:right w:val="single" w:color="000000" w:sz="4" w:space="0"/>
            </w:tcBorders>
            <w:vAlign w:val="center"/>
          </w:tcPr>
          <w:p w14:paraId="5FB99B8C">
            <w:pPr>
              <w:widowControl/>
              <w:jc w:val="center"/>
              <w:textAlignment w:val="center"/>
              <w:rPr>
                <w:rFonts w:hint="eastAsia" w:ascii="仿宋_GB2312" w:hAnsi="宋体" w:eastAsia="仿宋_GB2312" w:cs="仿宋_GB2312"/>
                <w:color w:val="000000"/>
                <w:sz w:val="22"/>
                <w:szCs w:val="22"/>
              </w:rPr>
            </w:pPr>
            <w:r>
              <w:rPr>
                <w:rFonts w:ascii="仿宋_GB2312" w:hAnsi="宋体" w:eastAsia="仿宋_GB2312" w:cs="仿宋_GB2312"/>
                <w:color w:val="000000"/>
                <w:kern w:val="0"/>
                <w:sz w:val="22"/>
                <w:szCs w:val="22"/>
                <w:lang w:bidi="ar"/>
              </w:rPr>
              <w:t>辅助材料</w:t>
            </w:r>
          </w:p>
        </w:tc>
        <w:tc>
          <w:tcPr>
            <w:tcW w:w="2671" w:type="pct"/>
            <w:tcBorders>
              <w:top w:val="single" w:color="000000" w:sz="4" w:space="0"/>
              <w:left w:val="single" w:color="000000" w:sz="4" w:space="0"/>
              <w:bottom w:val="single" w:color="000000" w:sz="4" w:space="0"/>
              <w:right w:val="single" w:color="000000" w:sz="4" w:space="0"/>
            </w:tcBorders>
            <w:vAlign w:val="center"/>
          </w:tcPr>
          <w:p w14:paraId="69D4DB1E">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1.网线：超五类/六类室外防水网线，≥500m；</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2.光纤：单模4芯/12芯室外光缆，≥2000m；</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3.水晶头、光纤熔接盒、终端盒；</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4.电源线：RVV2×1.0/2×1.5，≥500m；</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5.穿线管：PVC/PE管，≥500m；</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6.配电箱：室外防水配电箱（含断路器、防雷器）；</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7.膨胀螺栓、扎带、绝缘胶带等安装辅材；</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8.光纤熔接、测试费用；</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9.其他零星辅材。</w:t>
            </w:r>
          </w:p>
        </w:tc>
        <w:tc>
          <w:tcPr>
            <w:tcW w:w="376" w:type="pct"/>
            <w:tcBorders>
              <w:top w:val="single" w:color="000000" w:sz="4" w:space="0"/>
              <w:left w:val="single" w:color="000000" w:sz="4" w:space="0"/>
              <w:bottom w:val="single" w:color="000000" w:sz="8" w:space="0"/>
              <w:right w:val="single" w:color="000000" w:sz="4" w:space="0"/>
            </w:tcBorders>
            <w:noWrap/>
            <w:vAlign w:val="center"/>
          </w:tcPr>
          <w:p w14:paraId="4B94EF5F">
            <w:pPr>
              <w:widowControl/>
              <w:jc w:val="center"/>
              <w:textAlignment w:val="center"/>
              <w:rPr>
                <w:rFonts w:ascii="Times New Roman" w:hAnsi="Times New Roman" w:eastAsia="宋体" w:cs="Times New Roman"/>
                <w:color w:val="000000"/>
                <w:sz w:val="22"/>
                <w:szCs w:val="22"/>
              </w:rPr>
            </w:pPr>
            <w:r>
              <w:rPr>
                <w:rFonts w:ascii="仿宋_GB2312" w:hAnsi="Times New Roman" w:eastAsia="仿宋_GB2312" w:cs="仿宋_GB2312"/>
                <w:color w:val="000000"/>
                <w:kern w:val="0"/>
                <w:sz w:val="22"/>
                <w:szCs w:val="22"/>
                <w:lang w:bidi="ar"/>
              </w:rPr>
              <w:t>批</w:t>
            </w:r>
          </w:p>
        </w:tc>
        <w:tc>
          <w:tcPr>
            <w:tcW w:w="498" w:type="pct"/>
            <w:tcBorders>
              <w:top w:val="single" w:color="000000" w:sz="4" w:space="0"/>
              <w:left w:val="single" w:color="000000" w:sz="4" w:space="0"/>
              <w:bottom w:val="single" w:color="000000" w:sz="8" w:space="0"/>
              <w:right w:val="single" w:color="000000" w:sz="4" w:space="0"/>
            </w:tcBorders>
            <w:noWrap/>
            <w:vAlign w:val="center"/>
          </w:tcPr>
          <w:p w14:paraId="4FECE76D">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1</w:t>
            </w:r>
          </w:p>
        </w:tc>
      </w:tr>
    </w:tbl>
    <w:p w14:paraId="1D3C36F2">
      <w:pPr>
        <w:spacing w:line="460" w:lineRule="exact"/>
        <w:rPr>
          <w:rFonts w:hint="eastAsia" w:ascii="宋体" w:hAnsi="宋体"/>
          <w:color w:val="000000"/>
          <w:sz w:val="24"/>
          <w:szCs w:val="24"/>
        </w:rPr>
      </w:pPr>
      <w:r>
        <w:rPr>
          <w:rFonts w:hint="eastAsia" w:ascii="宋体" w:hAnsi="宋体"/>
          <w:b/>
          <w:bCs/>
          <w:color w:val="000000"/>
          <w:sz w:val="24"/>
          <w:szCs w:val="24"/>
          <w:highlight w:val="none"/>
        </w:rPr>
        <w:t>二、商务要求</w:t>
      </w:r>
    </w:p>
    <w:p w14:paraId="2A14AD98">
      <w:pPr>
        <w:spacing w:line="460" w:lineRule="exact"/>
        <w:rPr>
          <w:rFonts w:hint="eastAsia" w:ascii="宋体" w:hAnsi="宋体"/>
          <w:b/>
          <w:bCs/>
          <w:color w:val="000000"/>
          <w:sz w:val="24"/>
          <w:szCs w:val="24"/>
          <w:highlight w:val="none"/>
        </w:rPr>
      </w:pPr>
      <w:r>
        <w:rPr>
          <w:rFonts w:hint="eastAsia" w:ascii="宋体" w:hAnsi="宋体"/>
          <w:b/>
          <w:bCs/>
          <w:color w:val="000000"/>
          <w:sz w:val="24"/>
          <w:szCs w:val="24"/>
          <w:highlight w:val="none"/>
        </w:rPr>
        <w:t>（一）供货要求</w:t>
      </w:r>
    </w:p>
    <w:p w14:paraId="7654653A">
      <w:pPr>
        <w:spacing w:line="460" w:lineRule="exact"/>
        <w:rPr>
          <w:rFonts w:hint="eastAsia" w:ascii="宋体" w:hAnsi="宋体"/>
          <w:sz w:val="24"/>
          <w:szCs w:val="24"/>
          <w:highlight w:val="none"/>
        </w:rPr>
      </w:pPr>
      <w:r>
        <w:rPr>
          <w:rFonts w:hint="eastAsia" w:ascii="宋体" w:hAnsi="宋体"/>
          <w:sz w:val="24"/>
          <w:szCs w:val="24"/>
          <w:highlight w:val="none"/>
        </w:rPr>
        <w:t>（1）成交供应商应严格按照采购清单所列设备名称、数量、规格参数及技术要求供货，所</w:t>
      </w:r>
    </w:p>
    <w:p w14:paraId="1EBC4713">
      <w:pPr>
        <w:spacing w:line="460" w:lineRule="exact"/>
        <w:rPr>
          <w:rFonts w:hint="eastAsia" w:ascii="宋体" w:hAnsi="宋体"/>
          <w:sz w:val="24"/>
          <w:szCs w:val="24"/>
          <w:highlight w:val="none"/>
        </w:rPr>
      </w:pPr>
      <w:r>
        <w:rPr>
          <w:rFonts w:hint="eastAsia" w:ascii="宋体" w:hAnsi="宋体"/>
          <w:sz w:val="24"/>
          <w:szCs w:val="24"/>
          <w:highlight w:val="none"/>
        </w:rPr>
        <w:t>供设备须为全新、未使用过的合格产品，符合国家及行业相关标准、规范的要求。</w:t>
      </w:r>
    </w:p>
    <w:p w14:paraId="5EAD3D86">
      <w:pPr>
        <w:spacing w:line="460" w:lineRule="exact"/>
        <w:rPr>
          <w:rFonts w:hint="eastAsia" w:ascii="宋体" w:hAnsi="宋体"/>
          <w:sz w:val="24"/>
          <w:szCs w:val="24"/>
          <w:highlight w:val="none"/>
        </w:rPr>
      </w:pPr>
      <w:r>
        <w:rPr>
          <w:rFonts w:hint="eastAsia" w:ascii="宋体" w:hAnsi="宋体"/>
          <w:sz w:val="24"/>
          <w:szCs w:val="24"/>
          <w:highlight w:val="none"/>
        </w:rPr>
        <w:t>（</w:t>
      </w:r>
      <w:r>
        <w:rPr>
          <w:rFonts w:hint="eastAsia" w:ascii="宋体" w:hAnsi="宋体"/>
          <w:sz w:val="24"/>
          <w:szCs w:val="24"/>
          <w:highlight w:val="none"/>
          <w:lang w:val="en-US" w:eastAsia="zh-CN"/>
        </w:rPr>
        <w:t>2</w:t>
      </w:r>
      <w:r>
        <w:rPr>
          <w:rFonts w:hint="eastAsia" w:ascii="宋体" w:hAnsi="宋体"/>
          <w:sz w:val="24"/>
          <w:szCs w:val="24"/>
          <w:highlight w:val="none"/>
        </w:rPr>
        <w:t>）交货地点★：温宿县佳木镇至塔克拉克村公路17公里东侧。</w:t>
      </w:r>
    </w:p>
    <w:p w14:paraId="371E1D5D">
      <w:pPr>
        <w:spacing w:line="460" w:lineRule="exact"/>
        <w:rPr>
          <w:rFonts w:hint="eastAsia" w:ascii="宋体" w:hAnsi="宋体"/>
          <w:sz w:val="24"/>
          <w:szCs w:val="24"/>
          <w:highlight w:val="none"/>
        </w:rPr>
      </w:pPr>
      <w:r>
        <w:rPr>
          <w:rFonts w:hint="eastAsia" w:ascii="宋体" w:hAnsi="宋体"/>
          <w:sz w:val="24"/>
          <w:szCs w:val="24"/>
          <w:highlight w:val="none"/>
        </w:rPr>
        <w:t>（</w:t>
      </w:r>
      <w:r>
        <w:rPr>
          <w:rFonts w:hint="eastAsia" w:ascii="宋体" w:hAnsi="宋体"/>
          <w:sz w:val="24"/>
          <w:szCs w:val="24"/>
          <w:highlight w:val="none"/>
          <w:lang w:val="en-US" w:eastAsia="zh-CN"/>
        </w:rPr>
        <w:t>3</w:t>
      </w:r>
      <w:r>
        <w:rPr>
          <w:rFonts w:hint="eastAsia" w:ascii="宋体" w:hAnsi="宋体"/>
          <w:sz w:val="24"/>
          <w:szCs w:val="24"/>
          <w:highlight w:val="none"/>
        </w:rPr>
        <w:t>）★供应商负责项目采购全过程，包含货物送货、到货、安装、调试、软硬件设备安装、设备测试调试、直至货物验收合格。</w:t>
      </w:r>
    </w:p>
    <w:p w14:paraId="2C4689E6">
      <w:pPr>
        <w:pStyle w:val="2"/>
        <w:rPr>
          <w:rFonts w:hint="eastAsia"/>
          <w:highlight w:val="none"/>
        </w:rPr>
      </w:pPr>
      <w:r>
        <w:rPr>
          <w:rFonts w:hint="eastAsia" w:ascii="宋体" w:hAnsi="宋体" w:eastAsia="宋体" w:cs="Times New Roman"/>
          <w:kern w:val="2"/>
          <w:sz w:val="24"/>
          <w:szCs w:val="24"/>
          <w:highlight w:val="none"/>
          <w:lang w:val="en-US" w:eastAsia="zh-CN" w:bidi="ar-SA"/>
        </w:rPr>
        <w:t>（4）</w:t>
      </w:r>
      <w:r>
        <w:rPr>
          <w:rFonts w:hint="eastAsia"/>
          <w:highlight w:val="none"/>
        </w:rPr>
        <w:t>交</w:t>
      </w:r>
      <w:r>
        <w:rPr>
          <w:rFonts w:hint="eastAsia"/>
          <w:highlight w:val="none"/>
          <w:lang w:val="en-US" w:eastAsia="zh-CN"/>
        </w:rPr>
        <w:t>货</w:t>
      </w:r>
      <w:r>
        <w:rPr>
          <w:rFonts w:hint="eastAsia"/>
          <w:highlight w:val="none"/>
        </w:rPr>
        <w:t>期</w:t>
      </w:r>
      <w:r>
        <w:rPr>
          <w:rFonts w:hint="eastAsia" w:ascii="宋体" w:hAnsi="宋体"/>
          <w:sz w:val="24"/>
          <w:szCs w:val="24"/>
          <w:highlight w:val="none"/>
        </w:rPr>
        <w:t>★</w:t>
      </w:r>
      <w:r>
        <w:rPr>
          <w:rFonts w:hint="eastAsia"/>
          <w:highlight w:val="none"/>
        </w:rPr>
        <w:t>：合同签订45日历日内</w:t>
      </w:r>
      <w:r>
        <w:rPr>
          <w:rFonts w:hint="eastAsia" w:ascii="宋体" w:hAnsi="宋体" w:eastAsia="宋体" w:cs="宋体"/>
          <w:sz w:val="24"/>
          <w:szCs w:val="24"/>
          <w:highlight w:val="none"/>
          <w:lang w:val="en-US" w:eastAsia="zh-CN"/>
        </w:rPr>
        <w:t>完成</w:t>
      </w:r>
      <w:r>
        <w:rPr>
          <w:rFonts w:hint="eastAsia"/>
          <w:highlight w:val="none"/>
        </w:rPr>
        <w:t>供货安装调试验收。</w:t>
      </w:r>
    </w:p>
    <w:p w14:paraId="195950E7">
      <w:pPr>
        <w:spacing w:line="460" w:lineRule="exact"/>
        <w:rPr>
          <w:rFonts w:hint="eastAsia" w:ascii="宋体" w:hAnsi="宋体"/>
          <w:sz w:val="24"/>
          <w:szCs w:val="24"/>
          <w:highlight w:val="none"/>
        </w:rPr>
      </w:pPr>
      <w:r>
        <w:rPr>
          <w:rFonts w:hint="eastAsia" w:ascii="宋体" w:hAnsi="宋体"/>
          <w:b/>
          <w:bCs/>
          <w:color w:val="000000"/>
          <w:sz w:val="24"/>
          <w:szCs w:val="24"/>
          <w:highlight w:val="none"/>
        </w:rPr>
        <w:t>（二）验收要求</w:t>
      </w:r>
    </w:p>
    <w:p w14:paraId="128178C6">
      <w:pPr>
        <w:spacing w:line="460" w:lineRule="exact"/>
        <w:ind w:firstLine="480" w:firstLineChars="200"/>
        <w:rPr>
          <w:rFonts w:hint="eastAsia" w:ascii="宋体" w:hAnsi="宋体"/>
          <w:sz w:val="24"/>
          <w:szCs w:val="24"/>
          <w:highlight w:val="none"/>
        </w:rPr>
      </w:pPr>
      <w:r>
        <w:rPr>
          <w:rFonts w:hint="eastAsia" w:ascii="宋体" w:hAnsi="宋体"/>
          <w:sz w:val="24"/>
          <w:szCs w:val="24"/>
          <w:highlight w:val="none"/>
        </w:rPr>
        <w:t>设备安装调试完毕后，由采购人组织验收，验收内容包括采购清单所列设备的数量、规格参数、功能性能等；验收不合格的，供应商应当无偿整改或更换，直至验收合格。（提供设备出厂合格证明、产品说明书等相关资料）</w:t>
      </w:r>
    </w:p>
    <w:p w14:paraId="0C030904">
      <w:pPr>
        <w:spacing w:line="460" w:lineRule="exact"/>
        <w:rPr>
          <w:highlight w:val="none"/>
        </w:rPr>
      </w:pPr>
      <w:r>
        <w:rPr>
          <w:rFonts w:hint="eastAsia" w:ascii="宋体" w:hAnsi="宋体"/>
          <w:b/>
          <w:bCs/>
          <w:color w:val="000000"/>
          <w:sz w:val="24"/>
          <w:szCs w:val="24"/>
          <w:highlight w:val="none"/>
        </w:rPr>
        <w:t>（三）水土保持设备监测及运行维护服务（提供承诺函）</w:t>
      </w:r>
      <w:r>
        <w:rPr>
          <w:rFonts w:hint="eastAsia" w:ascii="宋体" w:hAnsi="宋体"/>
          <w:sz w:val="24"/>
          <w:szCs w:val="24"/>
          <w:highlight w:val="none"/>
        </w:rPr>
        <w:t>★</w:t>
      </w:r>
    </w:p>
    <w:p w14:paraId="6B7DA40F">
      <w:pPr>
        <w:spacing w:line="460" w:lineRule="exact"/>
        <w:ind w:firstLine="480" w:firstLineChars="200"/>
        <w:rPr>
          <w:rFonts w:hint="default" w:ascii="宋体" w:hAnsi="宋体" w:eastAsia="宋体"/>
          <w:sz w:val="24"/>
          <w:szCs w:val="24"/>
          <w:lang w:val="en-US" w:eastAsia="zh-CN"/>
        </w:rPr>
      </w:pPr>
      <w:r>
        <w:rPr>
          <w:rFonts w:hint="eastAsia" w:ascii="宋体" w:hAnsi="宋体"/>
          <w:sz w:val="24"/>
          <w:szCs w:val="24"/>
        </w:rPr>
        <w:t>（1）供应商负责自验收合格之日起三年内监测设备的日常运行维护</w:t>
      </w:r>
      <w:r>
        <w:rPr>
          <w:rFonts w:hint="eastAsia" w:ascii="宋体" w:hAnsi="宋体"/>
          <w:sz w:val="24"/>
          <w:szCs w:val="24"/>
          <w:lang w:eastAsia="zh-CN"/>
        </w:rPr>
        <w:t>、</w:t>
      </w:r>
      <w:r>
        <w:rPr>
          <w:rFonts w:hint="eastAsia" w:ascii="宋体" w:hAnsi="宋体"/>
          <w:sz w:val="24"/>
          <w:szCs w:val="24"/>
        </w:rPr>
        <w:t>操作和校准，确保监测数据自动化采集、实时传输、数据库管理及正常存储。</w:t>
      </w:r>
    </w:p>
    <w:p w14:paraId="4E0BC9D6">
      <w:pPr>
        <w:spacing w:line="460" w:lineRule="exact"/>
        <w:ind w:firstLine="480" w:firstLineChars="200"/>
        <w:rPr>
          <w:rFonts w:hint="eastAsia" w:ascii="宋体" w:hAnsi="宋体"/>
          <w:sz w:val="24"/>
          <w:szCs w:val="24"/>
        </w:rPr>
      </w:pPr>
      <w:r>
        <w:rPr>
          <w:rFonts w:hint="eastAsia" w:ascii="宋体" w:hAnsi="宋体"/>
          <w:sz w:val="24"/>
          <w:szCs w:val="24"/>
        </w:rPr>
        <w:t>（2）</w:t>
      </w:r>
      <w:r>
        <w:rPr>
          <w:rFonts w:hint="eastAsia" w:ascii="宋体" w:hAnsi="宋体"/>
          <w:sz w:val="24"/>
          <w:szCs w:val="24"/>
          <w:highlight w:val="none"/>
        </w:rPr>
        <w:t>供应商</w:t>
      </w:r>
      <w:r>
        <w:rPr>
          <w:rFonts w:hint="eastAsia" w:ascii="宋体" w:hAnsi="宋体"/>
          <w:sz w:val="24"/>
          <w:szCs w:val="24"/>
          <w:highlight w:val="none"/>
          <w:lang w:val="en-US" w:eastAsia="zh-CN"/>
        </w:rPr>
        <w:t>需</w:t>
      </w:r>
      <w:r>
        <w:rPr>
          <w:rFonts w:hint="eastAsia" w:ascii="宋体" w:hAnsi="宋体"/>
          <w:sz w:val="24"/>
          <w:szCs w:val="24"/>
          <w:highlight w:val="none"/>
        </w:rPr>
        <w:t>能够提供5年数据分析管理服务</w:t>
      </w:r>
      <w:r>
        <w:rPr>
          <w:rFonts w:hint="eastAsia" w:ascii="宋体" w:hAnsi="宋体"/>
          <w:sz w:val="24"/>
          <w:szCs w:val="24"/>
          <w:highlight w:val="none"/>
          <w:lang w:eastAsia="zh-CN"/>
        </w:rPr>
        <w:t>（</w:t>
      </w:r>
      <w:r>
        <w:rPr>
          <w:rFonts w:hint="eastAsia" w:ascii="宋体" w:hAnsi="宋体"/>
          <w:sz w:val="24"/>
          <w:szCs w:val="24"/>
          <w:highlight w:val="none"/>
        </w:rPr>
        <w:t>服务期间每月完成</w:t>
      </w:r>
      <w:r>
        <w:rPr>
          <w:rFonts w:hint="eastAsia" w:ascii="宋体" w:hAnsi="宋体"/>
          <w:sz w:val="24"/>
          <w:szCs w:val="24"/>
          <w:highlight w:val="none"/>
          <w:lang w:val="en-US" w:eastAsia="zh-CN"/>
        </w:rPr>
        <w:t>现场</w:t>
      </w:r>
      <w:r>
        <w:rPr>
          <w:rFonts w:hint="eastAsia" w:ascii="宋体" w:hAnsi="宋体"/>
          <w:sz w:val="24"/>
          <w:szCs w:val="24"/>
          <w:highlight w:val="none"/>
        </w:rPr>
        <w:t>数据分析不少于2次</w:t>
      </w:r>
      <w:r>
        <w:rPr>
          <w:rFonts w:hint="eastAsia" w:ascii="宋体" w:hAnsi="宋体"/>
          <w:sz w:val="24"/>
          <w:szCs w:val="24"/>
          <w:highlight w:val="none"/>
          <w:lang w:eastAsia="zh-CN"/>
        </w:rPr>
        <w:t>），</w:t>
      </w:r>
      <w:r>
        <w:rPr>
          <w:rFonts w:hint="eastAsia" w:ascii="宋体" w:hAnsi="宋体"/>
          <w:sz w:val="24"/>
          <w:szCs w:val="24"/>
        </w:rPr>
        <w:t>负责全自动风蚀监测仪等设备的、数据采集与整编；负责风蚀监测小区观测数据读取与整理；负责气象观测站（降水、风向、风速、温度、湿度、大气压强、太阳辐射等要素）的数据采集与维护；负责林草样地调查（灌丛5m×5m、草本植物1m×1m样方）的定期调查与数据记录。</w:t>
      </w:r>
    </w:p>
    <w:p w14:paraId="354AF048">
      <w:pPr>
        <w:spacing w:line="460" w:lineRule="exact"/>
        <w:ind w:firstLine="480" w:firstLineChars="200"/>
        <w:rPr>
          <w:rFonts w:hint="eastAsia" w:ascii="宋体" w:hAnsi="宋体"/>
          <w:sz w:val="24"/>
          <w:szCs w:val="24"/>
        </w:rPr>
      </w:pPr>
      <w:r>
        <w:rPr>
          <w:rFonts w:hint="eastAsia" w:ascii="宋体" w:hAnsi="宋体"/>
          <w:sz w:val="24"/>
          <w:szCs w:val="24"/>
        </w:rPr>
        <w:t>（3）按季度编制监测季报，按年度编制监测年度报告，并按要求完成数据整汇编和刊印。</w:t>
      </w:r>
    </w:p>
    <w:p w14:paraId="16F0D652">
      <w:pPr>
        <w:spacing w:line="460" w:lineRule="exact"/>
        <w:ind w:firstLine="480" w:firstLineChars="200"/>
        <w:rPr>
          <w:rFonts w:hint="eastAsia" w:ascii="宋体" w:hAnsi="宋体"/>
          <w:sz w:val="24"/>
          <w:szCs w:val="24"/>
        </w:rPr>
      </w:pPr>
      <w:r>
        <w:rPr>
          <w:rFonts w:hint="eastAsia" w:ascii="宋体" w:hAnsi="宋体"/>
          <w:sz w:val="24"/>
          <w:szCs w:val="24"/>
        </w:rPr>
        <w:t>（4）负责监控系统的运行维护及远程遥控管理。</w:t>
      </w:r>
    </w:p>
    <w:p w14:paraId="305ACB4D">
      <w:pPr>
        <w:spacing w:line="460" w:lineRule="exact"/>
        <w:ind w:firstLine="480" w:firstLineChars="200"/>
        <w:rPr>
          <w:rFonts w:hint="eastAsia" w:ascii="宋体" w:hAnsi="宋体"/>
          <w:sz w:val="24"/>
          <w:szCs w:val="24"/>
        </w:rPr>
      </w:pPr>
      <w:r>
        <w:rPr>
          <w:rFonts w:hint="eastAsia" w:ascii="宋体" w:hAnsi="宋体"/>
          <w:sz w:val="24"/>
          <w:szCs w:val="24"/>
        </w:rPr>
        <w:t>（5）负责风蚀监测设备（集沙仪、风速传感器等）的定期校准与标定，具体包括：</w:t>
      </w:r>
    </w:p>
    <w:p w14:paraId="263615B3">
      <w:pPr>
        <w:spacing w:line="460" w:lineRule="exact"/>
        <w:ind w:firstLine="480" w:firstLineChars="200"/>
        <w:rPr>
          <w:rFonts w:hint="eastAsia" w:ascii="宋体" w:hAnsi="宋体"/>
          <w:sz w:val="24"/>
          <w:szCs w:val="24"/>
        </w:rPr>
      </w:pPr>
      <w:r>
        <w:rPr>
          <w:rFonts w:hint="eastAsia" w:ascii="宋体" w:hAnsi="宋体" w:cs="宋体"/>
          <w:sz w:val="24"/>
          <w:szCs w:val="24"/>
        </w:rPr>
        <w:t>①</w:t>
      </w:r>
      <w:r>
        <w:rPr>
          <w:rFonts w:hint="eastAsia" w:ascii="宋体" w:hAnsi="宋体"/>
          <w:sz w:val="24"/>
          <w:szCs w:val="24"/>
        </w:rPr>
        <w:t>集沙仪运维：定期清空、称重和数据记录；集沙仪集沙效率须在标定后使用，进沙口面积误差控制在±0.1%以内；每个风沙事件后须及时清空集沙仪并称重记录。</w:t>
      </w:r>
    </w:p>
    <w:p w14:paraId="03EB4DDF">
      <w:pPr>
        <w:spacing w:line="460" w:lineRule="exact"/>
        <w:ind w:firstLine="480" w:firstLineChars="200"/>
        <w:rPr>
          <w:rFonts w:hint="eastAsia" w:ascii="宋体" w:hAnsi="宋体"/>
          <w:sz w:val="24"/>
          <w:szCs w:val="24"/>
        </w:rPr>
      </w:pPr>
      <w:r>
        <w:rPr>
          <w:rFonts w:hint="eastAsia" w:ascii="宋体" w:hAnsi="宋体" w:cs="宋体"/>
          <w:sz w:val="24"/>
          <w:szCs w:val="24"/>
        </w:rPr>
        <w:t>②</w:t>
      </w:r>
      <w:r>
        <w:rPr>
          <w:rFonts w:hint="eastAsia" w:ascii="宋体" w:hAnsi="宋体"/>
          <w:sz w:val="24"/>
          <w:szCs w:val="24"/>
        </w:rPr>
        <w:t>风速传感器校准：每季度应使用标准风洞或对比法对风速传感器进行风速标定，确保数据准确性。</w:t>
      </w:r>
    </w:p>
    <w:p w14:paraId="75170F51">
      <w:pPr>
        <w:spacing w:line="460" w:lineRule="exact"/>
        <w:ind w:firstLine="480" w:firstLineChars="200"/>
        <w:rPr>
          <w:rFonts w:hint="eastAsia" w:ascii="宋体" w:hAnsi="宋体"/>
          <w:sz w:val="24"/>
          <w:szCs w:val="24"/>
        </w:rPr>
      </w:pPr>
      <w:r>
        <w:rPr>
          <w:rFonts w:hint="eastAsia" w:ascii="宋体" w:hAnsi="宋体" w:cs="宋体"/>
          <w:sz w:val="24"/>
          <w:szCs w:val="24"/>
        </w:rPr>
        <w:t>③</w:t>
      </w:r>
      <w:r>
        <w:rPr>
          <w:rFonts w:hint="eastAsia" w:ascii="宋体" w:hAnsi="宋体"/>
          <w:sz w:val="24"/>
          <w:szCs w:val="24"/>
        </w:rPr>
        <w:t>通量塔维护：具备12m钢结构塔身的日常巡检、太阳能供电系统维护、数据采集器参数配置和故障排除能力。</w:t>
      </w:r>
    </w:p>
    <w:p w14:paraId="10B3962F">
      <w:pPr>
        <w:spacing w:line="460" w:lineRule="exact"/>
        <w:ind w:firstLine="480" w:firstLineChars="200"/>
        <w:rPr>
          <w:rFonts w:hint="eastAsia" w:ascii="宋体" w:hAnsi="宋体"/>
          <w:sz w:val="24"/>
          <w:szCs w:val="24"/>
        </w:rPr>
      </w:pPr>
      <w:r>
        <w:rPr>
          <w:rFonts w:hint="eastAsia" w:ascii="宋体" w:hAnsi="宋体" w:cs="宋体"/>
          <w:sz w:val="24"/>
          <w:szCs w:val="24"/>
        </w:rPr>
        <w:t>④</w:t>
      </w:r>
      <w:r>
        <w:rPr>
          <w:rFonts w:hint="eastAsia" w:ascii="宋体" w:hAnsi="宋体"/>
          <w:sz w:val="24"/>
          <w:szCs w:val="24"/>
        </w:rPr>
        <w:t>测钎及测距仪数据读取：掌握精细型不锈钢风蚀测钎和土壤侵蚀厚度测距仪的数据读取和记录方法。</w:t>
      </w:r>
    </w:p>
    <w:p w14:paraId="54953103">
      <w:pPr>
        <w:spacing w:line="460" w:lineRule="exact"/>
        <w:rPr>
          <w:rFonts w:hint="eastAsia" w:ascii="宋体" w:hAnsi="宋体"/>
          <w:sz w:val="24"/>
          <w:szCs w:val="24"/>
        </w:rPr>
      </w:pPr>
      <w:r>
        <w:rPr>
          <w:rFonts w:hint="eastAsia" w:ascii="宋体" w:hAnsi="宋体"/>
          <w:b/>
          <w:bCs/>
          <w:color w:val="000000"/>
          <w:sz w:val="24"/>
          <w:szCs w:val="24"/>
        </w:rPr>
        <w:t>（四）</w:t>
      </w:r>
      <w:bookmarkStart w:id="57" w:name="OLE_LINK8"/>
      <w:r>
        <w:rPr>
          <w:rFonts w:hint="eastAsia" w:ascii="宋体" w:hAnsi="宋体"/>
          <w:b/>
          <w:bCs/>
          <w:color w:val="000000"/>
          <w:sz w:val="24"/>
          <w:szCs w:val="24"/>
        </w:rPr>
        <w:t>拟投入技术团队</w:t>
      </w:r>
      <w:bookmarkEnd w:id="57"/>
      <w:r>
        <w:rPr>
          <w:rFonts w:hint="eastAsia" w:ascii="宋体" w:hAnsi="宋体"/>
          <w:sz w:val="24"/>
          <w:szCs w:val="24"/>
          <w:highlight w:val="none"/>
        </w:rPr>
        <w:t>★</w:t>
      </w:r>
    </w:p>
    <w:p w14:paraId="7A8612CF">
      <w:pPr>
        <w:spacing w:line="460" w:lineRule="exact"/>
        <w:ind w:firstLine="480" w:firstLineChars="200"/>
        <w:rPr>
          <w:rFonts w:hint="eastAsia" w:ascii="宋体" w:hAnsi="宋体"/>
          <w:sz w:val="24"/>
          <w:szCs w:val="24"/>
        </w:rPr>
      </w:pPr>
      <w:r>
        <w:rPr>
          <w:rFonts w:hint="eastAsia" w:ascii="宋体" w:hAnsi="宋体"/>
          <w:sz w:val="24"/>
          <w:szCs w:val="24"/>
        </w:rPr>
        <w:t>（1）具有</w:t>
      </w:r>
      <w:r>
        <w:rPr>
          <w:rFonts w:hint="eastAsia" w:ascii="宋体" w:hAnsi="宋体"/>
          <w:sz w:val="24"/>
          <w:szCs w:val="24"/>
          <w:highlight w:val="none"/>
        </w:rPr>
        <w:t>水利专业或水土保持中级及以上职称</w:t>
      </w:r>
      <w:r>
        <w:rPr>
          <w:rFonts w:hint="eastAsia" w:ascii="宋体" w:hAnsi="宋体"/>
          <w:sz w:val="24"/>
          <w:szCs w:val="24"/>
        </w:rPr>
        <w:t>的专业技术人员不少于3人，包含负责人、运维人员及数据整编人员，提供人员简历</w:t>
      </w:r>
      <w:r>
        <w:rPr>
          <w:rFonts w:hint="eastAsia" w:ascii="宋体" w:hAnsi="宋体"/>
          <w:sz w:val="24"/>
          <w:szCs w:val="24"/>
          <w:lang w:val="en-US" w:eastAsia="zh-CN"/>
        </w:rPr>
        <w:t>和职称证书</w:t>
      </w:r>
      <w:r>
        <w:rPr>
          <w:rFonts w:hint="eastAsia" w:ascii="宋体" w:hAnsi="宋体"/>
          <w:sz w:val="24"/>
          <w:szCs w:val="24"/>
          <w:lang w:eastAsia="zh-CN"/>
        </w:rPr>
        <w:t>，</w:t>
      </w:r>
      <w:r>
        <w:rPr>
          <w:rFonts w:hint="eastAsia" w:ascii="宋体" w:hAnsi="宋体"/>
          <w:sz w:val="24"/>
          <w:szCs w:val="24"/>
          <w:lang w:val="en-US" w:eastAsia="zh-CN"/>
        </w:rPr>
        <w:t>与供应商签订的劳动合同</w:t>
      </w:r>
      <w:r>
        <w:rPr>
          <w:rFonts w:hint="eastAsia" w:ascii="宋体" w:hAnsi="宋体"/>
          <w:sz w:val="24"/>
          <w:szCs w:val="24"/>
        </w:rPr>
        <w:t>。</w:t>
      </w:r>
    </w:p>
    <w:p w14:paraId="048C7D6C">
      <w:pPr>
        <w:spacing w:line="460" w:lineRule="exact"/>
        <w:ind w:firstLine="480" w:firstLineChars="200"/>
        <w:rPr>
          <w:rFonts w:hint="eastAsia" w:ascii="宋体" w:hAnsi="宋体"/>
          <w:sz w:val="24"/>
          <w:szCs w:val="24"/>
        </w:rPr>
      </w:pPr>
      <w:r>
        <w:rPr>
          <w:rFonts w:hint="eastAsia" w:ascii="宋体" w:hAnsi="宋体"/>
          <w:sz w:val="24"/>
          <w:szCs w:val="24"/>
        </w:rPr>
        <w:t>（2）拟投入技术团队中负责人需提供至少1份设备运行维护</w:t>
      </w:r>
      <w:r>
        <w:rPr>
          <w:rFonts w:hint="eastAsia" w:ascii="宋体" w:hAnsi="宋体"/>
          <w:sz w:val="24"/>
          <w:szCs w:val="24"/>
          <w:lang w:val="en-US" w:eastAsia="zh-CN"/>
        </w:rPr>
        <w:t>或</w:t>
      </w:r>
      <w:r>
        <w:rPr>
          <w:rFonts w:hint="eastAsia" w:ascii="宋体" w:hAnsi="宋体"/>
          <w:sz w:val="24"/>
          <w:szCs w:val="24"/>
          <w:highlight w:val="none"/>
          <w:lang w:val="en-US" w:eastAsia="zh-CN"/>
        </w:rPr>
        <w:t>监测服务</w:t>
      </w:r>
      <w:r>
        <w:rPr>
          <w:rFonts w:hint="eastAsia" w:ascii="宋体" w:hAnsi="宋体"/>
          <w:sz w:val="24"/>
          <w:szCs w:val="24"/>
        </w:rPr>
        <w:t>类似业绩证明材料，如中标（成交）通知书或合同协议书。业绩证明材料须能体现人员信息，否则该项业绩不予认可。</w:t>
      </w:r>
    </w:p>
    <w:p w14:paraId="1CB45335">
      <w:pPr>
        <w:spacing w:line="460" w:lineRule="exact"/>
        <w:rPr>
          <w:rFonts w:hint="eastAsia" w:ascii="宋体" w:hAnsi="宋体"/>
          <w:sz w:val="24"/>
          <w:szCs w:val="24"/>
        </w:rPr>
      </w:pPr>
      <w:r>
        <w:rPr>
          <w:rFonts w:hint="eastAsia" w:ascii="宋体" w:hAnsi="宋体"/>
          <w:b/>
          <w:bCs/>
          <w:color w:val="000000"/>
          <w:sz w:val="24"/>
          <w:szCs w:val="24"/>
        </w:rPr>
        <w:t>（五）质量保证及售后服务（提</w:t>
      </w:r>
      <w:r>
        <w:rPr>
          <w:rFonts w:hint="eastAsia" w:ascii="宋体" w:hAnsi="宋体"/>
          <w:b/>
          <w:bCs/>
          <w:color w:val="000000"/>
          <w:sz w:val="24"/>
          <w:szCs w:val="24"/>
          <w:highlight w:val="none"/>
        </w:rPr>
        <w:t>供承诺函）</w:t>
      </w:r>
      <w:r>
        <w:rPr>
          <w:rFonts w:hint="eastAsia" w:ascii="宋体" w:hAnsi="宋体"/>
          <w:sz w:val="24"/>
          <w:szCs w:val="24"/>
          <w:highlight w:val="none"/>
        </w:rPr>
        <w:t>★</w:t>
      </w:r>
    </w:p>
    <w:p w14:paraId="4CE8C9DB">
      <w:pPr>
        <w:spacing w:line="460" w:lineRule="exact"/>
        <w:ind w:firstLine="480" w:firstLineChars="200"/>
        <w:rPr>
          <w:rFonts w:hint="eastAsia" w:ascii="宋体" w:hAnsi="宋体"/>
          <w:sz w:val="24"/>
          <w:szCs w:val="24"/>
        </w:rPr>
      </w:pPr>
      <w:r>
        <w:rPr>
          <w:rFonts w:hint="eastAsia" w:ascii="宋体" w:hAnsi="宋体"/>
          <w:sz w:val="24"/>
          <w:szCs w:val="24"/>
        </w:rPr>
        <w:t>（1）质保期：</w:t>
      </w:r>
      <w:bookmarkStart w:id="58" w:name="OLE_LINK7"/>
      <w:r>
        <w:rPr>
          <w:rFonts w:hint="eastAsia" w:ascii="宋体" w:hAnsi="宋体"/>
          <w:sz w:val="24"/>
          <w:szCs w:val="24"/>
        </w:rPr>
        <w:t>自验收合格之日起三年</w:t>
      </w:r>
      <w:bookmarkEnd w:id="58"/>
      <w:r>
        <w:rPr>
          <w:rFonts w:hint="eastAsia" w:ascii="宋体" w:hAnsi="宋体"/>
          <w:sz w:val="24"/>
          <w:szCs w:val="24"/>
        </w:rPr>
        <w:t>。</w:t>
      </w:r>
    </w:p>
    <w:p w14:paraId="1994B9D7">
      <w:pPr>
        <w:spacing w:line="460" w:lineRule="exact"/>
        <w:ind w:firstLine="480" w:firstLineChars="200"/>
        <w:rPr>
          <w:rFonts w:hint="eastAsia" w:ascii="宋体" w:hAnsi="宋体"/>
          <w:sz w:val="24"/>
          <w:szCs w:val="24"/>
        </w:rPr>
      </w:pPr>
      <w:r>
        <w:rPr>
          <w:rFonts w:hint="eastAsia" w:ascii="宋体" w:hAnsi="宋体"/>
          <w:sz w:val="24"/>
          <w:szCs w:val="24"/>
        </w:rPr>
        <w:t>（2）故障响应：质保期内，采购人发现设备质量问题后通知成交供应商，成交供应商须在</w:t>
      </w:r>
    </w:p>
    <w:p w14:paraId="79AA3A6E">
      <w:pPr>
        <w:spacing w:line="460" w:lineRule="exact"/>
        <w:ind w:firstLine="480" w:firstLineChars="200"/>
        <w:rPr>
          <w:rFonts w:hint="eastAsia" w:ascii="宋体" w:hAnsi="宋体"/>
          <w:sz w:val="24"/>
          <w:szCs w:val="24"/>
        </w:rPr>
      </w:pPr>
      <w:r>
        <w:rPr>
          <w:rFonts w:hint="eastAsia" w:ascii="宋体" w:hAnsi="宋体"/>
          <w:sz w:val="24"/>
          <w:szCs w:val="24"/>
        </w:rPr>
        <w:t>接到通知后24小时内响应，48小时内派员到达现场处理；如遇紧急情况，须在24小时内到</w:t>
      </w:r>
    </w:p>
    <w:p w14:paraId="12907930">
      <w:pPr>
        <w:spacing w:line="460" w:lineRule="exact"/>
        <w:ind w:firstLine="480" w:firstLineChars="200"/>
        <w:rPr>
          <w:rFonts w:hint="eastAsia" w:ascii="宋体" w:hAnsi="宋体"/>
          <w:sz w:val="24"/>
          <w:szCs w:val="24"/>
        </w:rPr>
      </w:pPr>
      <w:r>
        <w:rPr>
          <w:rFonts w:hint="eastAsia" w:ascii="宋体" w:hAnsi="宋体"/>
          <w:sz w:val="24"/>
          <w:szCs w:val="24"/>
        </w:rPr>
        <w:t>达现场处置。</w:t>
      </w:r>
    </w:p>
    <w:p w14:paraId="4B85D737">
      <w:pPr>
        <w:spacing w:line="460" w:lineRule="exact"/>
        <w:ind w:firstLine="480" w:firstLineChars="200"/>
        <w:rPr>
          <w:rFonts w:hint="eastAsia" w:ascii="宋体" w:hAnsi="宋体"/>
          <w:sz w:val="24"/>
          <w:szCs w:val="24"/>
        </w:rPr>
      </w:pPr>
      <w:r>
        <w:rPr>
          <w:rFonts w:hint="eastAsia" w:ascii="宋体" w:hAnsi="宋体"/>
          <w:sz w:val="24"/>
          <w:szCs w:val="24"/>
        </w:rPr>
        <w:t>（3）培训：成交供应商应免费提供设备使用培训，相关费用已包含在成交总价中。</w:t>
      </w:r>
    </w:p>
    <w:p w14:paraId="689E3C55">
      <w:pPr>
        <w:spacing w:line="460" w:lineRule="exact"/>
        <w:rPr>
          <w:rFonts w:hint="eastAsia" w:ascii="宋体" w:hAnsi="宋体"/>
          <w:color w:val="000000"/>
          <w:sz w:val="24"/>
          <w:szCs w:val="24"/>
        </w:rPr>
      </w:pPr>
      <w:r>
        <w:rPr>
          <w:rFonts w:hint="eastAsia" w:ascii="宋体" w:hAnsi="宋体"/>
          <w:b/>
          <w:bCs/>
          <w:color w:val="000000"/>
          <w:sz w:val="24"/>
          <w:szCs w:val="24"/>
        </w:rPr>
        <w:t>（六）付款方式</w:t>
      </w:r>
      <w:bookmarkStart w:id="59" w:name="OLE_LINK21"/>
    </w:p>
    <w:p w14:paraId="197D838A">
      <w:pPr>
        <w:spacing w:line="460" w:lineRule="exact"/>
        <w:ind w:firstLine="480" w:firstLineChars="200"/>
        <w:rPr>
          <w:rFonts w:hint="eastAsia" w:ascii="宋体" w:hAnsi="宋体"/>
          <w:color w:val="000000"/>
          <w:sz w:val="24"/>
          <w:szCs w:val="24"/>
          <w:highlight w:val="none"/>
        </w:rPr>
      </w:pPr>
      <w:r>
        <w:rPr>
          <w:rFonts w:hint="eastAsia" w:ascii="宋体" w:hAnsi="宋体"/>
          <w:color w:val="000000"/>
          <w:sz w:val="24"/>
          <w:szCs w:val="24"/>
          <w:highlight w:val="none"/>
        </w:rPr>
        <w:t>合同签订后，无息支付合同金额的20%；货物到场后，无息支付合同金额的10%；货物安装调试完成后，无息支付合同金额的30%；采购人验收合格，无息支付合同金额的40%。</w:t>
      </w:r>
      <w:bookmarkEnd w:id="59"/>
    </w:p>
    <w:p w14:paraId="7F2C05DE">
      <w:pPr>
        <w:pStyle w:val="29"/>
        <w:rPr>
          <w:rFonts w:hint="eastAsia"/>
        </w:rPr>
      </w:pPr>
      <w:r>
        <w:rPr>
          <w:rFonts w:hint="eastAsia" w:ascii="仿宋" w:hAnsi="仿宋" w:eastAsia="仿宋" w:cs="仿宋"/>
          <w:b/>
          <w:bCs/>
          <w:szCs w:val="21"/>
        </w:rPr>
        <w:br w:type="page"/>
      </w:r>
    </w:p>
    <w:p w14:paraId="56EA1374">
      <w:pPr>
        <w:pStyle w:val="4"/>
      </w:pPr>
      <w:bookmarkStart w:id="60" w:name="_Toc26326"/>
      <w:r>
        <w:t>第四部分　合同</w:t>
      </w:r>
      <w:r>
        <w:rPr>
          <w:rFonts w:hint="eastAsia"/>
        </w:rPr>
        <w:t>一般</w:t>
      </w:r>
      <w:r>
        <w:t>条款</w:t>
      </w:r>
      <w:bookmarkEnd w:id="53"/>
      <w:bookmarkEnd w:id="54"/>
      <w:bookmarkEnd w:id="55"/>
      <w:bookmarkEnd w:id="56"/>
      <w:bookmarkEnd w:id="60"/>
    </w:p>
    <w:p w14:paraId="6CF92214">
      <w:pPr>
        <w:spacing w:line="264" w:lineRule="auto"/>
        <w:jc w:val="center"/>
        <w:rPr>
          <w:rFonts w:hint="eastAsia" w:ascii="宋体" w:hAnsi="宋体"/>
          <w:b/>
          <w:iCs/>
          <w:sz w:val="48"/>
          <w:szCs w:val="48"/>
        </w:rPr>
      </w:pPr>
      <w:r>
        <w:rPr>
          <w:rFonts w:hint="eastAsia" w:ascii="宋体" w:hAnsi="宋体"/>
          <w:b/>
          <w:iCs/>
          <w:sz w:val="48"/>
          <w:szCs w:val="48"/>
        </w:rPr>
        <w:t>阿克苏地区水资源总站</w:t>
      </w:r>
    </w:p>
    <w:p w14:paraId="2C9D4A69">
      <w:pPr>
        <w:spacing w:line="264" w:lineRule="auto"/>
        <w:jc w:val="center"/>
        <w:rPr>
          <w:rFonts w:hint="eastAsia" w:ascii="宋体" w:hAnsi="宋体"/>
          <w:sz w:val="28"/>
          <w:szCs w:val="28"/>
        </w:rPr>
      </w:pPr>
    </w:p>
    <w:p w14:paraId="293C5C69">
      <w:pPr>
        <w:spacing w:line="264" w:lineRule="auto"/>
        <w:jc w:val="center"/>
        <w:rPr>
          <w:rFonts w:hint="eastAsia" w:ascii="宋体" w:hAnsi="宋体"/>
          <w:b/>
          <w:sz w:val="28"/>
          <w:szCs w:val="28"/>
        </w:rPr>
      </w:pPr>
      <w:r>
        <w:rPr>
          <w:rFonts w:hint="eastAsia" w:ascii="宋体" w:hAnsi="宋体"/>
          <w:b/>
          <w:sz w:val="28"/>
          <w:szCs w:val="28"/>
        </w:rPr>
        <w:t>（项目名称）</w:t>
      </w:r>
    </w:p>
    <w:p w14:paraId="0BB1FFD0">
      <w:pPr>
        <w:spacing w:line="264" w:lineRule="auto"/>
        <w:rPr>
          <w:rFonts w:hint="eastAsia" w:ascii="宋体" w:hAnsi="宋体"/>
          <w:szCs w:val="24"/>
        </w:rPr>
      </w:pPr>
    </w:p>
    <w:p w14:paraId="46AF95F8">
      <w:pPr>
        <w:spacing w:line="264" w:lineRule="auto"/>
        <w:rPr>
          <w:rFonts w:hint="eastAsia" w:ascii="宋体" w:hAnsi="宋体"/>
          <w:szCs w:val="24"/>
        </w:rPr>
      </w:pPr>
    </w:p>
    <w:p w14:paraId="591928E7">
      <w:pPr>
        <w:spacing w:line="264" w:lineRule="auto"/>
        <w:rPr>
          <w:rFonts w:hint="eastAsia" w:ascii="宋体" w:hAnsi="宋体"/>
          <w:szCs w:val="24"/>
        </w:rPr>
      </w:pPr>
    </w:p>
    <w:p w14:paraId="35430FA5">
      <w:pPr>
        <w:spacing w:line="264" w:lineRule="auto"/>
        <w:rPr>
          <w:rFonts w:hint="eastAsia" w:ascii="宋体" w:hAnsi="宋体"/>
          <w:szCs w:val="24"/>
        </w:rPr>
      </w:pPr>
    </w:p>
    <w:p w14:paraId="68BBEBBB">
      <w:pPr>
        <w:spacing w:line="264" w:lineRule="auto"/>
        <w:rPr>
          <w:rFonts w:hint="eastAsia" w:ascii="宋体" w:hAnsi="宋体"/>
          <w:szCs w:val="24"/>
        </w:rPr>
      </w:pPr>
    </w:p>
    <w:p w14:paraId="0C4F4705">
      <w:pPr>
        <w:spacing w:line="264" w:lineRule="auto"/>
        <w:jc w:val="center"/>
        <w:rPr>
          <w:rFonts w:hint="eastAsia" w:ascii="宋体" w:hAnsi="宋体"/>
          <w:b/>
          <w:sz w:val="44"/>
          <w:szCs w:val="44"/>
        </w:rPr>
      </w:pPr>
      <w:r>
        <w:rPr>
          <w:rFonts w:hint="eastAsia" w:ascii="宋体" w:hAnsi="宋体"/>
          <w:b/>
          <w:sz w:val="44"/>
          <w:szCs w:val="44"/>
        </w:rPr>
        <w:t>销  售  合  同</w:t>
      </w:r>
    </w:p>
    <w:p w14:paraId="58643560">
      <w:pPr>
        <w:spacing w:line="264" w:lineRule="auto"/>
        <w:jc w:val="center"/>
        <w:rPr>
          <w:rFonts w:hint="eastAsia" w:ascii="宋体" w:hAnsi="宋体"/>
          <w:sz w:val="32"/>
          <w:szCs w:val="32"/>
        </w:rPr>
      </w:pPr>
    </w:p>
    <w:p w14:paraId="1760844F">
      <w:pPr>
        <w:spacing w:line="264" w:lineRule="auto"/>
        <w:jc w:val="center"/>
        <w:rPr>
          <w:rFonts w:hint="eastAsia" w:ascii="宋体" w:hAnsi="宋体"/>
          <w:sz w:val="32"/>
          <w:szCs w:val="32"/>
        </w:rPr>
      </w:pPr>
    </w:p>
    <w:p w14:paraId="6CC09BC5">
      <w:pPr>
        <w:spacing w:line="264" w:lineRule="auto"/>
        <w:jc w:val="center"/>
        <w:rPr>
          <w:rFonts w:hint="eastAsia" w:ascii="宋体" w:hAnsi="宋体"/>
          <w:sz w:val="32"/>
          <w:szCs w:val="32"/>
        </w:rPr>
      </w:pPr>
    </w:p>
    <w:p w14:paraId="3424C2F0">
      <w:pPr>
        <w:spacing w:line="264" w:lineRule="auto"/>
        <w:jc w:val="center"/>
        <w:rPr>
          <w:rFonts w:hint="eastAsia" w:ascii="宋体" w:hAnsi="宋体"/>
          <w:sz w:val="32"/>
          <w:szCs w:val="32"/>
        </w:rPr>
      </w:pPr>
    </w:p>
    <w:p w14:paraId="01573A19">
      <w:pPr>
        <w:spacing w:line="264" w:lineRule="auto"/>
        <w:ind w:firstLine="1280" w:firstLineChars="400"/>
        <w:rPr>
          <w:rFonts w:hint="eastAsia" w:ascii="宋体" w:hAnsi="宋体"/>
          <w:b/>
          <w:sz w:val="32"/>
          <w:szCs w:val="32"/>
          <w:u w:val="single"/>
        </w:rPr>
      </w:pPr>
      <w:r>
        <w:rPr>
          <w:rFonts w:hint="eastAsia" w:ascii="宋体" w:hAnsi="宋体"/>
          <w:b/>
          <w:sz w:val="32"/>
          <w:szCs w:val="32"/>
        </w:rPr>
        <w:t>甲方（买方）</w:t>
      </w:r>
      <w:r>
        <w:rPr>
          <w:rFonts w:hint="eastAsia" w:ascii="宋体" w:hAnsi="宋体"/>
          <w:sz w:val="32"/>
          <w:szCs w:val="32"/>
        </w:rPr>
        <w:t>：</w:t>
      </w:r>
      <w:r>
        <w:rPr>
          <w:rFonts w:hint="eastAsia" w:ascii="宋体" w:hAnsi="宋体"/>
          <w:b/>
          <w:sz w:val="32"/>
          <w:szCs w:val="32"/>
          <w:u w:val="single"/>
        </w:rPr>
        <w:t>阿克苏地区水资源总站</w:t>
      </w:r>
    </w:p>
    <w:p w14:paraId="0A5C7A72">
      <w:pPr>
        <w:spacing w:line="264" w:lineRule="auto"/>
        <w:ind w:firstLine="1280" w:firstLineChars="400"/>
        <w:rPr>
          <w:rFonts w:hint="eastAsia" w:ascii="宋体" w:hAnsi="宋体"/>
          <w:sz w:val="32"/>
          <w:szCs w:val="32"/>
        </w:rPr>
      </w:pPr>
    </w:p>
    <w:p w14:paraId="18D22515">
      <w:pPr>
        <w:spacing w:line="264" w:lineRule="auto"/>
        <w:ind w:firstLine="1280" w:firstLineChars="400"/>
        <w:rPr>
          <w:rFonts w:hint="eastAsia" w:ascii="宋体" w:hAnsi="宋体"/>
          <w:sz w:val="32"/>
          <w:szCs w:val="32"/>
          <w:u w:val="single"/>
        </w:rPr>
      </w:pPr>
      <w:r>
        <w:rPr>
          <w:rFonts w:hint="eastAsia" w:ascii="宋体" w:hAnsi="宋体"/>
          <w:b/>
          <w:sz w:val="32"/>
          <w:szCs w:val="32"/>
        </w:rPr>
        <w:t>乙方（卖方）：</w:t>
      </w:r>
      <w:r>
        <w:rPr>
          <w:rFonts w:hint="eastAsia" w:ascii="宋体" w:hAnsi="宋体"/>
          <w:b/>
          <w:sz w:val="32"/>
          <w:szCs w:val="32"/>
          <w:u w:val="single"/>
        </w:rPr>
        <w:t xml:space="preserve">                             </w:t>
      </w:r>
    </w:p>
    <w:p w14:paraId="50E5686A">
      <w:pPr>
        <w:spacing w:line="264" w:lineRule="auto"/>
        <w:ind w:firstLine="1280" w:firstLineChars="400"/>
        <w:rPr>
          <w:rFonts w:hint="eastAsia" w:ascii="宋体" w:hAnsi="宋体"/>
          <w:sz w:val="32"/>
          <w:szCs w:val="32"/>
        </w:rPr>
      </w:pPr>
    </w:p>
    <w:p w14:paraId="0BE37B2C">
      <w:pPr>
        <w:spacing w:line="264" w:lineRule="auto"/>
        <w:ind w:firstLine="1280" w:firstLineChars="400"/>
        <w:rPr>
          <w:rFonts w:hint="eastAsia" w:ascii="宋体" w:hAnsi="宋体"/>
          <w:sz w:val="32"/>
          <w:szCs w:val="32"/>
        </w:rPr>
      </w:pPr>
    </w:p>
    <w:p w14:paraId="30F8FBE3">
      <w:pPr>
        <w:spacing w:line="264" w:lineRule="auto"/>
        <w:ind w:firstLine="1280" w:firstLineChars="400"/>
        <w:rPr>
          <w:rFonts w:hint="eastAsia" w:ascii="宋体" w:hAnsi="宋体"/>
          <w:sz w:val="32"/>
          <w:szCs w:val="32"/>
        </w:rPr>
      </w:pPr>
    </w:p>
    <w:p w14:paraId="5AE3F015">
      <w:pPr>
        <w:spacing w:line="264" w:lineRule="auto"/>
        <w:ind w:firstLine="1280" w:firstLineChars="400"/>
        <w:rPr>
          <w:rFonts w:hint="eastAsia" w:ascii="宋体" w:hAnsi="宋体"/>
          <w:b/>
          <w:sz w:val="32"/>
          <w:szCs w:val="32"/>
        </w:rPr>
      </w:pPr>
      <w:r>
        <w:rPr>
          <w:rFonts w:hint="eastAsia" w:ascii="宋体" w:hAnsi="宋体"/>
          <w:b/>
          <w:sz w:val="32"/>
          <w:szCs w:val="32"/>
        </w:rPr>
        <w:t>合 同 编 号：</w:t>
      </w:r>
    </w:p>
    <w:p w14:paraId="757E2D71">
      <w:pPr>
        <w:spacing w:line="264" w:lineRule="auto"/>
        <w:ind w:firstLine="627" w:firstLineChars="196"/>
        <w:rPr>
          <w:rFonts w:hint="eastAsia" w:ascii="宋体" w:hAnsi="宋体"/>
          <w:b/>
          <w:color w:val="FF00FF"/>
          <w:sz w:val="32"/>
          <w:szCs w:val="32"/>
        </w:rPr>
      </w:pPr>
    </w:p>
    <w:p w14:paraId="04A243C3">
      <w:pPr>
        <w:spacing w:line="264" w:lineRule="auto"/>
        <w:ind w:firstLine="640" w:firstLineChars="200"/>
        <w:rPr>
          <w:rFonts w:hint="eastAsia" w:ascii="宋体" w:hAnsi="宋体"/>
          <w:b/>
          <w:bCs/>
          <w:sz w:val="32"/>
          <w:szCs w:val="32"/>
        </w:rPr>
      </w:pPr>
    </w:p>
    <w:p w14:paraId="600E3F1E">
      <w:pPr>
        <w:spacing w:line="264" w:lineRule="auto"/>
        <w:jc w:val="center"/>
        <w:rPr>
          <w:rFonts w:hint="eastAsia" w:ascii="宋体" w:hAnsi="宋体"/>
          <w:b/>
          <w:sz w:val="32"/>
          <w:szCs w:val="32"/>
        </w:rPr>
      </w:pPr>
      <w:r>
        <w:rPr>
          <w:rFonts w:hint="eastAsia" w:ascii="宋体" w:hAnsi="宋体"/>
          <w:b/>
          <w:sz w:val="32"/>
          <w:szCs w:val="32"/>
        </w:rPr>
        <w:t xml:space="preserve">    年   月   日</w:t>
      </w:r>
    </w:p>
    <w:p w14:paraId="1D985358">
      <w:pPr>
        <w:spacing w:line="264" w:lineRule="auto"/>
        <w:jc w:val="center"/>
        <w:rPr>
          <w:rFonts w:hint="eastAsia" w:ascii="宋体" w:hAnsi="宋体"/>
          <w:b/>
          <w:szCs w:val="21"/>
        </w:rPr>
      </w:pPr>
    </w:p>
    <w:p w14:paraId="77C20A97">
      <w:pPr>
        <w:spacing w:line="264" w:lineRule="auto"/>
        <w:jc w:val="center"/>
        <w:rPr>
          <w:rFonts w:hint="eastAsia" w:ascii="宋体" w:hAnsi="宋体"/>
          <w:b/>
          <w:sz w:val="40"/>
          <w:szCs w:val="40"/>
        </w:rPr>
        <w:sectPr>
          <w:headerReference r:id="rId5" w:type="first"/>
          <w:footerReference r:id="rId6" w:type="default"/>
          <w:pgSz w:w="11906" w:h="16838"/>
          <w:pgMar w:top="680" w:right="680" w:bottom="680" w:left="851" w:header="567" w:footer="567" w:gutter="0"/>
          <w:cols w:space="720" w:num="1"/>
          <w:titlePg/>
          <w:docGrid w:type="linesAndChars" w:linePitch="312" w:charSpace="0"/>
        </w:sectPr>
      </w:pPr>
    </w:p>
    <w:p w14:paraId="6A1D48D3">
      <w:pPr>
        <w:spacing w:line="264" w:lineRule="auto"/>
        <w:jc w:val="center"/>
        <w:rPr>
          <w:rFonts w:hint="eastAsia" w:ascii="宋体" w:hAnsi="宋体"/>
          <w:b/>
          <w:sz w:val="40"/>
          <w:szCs w:val="40"/>
        </w:rPr>
      </w:pPr>
      <w:r>
        <w:rPr>
          <w:rFonts w:hint="eastAsia" w:ascii="宋体" w:hAnsi="宋体"/>
          <w:b/>
          <w:sz w:val="40"/>
          <w:szCs w:val="40"/>
        </w:rPr>
        <w:t>销 售 合 同</w:t>
      </w:r>
    </w:p>
    <w:p w14:paraId="007FBE2B">
      <w:pPr>
        <w:spacing w:line="264" w:lineRule="auto"/>
        <w:rPr>
          <w:rFonts w:hint="eastAsia" w:ascii="宋体" w:hAnsi="宋体"/>
          <w:b/>
          <w:bCs/>
          <w:szCs w:val="21"/>
        </w:rPr>
      </w:pPr>
      <w:r>
        <w:rPr>
          <w:rFonts w:hint="eastAsia" w:ascii="宋体" w:hAnsi="宋体"/>
          <w:b/>
          <w:bCs/>
          <w:szCs w:val="21"/>
        </w:rPr>
        <w:t xml:space="preserve"> 甲方：阿克苏地区水资源总站</w:t>
      </w:r>
    </w:p>
    <w:p w14:paraId="3FAF203C">
      <w:pPr>
        <w:spacing w:line="264" w:lineRule="auto"/>
        <w:rPr>
          <w:rFonts w:hint="eastAsia" w:ascii="宋体" w:hAnsi="宋体"/>
          <w:b/>
          <w:bCs/>
          <w:szCs w:val="21"/>
        </w:rPr>
      </w:pPr>
      <w:r>
        <w:rPr>
          <w:rFonts w:hint="eastAsia" w:ascii="宋体" w:hAnsi="宋体"/>
          <w:b/>
          <w:bCs/>
          <w:szCs w:val="21"/>
        </w:rPr>
        <w:t xml:space="preserve"> 乙方：</w:t>
      </w:r>
    </w:p>
    <w:p w14:paraId="3C746282">
      <w:pPr>
        <w:spacing w:line="264" w:lineRule="auto"/>
        <w:ind w:firstLine="420" w:firstLineChars="200"/>
        <w:rPr>
          <w:rFonts w:hint="eastAsia" w:ascii="宋体" w:hAnsi="宋体"/>
          <w:b/>
          <w:bCs/>
          <w:szCs w:val="21"/>
        </w:rPr>
      </w:pPr>
      <w:r>
        <w:rPr>
          <w:rFonts w:hint="eastAsia" w:ascii="宋体" w:hAnsi="宋体"/>
          <w:b/>
          <w:bCs/>
          <w:szCs w:val="21"/>
        </w:rPr>
        <w:t>甲乙双方根据《中华人民共和国政府采购法》、《中华人民共和国民法典》、《中华人民共和国产品质量法》及其他相关法律法规的规定，本着平等互利、协商一致、等价有偿的原则，就甲方购买乙方的</w:t>
      </w:r>
      <w:r>
        <w:rPr>
          <w:rFonts w:hint="eastAsia" w:ascii="宋体" w:hAnsi="宋体"/>
          <w:b/>
          <w:bCs/>
          <w:szCs w:val="21"/>
          <w:u w:val="single"/>
        </w:rPr>
        <w:t xml:space="preserve">          </w:t>
      </w:r>
      <w:r>
        <w:rPr>
          <w:rFonts w:hint="eastAsia" w:ascii="宋体" w:hAnsi="宋体"/>
          <w:b/>
          <w:bCs/>
          <w:szCs w:val="21"/>
        </w:rPr>
        <w:t>设备并由乙方提供相关服务事宜，达成一致，协议如下：</w:t>
      </w:r>
    </w:p>
    <w:p w14:paraId="57F3E9D2">
      <w:pPr>
        <w:numPr>
          <w:ilvl w:val="0"/>
          <w:numId w:val="5"/>
        </w:numPr>
        <w:spacing w:line="264" w:lineRule="auto"/>
        <w:rPr>
          <w:rFonts w:hint="eastAsia" w:ascii="宋体" w:hAnsi="宋体"/>
          <w:b/>
          <w:szCs w:val="21"/>
        </w:rPr>
      </w:pPr>
      <w:r>
        <w:rPr>
          <w:rFonts w:hint="eastAsia" w:ascii="宋体" w:hAnsi="宋体"/>
          <w:b/>
          <w:szCs w:val="21"/>
        </w:rPr>
        <w:t>设备名称、规格（型号）、数量详见下表</w:t>
      </w:r>
    </w:p>
    <w:tbl>
      <w:tblPr>
        <w:tblStyle w:val="78"/>
        <w:tblW w:w="9960" w:type="dxa"/>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695"/>
        <w:gridCol w:w="1517"/>
        <w:gridCol w:w="1400"/>
        <w:gridCol w:w="1116"/>
        <w:gridCol w:w="717"/>
        <w:gridCol w:w="750"/>
        <w:gridCol w:w="1167"/>
        <w:gridCol w:w="1550"/>
        <w:gridCol w:w="1048"/>
      </w:tblGrid>
      <w:tr w14:paraId="63A9059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055" w:hRule="atLeast"/>
          <w:jc w:val="center"/>
        </w:trPr>
        <w:tc>
          <w:tcPr>
            <w:tcW w:w="695" w:type="dxa"/>
            <w:tcBorders>
              <w:top w:val="single" w:color="auto" w:sz="4" w:space="0"/>
              <w:left w:val="single" w:color="auto" w:sz="4" w:space="0"/>
              <w:bottom w:val="single" w:color="auto" w:sz="4" w:space="0"/>
              <w:right w:val="single" w:color="auto" w:sz="4" w:space="0"/>
            </w:tcBorders>
            <w:vAlign w:val="center"/>
          </w:tcPr>
          <w:p w14:paraId="435DF9E7">
            <w:pPr>
              <w:autoSpaceDE w:val="0"/>
              <w:autoSpaceDN w:val="0"/>
              <w:spacing w:line="520" w:lineRule="exact"/>
              <w:jc w:val="center"/>
              <w:rPr>
                <w:rFonts w:hint="eastAsia" w:ascii="宋体" w:hAnsi="宋体" w:cs="宋体"/>
                <w:b/>
                <w:color w:val="000000"/>
                <w:szCs w:val="21"/>
              </w:rPr>
            </w:pPr>
            <w:r>
              <w:rPr>
                <w:rFonts w:hint="eastAsia" w:ascii="宋体" w:hAnsi="宋体" w:cs="宋体"/>
                <w:b/>
                <w:color w:val="000000"/>
                <w:szCs w:val="21"/>
                <w:lang w:bidi="ar"/>
              </w:rPr>
              <w:t>序号</w:t>
            </w:r>
          </w:p>
        </w:tc>
        <w:tc>
          <w:tcPr>
            <w:tcW w:w="1517" w:type="dxa"/>
            <w:tcBorders>
              <w:top w:val="single" w:color="auto" w:sz="4" w:space="0"/>
              <w:left w:val="single" w:color="auto" w:sz="4" w:space="0"/>
              <w:bottom w:val="single" w:color="auto" w:sz="4" w:space="0"/>
              <w:right w:val="single" w:color="auto" w:sz="4" w:space="0"/>
            </w:tcBorders>
            <w:vAlign w:val="center"/>
          </w:tcPr>
          <w:p w14:paraId="0748D9E1">
            <w:pPr>
              <w:spacing w:line="520" w:lineRule="exact"/>
              <w:jc w:val="center"/>
              <w:rPr>
                <w:rFonts w:hint="eastAsia" w:ascii="宋体" w:hAnsi="宋体" w:cs="宋体"/>
                <w:b/>
                <w:color w:val="000000"/>
                <w:szCs w:val="21"/>
              </w:rPr>
            </w:pPr>
            <w:r>
              <w:rPr>
                <w:rFonts w:hint="eastAsia" w:ascii="宋体" w:hAnsi="宋体" w:cs="宋体"/>
                <w:b/>
                <w:color w:val="000000"/>
                <w:szCs w:val="21"/>
                <w:lang w:bidi="ar"/>
              </w:rPr>
              <w:t>名称</w:t>
            </w:r>
          </w:p>
        </w:tc>
        <w:tc>
          <w:tcPr>
            <w:tcW w:w="1400" w:type="dxa"/>
            <w:tcBorders>
              <w:top w:val="single" w:color="auto" w:sz="4" w:space="0"/>
              <w:left w:val="single" w:color="auto" w:sz="4" w:space="0"/>
              <w:bottom w:val="single" w:color="auto" w:sz="4" w:space="0"/>
              <w:right w:val="single" w:color="auto" w:sz="4" w:space="0"/>
            </w:tcBorders>
            <w:vAlign w:val="center"/>
          </w:tcPr>
          <w:p w14:paraId="10DB40BE">
            <w:pPr>
              <w:spacing w:line="520" w:lineRule="exact"/>
              <w:jc w:val="center"/>
              <w:rPr>
                <w:rFonts w:hint="eastAsia" w:ascii="宋体" w:hAnsi="宋体" w:cs="宋体"/>
                <w:b/>
                <w:color w:val="000000"/>
                <w:szCs w:val="21"/>
              </w:rPr>
            </w:pPr>
            <w:r>
              <w:rPr>
                <w:rFonts w:hint="eastAsia" w:ascii="宋体" w:hAnsi="宋体" w:cs="宋体"/>
                <w:b/>
                <w:color w:val="000000"/>
                <w:szCs w:val="21"/>
                <w:lang w:bidi="ar"/>
              </w:rPr>
              <w:t>品牌</w:t>
            </w:r>
          </w:p>
        </w:tc>
        <w:tc>
          <w:tcPr>
            <w:tcW w:w="1116" w:type="dxa"/>
            <w:tcBorders>
              <w:top w:val="single" w:color="auto" w:sz="4" w:space="0"/>
              <w:left w:val="single" w:color="auto" w:sz="4" w:space="0"/>
              <w:bottom w:val="single" w:color="auto" w:sz="4" w:space="0"/>
              <w:right w:val="single" w:color="auto" w:sz="4" w:space="0"/>
            </w:tcBorders>
            <w:vAlign w:val="center"/>
          </w:tcPr>
          <w:p w14:paraId="464F6EBF">
            <w:pPr>
              <w:spacing w:line="520" w:lineRule="exact"/>
              <w:jc w:val="center"/>
              <w:rPr>
                <w:rFonts w:hint="eastAsia" w:ascii="宋体" w:hAnsi="宋体" w:cs="宋体"/>
                <w:b/>
                <w:color w:val="000000"/>
                <w:szCs w:val="21"/>
              </w:rPr>
            </w:pPr>
            <w:r>
              <w:rPr>
                <w:rFonts w:hint="eastAsia" w:ascii="宋体" w:hAnsi="宋体" w:cs="宋体"/>
                <w:b/>
                <w:color w:val="000000"/>
                <w:szCs w:val="21"/>
                <w:lang w:bidi="ar"/>
              </w:rPr>
              <w:t>规格</w:t>
            </w:r>
          </w:p>
          <w:p w14:paraId="7058784A">
            <w:pPr>
              <w:spacing w:line="520" w:lineRule="exact"/>
              <w:jc w:val="center"/>
              <w:rPr>
                <w:rFonts w:hint="eastAsia" w:ascii="宋体" w:hAnsi="宋体" w:cs="宋体"/>
                <w:b/>
                <w:color w:val="000000"/>
                <w:szCs w:val="21"/>
              </w:rPr>
            </w:pPr>
            <w:r>
              <w:rPr>
                <w:rFonts w:hint="eastAsia" w:ascii="宋体" w:hAnsi="宋体" w:cs="宋体"/>
                <w:b/>
                <w:color w:val="000000"/>
                <w:szCs w:val="21"/>
                <w:lang w:bidi="ar"/>
              </w:rPr>
              <w:t>型号</w:t>
            </w:r>
          </w:p>
        </w:tc>
        <w:tc>
          <w:tcPr>
            <w:tcW w:w="717" w:type="dxa"/>
            <w:tcBorders>
              <w:top w:val="single" w:color="auto" w:sz="4" w:space="0"/>
              <w:left w:val="single" w:color="auto" w:sz="4" w:space="0"/>
              <w:bottom w:val="single" w:color="auto" w:sz="4" w:space="0"/>
              <w:right w:val="single" w:color="auto" w:sz="4" w:space="0"/>
            </w:tcBorders>
            <w:vAlign w:val="center"/>
          </w:tcPr>
          <w:p w14:paraId="0D0BA619">
            <w:pPr>
              <w:spacing w:line="520" w:lineRule="exact"/>
              <w:jc w:val="center"/>
              <w:rPr>
                <w:rFonts w:hint="eastAsia" w:ascii="宋体" w:hAnsi="宋体" w:cs="宋体"/>
                <w:b/>
                <w:color w:val="000000"/>
                <w:szCs w:val="21"/>
              </w:rPr>
            </w:pPr>
            <w:r>
              <w:rPr>
                <w:rFonts w:hint="eastAsia" w:ascii="宋体" w:hAnsi="宋体" w:cs="宋体"/>
                <w:b/>
                <w:color w:val="000000"/>
                <w:szCs w:val="21"/>
                <w:lang w:bidi="ar"/>
              </w:rPr>
              <w:t>单位</w:t>
            </w:r>
          </w:p>
        </w:tc>
        <w:tc>
          <w:tcPr>
            <w:tcW w:w="750" w:type="dxa"/>
            <w:tcBorders>
              <w:top w:val="single" w:color="auto" w:sz="4" w:space="0"/>
              <w:left w:val="single" w:color="auto" w:sz="4" w:space="0"/>
              <w:bottom w:val="single" w:color="auto" w:sz="4" w:space="0"/>
              <w:right w:val="single" w:color="auto" w:sz="4" w:space="0"/>
            </w:tcBorders>
            <w:vAlign w:val="center"/>
          </w:tcPr>
          <w:p w14:paraId="12EFC043">
            <w:pPr>
              <w:spacing w:line="520" w:lineRule="exact"/>
              <w:jc w:val="center"/>
              <w:rPr>
                <w:rFonts w:hint="eastAsia" w:ascii="宋体" w:hAnsi="宋体" w:cs="宋体"/>
                <w:b/>
                <w:color w:val="000000"/>
                <w:szCs w:val="21"/>
              </w:rPr>
            </w:pPr>
            <w:r>
              <w:rPr>
                <w:rFonts w:hint="eastAsia" w:ascii="宋体" w:hAnsi="宋体" w:cs="宋体"/>
                <w:b/>
                <w:color w:val="000000"/>
                <w:szCs w:val="21"/>
                <w:lang w:bidi="ar"/>
              </w:rPr>
              <w:t>数量</w:t>
            </w:r>
          </w:p>
        </w:tc>
        <w:tc>
          <w:tcPr>
            <w:tcW w:w="1167" w:type="dxa"/>
            <w:tcBorders>
              <w:top w:val="single" w:color="auto" w:sz="4" w:space="0"/>
              <w:left w:val="single" w:color="auto" w:sz="4" w:space="0"/>
              <w:bottom w:val="single" w:color="auto" w:sz="4" w:space="0"/>
              <w:right w:val="single" w:color="auto" w:sz="4" w:space="0"/>
            </w:tcBorders>
            <w:vAlign w:val="center"/>
          </w:tcPr>
          <w:p w14:paraId="12AF8024">
            <w:pPr>
              <w:spacing w:line="520" w:lineRule="exact"/>
              <w:jc w:val="center"/>
              <w:rPr>
                <w:rFonts w:hint="eastAsia" w:ascii="宋体" w:hAnsi="宋体" w:cs="宋体"/>
                <w:b/>
                <w:color w:val="000000"/>
                <w:szCs w:val="21"/>
              </w:rPr>
            </w:pPr>
            <w:r>
              <w:rPr>
                <w:rFonts w:hint="eastAsia" w:ascii="宋体" w:hAnsi="宋体" w:cs="宋体"/>
                <w:b/>
                <w:color w:val="000000"/>
                <w:szCs w:val="21"/>
                <w:lang w:bidi="ar"/>
              </w:rPr>
              <w:t>含税单价</w:t>
            </w:r>
          </w:p>
          <w:p w14:paraId="71D3A896">
            <w:pPr>
              <w:spacing w:line="520" w:lineRule="exact"/>
              <w:jc w:val="center"/>
              <w:rPr>
                <w:rFonts w:hint="eastAsia" w:ascii="宋体" w:hAnsi="宋体" w:cs="宋体"/>
                <w:b/>
                <w:color w:val="000000"/>
                <w:szCs w:val="21"/>
              </w:rPr>
            </w:pPr>
            <w:r>
              <w:rPr>
                <w:rFonts w:hint="eastAsia" w:ascii="宋体" w:hAnsi="宋体" w:cs="宋体"/>
                <w:b/>
                <w:color w:val="000000"/>
                <w:szCs w:val="21"/>
                <w:lang w:bidi="ar"/>
              </w:rPr>
              <w:t>(元)</w:t>
            </w:r>
          </w:p>
        </w:tc>
        <w:tc>
          <w:tcPr>
            <w:tcW w:w="1550" w:type="dxa"/>
            <w:tcBorders>
              <w:top w:val="single" w:color="auto" w:sz="4" w:space="0"/>
              <w:left w:val="single" w:color="auto" w:sz="4" w:space="0"/>
              <w:bottom w:val="single" w:color="auto" w:sz="4" w:space="0"/>
              <w:right w:val="single" w:color="auto" w:sz="4" w:space="0"/>
            </w:tcBorders>
            <w:vAlign w:val="center"/>
          </w:tcPr>
          <w:p w14:paraId="5FF77595">
            <w:pPr>
              <w:spacing w:line="520" w:lineRule="exact"/>
              <w:jc w:val="center"/>
              <w:rPr>
                <w:rFonts w:hint="eastAsia" w:ascii="宋体" w:hAnsi="宋体" w:cs="宋体"/>
                <w:b/>
                <w:color w:val="000000"/>
                <w:szCs w:val="21"/>
              </w:rPr>
            </w:pPr>
            <w:r>
              <w:rPr>
                <w:rFonts w:hint="eastAsia" w:ascii="宋体" w:hAnsi="宋体" w:cs="宋体"/>
                <w:b/>
                <w:color w:val="000000"/>
                <w:szCs w:val="21"/>
                <w:lang w:bidi="ar"/>
              </w:rPr>
              <w:t>合计金额</w:t>
            </w:r>
          </w:p>
          <w:p w14:paraId="3366AEF8">
            <w:pPr>
              <w:spacing w:line="520" w:lineRule="exact"/>
              <w:jc w:val="center"/>
              <w:rPr>
                <w:rFonts w:hint="eastAsia" w:ascii="宋体" w:hAnsi="宋体" w:cs="宋体"/>
                <w:b/>
                <w:color w:val="000000"/>
                <w:szCs w:val="21"/>
              </w:rPr>
            </w:pPr>
            <w:r>
              <w:rPr>
                <w:rFonts w:hint="eastAsia" w:ascii="宋体" w:hAnsi="宋体" w:cs="宋体"/>
                <w:b/>
                <w:color w:val="000000"/>
                <w:szCs w:val="21"/>
                <w:lang w:bidi="ar"/>
              </w:rPr>
              <w:t>（元）</w:t>
            </w:r>
          </w:p>
        </w:tc>
        <w:tc>
          <w:tcPr>
            <w:tcW w:w="1048" w:type="dxa"/>
            <w:tcBorders>
              <w:top w:val="single" w:color="auto" w:sz="4" w:space="0"/>
              <w:left w:val="single" w:color="auto" w:sz="4" w:space="0"/>
              <w:bottom w:val="single" w:color="auto" w:sz="4" w:space="0"/>
              <w:right w:val="single" w:color="auto" w:sz="4" w:space="0"/>
            </w:tcBorders>
            <w:vAlign w:val="center"/>
          </w:tcPr>
          <w:p w14:paraId="055331C5">
            <w:pPr>
              <w:spacing w:line="520" w:lineRule="exact"/>
              <w:jc w:val="center"/>
              <w:rPr>
                <w:rFonts w:hint="eastAsia" w:ascii="宋体" w:hAnsi="宋体" w:cs="宋体"/>
                <w:b/>
                <w:color w:val="000000"/>
                <w:szCs w:val="21"/>
              </w:rPr>
            </w:pPr>
            <w:r>
              <w:rPr>
                <w:rFonts w:hint="eastAsia" w:ascii="宋体" w:hAnsi="宋体" w:cs="宋体"/>
                <w:b/>
                <w:color w:val="000000"/>
                <w:szCs w:val="21"/>
                <w:lang w:bidi="ar"/>
              </w:rPr>
              <w:t>备注</w:t>
            </w:r>
          </w:p>
        </w:tc>
      </w:tr>
      <w:tr w14:paraId="0F47BCB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32" w:hRule="atLeast"/>
          <w:jc w:val="center"/>
        </w:trPr>
        <w:tc>
          <w:tcPr>
            <w:tcW w:w="695" w:type="dxa"/>
            <w:tcBorders>
              <w:top w:val="single" w:color="auto" w:sz="4" w:space="0"/>
              <w:left w:val="single" w:color="auto" w:sz="4" w:space="0"/>
              <w:bottom w:val="single" w:color="auto" w:sz="4" w:space="0"/>
              <w:right w:val="single" w:color="auto" w:sz="4" w:space="0"/>
            </w:tcBorders>
            <w:vAlign w:val="center"/>
          </w:tcPr>
          <w:p w14:paraId="66486671">
            <w:pPr>
              <w:autoSpaceDE w:val="0"/>
              <w:autoSpaceDN w:val="0"/>
              <w:spacing w:line="520" w:lineRule="exact"/>
              <w:jc w:val="center"/>
              <w:rPr>
                <w:rFonts w:hint="eastAsia" w:ascii="宋体" w:hAnsi="宋体" w:cs="宋体"/>
                <w:b/>
                <w:color w:val="000000"/>
                <w:szCs w:val="21"/>
              </w:rPr>
            </w:pPr>
            <w:r>
              <w:rPr>
                <w:rFonts w:hint="eastAsia" w:ascii="宋体" w:hAnsi="宋体" w:cs="宋体"/>
                <w:b/>
                <w:color w:val="000000"/>
                <w:szCs w:val="21"/>
                <w:lang w:bidi="ar"/>
              </w:rPr>
              <w:t>1</w:t>
            </w:r>
          </w:p>
        </w:tc>
        <w:tc>
          <w:tcPr>
            <w:tcW w:w="1517" w:type="dxa"/>
            <w:tcBorders>
              <w:top w:val="single" w:color="auto" w:sz="4" w:space="0"/>
              <w:left w:val="single" w:color="auto" w:sz="4" w:space="0"/>
              <w:bottom w:val="single" w:color="auto" w:sz="4" w:space="0"/>
              <w:right w:val="single" w:color="auto" w:sz="4" w:space="0"/>
            </w:tcBorders>
            <w:vAlign w:val="center"/>
          </w:tcPr>
          <w:p w14:paraId="028EEF2C">
            <w:pPr>
              <w:spacing w:line="520" w:lineRule="exact"/>
              <w:rPr>
                <w:rFonts w:hint="eastAsia" w:ascii="宋体" w:hAnsi="宋体" w:cs="宋体"/>
                <w:b/>
                <w:color w:val="000000"/>
                <w:szCs w:val="21"/>
              </w:rPr>
            </w:pPr>
          </w:p>
        </w:tc>
        <w:tc>
          <w:tcPr>
            <w:tcW w:w="1400" w:type="dxa"/>
            <w:tcBorders>
              <w:top w:val="single" w:color="auto" w:sz="4" w:space="0"/>
              <w:left w:val="single" w:color="auto" w:sz="4" w:space="0"/>
              <w:bottom w:val="single" w:color="auto" w:sz="4" w:space="0"/>
              <w:right w:val="single" w:color="auto" w:sz="4" w:space="0"/>
            </w:tcBorders>
            <w:vAlign w:val="center"/>
          </w:tcPr>
          <w:p w14:paraId="407A1099">
            <w:pPr>
              <w:spacing w:line="520" w:lineRule="exact"/>
              <w:rPr>
                <w:rFonts w:hint="eastAsia" w:ascii="宋体" w:hAnsi="宋体" w:cs="宋体"/>
                <w:b/>
                <w:color w:val="000000"/>
                <w:szCs w:val="21"/>
              </w:rPr>
            </w:pPr>
          </w:p>
        </w:tc>
        <w:tc>
          <w:tcPr>
            <w:tcW w:w="1116" w:type="dxa"/>
            <w:tcBorders>
              <w:top w:val="single" w:color="auto" w:sz="4" w:space="0"/>
              <w:left w:val="single" w:color="auto" w:sz="4" w:space="0"/>
              <w:bottom w:val="single" w:color="auto" w:sz="4" w:space="0"/>
              <w:right w:val="single" w:color="auto" w:sz="4" w:space="0"/>
            </w:tcBorders>
            <w:vAlign w:val="center"/>
          </w:tcPr>
          <w:p w14:paraId="25DB9E78">
            <w:pPr>
              <w:spacing w:line="520" w:lineRule="exact"/>
              <w:rPr>
                <w:rFonts w:hint="eastAsia" w:ascii="宋体" w:hAnsi="宋体" w:cs="宋体"/>
                <w:b/>
                <w:color w:val="000000"/>
                <w:szCs w:val="21"/>
              </w:rPr>
            </w:pPr>
          </w:p>
        </w:tc>
        <w:tc>
          <w:tcPr>
            <w:tcW w:w="717" w:type="dxa"/>
            <w:tcBorders>
              <w:top w:val="single" w:color="auto" w:sz="4" w:space="0"/>
              <w:left w:val="single" w:color="auto" w:sz="4" w:space="0"/>
              <w:bottom w:val="single" w:color="auto" w:sz="4" w:space="0"/>
              <w:right w:val="single" w:color="auto" w:sz="4" w:space="0"/>
            </w:tcBorders>
            <w:vAlign w:val="center"/>
          </w:tcPr>
          <w:p w14:paraId="755B26C0">
            <w:pPr>
              <w:spacing w:line="520" w:lineRule="exact"/>
              <w:rPr>
                <w:rFonts w:hint="eastAsia" w:ascii="宋体" w:hAnsi="宋体" w:cs="宋体"/>
                <w:b/>
                <w:color w:val="000000"/>
                <w:szCs w:val="21"/>
              </w:rPr>
            </w:pPr>
          </w:p>
        </w:tc>
        <w:tc>
          <w:tcPr>
            <w:tcW w:w="750" w:type="dxa"/>
            <w:tcBorders>
              <w:top w:val="single" w:color="auto" w:sz="4" w:space="0"/>
              <w:left w:val="single" w:color="auto" w:sz="4" w:space="0"/>
              <w:bottom w:val="single" w:color="auto" w:sz="4" w:space="0"/>
              <w:right w:val="single" w:color="auto" w:sz="4" w:space="0"/>
            </w:tcBorders>
            <w:vAlign w:val="center"/>
          </w:tcPr>
          <w:p w14:paraId="44EA86B1">
            <w:pPr>
              <w:spacing w:line="520" w:lineRule="exact"/>
              <w:rPr>
                <w:rFonts w:hint="eastAsia" w:ascii="宋体" w:hAnsi="宋体" w:cs="宋体"/>
                <w:b/>
                <w:color w:val="000000"/>
                <w:szCs w:val="21"/>
              </w:rPr>
            </w:pPr>
          </w:p>
        </w:tc>
        <w:tc>
          <w:tcPr>
            <w:tcW w:w="1167" w:type="dxa"/>
            <w:tcBorders>
              <w:top w:val="single" w:color="auto" w:sz="4" w:space="0"/>
              <w:left w:val="single" w:color="auto" w:sz="4" w:space="0"/>
              <w:bottom w:val="single" w:color="auto" w:sz="4" w:space="0"/>
              <w:right w:val="single" w:color="auto" w:sz="4" w:space="0"/>
            </w:tcBorders>
            <w:vAlign w:val="center"/>
          </w:tcPr>
          <w:p w14:paraId="743E005A">
            <w:pPr>
              <w:spacing w:line="520" w:lineRule="exact"/>
              <w:rPr>
                <w:rFonts w:hint="eastAsia" w:ascii="宋体" w:hAnsi="宋体" w:cs="宋体"/>
                <w:b/>
                <w:color w:val="000000"/>
                <w:szCs w:val="21"/>
              </w:rPr>
            </w:pPr>
          </w:p>
        </w:tc>
        <w:tc>
          <w:tcPr>
            <w:tcW w:w="1550" w:type="dxa"/>
            <w:tcBorders>
              <w:top w:val="single" w:color="auto" w:sz="4" w:space="0"/>
              <w:left w:val="single" w:color="auto" w:sz="4" w:space="0"/>
              <w:bottom w:val="single" w:color="auto" w:sz="4" w:space="0"/>
              <w:right w:val="single" w:color="auto" w:sz="4" w:space="0"/>
            </w:tcBorders>
            <w:vAlign w:val="center"/>
          </w:tcPr>
          <w:p w14:paraId="09A0648D">
            <w:pPr>
              <w:spacing w:line="520" w:lineRule="exact"/>
              <w:rPr>
                <w:rFonts w:hint="eastAsia" w:ascii="宋体" w:hAnsi="宋体" w:cs="宋体"/>
                <w:b/>
                <w:color w:val="000000"/>
                <w:szCs w:val="21"/>
              </w:rPr>
            </w:pPr>
          </w:p>
        </w:tc>
        <w:tc>
          <w:tcPr>
            <w:tcW w:w="1048" w:type="dxa"/>
            <w:tcBorders>
              <w:top w:val="single" w:color="auto" w:sz="4" w:space="0"/>
              <w:left w:val="single" w:color="auto" w:sz="4" w:space="0"/>
              <w:bottom w:val="single" w:color="auto" w:sz="4" w:space="0"/>
              <w:right w:val="single" w:color="auto" w:sz="4" w:space="0"/>
            </w:tcBorders>
            <w:vAlign w:val="center"/>
          </w:tcPr>
          <w:p w14:paraId="693E1F68">
            <w:pPr>
              <w:spacing w:line="520" w:lineRule="exact"/>
              <w:jc w:val="center"/>
              <w:rPr>
                <w:rFonts w:hint="eastAsia" w:ascii="宋体" w:hAnsi="宋体" w:cs="宋体"/>
                <w:b/>
                <w:color w:val="000000"/>
                <w:szCs w:val="21"/>
              </w:rPr>
            </w:pPr>
          </w:p>
        </w:tc>
      </w:tr>
      <w:tr w14:paraId="19B5424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32" w:hRule="atLeast"/>
          <w:jc w:val="center"/>
        </w:trPr>
        <w:tc>
          <w:tcPr>
            <w:tcW w:w="695" w:type="dxa"/>
            <w:tcBorders>
              <w:top w:val="single" w:color="auto" w:sz="4" w:space="0"/>
              <w:left w:val="single" w:color="auto" w:sz="4" w:space="0"/>
              <w:bottom w:val="single" w:color="auto" w:sz="4" w:space="0"/>
              <w:right w:val="single" w:color="auto" w:sz="4" w:space="0"/>
            </w:tcBorders>
            <w:vAlign w:val="center"/>
          </w:tcPr>
          <w:p w14:paraId="4E205DF9">
            <w:pPr>
              <w:autoSpaceDE w:val="0"/>
              <w:autoSpaceDN w:val="0"/>
              <w:spacing w:line="520" w:lineRule="exact"/>
              <w:jc w:val="center"/>
              <w:rPr>
                <w:rFonts w:hint="eastAsia" w:ascii="宋体" w:hAnsi="宋体" w:cs="宋体"/>
                <w:b/>
                <w:color w:val="000000"/>
                <w:szCs w:val="21"/>
              </w:rPr>
            </w:pPr>
            <w:r>
              <w:rPr>
                <w:rFonts w:hint="eastAsia" w:ascii="宋体" w:hAnsi="宋体" w:cs="宋体"/>
                <w:b/>
                <w:color w:val="000000"/>
                <w:szCs w:val="21"/>
                <w:lang w:bidi="ar"/>
              </w:rPr>
              <w:t>2</w:t>
            </w:r>
          </w:p>
        </w:tc>
        <w:tc>
          <w:tcPr>
            <w:tcW w:w="1517" w:type="dxa"/>
            <w:tcBorders>
              <w:top w:val="single" w:color="auto" w:sz="4" w:space="0"/>
              <w:left w:val="single" w:color="auto" w:sz="4" w:space="0"/>
              <w:bottom w:val="single" w:color="auto" w:sz="4" w:space="0"/>
              <w:right w:val="single" w:color="auto" w:sz="4" w:space="0"/>
            </w:tcBorders>
            <w:vAlign w:val="center"/>
          </w:tcPr>
          <w:p w14:paraId="4AC205F4">
            <w:pPr>
              <w:spacing w:line="520" w:lineRule="exact"/>
              <w:rPr>
                <w:rFonts w:hint="eastAsia" w:ascii="宋体" w:hAnsi="宋体" w:cs="宋体"/>
                <w:b/>
                <w:color w:val="000000"/>
                <w:szCs w:val="21"/>
              </w:rPr>
            </w:pPr>
          </w:p>
        </w:tc>
        <w:tc>
          <w:tcPr>
            <w:tcW w:w="1400" w:type="dxa"/>
            <w:tcBorders>
              <w:top w:val="single" w:color="auto" w:sz="4" w:space="0"/>
              <w:left w:val="single" w:color="auto" w:sz="4" w:space="0"/>
              <w:bottom w:val="single" w:color="auto" w:sz="4" w:space="0"/>
              <w:right w:val="single" w:color="auto" w:sz="4" w:space="0"/>
            </w:tcBorders>
            <w:vAlign w:val="center"/>
          </w:tcPr>
          <w:p w14:paraId="106B3C15">
            <w:pPr>
              <w:spacing w:line="520" w:lineRule="exact"/>
              <w:rPr>
                <w:rFonts w:hint="eastAsia" w:ascii="宋体" w:hAnsi="宋体" w:cs="宋体"/>
                <w:b/>
                <w:color w:val="000000"/>
                <w:szCs w:val="21"/>
              </w:rPr>
            </w:pPr>
          </w:p>
        </w:tc>
        <w:tc>
          <w:tcPr>
            <w:tcW w:w="1116" w:type="dxa"/>
            <w:tcBorders>
              <w:top w:val="single" w:color="auto" w:sz="4" w:space="0"/>
              <w:left w:val="single" w:color="auto" w:sz="4" w:space="0"/>
              <w:bottom w:val="single" w:color="auto" w:sz="4" w:space="0"/>
              <w:right w:val="single" w:color="auto" w:sz="4" w:space="0"/>
            </w:tcBorders>
            <w:vAlign w:val="center"/>
          </w:tcPr>
          <w:p w14:paraId="7CECAE51">
            <w:pPr>
              <w:spacing w:line="520" w:lineRule="exact"/>
              <w:rPr>
                <w:rFonts w:hint="eastAsia" w:ascii="宋体" w:hAnsi="宋体" w:cs="宋体"/>
                <w:b/>
                <w:color w:val="000000"/>
                <w:szCs w:val="21"/>
              </w:rPr>
            </w:pPr>
          </w:p>
        </w:tc>
        <w:tc>
          <w:tcPr>
            <w:tcW w:w="717" w:type="dxa"/>
            <w:tcBorders>
              <w:top w:val="single" w:color="auto" w:sz="4" w:space="0"/>
              <w:left w:val="single" w:color="auto" w:sz="4" w:space="0"/>
              <w:bottom w:val="single" w:color="auto" w:sz="4" w:space="0"/>
              <w:right w:val="single" w:color="auto" w:sz="4" w:space="0"/>
            </w:tcBorders>
            <w:vAlign w:val="center"/>
          </w:tcPr>
          <w:p w14:paraId="1EE85E93">
            <w:pPr>
              <w:spacing w:line="520" w:lineRule="exact"/>
              <w:rPr>
                <w:rFonts w:hint="eastAsia" w:ascii="宋体" w:hAnsi="宋体" w:cs="宋体"/>
                <w:b/>
                <w:color w:val="000000"/>
                <w:szCs w:val="21"/>
              </w:rPr>
            </w:pPr>
          </w:p>
        </w:tc>
        <w:tc>
          <w:tcPr>
            <w:tcW w:w="750" w:type="dxa"/>
            <w:tcBorders>
              <w:top w:val="single" w:color="auto" w:sz="4" w:space="0"/>
              <w:left w:val="single" w:color="auto" w:sz="4" w:space="0"/>
              <w:bottom w:val="single" w:color="auto" w:sz="4" w:space="0"/>
              <w:right w:val="single" w:color="auto" w:sz="4" w:space="0"/>
            </w:tcBorders>
            <w:vAlign w:val="center"/>
          </w:tcPr>
          <w:p w14:paraId="5380FEB3">
            <w:pPr>
              <w:spacing w:line="520" w:lineRule="exact"/>
              <w:rPr>
                <w:rFonts w:hint="eastAsia" w:ascii="宋体" w:hAnsi="宋体" w:cs="宋体"/>
                <w:b/>
                <w:color w:val="000000"/>
                <w:szCs w:val="21"/>
              </w:rPr>
            </w:pPr>
          </w:p>
        </w:tc>
        <w:tc>
          <w:tcPr>
            <w:tcW w:w="1167" w:type="dxa"/>
            <w:tcBorders>
              <w:top w:val="single" w:color="auto" w:sz="4" w:space="0"/>
              <w:left w:val="single" w:color="auto" w:sz="4" w:space="0"/>
              <w:bottom w:val="single" w:color="auto" w:sz="4" w:space="0"/>
              <w:right w:val="single" w:color="auto" w:sz="4" w:space="0"/>
            </w:tcBorders>
            <w:vAlign w:val="center"/>
          </w:tcPr>
          <w:p w14:paraId="16B7F5F1">
            <w:pPr>
              <w:spacing w:line="520" w:lineRule="exact"/>
              <w:rPr>
                <w:rFonts w:hint="eastAsia" w:ascii="宋体" w:hAnsi="宋体" w:cs="宋体"/>
                <w:b/>
                <w:color w:val="000000"/>
                <w:szCs w:val="21"/>
              </w:rPr>
            </w:pPr>
          </w:p>
        </w:tc>
        <w:tc>
          <w:tcPr>
            <w:tcW w:w="1550" w:type="dxa"/>
            <w:tcBorders>
              <w:top w:val="single" w:color="auto" w:sz="4" w:space="0"/>
              <w:left w:val="single" w:color="auto" w:sz="4" w:space="0"/>
              <w:bottom w:val="single" w:color="auto" w:sz="4" w:space="0"/>
              <w:right w:val="single" w:color="auto" w:sz="4" w:space="0"/>
            </w:tcBorders>
            <w:vAlign w:val="center"/>
          </w:tcPr>
          <w:p w14:paraId="2A62DB05">
            <w:pPr>
              <w:spacing w:line="520" w:lineRule="exact"/>
              <w:rPr>
                <w:rFonts w:hint="eastAsia" w:ascii="宋体" w:hAnsi="宋体" w:cs="宋体"/>
                <w:b/>
                <w:color w:val="000000"/>
                <w:szCs w:val="21"/>
              </w:rPr>
            </w:pPr>
          </w:p>
        </w:tc>
        <w:tc>
          <w:tcPr>
            <w:tcW w:w="1048" w:type="dxa"/>
            <w:tcBorders>
              <w:top w:val="single" w:color="auto" w:sz="4" w:space="0"/>
              <w:left w:val="single" w:color="auto" w:sz="4" w:space="0"/>
              <w:bottom w:val="single" w:color="auto" w:sz="4" w:space="0"/>
              <w:right w:val="single" w:color="auto" w:sz="4" w:space="0"/>
            </w:tcBorders>
            <w:vAlign w:val="center"/>
          </w:tcPr>
          <w:p w14:paraId="2D7918B2">
            <w:pPr>
              <w:spacing w:line="520" w:lineRule="exact"/>
              <w:jc w:val="center"/>
              <w:rPr>
                <w:rFonts w:hint="eastAsia" w:ascii="宋体" w:hAnsi="宋体" w:cs="宋体"/>
                <w:b/>
                <w:color w:val="000000"/>
                <w:szCs w:val="21"/>
              </w:rPr>
            </w:pPr>
          </w:p>
        </w:tc>
      </w:tr>
      <w:tr w14:paraId="6DF0A2E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32" w:hRule="atLeast"/>
          <w:jc w:val="center"/>
        </w:trPr>
        <w:tc>
          <w:tcPr>
            <w:tcW w:w="695" w:type="dxa"/>
            <w:tcBorders>
              <w:top w:val="single" w:color="auto" w:sz="4" w:space="0"/>
              <w:left w:val="single" w:color="auto" w:sz="4" w:space="0"/>
              <w:bottom w:val="single" w:color="auto" w:sz="4" w:space="0"/>
              <w:right w:val="single" w:color="auto" w:sz="4" w:space="0"/>
            </w:tcBorders>
            <w:vAlign w:val="center"/>
          </w:tcPr>
          <w:p w14:paraId="59BB6611">
            <w:pPr>
              <w:autoSpaceDE w:val="0"/>
              <w:autoSpaceDN w:val="0"/>
              <w:spacing w:line="520" w:lineRule="exact"/>
              <w:jc w:val="center"/>
              <w:rPr>
                <w:rFonts w:hint="eastAsia" w:ascii="宋体" w:hAnsi="宋体" w:cs="宋体"/>
                <w:b/>
                <w:color w:val="000000"/>
                <w:szCs w:val="21"/>
                <w:lang w:bidi="ar"/>
              </w:rPr>
            </w:pPr>
            <w:r>
              <w:rPr>
                <w:rFonts w:hint="eastAsia" w:ascii="宋体" w:hAnsi="宋体" w:cs="宋体"/>
                <w:b/>
                <w:color w:val="000000"/>
                <w:szCs w:val="21"/>
                <w:lang w:bidi="ar"/>
              </w:rPr>
              <w:t>3</w:t>
            </w:r>
          </w:p>
        </w:tc>
        <w:tc>
          <w:tcPr>
            <w:tcW w:w="1517" w:type="dxa"/>
            <w:tcBorders>
              <w:top w:val="single" w:color="auto" w:sz="4" w:space="0"/>
              <w:left w:val="single" w:color="auto" w:sz="4" w:space="0"/>
              <w:bottom w:val="single" w:color="auto" w:sz="4" w:space="0"/>
              <w:right w:val="single" w:color="auto" w:sz="4" w:space="0"/>
            </w:tcBorders>
            <w:vAlign w:val="center"/>
          </w:tcPr>
          <w:p w14:paraId="05478BB2">
            <w:pPr>
              <w:spacing w:line="520" w:lineRule="exact"/>
              <w:rPr>
                <w:rFonts w:hint="eastAsia" w:ascii="宋体" w:hAnsi="宋体" w:cs="宋体"/>
                <w:b/>
                <w:color w:val="000000"/>
                <w:szCs w:val="21"/>
              </w:rPr>
            </w:pPr>
          </w:p>
        </w:tc>
        <w:tc>
          <w:tcPr>
            <w:tcW w:w="1400" w:type="dxa"/>
            <w:tcBorders>
              <w:top w:val="single" w:color="auto" w:sz="4" w:space="0"/>
              <w:left w:val="single" w:color="auto" w:sz="4" w:space="0"/>
              <w:bottom w:val="single" w:color="auto" w:sz="4" w:space="0"/>
              <w:right w:val="single" w:color="auto" w:sz="4" w:space="0"/>
            </w:tcBorders>
            <w:vAlign w:val="center"/>
          </w:tcPr>
          <w:p w14:paraId="24C6E643">
            <w:pPr>
              <w:spacing w:line="520" w:lineRule="exact"/>
              <w:rPr>
                <w:rFonts w:hint="eastAsia" w:ascii="宋体" w:hAnsi="宋体" w:cs="宋体"/>
                <w:b/>
                <w:color w:val="000000"/>
                <w:szCs w:val="21"/>
              </w:rPr>
            </w:pPr>
          </w:p>
        </w:tc>
        <w:tc>
          <w:tcPr>
            <w:tcW w:w="1116" w:type="dxa"/>
            <w:tcBorders>
              <w:top w:val="single" w:color="auto" w:sz="4" w:space="0"/>
              <w:left w:val="single" w:color="auto" w:sz="4" w:space="0"/>
              <w:bottom w:val="single" w:color="auto" w:sz="4" w:space="0"/>
              <w:right w:val="single" w:color="auto" w:sz="4" w:space="0"/>
            </w:tcBorders>
            <w:vAlign w:val="center"/>
          </w:tcPr>
          <w:p w14:paraId="7D7C4D76">
            <w:pPr>
              <w:spacing w:line="520" w:lineRule="exact"/>
              <w:rPr>
                <w:rFonts w:hint="eastAsia" w:ascii="宋体" w:hAnsi="宋体" w:cs="宋体"/>
                <w:b/>
                <w:color w:val="000000"/>
                <w:szCs w:val="21"/>
              </w:rPr>
            </w:pPr>
          </w:p>
        </w:tc>
        <w:tc>
          <w:tcPr>
            <w:tcW w:w="717" w:type="dxa"/>
            <w:tcBorders>
              <w:top w:val="single" w:color="auto" w:sz="4" w:space="0"/>
              <w:left w:val="single" w:color="auto" w:sz="4" w:space="0"/>
              <w:bottom w:val="single" w:color="auto" w:sz="4" w:space="0"/>
              <w:right w:val="single" w:color="auto" w:sz="4" w:space="0"/>
            </w:tcBorders>
            <w:vAlign w:val="center"/>
          </w:tcPr>
          <w:p w14:paraId="24B49FC1">
            <w:pPr>
              <w:spacing w:line="520" w:lineRule="exact"/>
              <w:rPr>
                <w:rFonts w:hint="eastAsia" w:ascii="宋体" w:hAnsi="宋体" w:cs="宋体"/>
                <w:b/>
                <w:color w:val="000000"/>
                <w:szCs w:val="21"/>
              </w:rPr>
            </w:pPr>
          </w:p>
        </w:tc>
        <w:tc>
          <w:tcPr>
            <w:tcW w:w="750" w:type="dxa"/>
            <w:tcBorders>
              <w:top w:val="single" w:color="auto" w:sz="4" w:space="0"/>
              <w:left w:val="single" w:color="auto" w:sz="4" w:space="0"/>
              <w:bottom w:val="single" w:color="auto" w:sz="4" w:space="0"/>
              <w:right w:val="single" w:color="auto" w:sz="4" w:space="0"/>
            </w:tcBorders>
            <w:vAlign w:val="center"/>
          </w:tcPr>
          <w:p w14:paraId="40617A91">
            <w:pPr>
              <w:spacing w:line="520" w:lineRule="exact"/>
              <w:rPr>
                <w:rFonts w:hint="eastAsia" w:ascii="宋体" w:hAnsi="宋体" w:cs="宋体"/>
                <w:b/>
                <w:color w:val="000000"/>
                <w:szCs w:val="21"/>
              </w:rPr>
            </w:pPr>
          </w:p>
        </w:tc>
        <w:tc>
          <w:tcPr>
            <w:tcW w:w="1167" w:type="dxa"/>
            <w:tcBorders>
              <w:top w:val="single" w:color="auto" w:sz="4" w:space="0"/>
              <w:left w:val="single" w:color="auto" w:sz="4" w:space="0"/>
              <w:bottom w:val="single" w:color="auto" w:sz="4" w:space="0"/>
              <w:right w:val="single" w:color="auto" w:sz="4" w:space="0"/>
            </w:tcBorders>
            <w:vAlign w:val="center"/>
          </w:tcPr>
          <w:p w14:paraId="76A7E324">
            <w:pPr>
              <w:spacing w:line="520" w:lineRule="exact"/>
              <w:rPr>
                <w:rFonts w:hint="eastAsia" w:ascii="宋体" w:hAnsi="宋体" w:cs="宋体"/>
                <w:b/>
                <w:color w:val="000000"/>
                <w:szCs w:val="21"/>
              </w:rPr>
            </w:pPr>
          </w:p>
        </w:tc>
        <w:tc>
          <w:tcPr>
            <w:tcW w:w="1550" w:type="dxa"/>
            <w:tcBorders>
              <w:top w:val="single" w:color="auto" w:sz="4" w:space="0"/>
              <w:left w:val="single" w:color="auto" w:sz="4" w:space="0"/>
              <w:bottom w:val="single" w:color="auto" w:sz="4" w:space="0"/>
              <w:right w:val="single" w:color="auto" w:sz="4" w:space="0"/>
            </w:tcBorders>
            <w:vAlign w:val="center"/>
          </w:tcPr>
          <w:p w14:paraId="21C1CD72">
            <w:pPr>
              <w:spacing w:line="520" w:lineRule="exact"/>
              <w:rPr>
                <w:rFonts w:hint="eastAsia" w:ascii="宋体" w:hAnsi="宋体" w:cs="宋体"/>
                <w:b/>
                <w:color w:val="000000"/>
                <w:szCs w:val="21"/>
              </w:rPr>
            </w:pPr>
          </w:p>
        </w:tc>
        <w:tc>
          <w:tcPr>
            <w:tcW w:w="1048" w:type="dxa"/>
            <w:tcBorders>
              <w:top w:val="single" w:color="auto" w:sz="4" w:space="0"/>
              <w:left w:val="single" w:color="auto" w:sz="4" w:space="0"/>
              <w:bottom w:val="single" w:color="auto" w:sz="4" w:space="0"/>
              <w:right w:val="single" w:color="auto" w:sz="4" w:space="0"/>
            </w:tcBorders>
            <w:vAlign w:val="center"/>
          </w:tcPr>
          <w:p w14:paraId="22F36183">
            <w:pPr>
              <w:spacing w:line="520" w:lineRule="exact"/>
              <w:jc w:val="center"/>
              <w:rPr>
                <w:rFonts w:hint="eastAsia" w:ascii="宋体" w:hAnsi="宋体" w:cs="宋体"/>
                <w:b/>
                <w:color w:val="000000"/>
                <w:szCs w:val="21"/>
              </w:rPr>
            </w:pPr>
          </w:p>
        </w:tc>
      </w:tr>
      <w:tr w14:paraId="7F1FDAB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48" w:hRule="atLeast"/>
          <w:jc w:val="center"/>
        </w:trPr>
        <w:tc>
          <w:tcPr>
            <w:tcW w:w="9960" w:type="dxa"/>
            <w:gridSpan w:val="9"/>
            <w:tcBorders>
              <w:top w:val="single" w:color="auto" w:sz="4" w:space="0"/>
              <w:left w:val="single" w:color="auto" w:sz="4" w:space="0"/>
              <w:bottom w:val="single" w:color="auto" w:sz="4" w:space="0"/>
              <w:right w:val="single" w:color="auto" w:sz="4" w:space="0"/>
            </w:tcBorders>
            <w:vAlign w:val="center"/>
          </w:tcPr>
          <w:p w14:paraId="43A72AC0">
            <w:pPr>
              <w:spacing w:line="520" w:lineRule="exact"/>
              <w:ind w:firstLine="105" w:firstLineChars="50"/>
              <w:rPr>
                <w:rFonts w:hint="eastAsia" w:ascii="宋体" w:hAnsi="宋体" w:cs="宋体"/>
                <w:b/>
                <w:color w:val="000000"/>
                <w:szCs w:val="21"/>
                <w:lang w:bidi="ar"/>
              </w:rPr>
            </w:pPr>
            <w:r>
              <w:rPr>
                <w:rFonts w:hint="eastAsia" w:ascii="宋体" w:hAnsi="宋体" w:cs="宋体"/>
                <w:b/>
                <w:color w:val="000000"/>
                <w:szCs w:val="21"/>
                <w:lang w:bidi="ar"/>
              </w:rPr>
              <w:t>总计：人民币（大写）     元整                 （小写）     元</w:t>
            </w:r>
          </w:p>
        </w:tc>
      </w:tr>
    </w:tbl>
    <w:p w14:paraId="0415BB6E">
      <w:pPr>
        <w:spacing w:line="264" w:lineRule="auto"/>
        <w:ind w:firstLine="420" w:firstLineChars="200"/>
        <w:rPr>
          <w:rFonts w:hint="eastAsia" w:ascii="宋体" w:hAnsi="宋体"/>
          <w:b/>
          <w:bCs/>
          <w:szCs w:val="21"/>
        </w:rPr>
      </w:pPr>
      <w:r>
        <w:rPr>
          <w:rFonts w:hint="eastAsia" w:ascii="宋体" w:hAnsi="宋体"/>
          <w:b/>
          <w:bCs/>
          <w:szCs w:val="21"/>
        </w:rPr>
        <w:t>本合同为</w:t>
      </w:r>
      <w:r>
        <w:rPr>
          <w:rFonts w:hint="eastAsia" w:ascii="宋体" w:hAnsi="宋体"/>
          <w:b/>
          <w:bCs/>
          <w:szCs w:val="21"/>
          <w:u w:val="single"/>
        </w:rPr>
        <w:t>固定总价/固定单价</w:t>
      </w:r>
      <w:r>
        <w:rPr>
          <w:rFonts w:hint="eastAsia" w:ascii="宋体" w:hAnsi="宋体"/>
          <w:b/>
          <w:bCs/>
          <w:szCs w:val="21"/>
        </w:rPr>
        <w:t>，上述合同价格包括但不限于以下全部项目：货物供给、货物包装、运输费、装卸费、安装调试费、税金、相关手续费、保修费和保险等的全部费用。乙方应保证甲方除支付合同约定货款之外无需再行支付其他任何费用和款项。</w:t>
      </w:r>
    </w:p>
    <w:p w14:paraId="50C419A4">
      <w:pPr>
        <w:spacing w:line="264" w:lineRule="auto"/>
        <w:ind w:firstLine="420" w:firstLineChars="200"/>
        <w:rPr>
          <w:rFonts w:hint="eastAsia" w:ascii="宋体" w:hAnsi="宋体"/>
          <w:b/>
          <w:bCs/>
          <w:szCs w:val="21"/>
        </w:rPr>
      </w:pPr>
      <w:r>
        <w:rPr>
          <w:rFonts w:hint="eastAsia" w:ascii="宋体" w:hAnsi="宋体"/>
          <w:b/>
          <w:bCs/>
          <w:szCs w:val="21"/>
        </w:rPr>
        <w:t xml:space="preserve">价格清单表是基于乙方在完全理解本项目材料所需为前提，同时甲方对清单中的名称、规格、材质及数量等没有校对的义务，乙方在合同有效期内不得对清单的综合费用提出任何费用的增加。 </w:t>
      </w:r>
    </w:p>
    <w:p w14:paraId="0E1888A4">
      <w:pPr>
        <w:spacing w:line="264" w:lineRule="auto"/>
        <w:ind w:firstLine="420" w:firstLineChars="200"/>
        <w:rPr>
          <w:rFonts w:hint="eastAsia" w:ascii="宋体" w:hAnsi="宋体" w:cs="宋体"/>
          <w:b/>
          <w:bCs/>
          <w:szCs w:val="24"/>
        </w:rPr>
      </w:pPr>
      <w:r>
        <w:rPr>
          <w:rFonts w:hint="eastAsia" w:ascii="宋体" w:hAnsi="宋体"/>
          <w:b/>
          <w:bCs/>
          <w:szCs w:val="21"/>
        </w:rPr>
        <w:t>本协议项下的产品规格、参数等内容，必须与招投标文件保持一致，任何一方不得私自更改，如在合同履行过程中，出现合同中约定的产品规格、参数等内容与招投标文件不一致的，以招投标文件规定的内容为准。</w:t>
      </w:r>
    </w:p>
    <w:p w14:paraId="5E3EA9CF">
      <w:pPr>
        <w:spacing w:line="264" w:lineRule="auto"/>
        <w:rPr>
          <w:rFonts w:hint="eastAsia" w:ascii="宋体" w:hAnsi="宋体"/>
          <w:szCs w:val="21"/>
        </w:rPr>
      </w:pPr>
      <w:r>
        <w:rPr>
          <w:rFonts w:hint="eastAsia" w:ascii="宋体" w:hAnsi="宋体"/>
          <w:b/>
          <w:szCs w:val="21"/>
        </w:rPr>
        <w:t>二、制造商及原产地</w:t>
      </w:r>
    </w:p>
    <w:p w14:paraId="250546D0">
      <w:pPr>
        <w:spacing w:line="264" w:lineRule="auto"/>
        <w:rPr>
          <w:rFonts w:hint="eastAsia" w:ascii="宋体" w:hAnsi="宋体"/>
          <w:b/>
          <w:szCs w:val="21"/>
        </w:rPr>
      </w:pPr>
      <w:r>
        <w:rPr>
          <w:rFonts w:hint="eastAsia" w:ascii="宋体" w:hAnsi="宋体"/>
          <w:b/>
          <w:szCs w:val="21"/>
        </w:rPr>
        <w:t xml:space="preserve">    制造商：              </w:t>
      </w:r>
    </w:p>
    <w:p w14:paraId="567A6085">
      <w:pPr>
        <w:spacing w:line="264" w:lineRule="auto"/>
        <w:rPr>
          <w:rFonts w:hint="eastAsia" w:ascii="宋体" w:hAnsi="宋体"/>
          <w:b/>
          <w:szCs w:val="21"/>
        </w:rPr>
      </w:pPr>
      <w:r>
        <w:rPr>
          <w:rFonts w:hint="eastAsia" w:ascii="宋体" w:hAnsi="宋体"/>
          <w:b/>
          <w:szCs w:val="21"/>
        </w:rPr>
        <w:t xml:space="preserve">    原产地：</w:t>
      </w:r>
    </w:p>
    <w:p w14:paraId="2FD5A8AE">
      <w:pPr>
        <w:spacing w:line="264" w:lineRule="auto"/>
        <w:rPr>
          <w:rFonts w:hint="eastAsia" w:ascii="宋体" w:hAnsi="宋体"/>
          <w:b/>
          <w:szCs w:val="21"/>
          <w:u w:val="single"/>
        </w:rPr>
      </w:pPr>
      <w:r>
        <w:rPr>
          <w:rFonts w:hint="eastAsia" w:ascii="宋体" w:hAnsi="宋体"/>
          <w:b/>
          <w:szCs w:val="21"/>
        </w:rPr>
        <w:t>三、系统配置：详见附件</w:t>
      </w:r>
    </w:p>
    <w:p w14:paraId="32B4F74D">
      <w:pPr>
        <w:spacing w:line="264" w:lineRule="auto"/>
        <w:ind w:left="422" w:hanging="420" w:hangingChars="200"/>
        <w:rPr>
          <w:rFonts w:hint="eastAsia" w:ascii="宋体" w:hAnsi="宋体"/>
          <w:b/>
          <w:szCs w:val="21"/>
        </w:rPr>
      </w:pPr>
      <w:r>
        <w:rPr>
          <w:rFonts w:hint="eastAsia" w:ascii="宋体" w:hAnsi="宋体"/>
          <w:b/>
          <w:szCs w:val="21"/>
        </w:rPr>
        <w:t>四、随机的必备品、配件、工具及其数量：乙方应按产品说明书和装箱单及出厂要求配备必须的备品、配件和专用工具。</w:t>
      </w:r>
    </w:p>
    <w:p w14:paraId="63800183">
      <w:pPr>
        <w:spacing w:line="264" w:lineRule="auto"/>
        <w:rPr>
          <w:rFonts w:hint="eastAsia" w:ascii="宋体" w:hAnsi="宋体"/>
          <w:b/>
          <w:szCs w:val="21"/>
        </w:rPr>
      </w:pPr>
      <w:r>
        <w:rPr>
          <w:rFonts w:hint="eastAsia" w:ascii="宋体" w:hAnsi="宋体"/>
          <w:b/>
          <w:szCs w:val="21"/>
        </w:rPr>
        <w:t>五、交货期、地点、售后服务期：</w:t>
      </w:r>
    </w:p>
    <w:p w14:paraId="40C6F5CD">
      <w:pPr>
        <w:rPr>
          <w:rFonts w:hint="eastAsia" w:ascii="宋体" w:hAnsi="宋体" w:cs="宋体"/>
          <w:b/>
          <w:bCs/>
          <w:szCs w:val="24"/>
        </w:rPr>
      </w:pPr>
      <w:r>
        <w:rPr>
          <w:rFonts w:hint="eastAsia" w:ascii="宋体" w:hAnsi="宋体"/>
          <w:b/>
          <w:szCs w:val="21"/>
        </w:rPr>
        <w:t>a）交货期：自合同签订之日起</w:t>
      </w:r>
      <w:r>
        <w:rPr>
          <w:rFonts w:hint="eastAsia" w:ascii="宋体" w:hAnsi="宋体"/>
          <w:b/>
          <w:szCs w:val="21"/>
          <w:u w:val="single"/>
        </w:rPr>
        <w:t xml:space="preserve">     </w:t>
      </w:r>
      <w:r>
        <w:rPr>
          <w:rFonts w:hint="eastAsia" w:ascii="宋体" w:hAnsi="宋体"/>
          <w:b/>
          <w:szCs w:val="21"/>
        </w:rPr>
        <w:t>天内（按合同签订之日算起），</w:t>
      </w:r>
      <w:r>
        <w:rPr>
          <w:rFonts w:hint="eastAsia" w:ascii="宋体" w:hAnsi="宋体" w:cs="宋体"/>
          <w:b/>
          <w:bCs/>
          <w:szCs w:val="24"/>
        </w:rPr>
        <w:t>将标的物运送至甲方指定地点，并负责完成安装调试，配合甲方完成验收。</w:t>
      </w:r>
    </w:p>
    <w:p w14:paraId="2BD092F0">
      <w:pPr>
        <w:spacing w:line="264" w:lineRule="auto"/>
        <w:rPr>
          <w:rFonts w:hint="eastAsia" w:ascii="宋体" w:hAnsi="宋体"/>
          <w:b/>
          <w:szCs w:val="21"/>
        </w:rPr>
      </w:pPr>
      <w:r>
        <w:rPr>
          <w:rFonts w:hint="eastAsia" w:ascii="宋体" w:hAnsi="宋体"/>
          <w:b/>
          <w:szCs w:val="21"/>
        </w:rPr>
        <w:t>b）交货地点：甲方指定。</w:t>
      </w:r>
    </w:p>
    <w:p w14:paraId="7BA1D661">
      <w:pPr>
        <w:spacing w:line="264" w:lineRule="auto"/>
        <w:rPr>
          <w:rFonts w:hint="eastAsia" w:ascii="宋体" w:hAnsi="宋体"/>
          <w:b/>
          <w:szCs w:val="21"/>
        </w:rPr>
      </w:pPr>
      <w:r>
        <w:rPr>
          <w:rFonts w:hint="eastAsia" w:ascii="宋体" w:hAnsi="宋体"/>
          <w:b/>
          <w:szCs w:val="21"/>
        </w:rPr>
        <w:t>c）质保期：系统安装验收合格之日起</w:t>
      </w:r>
      <w:r>
        <w:rPr>
          <w:rFonts w:hint="eastAsia" w:ascii="宋体" w:hAnsi="宋体"/>
          <w:b/>
          <w:szCs w:val="21"/>
          <w:u w:val="single"/>
        </w:rPr>
        <w:t xml:space="preserve">     </w:t>
      </w:r>
      <w:r>
        <w:rPr>
          <w:rFonts w:hint="eastAsia" w:ascii="宋体" w:hAnsi="宋体"/>
          <w:b/>
          <w:szCs w:val="21"/>
        </w:rPr>
        <w:t>年，乙方承担保修期内设备任何故障产生的费用。</w:t>
      </w:r>
    </w:p>
    <w:p w14:paraId="0AAA353D">
      <w:pPr>
        <w:spacing w:line="264" w:lineRule="auto"/>
        <w:rPr>
          <w:rFonts w:hint="eastAsia" w:ascii="宋体" w:hAnsi="宋体"/>
          <w:b/>
          <w:szCs w:val="21"/>
        </w:rPr>
      </w:pPr>
      <w:r>
        <w:rPr>
          <w:rFonts w:hint="eastAsia" w:ascii="宋体" w:hAnsi="宋体"/>
          <w:b/>
          <w:szCs w:val="21"/>
        </w:rPr>
        <w:t>六、售后服务：详见附件，需涵盖以下条款</w:t>
      </w:r>
    </w:p>
    <w:p w14:paraId="3EC90B26">
      <w:pPr>
        <w:spacing w:line="264" w:lineRule="auto"/>
        <w:rPr>
          <w:rFonts w:hint="eastAsia" w:ascii="宋体" w:hAnsi="宋体"/>
          <w:b/>
          <w:szCs w:val="21"/>
        </w:rPr>
      </w:pPr>
      <w:r>
        <w:rPr>
          <w:rFonts w:hint="eastAsia" w:ascii="宋体" w:hAnsi="宋体"/>
          <w:b/>
          <w:szCs w:val="21"/>
        </w:rPr>
        <w:t>1、保修期间，乙方需提供免费的维修及零配件更换，提供整机（包含附件）原厂（免费）保修服务；在甲方发出要求服务通知的24小时内，乙方指派的服务人员必须到达用户方现场，对设备出现的较大的问题，解决时间不超过3个日历日。</w:t>
      </w:r>
    </w:p>
    <w:p w14:paraId="41BD8E2A">
      <w:pPr>
        <w:spacing w:line="264" w:lineRule="auto"/>
        <w:rPr>
          <w:rFonts w:hint="eastAsia" w:ascii="宋体" w:hAnsi="宋体"/>
          <w:b/>
          <w:szCs w:val="21"/>
        </w:rPr>
      </w:pPr>
      <w:r>
        <w:rPr>
          <w:rFonts w:hint="eastAsia" w:ascii="宋体" w:hAnsi="宋体"/>
          <w:b/>
          <w:szCs w:val="21"/>
        </w:rPr>
        <w:t>2、乙方有义务向甲方提供合同项下设备使用期内的技术支持，包括技术咨询及技术人员的支持和零配件在设备使用寿命内的供应保证。对甲方无法排除的故障，乙方技术人员应在接到故障通知后24小时内无条件到达现场。</w:t>
      </w:r>
    </w:p>
    <w:p w14:paraId="2003C78A">
      <w:pPr>
        <w:spacing w:line="264" w:lineRule="auto"/>
        <w:rPr>
          <w:rFonts w:hint="eastAsia" w:ascii="宋体" w:hAnsi="宋体"/>
          <w:b/>
          <w:szCs w:val="21"/>
        </w:rPr>
      </w:pPr>
      <w:r>
        <w:rPr>
          <w:rFonts w:hint="eastAsia" w:ascii="宋体" w:hAnsi="宋体"/>
          <w:b/>
          <w:szCs w:val="21"/>
        </w:rPr>
        <w:t>3、设备如出现故障，乙方二小时内回应，二十四小时内排除故障，如一天不能解决处理的，应向甲方提供同类型的应急代用设备，如相同的事故出现两次将无偿更换新机或退回甲方货款。</w:t>
      </w:r>
    </w:p>
    <w:p w14:paraId="4C0AAA49">
      <w:pPr>
        <w:spacing w:line="264" w:lineRule="auto"/>
        <w:rPr>
          <w:rFonts w:hint="eastAsia" w:ascii="宋体" w:hAnsi="宋体"/>
          <w:b/>
          <w:szCs w:val="21"/>
        </w:rPr>
      </w:pPr>
      <w:r>
        <w:rPr>
          <w:rFonts w:hint="eastAsia" w:ascii="宋体" w:hAnsi="宋体"/>
          <w:b/>
          <w:szCs w:val="21"/>
        </w:rPr>
        <w:t>4、如设备维修调试后达不到合同或招投标文件规定的质量或技术指标要求，甲方有权提出退货，并要求乙方退回货款。</w:t>
      </w:r>
    </w:p>
    <w:p w14:paraId="5792C45C">
      <w:pPr>
        <w:spacing w:line="264" w:lineRule="auto"/>
        <w:rPr>
          <w:rFonts w:hint="eastAsia" w:ascii="宋体" w:hAnsi="宋体"/>
          <w:b/>
          <w:szCs w:val="21"/>
        </w:rPr>
      </w:pPr>
      <w:r>
        <w:rPr>
          <w:rFonts w:hint="eastAsia" w:ascii="宋体" w:hAnsi="宋体"/>
          <w:b/>
          <w:szCs w:val="21"/>
          <w:lang w:val="en-US" w:eastAsia="zh-CN"/>
        </w:rPr>
        <w:t>5</w:t>
      </w:r>
      <w:r>
        <w:rPr>
          <w:rFonts w:hint="eastAsia" w:ascii="宋体" w:hAnsi="宋体"/>
          <w:b/>
          <w:szCs w:val="21"/>
        </w:rPr>
        <w:t>、乙方接到甲方通知后未依照约定时间到场提供维修（包括零配件更换）保养等售后服务的，甲方有权另行聘请专业人员进行维修处理，产生的合理费用在履约保证金中予以扣除，不足部分，乙方应予以补足。</w:t>
      </w:r>
    </w:p>
    <w:p w14:paraId="3483E99F">
      <w:pPr>
        <w:spacing w:line="264" w:lineRule="auto"/>
        <w:rPr>
          <w:rFonts w:hint="eastAsia" w:ascii="宋体" w:hAnsi="宋体"/>
          <w:b/>
          <w:szCs w:val="21"/>
        </w:rPr>
      </w:pPr>
      <w:r>
        <w:rPr>
          <w:rFonts w:hint="eastAsia" w:ascii="宋体" w:hAnsi="宋体"/>
          <w:b/>
          <w:szCs w:val="21"/>
          <w:lang w:val="en-US" w:eastAsia="zh-CN"/>
        </w:rPr>
        <w:t>6</w:t>
      </w:r>
      <w:r>
        <w:rPr>
          <w:rFonts w:hint="eastAsia" w:ascii="宋体" w:hAnsi="宋体"/>
          <w:b/>
          <w:szCs w:val="21"/>
        </w:rPr>
        <w:t>、乙方应当按照附件及本约定履行售后服务义务，附件与本约定不一致的，以本约定为准。</w:t>
      </w:r>
    </w:p>
    <w:p w14:paraId="43A63754">
      <w:pPr>
        <w:spacing w:line="264" w:lineRule="auto"/>
        <w:rPr>
          <w:rFonts w:hint="eastAsia" w:ascii="宋体" w:hAnsi="宋体"/>
          <w:b/>
          <w:szCs w:val="21"/>
        </w:rPr>
      </w:pPr>
      <w:r>
        <w:rPr>
          <w:rFonts w:hint="eastAsia" w:ascii="宋体" w:hAnsi="宋体"/>
          <w:b/>
          <w:szCs w:val="21"/>
        </w:rPr>
        <w:t>七、付款方式：</w:t>
      </w:r>
    </w:p>
    <w:p w14:paraId="5AA55EB1">
      <w:pPr>
        <w:spacing w:line="264" w:lineRule="auto"/>
        <w:rPr>
          <w:rFonts w:hint="eastAsia" w:ascii="宋体" w:hAnsi="宋体"/>
          <w:b/>
          <w:szCs w:val="21"/>
        </w:rPr>
      </w:pPr>
      <w:r>
        <w:rPr>
          <w:rFonts w:hint="eastAsia" w:ascii="宋体" w:hAnsi="宋体"/>
          <w:b/>
          <w:szCs w:val="21"/>
        </w:rPr>
        <w:t>合同签订后，无息支付合同金额的20%；货物到场后，无息支付合同金额的10%；货物安装调试完成后，无息支付合同金额的30%；采购人验收合格，无息支付合同金额的40%。</w:t>
      </w:r>
    </w:p>
    <w:p w14:paraId="152E8997">
      <w:pPr>
        <w:spacing w:line="264" w:lineRule="auto"/>
        <w:rPr>
          <w:rFonts w:hint="eastAsia" w:ascii="宋体" w:hAnsi="宋体"/>
          <w:b/>
          <w:szCs w:val="21"/>
        </w:rPr>
      </w:pPr>
      <w:r>
        <w:rPr>
          <w:rFonts w:hint="eastAsia" w:ascii="宋体" w:hAnsi="宋体"/>
          <w:b/>
          <w:szCs w:val="21"/>
        </w:rPr>
        <w:t>以上付款均需乙方在符合付款条件下，先向甲方提交真实合法有效且符合甲方财务做账要求的等额增值税发票并提出书面付款申请，由甲方财务审核通过后，按照甲方财务计划予以支付。否则甲方有权拒绝支付任何费用且不承担任何违约责任。</w:t>
      </w:r>
    </w:p>
    <w:p w14:paraId="35611ECD">
      <w:pPr>
        <w:spacing w:line="264" w:lineRule="auto"/>
        <w:rPr>
          <w:rFonts w:hint="eastAsia" w:ascii="宋体" w:hAnsi="宋体"/>
          <w:b/>
          <w:szCs w:val="21"/>
        </w:rPr>
      </w:pPr>
      <w:r>
        <w:rPr>
          <w:rFonts w:hint="eastAsia" w:ascii="宋体" w:hAnsi="宋体"/>
          <w:b/>
          <w:szCs w:val="21"/>
        </w:rPr>
        <w:t>4、乙方银行账户信息：</w:t>
      </w:r>
    </w:p>
    <w:p w14:paraId="69E77A1C">
      <w:pPr>
        <w:spacing w:line="264" w:lineRule="auto"/>
        <w:ind w:firstLine="420" w:firstLineChars="200"/>
        <w:rPr>
          <w:rFonts w:hint="eastAsia" w:ascii="宋体" w:hAnsi="宋体"/>
          <w:b/>
          <w:szCs w:val="21"/>
        </w:rPr>
      </w:pPr>
      <w:r>
        <w:rPr>
          <w:rFonts w:hint="eastAsia" w:ascii="宋体" w:hAnsi="宋体"/>
          <w:b/>
          <w:szCs w:val="21"/>
        </w:rPr>
        <w:t xml:space="preserve">开户行：                                  </w:t>
      </w:r>
    </w:p>
    <w:p w14:paraId="704463A1">
      <w:pPr>
        <w:spacing w:line="264" w:lineRule="auto"/>
        <w:ind w:firstLine="420" w:firstLineChars="200"/>
        <w:rPr>
          <w:rFonts w:hint="eastAsia" w:ascii="宋体" w:hAnsi="宋体"/>
          <w:b/>
          <w:szCs w:val="21"/>
        </w:rPr>
      </w:pPr>
      <w:r>
        <w:rPr>
          <w:rFonts w:hint="eastAsia" w:ascii="宋体" w:hAnsi="宋体"/>
          <w:b/>
          <w:szCs w:val="21"/>
        </w:rPr>
        <w:t xml:space="preserve">账户名称：                                                </w:t>
      </w:r>
    </w:p>
    <w:p w14:paraId="0AAF0111">
      <w:pPr>
        <w:spacing w:line="264" w:lineRule="auto"/>
        <w:ind w:firstLine="420" w:firstLineChars="200"/>
        <w:rPr>
          <w:rFonts w:hint="eastAsia" w:ascii="宋体" w:hAnsi="宋体"/>
          <w:b/>
          <w:szCs w:val="21"/>
        </w:rPr>
      </w:pPr>
      <w:r>
        <w:rPr>
          <w:rFonts w:hint="eastAsia" w:ascii="宋体" w:hAnsi="宋体"/>
          <w:b/>
          <w:szCs w:val="21"/>
        </w:rPr>
        <w:t xml:space="preserve">银行账号：                                                    </w:t>
      </w:r>
    </w:p>
    <w:p w14:paraId="76C89A1A">
      <w:pPr>
        <w:spacing w:line="264" w:lineRule="auto"/>
        <w:ind w:firstLine="420" w:firstLineChars="200"/>
        <w:rPr>
          <w:rFonts w:hint="eastAsia" w:ascii="宋体" w:hAnsi="宋体"/>
          <w:b/>
          <w:szCs w:val="21"/>
        </w:rPr>
      </w:pPr>
      <w:r>
        <w:rPr>
          <w:rFonts w:hint="eastAsia" w:ascii="宋体" w:hAnsi="宋体"/>
          <w:b/>
          <w:szCs w:val="21"/>
        </w:rPr>
        <w:t xml:space="preserve">甲方向以上账户付款，即为完成本合同项下对乙方相应的付款义务。乙方对上述账户信息的准确性和可用性承担全部责任。若上述账户状态或信息发生任何变更，乙方应提前7个工作日使甲方获悉，否则甲方不对乙方迟延收到或未能收到任何款项承担责任。 </w:t>
      </w:r>
      <w:r>
        <w:rPr>
          <w:rFonts w:ascii="宋体" w:hAnsi="宋体"/>
          <w:b/>
          <w:szCs w:val="21"/>
        </w:rPr>
        <w:t xml:space="preserve"> </w:t>
      </w:r>
    </w:p>
    <w:p w14:paraId="08CCC8BE">
      <w:pPr>
        <w:rPr>
          <w:rFonts w:hint="eastAsia" w:ascii="宋体" w:hAnsi="宋体"/>
          <w:b/>
          <w:szCs w:val="21"/>
        </w:rPr>
      </w:pPr>
      <w:r>
        <w:rPr>
          <w:rFonts w:hint="eastAsia" w:ascii="宋体" w:hAnsi="宋体"/>
          <w:b/>
          <w:szCs w:val="21"/>
        </w:rPr>
        <w:t>八、包装标准：</w:t>
      </w:r>
    </w:p>
    <w:p w14:paraId="333DC6B7">
      <w:pPr>
        <w:rPr>
          <w:rFonts w:hint="eastAsia" w:ascii="宋体" w:hAnsi="宋体"/>
          <w:b/>
          <w:szCs w:val="21"/>
        </w:rPr>
      </w:pPr>
      <w:r>
        <w:rPr>
          <w:rFonts w:hint="eastAsia" w:ascii="宋体" w:hAnsi="宋体"/>
          <w:b/>
          <w:szCs w:val="21"/>
        </w:rPr>
        <w:t>1、乙方提供的全部标的物须采用相应标准的保护措施进行包装。这种包装应适于航空、海运和内陆运输，并有良好的防潮、防震、防锈和防野蛮装卸的保护措施，以确保标的物安全运抵交货地点。</w:t>
      </w:r>
    </w:p>
    <w:p w14:paraId="63FD1BF7">
      <w:pPr>
        <w:rPr>
          <w:rFonts w:hint="eastAsia" w:ascii="宋体" w:hAnsi="宋体"/>
          <w:b/>
          <w:szCs w:val="21"/>
        </w:rPr>
      </w:pPr>
      <w:r>
        <w:rPr>
          <w:rFonts w:hint="eastAsia" w:ascii="宋体" w:hAnsi="宋体"/>
          <w:b/>
          <w:szCs w:val="21"/>
        </w:rPr>
        <w:t>2、由于乙方包装或其防护措施不妥而引起标的物锈蚀、损坏和丢失的任何损失的责任或费用由乙方承担。</w:t>
      </w:r>
    </w:p>
    <w:p w14:paraId="0026C97F">
      <w:pPr>
        <w:rPr>
          <w:rFonts w:hint="eastAsia" w:ascii="宋体" w:hAnsi="宋体"/>
          <w:b/>
          <w:szCs w:val="21"/>
        </w:rPr>
      </w:pPr>
      <w:r>
        <w:rPr>
          <w:rFonts w:hint="eastAsia" w:ascii="宋体" w:hAnsi="宋体"/>
          <w:b/>
          <w:szCs w:val="21"/>
        </w:rPr>
        <w:t>3、除双方特殊约定以外，乙方提供的包装物费用包括在本合同总价中。</w:t>
      </w:r>
    </w:p>
    <w:p w14:paraId="6B0CBCCA">
      <w:pPr>
        <w:rPr>
          <w:rFonts w:hint="eastAsia" w:ascii="宋体" w:hAnsi="宋体"/>
          <w:b/>
          <w:szCs w:val="21"/>
        </w:rPr>
      </w:pPr>
      <w:r>
        <w:rPr>
          <w:rFonts w:hint="eastAsia" w:ascii="宋体" w:hAnsi="宋体"/>
          <w:b/>
          <w:szCs w:val="21"/>
        </w:rPr>
        <w:t>4、乙方负责将送至甲方指定地点的设备包装物从甲方工作场所中清除出去，不得给甲方工作人员或环境造成影响，否则将承担相应的责任，赔偿甲方的损失。</w:t>
      </w:r>
    </w:p>
    <w:p w14:paraId="62B37F4D">
      <w:pPr>
        <w:rPr>
          <w:rFonts w:hint="eastAsia" w:ascii="宋体" w:hAnsi="宋体" w:cs="宋体"/>
          <w:b/>
          <w:bCs/>
          <w:szCs w:val="24"/>
        </w:rPr>
      </w:pPr>
      <w:r>
        <w:rPr>
          <w:rFonts w:hint="eastAsia" w:ascii="宋体" w:hAnsi="宋体"/>
          <w:b/>
          <w:szCs w:val="21"/>
        </w:rPr>
        <w:t>5、标的物在</w:t>
      </w:r>
      <w:r>
        <w:rPr>
          <w:rFonts w:hint="eastAsia" w:ascii="宋体" w:hAnsi="宋体" w:cs="宋体"/>
          <w:b/>
          <w:bCs/>
          <w:szCs w:val="24"/>
        </w:rPr>
        <w:t>运输途中的安全问题均由乙方负责，在交货过程中，发生意外事故和故障损失，如撞、刮、裂、损等均由乙方承担责任；</w:t>
      </w:r>
    </w:p>
    <w:p w14:paraId="1B27A72F">
      <w:pPr>
        <w:spacing w:line="264" w:lineRule="auto"/>
        <w:rPr>
          <w:rFonts w:hint="eastAsia" w:ascii="宋体" w:hAnsi="宋体"/>
          <w:b/>
          <w:szCs w:val="21"/>
        </w:rPr>
      </w:pPr>
      <w:r>
        <w:rPr>
          <w:rFonts w:hint="eastAsia" w:ascii="宋体" w:hAnsi="宋体"/>
          <w:b/>
          <w:szCs w:val="21"/>
        </w:rPr>
        <w:t>九、技术参数：乙方负责提供标的物详细的中文版说明书、使用手册、维修手册及电路原理图等一切与该标的物的安装、维修、保养有关的技术图纸及文字资料。</w:t>
      </w:r>
      <w:r>
        <w:rPr>
          <w:rFonts w:hint="eastAsia" w:ascii="宋体" w:hAnsi="宋体" w:cs="宋体"/>
          <w:b/>
          <w:bCs/>
          <w:szCs w:val="24"/>
        </w:rPr>
        <w:t>否则，甲方有权不予付款且不承担违约责任。乙方应</w:t>
      </w:r>
      <w:r>
        <w:rPr>
          <w:rFonts w:hint="eastAsia" w:ascii="宋体" w:hAnsi="宋体"/>
          <w:b/>
          <w:szCs w:val="21"/>
        </w:rPr>
        <w:t>同时提供该标的物彩页资料和公司、产品资质，并承担由此发生的全部费用。</w:t>
      </w:r>
    </w:p>
    <w:p w14:paraId="5B45735D">
      <w:pPr>
        <w:spacing w:line="264" w:lineRule="auto"/>
        <w:rPr>
          <w:rFonts w:hint="eastAsia" w:ascii="宋体" w:hAnsi="宋体"/>
          <w:b/>
          <w:szCs w:val="21"/>
        </w:rPr>
      </w:pPr>
      <w:r>
        <w:rPr>
          <w:rFonts w:hint="eastAsia" w:ascii="宋体" w:hAnsi="宋体"/>
          <w:b/>
          <w:szCs w:val="21"/>
        </w:rPr>
        <w:t>十、安装调试及试运行：</w:t>
      </w:r>
    </w:p>
    <w:p w14:paraId="1267A6F5">
      <w:pPr>
        <w:spacing w:line="264" w:lineRule="auto"/>
        <w:rPr>
          <w:rFonts w:hint="eastAsia" w:ascii="宋体" w:hAnsi="宋体"/>
          <w:b/>
          <w:szCs w:val="21"/>
        </w:rPr>
      </w:pPr>
      <w:r>
        <w:rPr>
          <w:rFonts w:hint="eastAsia" w:ascii="宋体" w:hAnsi="宋体"/>
          <w:b/>
          <w:szCs w:val="21"/>
        </w:rPr>
        <w:t>1、乙方必须在合同签订后1周内将所有的安装调试条件、需甲方配合的事项以书面方式通知甲方；</w:t>
      </w:r>
    </w:p>
    <w:p w14:paraId="2D7CB542">
      <w:pPr>
        <w:spacing w:line="264" w:lineRule="auto"/>
        <w:rPr>
          <w:rFonts w:hint="eastAsia" w:ascii="宋体" w:hAnsi="宋体"/>
          <w:b/>
          <w:szCs w:val="21"/>
        </w:rPr>
      </w:pPr>
      <w:r>
        <w:rPr>
          <w:rFonts w:hint="eastAsia" w:ascii="宋体" w:hAnsi="宋体"/>
          <w:b/>
          <w:szCs w:val="21"/>
        </w:rPr>
        <w:t xml:space="preserve">2、乙方负责标的物的运送、安装、调试、技术协助、校准、培训以及其他类似等工作，直至该标的物可以正常试运行。 </w:t>
      </w:r>
    </w:p>
    <w:p w14:paraId="24427DEB">
      <w:pPr>
        <w:spacing w:line="264" w:lineRule="auto"/>
        <w:rPr>
          <w:rFonts w:hint="eastAsia" w:ascii="宋体" w:hAnsi="宋体"/>
          <w:b/>
          <w:szCs w:val="21"/>
        </w:rPr>
      </w:pPr>
      <w:r>
        <w:rPr>
          <w:rFonts w:hint="eastAsia" w:ascii="宋体" w:hAnsi="宋体"/>
          <w:b/>
          <w:szCs w:val="21"/>
        </w:rPr>
        <w:t>3、乙方应指派专业的技术人员对甲方的设备维修人员及使用人员进行免费培训，确保维修人员能对设备进行日常维护和一般性故障的查找及故障的排除，确保使用人员能够熟练掌握设备的各项功能和操作，</w:t>
      </w:r>
      <w:r>
        <w:rPr>
          <w:rFonts w:hint="eastAsia" w:ascii="宋体" w:hAnsi="宋体" w:cs="宋体"/>
          <w:b/>
          <w:bCs/>
          <w:szCs w:val="24"/>
        </w:rPr>
        <w:t>且上述费用已包含在合同总价中，甲方不再另行支付</w:t>
      </w:r>
      <w:r>
        <w:rPr>
          <w:rFonts w:hint="eastAsia" w:ascii="宋体" w:hAnsi="宋体"/>
          <w:b/>
          <w:szCs w:val="21"/>
        </w:rPr>
        <w:t>。</w:t>
      </w:r>
    </w:p>
    <w:p w14:paraId="25E56B27">
      <w:pPr>
        <w:spacing w:line="264" w:lineRule="auto"/>
        <w:rPr>
          <w:rFonts w:hint="eastAsia" w:ascii="宋体" w:hAnsi="宋体" w:cs="宋体"/>
          <w:b/>
          <w:szCs w:val="21"/>
          <w:lang w:bidi="ar"/>
        </w:rPr>
      </w:pPr>
      <w:r>
        <w:rPr>
          <w:rFonts w:hint="eastAsia" w:ascii="宋体" w:hAnsi="宋体" w:cs="宋体"/>
          <w:b/>
          <w:szCs w:val="21"/>
          <w:lang w:bidi="ar"/>
        </w:rPr>
        <w:t>4、在安装调试期间，因物件发生的事故及造成任何人身伤亡，由乙方承担全部责任责任。</w:t>
      </w:r>
      <w:r>
        <w:rPr>
          <w:rFonts w:hint="eastAsia" w:ascii="宋体" w:hAnsi="宋体" w:cs="宋体"/>
          <w:b/>
          <w:szCs w:val="21"/>
          <w:lang w:bidi="ar"/>
        </w:rPr>
        <w:br w:type="textWrapping"/>
      </w:r>
      <w:r>
        <w:rPr>
          <w:rFonts w:hint="eastAsia" w:ascii="宋体" w:hAnsi="宋体" w:cs="宋体"/>
          <w:b/>
          <w:szCs w:val="21"/>
          <w:lang w:bidi="ar"/>
        </w:rPr>
        <w:t>5、对于合同单价金额不超过50万元的设备，其试运行期限原则上不超过30个日历日；对于单价金额超过50万元的设备，试运行期限原则上不超过60个日历日。</w:t>
      </w:r>
    </w:p>
    <w:p w14:paraId="6D4C7548">
      <w:pPr>
        <w:spacing w:line="264" w:lineRule="auto"/>
        <w:rPr>
          <w:rFonts w:hint="eastAsia" w:ascii="宋体" w:hAnsi="宋体" w:cs="宋体"/>
          <w:b/>
          <w:szCs w:val="21"/>
          <w:lang w:bidi="ar"/>
        </w:rPr>
      </w:pPr>
      <w:r>
        <w:rPr>
          <w:rFonts w:hint="eastAsia" w:ascii="宋体" w:hAnsi="宋体" w:cs="宋体"/>
          <w:b/>
          <w:szCs w:val="21"/>
          <w:lang w:bidi="ar"/>
        </w:rPr>
        <w:t>6、在试运行期间，若货物性能未能满足</w:t>
      </w:r>
      <w:r>
        <w:rPr>
          <w:rFonts w:hint="eastAsia" w:ascii="宋体" w:hAnsi="宋体" w:cs="宋体"/>
          <w:b/>
          <w:szCs w:val="21"/>
          <w:lang w:val="en-US" w:eastAsia="zh-CN" w:bidi="ar"/>
        </w:rPr>
        <w:t>竞争性谈判采购</w:t>
      </w:r>
      <w:r>
        <w:rPr>
          <w:rFonts w:hint="eastAsia" w:ascii="宋体" w:hAnsi="宋体" w:cs="宋体"/>
          <w:b/>
          <w:szCs w:val="21"/>
          <w:lang w:bidi="ar"/>
        </w:rPr>
        <w:t>文件及合同中所规定的标准，则应视为验收未通过。乙方须退还90%的货款，并对甲方因此遭受的损失承担赔偿责任。</w:t>
      </w:r>
    </w:p>
    <w:p w14:paraId="293C3B40">
      <w:pPr>
        <w:spacing w:line="264" w:lineRule="auto"/>
        <w:rPr>
          <w:rFonts w:hint="eastAsia" w:ascii="宋体" w:hAnsi="宋体" w:cs="宋体"/>
          <w:b/>
          <w:szCs w:val="21"/>
          <w:lang w:bidi="ar"/>
        </w:rPr>
      </w:pPr>
      <w:r>
        <w:rPr>
          <w:rFonts w:hint="eastAsia" w:ascii="宋体" w:hAnsi="宋体" w:cs="宋体"/>
          <w:b/>
          <w:szCs w:val="21"/>
          <w:lang w:bidi="ar"/>
        </w:rPr>
        <w:t>7、若在试运行期间设备出现故障，需更换为同型号的新设备，则试运行时间应重新计算。若更换次数达到两次或以上（含两次），则将不予退还履约保证金。</w:t>
      </w:r>
    </w:p>
    <w:p w14:paraId="06B9D5E7">
      <w:pPr>
        <w:spacing w:line="264" w:lineRule="auto"/>
        <w:rPr>
          <w:rFonts w:hint="eastAsia" w:ascii="宋体" w:hAnsi="宋体"/>
          <w:b/>
          <w:szCs w:val="21"/>
        </w:rPr>
      </w:pPr>
      <w:r>
        <w:rPr>
          <w:rFonts w:hint="eastAsia" w:ascii="宋体" w:hAnsi="宋体" w:cs="宋体"/>
          <w:b/>
          <w:szCs w:val="21"/>
          <w:lang w:bidi="ar"/>
        </w:rPr>
        <w:t>8、在标的物到达之前，乙方必须提供与生产厂家签订的、针对合同内标的物的</w:t>
      </w:r>
      <w:r>
        <w:rPr>
          <w:rFonts w:hint="eastAsia" w:ascii="宋体" w:hAnsi="宋体" w:cs="宋体"/>
          <w:b/>
          <w:szCs w:val="21"/>
          <w:u w:val="single"/>
          <w:lang w:bidi="ar"/>
        </w:rPr>
        <w:t xml:space="preserve">     </w:t>
      </w:r>
      <w:r>
        <w:rPr>
          <w:rFonts w:hint="eastAsia" w:ascii="宋体" w:hAnsi="宋体" w:cs="宋体"/>
          <w:b/>
          <w:szCs w:val="21"/>
          <w:lang w:bidi="ar"/>
        </w:rPr>
        <w:t>年免费保修协议或合同。若未能提供此文件，则视为乙方未履行合同要求，甲方有权拒绝接收货物。</w:t>
      </w:r>
    </w:p>
    <w:p w14:paraId="224FB59E">
      <w:pPr>
        <w:spacing w:line="264" w:lineRule="auto"/>
        <w:rPr>
          <w:rFonts w:hint="eastAsia" w:ascii="宋体" w:hAnsi="宋体"/>
          <w:b/>
          <w:szCs w:val="21"/>
        </w:rPr>
      </w:pPr>
      <w:r>
        <w:rPr>
          <w:rFonts w:hint="eastAsia" w:ascii="宋体" w:hAnsi="宋体"/>
          <w:b/>
          <w:szCs w:val="21"/>
        </w:rPr>
        <w:t>十一、验收标准：</w:t>
      </w:r>
    </w:p>
    <w:p w14:paraId="66F738CD">
      <w:pPr>
        <w:spacing w:line="264" w:lineRule="auto"/>
        <w:rPr>
          <w:rFonts w:hint="eastAsia" w:ascii="宋体" w:hAnsi="宋体"/>
          <w:b/>
          <w:szCs w:val="21"/>
        </w:rPr>
      </w:pPr>
      <w:r>
        <w:rPr>
          <w:rFonts w:hint="eastAsia" w:ascii="宋体" w:hAnsi="宋体"/>
          <w:b/>
          <w:szCs w:val="21"/>
        </w:rPr>
        <w:t>1、单证齐全：应有产品合格证（或质量证明）、使用说明、保修证明、发票和其他应具有的单证。同时由乙方提供该套标的物的商检证，需计量鉴定的，还需提供初次计量鉴定证书。</w:t>
      </w:r>
    </w:p>
    <w:p w14:paraId="354AF879">
      <w:pPr>
        <w:spacing w:line="264" w:lineRule="auto"/>
        <w:rPr>
          <w:rFonts w:hint="eastAsia" w:ascii="宋体" w:hAnsi="宋体"/>
          <w:b/>
          <w:szCs w:val="21"/>
        </w:rPr>
      </w:pPr>
      <w:r>
        <w:rPr>
          <w:rFonts w:hint="eastAsia" w:ascii="宋体" w:hAnsi="宋体"/>
          <w:b/>
          <w:szCs w:val="21"/>
        </w:rPr>
        <w:t>2、质量符合现行国家法律法规规定的标准、</w:t>
      </w:r>
      <w:r>
        <w:rPr>
          <w:rFonts w:hint="eastAsia" w:ascii="宋体" w:hAnsi="宋体"/>
          <w:b/>
          <w:szCs w:val="21"/>
          <w:lang w:val="en-US" w:eastAsia="zh-CN"/>
        </w:rPr>
        <w:t>竞争性谈判采购文件</w:t>
      </w:r>
      <w:r>
        <w:rPr>
          <w:rFonts w:hint="eastAsia" w:ascii="宋体" w:hAnsi="宋体"/>
          <w:b/>
          <w:szCs w:val="21"/>
        </w:rPr>
        <w:t>和</w:t>
      </w:r>
      <w:r>
        <w:rPr>
          <w:rFonts w:hint="eastAsia" w:ascii="宋体" w:hAnsi="宋体"/>
          <w:b/>
          <w:szCs w:val="21"/>
          <w:lang w:val="en-US" w:eastAsia="zh-CN"/>
        </w:rPr>
        <w:t>响应</w:t>
      </w:r>
      <w:r>
        <w:rPr>
          <w:rFonts w:hint="eastAsia" w:ascii="宋体" w:hAnsi="宋体"/>
          <w:b/>
          <w:szCs w:val="21"/>
        </w:rPr>
        <w:t>文件的要求。其中有关标的物名称、制造商、数量等信息须符合投标文件和配置清单</w:t>
      </w:r>
    </w:p>
    <w:p w14:paraId="182B184B">
      <w:pPr>
        <w:spacing w:line="264" w:lineRule="auto"/>
        <w:rPr>
          <w:rFonts w:hint="eastAsia" w:ascii="宋体" w:hAnsi="宋体"/>
          <w:b/>
          <w:szCs w:val="21"/>
        </w:rPr>
      </w:pPr>
      <w:r>
        <w:rPr>
          <w:rFonts w:hint="eastAsia" w:ascii="宋体" w:hAnsi="宋体"/>
          <w:b/>
          <w:szCs w:val="21"/>
        </w:rPr>
        <w:t>3、试运行期结束后，甲方最终签发相关的安装验收合格报告，并且甲方有权委托中国有资质的单位对仪器进行精度校核，所发生的费用由乙方承担且乙方</w:t>
      </w:r>
      <w:r>
        <w:rPr>
          <w:rFonts w:hint="eastAsia" w:ascii="宋体" w:hAnsi="宋体" w:cs="宋体"/>
          <w:b/>
          <w:bCs/>
          <w:szCs w:val="24"/>
        </w:rPr>
        <w:t>同意</w:t>
      </w:r>
      <w:r>
        <w:rPr>
          <w:rFonts w:hint="eastAsia" w:ascii="宋体" w:hAnsi="宋体"/>
          <w:b/>
          <w:szCs w:val="21"/>
        </w:rPr>
        <w:t>授权甲方从应付货款中直接</w:t>
      </w:r>
      <w:r>
        <w:rPr>
          <w:rFonts w:hint="eastAsia" w:ascii="宋体" w:hAnsi="宋体" w:cs="宋体"/>
          <w:b/>
          <w:bCs/>
          <w:szCs w:val="24"/>
        </w:rPr>
        <w:t>扣除</w:t>
      </w:r>
      <w:r>
        <w:rPr>
          <w:rFonts w:hint="eastAsia" w:ascii="宋体" w:hAnsi="宋体"/>
          <w:b/>
          <w:szCs w:val="21"/>
        </w:rPr>
        <w:t>。</w:t>
      </w:r>
    </w:p>
    <w:p w14:paraId="484FC305">
      <w:pPr>
        <w:spacing w:line="264" w:lineRule="auto"/>
        <w:rPr>
          <w:rFonts w:hint="eastAsia" w:ascii="宋体" w:hAnsi="宋体"/>
          <w:b/>
          <w:szCs w:val="21"/>
        </w:rPr>
      </w:pPr>
      <w:r>
        <w:rPr>
          <w:rFonts w:hint="eastAsia" w:ascii="宋体" w:hAnsi="宋体"/>
          <w:b/>
          <w:szCs w:val="21"/>
        </w:rPr>
        <w:t>4、甲方最终验收合格后进入保修期。若</w:t>
      </w:r>
      <w:r>
        <w:rPr>
          <w:rFonts w:hint="eastAsia" w:ascii="宋体" w:hAnsi="宋体" w:cs="宋体"/>
          <w:b/>
          <w:bCs/>
          <w:szCs w:val="24"/>
        </w:rPr>
        <w:t>验收不合格的，应及时向乙方提出书面异议，乙方应在接到异议及检测报告后及时进行更换或重新安装调试，直至验收合格，如果因乙方供货质量原因造成的甲方受到的损失，乙方还应承担相应违约责任并承担相应赔偿。</w:t>
      </w:r>
    </w:p>
    <w:p w14:paraId="36F9857D">
      <w:pPr>
        <w:spacing w:line="264" w:lineRule="auto"/>
        <w:rPr>
          <w:rFonts w:hint="eastAsia" w:ascii="宋体" w:hAnsi="宋体"/>
          <w:b/>
          <w:szCs w:val="21"/>
        </w:rPr>
      </w:pPr>
      <w:r>
        <w:rPr>
          <w:rFonts w:hint="eastAsia" w:ascii="宋体" w:hAnsi="宋体"/>
          <w:b/>
          <w:szCs w:val="21"/>
        </w:rPr>
        <w:t>5、根据《中华人民共和国强制检定的工作计量器具目录》及</w:t>
      </w:r>
      <w:r>
        <w:rPr>
          <w:rFonts w:hint="eastAsia" w:ascii="宋体" w:hAnsi="宋体"/>
          <w:b/>
          <w:szCs w:val="21"/>
          <w:lang w:val="en-US" w:eastAsia="zh-CN"/>
        </w:rPr>
        <w:t>竞争性谈判采购</w:t>
      </w:r>
      <w:r>
        <w:rPr>
          <w:rFonts w:hint="eastAsia" w:ascii="宋体" w:hAnsi="宋体"/>
          <w:b/>
          <w:szCs w:val="21"/>
        </w:rPr>
        <w:t>文件要求，属于计量器具需要进行计量检定、校准的设备，由乙方承担首次技术监督局的检定、校准费用，并提供承诺函。</w:t>
      </w:r>
    </w:p>
    <w:p w14:paraId="1D82CAC1">
      <w:pPr>
        <w:spacing w:line="264" w:lineRule="auto"/>
        <w:rPr>
          <w:rFonts w:hint="eastAsia" w:ascii="宋体" w:hAnsi="宋体"/>
          <w:b/>
          <w:szCs w:val="21"/>
        </w:rPr>
      </w:pPr>
      <w:r>
        <w:rPr>
          <w:rFonts w:hint="eastAsia" w:ascii="宋体" w:hAnsi="宋体"/>
          <w:b/>
          <w:szCs w:val="21"/>
        </w:rPr>
        <w:t>十二、质量技术标准及损害赔偿：</w:t>
      </w:r>
    </w:p>
    <w:p w14:paraId="3DA90663">
      <w:pPr>
        <w:spacing w:line="264" w:lineRule="auto"/>
        <w:rPr>
          <w:rFonts w:hint="eastAsia" w:ascii="宋体" w:hAnsi="宋体"/>
          <w:b/>
          <w:szCs w:val="21"/>
        </w:rPr>
      </w:pPr>
      <w:r>
        <w:rPr>
          <w:rFonts w:hint="eastAsia" w:ascii="宋体" w:hAnsi="宋体"/>
          <w:b/>
          <w:szCs w:val="21"/>
        </w:rPr>
        <w:t>1、</w:t>
      </w:r>
      <w:r>
        <w:rPr>
          <w:rFonts w:hint="eastAsia" w:ascii="宋体" w:hAnsi="宋体" w:cs="宋体"/>
          <w:b/>
          <w:bCs/>
          <w:szCs w:val="24"/>
        </w:rPr>
        <w:t>产品质量标准：</w:t>
      </w:r>
      <w:r>
        <w:rPr>
          <w:rFonts w:hint="eastAsia" w:ascii="宋体" w:hAnsi="宋体"/>
          <w:b/>
          <w:szCs w:val="21"/>
        </w:rPr>
        <w:t>标的物的质量技术标准按国家法律法规规定的标准、</w:t>
      </w:r>
      <w:r>
        <w:rPr>
          <w:rFonts w:hint="eastAsia" w:ascii="宋体" w:hAnsi="宋体"/>
          <w:b/>
          <w:szCs w:val="21"/>
          <w:lang w:val="en-US" w:eastAsia="zh-CN"/>
        </w:rPr>
        <w:t>竞争性谈判采购</w:t>
      </w:r>
      <w:r>
        <w:rPr>
          <w:rFonts w:hint="eastAsia" w:ascii="宋体" w:hAnsi="宋体"/>
          <w:b/>
          <w:szCs w:val="21"/>
        </w:rPr>
        <w:t>文件和乙方投标文件所要求的技术标准执行。同时应符合中华人民共和国国家质量及国家安全环保标准，上述标准不一致的，按照高标准执行。</w:t>
      </w:r>
    </w:p>
    <w:p w14:paraId="1866C741">
      <w:pPr>
        <w:spacing w:line="264" w:lineRule="auto"/>
        <w:rPr>
          <w:rFonts w:hint="eastAsia" w:ascii="宋体" w:hAnsi="宋体"/>
          <w:b/>
          <w:szCs w:val="21"/>
        </w:rPr>
      </w:pPr>
      <w:r>
        <w:rPr>
          <w:rFonts w:hint="eastAsia" w:ascii="宋体" w:hAnsi="宋体"/>
          <w:b/>
          <w:szCs w:val="21"/>
        </w:rPr>
        <w:t>2、乙方应保证其提供的标的物是原产地的原装产品，是全新的、未使用过的，采用的是最佳材料和第一流的工艺，并在各个方面符合合同规定的质量、规格和性能要求。否则按退货处理。</w:t>
      </w:r>
    </w:p>
    <w:p w14:paraId="39F6C070">
      <w:pPr>
        <w:spacing w:line="264" w:lineRule="auto"/>
        <w:rPr>
          <w:rFonts w:hint="eastAsia" w:ascii="宋体" w:hAnsi="宋体"/>
          <w:b/>
          <w:szCs w:val="21"/>
        </w:rPr>
      </w:pPr>
      <w:r>
        <w:rPr>
          <w:rFonts w:hint="eastAsia" w:ascii="宋体" w:hAnsi="宋体"/>
          <w:b/>
          <w:szCs w:val="21"/>
        </w:rPr>
        <w:t>3、乙方应保证其标的物经过正确安装、合理操作和维护保养，在标的物寿命期内运转良好。在规定的质量保证期内乙方应对由于设计、工艺或材料的缺陷造成的任何缺陷或故障，负责维修、调换直至符合甲方要求。否则按乙方构成违约责任处理。</w:t>
      </w:r>
    </w:p>
    <w:p w14:paraId="4A414887">
      <w:pPr>
        <w:spacing w:line="264" w:lineRule="auto"/>
        <w:rPr>
          <w:rFonts w:hint="eastAsia" w:ascii="宋体" w:hAnsi="宋体"/>
          <w:b/>
          <w:szCs w:val="21"/>
        </w:rPr>
      </w:pPr>
      <w:r>
        <w:rPr>
          <w:rFonts w:hint="eastAsia" w:ascii="宋体" w:hAnsi="宋体"/>
          <w:b/>
          <w:szCs w:val="21"/>
        </w:rPr>
        <w:t>4、标的物在售后服务期内，如出现三次以上（含三次）因质量问题引起的故障，乙方负责更换同类新的标的物，以达到合同规定的规格、质量和性能，并从更换之日起重新计算被更换标的物的售后服务期，由此产生的一切费用由乙方承担。</w:t>
      </w:r>
    </w:p>
    <w:p w14:paraId="45883397">
      <w:pPr>
        <w:spacing w:line="264" w:lineRule="auto"/>
        <w:rPr>
          <w:rFonts w:hint="eastAsia" w:ascii="宋体" w:hAnsi="宋体"/>
          <w:b/>
          <w:szCs w:val="21"/>
        </w:rPr>
      </w:pPr>
      <w:r>
        <w:rPr>
          <w:rFonts w:hint="eastAsia" w:ascii="宋体" w:hAnsi="宋体"/>
          <w:b/>
          <w:szCs w:val="21"/>
        </w:rPr>
        <w:t>5、如因为乙方标的物质量原因，导致甲方损失，</w:t>
      </w:r>
      <w:r>
        <w:rPr>
          <w:rFonts w:hint="eastAsia" w:ascii="宋体" w:hAnsi="宋体"/>
          <w:b/>
          <w:szCs w:val="21"/>
          <w:lang w:bidi="ar"/>
        </w:rPr>
        <w:t>由乙方承担全部责任并赔偿甲方所有损失。如因乙方提供的设备发生不良事件，乙方应承担全部责任和所有费用</w:t>
      </w:r>
      <w:r>
        <w:rPr>
          <w:rFonts w:hint="eastAsia" w:ascii="宋体" w:hAnsi="宋体"/>
          <w:b/>
          <w:szCs w:val="21"/>
        </w:rPr>
        <w:t>。</w:t>
      </w:r>
    </w:p>
    <w:p w14:paraId="15300BD0">
      <w:pPr>
        <w:spacing w:line="264" w:lineRule="auto"/>
        <w:rPr>
          <w:rFonts w:hint="eastAsia" w:ascii="宋体" w:hAnsi="宋体"/>
          <w:b/>
          <w:szCs w:val="21"/>
        </w:rPr>
      </w:pPr>
      <w:r>
        <w:rPr>
          <w:rFonts w:hint="eastAsia" w:ascii="宋体" w:hAnsi="宋体"/>
          <w:b/>
          <w:szCs w:val="21"/>
        </w:rPr>
        <w:t>十三、合同修改、变更、转让及专利权：</w:t>
      </w:r>
    </w:p>
    <w:p w14:paraId="6F41E9E0">
      <w:pPr>
        <w:spacing w:line="264" w:lineRule="auto"/>
        <w:rPr>
          <w:rFonts w:hint="eastAsia" w:ascii="宋体" w:hAnsi="宋体"/>
          <w:b/>
          <w:szCs w:val="21"/>
        </w:rPr>
      </w:pPr>
      <w:r>
        <w:rPr>
          <w:rFonts w:hint="eastAsia" w:ascii="宋体" w:hAnsi="宋体"/>
          <w:b/>
          <w:szCs w:val="21"/>
        </w:rPr>
        <w:t>1、未经甲方书面同意，乙方不得对合同条款及服务内容进行任何修改、变更。并且不得转让其应履行的义务。否则，甲方有权终止合同，所发生的损失由乙方全部承担。</w:t>
      </w:r>
    </w:p>
    <w:p w14:paraId="4EB622DF">
      <w:pPr>
        <w:spacing w:line="264" w:lineRule="auto"/>
        <w:rPr>
          <w:rFonts w:hint="eastAsia" w:ascii="宋体" w:hAnsi="宋体"/>
          <w:b/>
          <w:szCs w:val="21"/>
        </w:rPr>
      </w:pPr>
      <w:r>
        <w:rPr>
          <w:rFonts w:hint="eastAsia" w:ascii="宋体" w:hAnsi="宋体"/>
          <w:b/>
          <w:szCs w:val="21"/>
        </w:rPr>
        <w:t>2、乙方须保障甲方在使用其标的物、服务及其任何部分不受到第三方关于侵犯专利权、商标权或工业设计权的指控。任何第三方提出侵权指控，乙方须与第三方交涉并承担由此而引起的一切法律责任和费用。</w:t>
      </w:r>
    </w:p>
    <w:p w14:paraId="3C649F73">
      <w:pPr>
        <w:spacing w:line="264" w:lineRule="auto"/>
        <w:rPr>
          <w:rFonts w:hint="eastAsia" w:ascii="宋体" w:hAnsi="宋体"/>
          <w:b/>
          <w:szCs w:val="21"/>
        </w:rPr>
      </w:pPr>
      <w:r>
        <w:rPr>
          <w:rFonts w:hint="eastAsia" w:ascii="宋体" w:hAnsi="宋体"/>
          <w:b/>
          <w:szCs w:val="21"/>
        </w:rPr>
        <w:t>十四、不可抗力：任何一方由于不可抗力（如地震、战争等）原因无法履行合同时，应在不可抗力时间结束后尽快向对方通报，以减轻可能给对方造成的损失；在取得有关机构的不可抗力证明或者双方谅解确认后，允许延期履行或修订合同，并视情况免于承担部分或全部的违约责任。</w:t>
      </w:r>
    </w:p>
    <w:p w14:paraId="7B45E1D4">
      <w:pPr>
        <w:spacing w:line="264" w:lineRule="auto"/>
        <w:rPr>
          <w:rFonts w:hint="eastAsia" w:ascii="宋体" w:hAnsi="宋体"/>
          <w:b/>
          <w:szCs w:val="21"/>
        </w:rPr>
      </w:pPr>
      <w:r>
        <w:rPr>
          <w:rFonts w:hint="eastAsia" w:ascii="宋体" w:hAnsi="宋体"/>
          <w:b/>
          <w:szCs w:val="21"/>
        </w:rPr>
        <w:t>十五、违约责任：</w:t>
      </w:r>
    </w:p>
    <w:p w14:paraId="42F5872A">
      <w:pPr>
        <w:spacing w:line="264" w:lineRule="auto"/>
        <w:rPr>
          <w:rFonts w:hint="eastAsia" w:ascii="宋体" w:hAnsi="宋体"/>
          <w:b/>
          <w:szCs w:val="21"/>
        </w:rPr>
      </w:pPr>
      <w:r>
        <w:rPr>
          <w:rFonts w:hint="eastAsia" w:ascii="宋体" w:hAnsi="宋体"/>
          <w:b/>
          <w:szCs w:val="21"/>
        </w:rPr>
        <w:t>1、乙方交付标的物的品种、规格、质量不符合国家标准或合同规定的，由乙方全权负责换货。换货必须全新并符合</w:t>
      </w:r>
      <w:r>
        <w:rPr>
          <w:rFonts w:hint="eastAsia" w:ascii="宋体" w:hAnsi="宋体" w:cs="宋体"/>
          <w:b/>
          <w:bCs/>
          <w:szCs w:val="24"/>
        </w:rPr>
        <w:t>本合同约定的质量标准和验收标准</w:t>
      </w:r>
      <w:r>
        <w:rPr>
          <w:rFonts w:hint="eastAsia" w:ascii="宋体" w:hAnsi="宋体"/>
          <w:b/>
          <w:szCs w:val="21"/>
        </w:rPr>
        <w:t>，因此而产生的一切费用和甲方遭受的一切直接损失由乙方无条件承担，</w:t>
      </w:r>
      <w:r>
        <w:rPr>
          <w:rFonts w:hint="eastAsia" w:ascii="宋体" w:hAnsi="宋体" w:cs="宋体"/>
          <w:b/>
          <w:bCs/>
          <w:szCs w:val="24"/>
        </w:rPr>
        <w:t>乙方不能修理或者不能调换、安装的，按合同总额的1</w:t>
      </w:r>
      <w:r>
        <w:rPr>
          <w:rFonts w:ascii="宋体" w:hAnsi="宋体" w:cs="宋体"/>
          <w:b/>
          <w:bCs/>
          <w:szCs w:val="24"/>
        </w:rPr>
        <w:t>0%</w:t>
      </w:r>
      <w:r>
        <w:rPr>
          <w:rFonts w:hint="eastAsia" w:ascii="宋体" w:hAnsi="宋体" w:cs="宋体"/>
          <w:b/>
          <w:bCs/>
          <w:szCs w:val="24"/>
        </w:rPr>
        <w:t>承担违约金。</w:t>
      </w:r>
      <w:r>
        <w:rPr>
          <w:rFonts w:hint="eastAsia" w:ascii="宋体" w:hAnsi="宋体"/>
          <w:b/>
          <w:szCs w:val="21"/>
        </w:rPr>
        <w:t>同时，甲方有权选择退货，乙方应承担因退货而发生的一切直接损失和费用并按照本合同总金额10%向甲方支付违约金。</w:t>
      </w:r>
    </w:p>
    <w:p w14:paraId="604F278E">
      <w:pPr>
        <w:spacing w:line="264" w:lineRule="auto"/>
        <w:rPr>
          <w:rFonts w:hint="eastAsia" w:ascii="宋体" w:hAnsi="宋体"/>
          <w:b/>
          <w:szCs w:val="21"/>
        </w:rPr>
      </w:pPr>
      <w:r>
        <w:rPr>
          <w:rFonts w:hint="eastAsia" w:ascii="宋体" w:hAnsi="宋体"/>
          <w:b/>
          <w:szCs w:val="21"/>
        </w:rPr>
        <w:t>2、乙方逾期交货的，按逾期交货部分货款计算，乙方向甲方偿付每日千分之五的违约金，逾期十天以上的，甲方有权解除合同，乙方应当承担因终止合同而发生的一切直接损失和费用。</w:t>
      </w:r>
    </w:p>
    <w:p w14:paraId="57AD4F7F">
      <w:pPr>
        <w:spacing w:line="264" w:lineRule="auto"/>
        <w:rPr>
          <w:rFonts w:hint="eastAsia" w:ascii="宋体" w:hAnsi="宋体" w:cs="宋体"/>
          <w:b/>
          <w:szCs w:val="21"/>
        </w:rPr>
      </w:pPr>
      <w:r>
        <w:rPr>
          <w:rFonts w:hint="eastAsia" w:ascii="宋体" w:hAnsi="宋体" w:cs="宋体"/>
          <w:b/>
          <w:szCs w:val="21"/>
          <w:lang w:bidi="ar"/>
        </w:rPr>
        <w:t>3、如因乙方原因设备未按投标文件确定的日期进行维修或维修未达到甲方要求，违反有关质量保证及售后服务的，在甲方提出赔偿十日内，乙方应当按照甲方赔偿要求赔偿数额支付。</w:t>
      </w:r>
    </w:p>
    <w:p w14:paraId="2ECF9DF8">
      <w:pPr>
        <w:spacing w:line="264" w:lineRule="auto"/>
        <w:rPr>
          <w:rFonts w:hint="eastAsia" w:ascii="宋体" w:hAnsi="宋体"/>
          <w:b/>
          <w:szCs w:val="21"/>
        </w:rPr>
      </w:pPr>
      <w:r>
        <w:rPr>
          <w:rFonts w:hint="eastAsia" w:ascii="宋体" w:hAnsi="宋体"/>
          <w:b/>
          <w:szCs w:val="21"/>
        </w:rPr>
        <w:t>4、乙方不得以任何形式在任何情况下对甲方工作人员进行商业贿赂活动，否则甲方有权单方解除合同，同时乙方需按照本合同总金额20%向甲方支付违约金并承担相应的法律责任。</w:t>
      </w:r>
    </w:p>
    <w:p w14:paraId="6DEBFCF8">
      <w:pPr>
        <w:spacing w:line="264" w:lineRule="auto"/>
        <w:rPr>
          <w:rFonts w:hint="eastAsia" w:ascii="宋体" w:hAnsi="宋体"/>
          <w:b/>
          <w:szCs w:val="21"/>
        </w:rPr>
      </w:pPr>
      <w:r>
        <w:rPr>
          <w:rFonts w:hint="eastAsia" w:ascii="宋体" w:hAnsi="宋体"/>
          <w:b/>
          <w:szCs w:val="21"/>
        </w:rPr>
        <w:t>5、在履行合同过程中，如果乙方遇到妨碍按时交货和提供服务的情况时，应及时以书面形式将拖延的事实，可能拖延的时间和原因通知甲方。甲方在收到乙方通知后，应尽快对情况进行评价，并于7日内确定是否同意延长交货时间以及是否收取误期赔偿费。乙方延期交货应通过签订补充协议的方式经甲方盖章确认。</w:t>
      </w:r>
    </w:p>
    <w:p w14:paraId="1154BA0C">
      <w:pPr>
        <w:spacing w:line="264" w:lineRule="auto"/>
        <w:rPr>
          <w:rFonts w:hint="eastAsia" w:ascii="宋体" w:hAnsi="宋体"/>
          <w:b/>
          <w:szCs w:val="21"/>
        </w:rPr>
      </w:pPr>
      <w:r>
        <w:rPr>
          <w:rFonts w:hint="eastAsia" w:ascii="宋体" w:hAnsi="宋体"/>
          <w:b/>
          <w:szCs w:val="21"/>
        </w:rPr>
        <w:t>6、本合同签订后，乙方不得以标的物市场价格上涨等各种理由断货、中止供货或要求甲方调价，否则，甲方有权解除合同并拒绝支付任何合同款项，乙方向甲方支付合同总价20%的违约金。</w:t>
      </w:r>
    </w:p>
    <w:p w14:paraId="7A720CE3">
      <w:pPr>
        <w:spacing w:line="264" w:lineRule="auto"/>
        <w:rPr>
          <w:rFonts w:hint="eastAsia" w:ascii="宋体" w:hAnsi="宋体"/>
          <w:b/>
          <w:szCs w:val="21"/>
        </w:rPr>
      </w:pPr>
      <w:r>
        <w:rPr>
          <w:rFonts w:hint="eastAsia" w:ascii="宋体" w:hAnsi="宋体"/>
          <w:b/>
          <w:szCs w:val="21"/>
        </w:rPr>
        <w:t>7.乙方支付上述违约金不足以赔偿甲方损失的，甲方有权另行向乙方索赔（包括但不限于第三方索赔、律师费、诉讼费、鉴定费、公证费、差旅费等甲方采取诉讼途径发生的一切费用）。</w:t>
      </w:r>
    </w:p>
    <w:p w14:paraId="046558F4">
      <w:pPr>
        <w:spacing w:line="264" w:lineRule="auto"/>
        <w:rPr>
          <w:rFonts w:hint="eastAsia" w:ascii="宋体" w:hAnsi="宋体"/>
          <w:b/>
          <w:szCs w:val="21"/>
        </w:rPr>
      </w:pPr>
      <w:r>
        <w:rPr>
          <w:rFonts w:hint="eastAsia" w:ascii="宋体" w:hAnsi="宋体"/>
          <w:b/>
          <w:szCs w:val="21"/>
        </w:rPr>
        <w:t>十六、赔偿、追索权：</w:t>
      </w:r>
    </w:p>
    <w:p w14:paraId="3F123F1D">
      <w:pPr>
        <w:spacing w:line="264" w:lineRule="auto"/>
        <w:rPr>
          <w:rFonts w:hint="eastAsia" w:ascii="宋体" w:hAnsi="宋体"/>
          <w:b/>
          <w:szCs w:val="21"/>
        </w:rPr>
      </w:pPr>
      <w:r>
        <w:rPr>
          <w:rFonts w:hint="eastAsia" w:ascii="宋体" w:hAnsi="宋体"/>
          <w:b/>
          <w:szCs w:val="21"/>
        </w:rPr>
        <w:t>1、本合同中所涉及到的乙方应支付甲方的损害赔偿、违约金等，在质保期内，甲方有权从合同总金额10%中直接扣除，对不足以抵偿的部分，甲方保留追索权；设备质保期以外，甲方保留追索的权利，包括从甲、乙双方所签署的其他合同乙方的权利中，追偿上述经济损失及违约金。</w:t>
      </w:r>
    </w:p>
    <w:p w14:paraId="3A0C1766">
      <w:pPr>
        <w:spacing w:line="264" w:lineRule="auto"/>
        <w:rPr>
          <w:rFonts w:hint="eastAsia" w:ascii="宋体" w:hAnsi="宋体"/>
          <w:b/>
          <w:szCs w:val="21"/>
        </w:rPr>
      </w:pPr>
      <w:r>
        <w:rPr>
          <w:rFonts w:hint="eastAsia" w:ascii="宋体" w:hAnsi="宋体"/>
          <w:b/>
          <w:szCs w:val="21"/>
        </w:rPr>
        <w:t>2、本合同所有条款约定的违约金、赔偿金等均应以人民币的方式支付，双方明确</w:t>
      </w:r>
      <w:r>
        <w:rPr>
          <w:rFonts w:hint="eastAsia" w:ascii="宋体" w:hAnsi="宋体" w:cs="宋体"/>
          <w:b/>
          <w:bCs/>
          <w:szCs w:val="24"/>
        </w:rPr>
        <w:t>按照第一次购汇当日的银行汇卖价，即购汇凭单上的购汇汇率，作为</w:t>
      </w:r>
      <w:r>
        <w:rPr>
          <w:rFonts w:hint="eastAsia" w:ascii="宋体" w:hAnsi="宋体"/>
          <w:b/>
          <w:szCs w:val="21"/>
        </w:rPr>
        <w:t>今后违约金、赔偿金等结算支付的汇率。</w:t>
      </w:r>
    </w:p>
    <w:p w14:paraId="7CEA720D">
      <w:pPr>
        <w:spacing w:line="264" w:lineRule="auto"/>
        <w:rPr>
          <w:rFonts w:hint="eastAsia" w:ascii="宋体" w:hAnsi="宋体"/>
          <w:b/>
          <w:szCs w:val="21"/>
        </w:rPr>
      </w:pPr>
      <w:r>
        <w:rPr>
          <w:rFonts w:hint="eastAsia" w:ascii="宋体" w:hAnsi="宋体"/>
          <w:b/>
          <w:szCs w:val="21"/>
        </w:rPr>
        <w:t>十七、解决合同纠纷的方式：</w:t>
      </w:r>
    </w:p>
    <w:p w14:paraId="4926604C">
      <w:pPr>
        <w:spacing w:line="264" w:lineRule="auto"/>
        <w:rPr>
          <w:rFonts w:hint="eastAsia" w:ascii="宋体" w:hAnsi="宋体"/>
          <w:b/>
          <w:szCs w:val="21"/>
        </w:rPr>
      </w:pPr>
      <w:r>
        <w:rPr>
          <w:rFonts w:hint="eastAsia" w:ascii="宋体" w:hAnsi="宋体"/>
          <w:b/>
          <w:szCs w:val="21"/>
        </w:rPr>
        <w:t>1、合同双方本着诚实、公平合理的原则协商解决，协商仍不能达成共识，可向甲方所在地人民法院提起诉讼。</w:t>
      </w:r>
    </w:p>
    <w:p w14:paraId="60491BF3">
      <w:pPr>
        <w:spacing w:line="264" w:lineRule="auto"/>
        <w:rPr>
          <w:rFonts w:hint="eastAsia" w:ascii="宋体" w:hAnsi="宋体"/>
          <w:b/>
          <w:szCs w:val="21"/>
        </w:rPr>
      </w:pPr>
      <w:r>
        <w:rPr>
          <w:rFonts w:hint="eastAsia" w:ascii="宋体" w:hAnsi="宋体"/>
          <w:b/>
          <w:szCs w:val="21"/>
        </w:rPr>
        <w:t>2、在诉讼期间，合同未发生争议部分应当继续履行。</w:t>
      </w:r>
      <w:r>
        <w:rPr>
          <w:rFonts w:hint="eastAsia" w:ascii="宋体" w:hAnsi="宋体"/>
          <w:b/>
          <w:szCs w:val="21"/>
        </w:rPr>
        <w:br w:type="textWrapping"/>
      </w:r>
      <w:r>
        <w:rPr>
          <w:rFonts w:hint="eastAsia" w:ascii="宋体" w:hAnsi="宋体"/>
          <w:b/>
          <w:szCs w:val="21"/>
        </w:rPr>
        <w:t>十八：履约保证金：</w:t>
      </w:r>
      <w:r>
        <w:rPr>
          <w:rFonts w:hint="eastAsia" w:ascii="宋体" w:hAnsi="宋体"/>
          <w:b/>
          <w:szCs w:val="21"/>
        </w:rPr>
        <w:br w:type="textWrapping"/>
      </w:r>
      <w:r>
        <w:rPr>
          <w:rFonts w:hint="eastAsia" w:ascii="宋体" w:hAnsi="宋体"/>
          <w:b/>
          <w:szCs w:val="21"/>
        </w:rPr>
        <w:t>1、乙方可以电汇、支票、汇票、本票或者金融机构、担保机构出具的保函等国家规定的非现金形式缴纳。</w:t>
      </w:r>
    </w:p>
    <w:p w14:paraId="6FC21908">
      <w:pPr>
        <w:spacing w:line="264" w:lineRule="auto"/>
        <w:rPr>
          <w:rFonts w:hint="eastAsia" w:ascii="宋体" w:hAnsi="宋体"/>
          <w:b/>
          <w:szCs w:val="21"/>
        </w:rPr>
      </w:pPr>
      <w:r>
        <w:rPr>
          <w:rFonts w:hint="eastAsia" w:ascii="宋体" w:hAnsi="宋体"/>
          <w:b/>
          <w:szCs w:val="21"/>
        </w:rPr>
        <w:t>2、乙方须保证标的物质量符合合同约定的技术标准和质量要求。</w:t>
      </w:r>
    </w:p>
    <w:p w14:paraId="04474D5C">
      <w:pPr>
        <w:spacing w:line="264" w:lineRule="auto"/>
        <w:rPr>
          <w:rFonts w:hint="eastAsia" w:ascii="宋体" w:hAnsi="宋体"/>
          <w:b/>
          <w:szCs w:val="21"/>
        </w:rPr>
      </w:pPr>
      <w:r>
        <w:rPr>
          <w:rFonts w:hint="eastAsia" w:ascii="宋体" w:hAnsi="宋体"/>
          <w:b/>
          <w:szCs w:val="21"/>
        </w:rPr>
        <w:t>3、乙方承诺在标的物验收合格后，对标的物进行为期</w:t>
      </w:r>
      <w:r>
        <w:rPr>
          <w:rFonts w:hint="eastAsia" w:ascii="宋体" w:hAnsi="宋体"/>
          <w:b/>
          <w:szCs w:val="21"/>
          <w:u w:val="single"/>
        </w:rPr>
        <w:t>三</w:t>
      </w:r>
      <w:r>
        <w:rPr>
          <w:rFonts w:hint="eastAsia" w:ascii="宋体" w:hAnsi="宋体"/>
          <w:b/>
          <w:szCs w:val="21"/>
        </w:rPr>
        <w:t>年的免费保修服务。</w:t>
      </w:r>
    </w:p>
    <w:p w14:paraId="3E6F62DE">
      <w:pPr>
        <w:spacing w:line="264" w:lineRule="auto"/>
        <w:rPr>
          <w:rFonts w:hint="eastAsia" w:ascii="宋体" w:hAnsi="宋体"/>
          <w:b/>
          <w:szCs w:val="21"/>
        </w:rPr>
      </w:pPr>
      <w:r>
        <w:rPr>
          <w:rFonts w:hint="eastAsia" w:ascii="宋体" w:hAnsi="宋体"/>
          <w:b/>
          <w:szCs w:val="21"/>
        </w:rPr>
        <w:t>4、若标的物在保修期内出现故障及问题，乙方应立即进行修复，直至达到合同约定的质量标准。</w:t>
      </w:r>
    </w:p>
    <w:p w14:paraId="5230AB13">
      <w:pPr>
        <w:spacing w:line="264" w:lineRule="auto"/>
        <w:rPr>
          <w:rFonts w:hint="eastAsia" w:ascii="宋体" w:hAnsi="宋体"/>
          <w:b/>
          <w:szCs w:val="21"/>
        </w:rPr>
      </w:pPr>
      <w:r>
        <w:rPr>
          <w:rFonts w:hint="eastAsia" w:ascii="宋体" w:hAnsi="宋体"/>
          <w:b/>
          <w:szCs w:val="21"/>
        </w:rPr>
        <w:t>5、若因乙方原因导致标的物维修不及时，甲方有权要求乙方承担相应的违约责任，包括但不限于修复费用、赔偿损失等。</w:t>
      </w:r>
    </w:p>
    <w:p w14:paraId="301FDC3C">
      <w:pPr>
        <w:spacing w:line="264" w:lineRule="auto"/>
        <w:rPr>
          <w:rFonts w:hint="eastAsia" w:ascii="宋体" w:hAnsi="宋体"/>
          <w:b/>
          <w:szCs w:val="21"/>
        </w:rPr>
      </w:pPr>
      <w:r>
        <w:rPr>
          <w:rFonts w:hint="eastAsia" w:ascii="宋体" w:hAnsi="宋体"/>
          <w:b/>
          <w:szCs w:val="21"/>
        </w:rPr>
        <w:t>6、在约定的售后服务期（保修服务期）内未按要求提供相应技术支持时，不予退还</w:t>
      </w:r>
      <w:r>
        <w:rPr>
          <w:rFonts w:hint="eastAsia" w:ascii="宋体" w:hAnsi="宋体"/>
          <w:b/>
          <w:szCs w:val="21"/>
          <w:lang w:val="en-US" w:eastAsia="zh-CN"/>
        </w:rPr>
        <w:t>履约</w:t>
      </w:r>
      <w:r>
        <w:rPr>
          <w:rFonts w:hint="eastAsia" w:ascii="宋体" w:hAnsi="宋体"/>
          <w:b/>
          <w:szCs w:val="21"/>
        </w:rPr>
        <w:t>保证金。</w:t>
      </w:r>
    </w:p>
    <w:p w14:paraId="5150A597">
      <w:pPr>
        <w:spacing w:line="264" w:lineRule="auto"/>
        <w:rPr>
          <w:rFonts w:hint="eastAsia" w:ascii="宋体" w:hAnsi="宋体"/>
          <w:b/>
          <w:szCs w:val="21"/>
        </w:rPr>
      </w:pPr>
      <w:r>
        <w:rPr>
          <w:rFonts w:hint="eastAsia" w:ascii="宋体" w:hAnsi="宋体"/>
          <w:b/>
          <w:szCs w:val="21"/>
        </w:rPr>
        <w:t>6、履约保证金自签订之日起生效，至项目验收合格后</w:t>
      </w:r>
      <w:r>
        <w:rPr>
          <w:rFonts w:hint="eastAsia" w:ascii="宋体" w:hAnsi="宋体"/>
          <w:b/>
          <w:szCs w:val="21"/>
          <w:u w:val="single"/>
        </w:rPr>
        <w:t>三</w:t>
      </w:r>
      <w:r>
        <w:rPr>
          <w:rFonts w:hint="eastAsia" w:ascii="宋体" w:hAnsi="宋体"/>
          <w:b/>
          <w:szCs w:val="21"/>
        </w:rPr>
        <w:t>年止.</w:t>
      </w:r>
    </w:p>
    <w:p w14:paraId="1DED69C0">
      <w:pPr>
        <w:spacing w:line="264" w:lineRule="auto"/>
        <w:rPr>
          <w:rFonts w:hint="eastAsia" w:ascii="宋体" w:hAnsi="宋体"/>
          <w:b/>
          <w:szCs w:val="21"/>
        </w:rPr>
      </w:pPr>
      <w:r>
        <w:rPr>
          <w:rFonts w:hint="eastAsia" w:ascii="宋体" w:hAnsi="宋体"/>
          <w:b/>
          <w:szCs w:val="21"/>
        </w:rPr>
        <w:t>7、保修期结束后，由甲方出具保修期内标的物及售后服务评价，符合要求的正常退还履约保证金，不符合要求的不予退还履约保证金。</w:t>
      </w:r>
    </w:p>
    <w:p w14:paraId="37FEA0B3">
      <w:pPr>
        <w:spacing w:line="264" w:lineRule="auto"/>
        <w:rPr>
          <w:rFonts w:hint="eastAsia" w:ascii="宋体" w:hAnsi="宋体"/>
          <w:b/>
          <w:szCs w:val="21"/>
        </w:rPr>
      </w:pPr>
      <w:r>
        <w:rPr>
          <w:rFonts w:hint="eastAsia" w:ascii="宋体" w:hAnsi="宋体"/>
          <w:b/>
          <w:szCs w:val="21"/>
        </w:rPr>
        <w:t>十九、其它：</w:t>
      </w:r>
    </w:p>
    <w:p w14:paraId="3E67C47A">
      <w:pPr>
        <w:spacing w:line="264" w:lineRule="auto"/>
        <w:rPr>
          <w:rFonts w:hint="eastAsia" w:ascii="宋体" w:hAnsi="宋体"/>
          <w:b/>
          <w:szCs w:val="21"/>
        </w:rPr>
      </w:pPr>
      <w:r>
        <w:rPr>
          <w:rFonts w:hint="eastAsia" w:ascii="宋体" w:hAnsi="宋体"/>
          <w:b/>
          <w:szCs w:val="21"/>
        </w:rPr>
        <w:t>1、 合同所有附件，包括与合同相关的采购文件、谈判文件、</w:t>
      </w:r>
      <w:r>
        <w:rPr>
          <w:rFonts w:hint="eastAsia" w:ascii="宋体" w:hAnsi="宋体"/>
          <w:b/>
          <w:szCs w:val="21"/>
          <w:lang w:val="en-US" w:eastAsia="zh-CN"/>
        </w:rPr>
        <w:t>采购</w:t>
      </w:r>
      <w:r>
        <w:rPr>
          <w:rFonts w:hint="eastAsia" w:ascii="宋体" w:hAnsi="宋体"/>
          <w:b/>
          <w:szCs w:val="21"/>
        </w:rPr>
        <w:t>备案材料、售后服务承诺书、成交通知书、成交方的投标文件、询标中的书面答疑、开标中的书面承诺及合同附件等均作为合同的有效组成部分，与合同具有同等的法律效力。</w:t>
      </w:r>
    </w:p>
    <w:p w14:paraId="2DE940CE">
      <w:pPr>
        <w:spacing w:line="264" w:lineRule="auto"/>
        <w:rPr>
          <w:rFonts w:hint="eastAsia" w:ascii="宋体" w:hAnsi="宋体"/>
          <w:b/>
          <w:szCs w:val="21"/>
        </w:rPr>
      </w:pPr>
      <w:r>
        <w:rPr>
          <w:rFonts w:hint="eastAsia" w:ascii="宋体" w:hAnsi="宋体"/>
          <w:b/>
          <w:szCs w:val="21"/>
        </w:rPr>
        <w:t>2、乙方保证提供的资质是真实的，与原件相符。否则，产生的责任及给甲方造成的损失均由乙方承担并赔偿。</w:t>
      </w:r>
    </w:p>
    <w:p w14:paraId="6867F96C">
      <w:pPr>
        <w:spacing w:line="264" w:lineRule="auto"/>
        <w:rPr>
          <w:rFonts w:hint="eastAsia" w:ascii="宋体" w:hAnsi="宋体"/>
          <w:b/>
          <w:szCs w:val="21"/>
        </w:rPr>
      </w:pPr>
      <w:r>
        <w:rPr>
          <w:rFonts w:hint="eastAsia" w:ascii="宋体" w:hAnsi="宋体"/>
          <w:b/>
          <w:szCs w:val="21"/>
        </w:rPr>
        <w:t>3、乙方保证合同中提供的电话、传真、开户银行、账号等信息准确无误。否则造成的责任及损失由乙方承担。</w:t>
      </w:r>
    </w:p>
    <w:p w14:paraId="77D89539">
      <w:pPr>
        <w:spacing w:line="264" w:lineRule="auto"/>
        <w:rPr>
          <w:rFonts w:hint="eastAsia" w:ascii="宋体" w:hAnsi="宋体"/>
          <w:b/>
          <w:szCs w:val="21"/>
        </w:rPr>
      </w:pPr>
      <w:r>
        <w:rPr>
          <w:rFonts w:hint="eastAsia" w:ascii="宋体" w:hAnsi="宋体"/>
          <w:b/>
          <w:szCs w:val="21"/>
        </w:rPr>
        <w:t>4、本合同应按中华人民共和国的相关法律解释</w:t>
      </w:r>
      <w:r>
        <w:rPr>
          <w:rFonts w:hint="eastAsia" w:ascii="宋体" w:hAnsi="宋体"/>
          <w:b/>
          <w:szCs w:val="21"/>
          <w:lang w:bidi="ar"/>
        </w:rPr>
        <w:t>，合同内容如遇国家法律、法规及政策另有规定的，从其规定。</w:t>
      </w:r>
    </w:p>
    <w:p w14:paraId="4AE1A89D">
      <w:pPr>
        <w:spacing w:line="264" w:lineRule="auto"/>
        <w:rPr>
          <w:rFonts w:hint="eastAsia" w:ascii="宋体" w:hAnsi="宋体"/>
          <w:szCs w:val="24"/>
        </w:rPr>
      </w:pPr>
      <w:r>
        <w:rPr>
          <w:rFonts w:hint="eastAsia" w:ascii="宋体" w:hAnsi="宋体"/>
          <w:b/>
          <w:szCs w:val="21"/>
        </w:rPr>
        <w:t>5、本合同文本一式五份，甲方执四份、乙方执一份</w:t>
      </w:r>
      <w:r>
        <w:rPr>
          <w:rFonts w:hint="eastAsia" w:ascii="宋体" w:hAnsi="宋体"/>
          <w:b/>
          <w:szCs w:val="21"/>
          <w:lang w:bidi="ar"/>
        </w:rPr>
        <w:t>，均具有同等的法律效力</w:t>
      </w:r>
      <w:r>
        <w:rPr>
          <w:rFonts w:hint="eastAsia" w:ascii="宋体" w:hAnsi="宋体"/>
          <w:b/>
          <w:szCs w:val="21"/>
        </w:rPr>
        <w:t>。自甲、乙双方法定代表人或委托代理人签字且加盖单位公章或合同专用章之日起生效，双方如有未尽事宜，可另行友好协商解决。</w:t>
      </w:r>
    </w:p>
    <w:tbl>
      <w:tblPr>
        <w:tblStyle w:val="78"/>
        <w:tblpPr w:leftFromText="180" w:rightFromText="180" w:vertAnchor="text" w:horzAnchor="page" w:tblpX="836" w:tblpY="333"/>
        <w:tblOverlap w:val="never"/>
        <w:tblW w:w="0" w:type="auto"/>
        <w:tblInd w:w="0" w:type="dxa"/>
        <w:tblLayout w:type="fixed"/>
        <w:tblCellMar>
          <w:top w:w="0" w:type="dxa"/>
          <w:left w:w="108" w:type="dxa"/>
          <w:bottom w:w="0" w:type="dxa"/>
          <w:right w:w="108" w:type="dxa"/>
        </w:tblCellMar>
      </w:tblPr>
      <w:tblGrid>
        <w:gridCol w:w="5148"/>
        <w:gridCol w:w="4860"/>
      </w:tblGrid>
      <w:tr w14:paraId="1517401F">
        <w:tblPrEx>
          <w:tblCellMar>
            <w:top w:w="0" w:type="dxa"/>
            <w:left w:w="108" w:type="dxa"/>
            <w:bottom w:w="0" w:type="dxa"/>
            <w:right w:w="108" w:type="dxa"/>
          </w:tblCellMar>
        </w:tblPrEx>
        <w:tc>
          <w:tcPr>
            <w:tcW w:w="5148" w:type="dxa"/>
          </w:tcPr>
          <w:p w14:paraId="4E0E6115">
            <w:pPr>
              <w:spacing w:line="264" w:lineRule="auto"/>
              <w:rPr>
                <w:rFonts w:hint="eastAsia" w:ascii="宋体" w:hAnsi="宋体"/>
                <w:b/>
                <w:szCs w:val="21"/>
              </w:rPr>
            </w:pPr>
            <w:r>
              <w:rPr>
                <w:rFonts w:ascii="宋体" w:hAnsi="宋体"/>
                <w:b/>
                <w:szCs w:val="21"/>
              </w:rPr>
              <w:t>甲方：</w:t>
            </w:r>
            <w:r>
              <w:rPr>
                <w:rFonts w:hint="eastAsia" w:ascii="宋体" w:hAnsi="宋体"/>
                <w:b/>
                <w:szCs w:val="21"/>
              </w:rPr>
              <w:t>阿克苏地区水资源总站</w:t>
            </w:r>
          </w:p>
        </w:tc>
        <w:tc>
          <w:tcPr>
            <w:tcW w:w="4860" w:type="dxa"/>
          </w:tcPr>
          <w:p w14:paraId="18AF3880">
            <w:pPr>
              <w:spacing w:line="264" w:lineRule="auto"/>
              <w:rPr>
                <w:rFonts w:hint="eastAsia" w:ascii="宋体" w:hAnsi="宋体"/>
                <w:b/>
                <w:szCs w:val="21"/>
              </w:rPr>
            </w:pPr>
            <w:r>
              <w:rPr>
                <w:rFonts w:ascii="宋体" w:hAnsi="宋体"/>
                <w:b/>
                <w:szCs w:val="21"/>
              </w:rPr>
              <w:t>乙方：</w:t>
            </w:r>
          </w:p>
        </w:tc>
      </w:tr>
      <w:tr w14:paraId="746C5E1B">
        <w:tblPrEx>
          <w:tblCellMar>
            <w:top w:w="0" w:type="dxa"/>
            <w:left w:w="108" w:type="dxa"/>
            <w:bottom w:w="0" w:type="dxa"/>
            <w:right w:w="108" w:type="dxa"/>
          </w:tblCellMar>
        </w:tblPrEx>
        <w:trPr>
          <w:trHeight w:val="80" w:hRule="atLeast"/>
        </w:trPr>
        <w:tc>
          <w:tcPr>
            <w:tcW w:w="5148" w:type="dxa"/>
          </w:tcPr>
          <w:p w14:paraId="3803B2E3">
            <w:pPr>
              <w:spacing w:line="264" w:lineRule="auto"/>
              <w:rPr>
                <w:rFonts w:hint="eastAsia" w:ascii="宋体" w:hAnsi="宋体"/>
                <w:b/>
                <w:szCs w:val="21"/>
              </w:rPr>
            </w:pPr>
          </w:p>
        </w:tc>
        <w:tc>
          <w:tcPr>
            <w:tcW w:w="4860" w:type="dxa"/>
          </w:tcPr>
          <w:p w14:paraId="00F28F34">
            <w:pPr>
              <w:spacing w:line="264" w:lineRule="auto"/>
              <w:rPr>
                <w:rFonts w:hint="eastAsia" w:ascii="宋体" w:hAnsi="宋体"/>
                <w:b/>
                <w:szCs w:val="21"/>
              </w:rPr>
            </w:pPr>
          </w:p>
        </w:tc>
      </w:tr>
      <w:tr w14:paraId="5F77EA5A">
        <w:tblPrEx>
          <w:tblCellMar>
            <w:top w:w="0" w:type="dxa"/>
            <w:left w:w="108" w:type="dxa"/>
            <w:bottom w:w="0" w:type="dxa"/>
            <w:right w:w="108" w:type="dxa"/>
          </w:tblCellMar>
        </w:tblPrEx>
        <w:tc>
          <w:tcPr>
            <w:tcW w:w="5148" w:type="dxa"/>
          </w:tcPr>
          <w:p w14:paraId="7C63360E">
            <w:pPr>
              <w:spacing w:line="264" w:lineRule="auto"/>
              <w:rPr>
                <w:rFonts w:hint="eastAsia" w:ascii="宋体" w:hAnsi="宋体"/>
                <w:b/>
                <w:szCs w:val="21"/>
              </w:rPr>
            </w:pPr>
            <w:r>
              <w:rPr>
                <w:rFonts w:ascii="宋体" w:hAnsi="宋体"/>
                <w:b/>
                <w:szCs w:val="21"/>
              </w:rPr>
              <w:t>甲方法人：</w:t>
            </w:r>
          </w:p>
        </w:tc>
        <w:tc>
          <w:tcPr>
            <w:tcW w:w="4860" w:type="dxa"/>
          </w:tcPr>
          <w:p w14:paraId="051DB365">
            <w:pPr>
              <w:spacing w:line="264" w:lineRule="auto"/>
              <w:rPr>
                <w:rFonts w:hint="eastAsia" w:ascii="宋体" w:hAnsi="宋体"/>
                <w:b/>
                <w:szCs w:val="21"/>
              </w:rPr>
            </w:pPr>
            <w:r>
              <w:rPr>
                <w:rFonts w:ascii="宋体" w:hAnsi="宋体"/>
                <w:b/>
                <w:szCs w:val="21"/>
              </w:rPr>
              <w:t>乙方法人：</w:t>
            </w:r>
          </w:p>
        </w:tc>
      </w:tr>
      <w:tr w14:paraId="6B364920">
        <w:tblPrEx>
          <w:tblCellMar>
            <w:top w:w="0" w:type="dxa"/>
            <w:left w:w="108" w:type="dxa"/>
            <w:bottom w:w="0" w:type="dxa"/>
            <w:right w:w="108" w:type="dxa"/>
          </w:tblCellMar>
        </w:tblPrEx>
        <w:tc>
          <w:tcPr>
            <w:tcW w:w="5148" w:type="dxa"/>
          </w:tcPr>
          <w:p w14:paraId="16667589">
            <w:pPr>
              <w:spacing w:line="360" w:lineRule="auto"/>
              <w:rPr>
                <w:rFonts w:hint="eastAsia" w:ascii="宋体" w:hAnsi="宋体"/>
                <w:b/>
                <w:szCs w:val="21"/>
              </w:rPr>
            </w:pPr>
            <w:r>
              <w:rPr>
                <w:rFonts w:hint="eastAsia" w:ascii="宋体" w:hAnsi="宋体"/>
                <w:b/>
                <w:szCs w:val="21"/>
              </w:rPr>
              <w:t>（签字）</w:t>
            </w:r>
          </w:p>
        </w:tc>
        <w:tc>
          <w:tcPr>
            <w:tcW w:w="4860" w:type="dxa"/>
          </w:tcPr>
          <w:p w14:paraId="73B7BF64">
            <w:pPr>
              <w:spacing w:line="264" w:lineRule="auto"/>
              <w:rPr>
                <w:rFonts w:hint="eastAsia" w:ascii="宋体" w:hAnsi="宋体"/>
                <w:b/>
                <w:szCs w:val="21"/>
              </w:rPr>
            </w:pPr>
            <w:r>
              <w:rPr>
                <w:rFonts w:hint="eastAsia" w:ascii="宋体" w:hAnsi="宋体"/>
                <w:b/>
                <w:szCs w:val="21"/>
              </w:rPr>
              <w:t>（签字）</w:t>
            </w:r>
          </w:p>
        </w:tc>
      </w:tr>
      <w:tr w14:paraId="2BD88C80">
        <w:tblPrEx>
          <w:tblCellMar>
            <w:top w:w="0" w:type="dxa"/>
            <w:left w:w="108" w:type="dxa"/>
            <w:bottom w:w="0" w:type="dxa"/>
            <w:right w:w="108" w:type="dxa"/>
          </w:tblCellMar>
        </w:tblPrEx>
        <w:tc>
          <w:tcPr>
            <w:tcW w:w="5148" w:type="dxa"/>
          </w:tcPr>
          <w:p w14:paraId="1CA03CC0">
            <w:pPr>
              <w:spacing w:line="264" w:lineRule="auto"/>
              <w:rPr>
                <w:rFonts w:hint="eastAsia" w:ascii="宋体" w:hAnsi="宋体"/>
                <w:b/>
                <w:szCs w:val="21"/>
              </w:rPr>
            </w:pPr>
          </w:p>
        </w:tc>
        <w:tc>
          <w:tcPr>
            <w:tcW w:w="4860" w:type="dxa"/>
          </w:tcPr>
          <w:p w14:paraId="4A47496C">
            <w:pPr>
              <w:spacing w:line="264" w:lineRule="auto"/>
              <w:rPr>
                <w:rFonts w:hint="eastAsia" w:ascii="宋体" w:hAnsi="宋体"/>
                <w:b/>
                <w:szCs w:val="21"/>
              </w:rPr>
            </w:pPr>
          </w:p>
        </w:tc>
      </w:tr>
      <w:tr w14:paraId="18CD45B7">
        <w:tblPrEx>
          <w:tblCellMar>
            <w:top w:w="0" w:type="dxa"/>
            <w:left w:w="108" w:type="dxa"/>
            <w:bottom w:w="0" w:type="dxa"/>
            <w:right w:w="108" w:type="dxa"/>
          </w:tblCellMar>
        </w:tblPrEx>
        <w:trPr>
          <w:trHeight w:val="350" w:hRule="atLeast"/>
        </w:trPr>
        <w:tc>
          <w:tcPr>
            <w:tcW w:w="5148" w:type="dxa"/>
          </w:tcPr>
          <w:p w14:paraId="2D92E34B">
            <w:pPr>
              <w:spacing w:line="264" w:lineRule="auto"/>
              <w:rPr>
                <w:rFonts w:hint="eastAsia" w:ascii="宋体" w:hAnsi="宋体"/>
                <w:b/>
                <w:szCs w:val="21"/>
              </w:rPr>
            </w:pPr>
            <w:r>
              <w:rPr>
                <w:rFonts w:ascii="宋体" w:hAnsi="宋体"/>
                <w:b/>
                <w:szCs w:val="21"/>
              </w:rPr>
              <w:t>甲方代表：</w:t>
            </w:r>
          </w:p>
        </w:tc>
        <w:tc>
          <w:tcPr>
            <w:tcW w:w="4860" w:type="dxa"/>
          </w:tcPr>
          <w:p w14:paraId="77267116">
            <w:pPr>
              <w:spacing w:line="264" w:lineRule="auto"/>
              <w:rPr>
                <w:rFonts w:hint="eastAsia" w:ascii="宋体" w:hAnsi="宋体"/>
                <w:b/>
                <w:szCs w:val="21"/>
              </w:rPr>
            </w:pPr>
            <w:r>
              <w:rPr>
                <w:rFonts w:ascii="宋体" w:hAnsi="宋体"/>
                <w:b/>
                <w:szCs w:val="21"/>
              </w:rPr>
              <w:t>乙方代表：</w:t>
            </w:r>
          </w:p>
        </w:tc>
      </w:tr>
      <w:tr w14:paraId="30D9FEC0">
        <w:tblPrEx>
          <w:tblCellMar>
            <w:top w:w="0" w:type="dxa"/>
            <w:left w:w="108" w:type="dxa"/>
            <w:bottom w:w="0" w:type="dxa"/>
            <w:right w:w="108" w:type="dxa"/>
          </w:tblCellMar>
        </w:tblPrEx>
        <w:trPr>
          <w:trHeight w:val="350" w:hRule="atLeast"/>
        </w:trPr>
        <w:tc>
          <w:tcPr>
            <w:tcW w:w="5148" w:type="dxa"/>
          </w:tcPr>
          <w:p w14:paraId="15F8468A">
            <w:pPr>
              <w:spacing w:line="360" w:lineRule="auto"/>
              <w:rPr>
                <w:rFonts w:hint="eastAsia" w:ascii="宋体" w:hAnsi="宋体"/>
                <w:b/>
                <w:szCs w:val="21"/>
              </w:rPr>
            </w:pPr>
            <w:r>
              <w:rPr>
                <w:rFonts w:hint="eastAsia" w:ascii="宋体" w:hAnsi="宋体"/>
                <w:b/>
                <w:szCs w:val="21"/>
              </w:rPr>
              <w:t>（签字）</w:t>
            </w:r>
          </w:p>
        </w:tc>
        <w:tc>
          <w:tcPr>
            <w:tcW w:w="4860" w:type="dxa"/>
          </w:tcPr>
          <w:p w14:paraId="70B6D36D">
            <w:pPr>
              <w:spacing w:line="264" w:lineRule="auto"/>
              <w:rPr>
                <w:rFonts w:hint="eastAsia" w:ascii="宋体" w:hAnsi="宋体"/>
                <w:b/>
                <w:szCs w:val="21"/>
              </w:rPr>
            </w:pPr>
            <w:r>
              <w:rPr>
                <w:rFonts w:hint="eastAsia" w:ascii="宋体" w:hAnsi="宋体"/>
                <w:b/>
                <w:szCs w:val="21"/>
              </w:rPr>
              <w:t>（签字）</w:t>
            </w:r>
          </w:p>
        </w:tc>
      </w:tr>
      <w:tr w14:paraId="54ECE2C4">
        <w:tblPrEx>
          <w:tblCellMar>
            <w:top w:w="0" w:type="dxa"/>
            <w:left w:w="108" w:type="dxa"/>
            <w:bottom w:w="0" w:type="dxa"/>
            <w:right w:w="108" w:type="dxa"/>
          </w:tblCellMar>
        </w:tblPrEx>
        <w:tc>
          <w:tcPr>
            <w:tcW w:w="5148" w:type="dxa"/>
          </w:tcPr>
          <w:p w14:paraId="360ED2DC">
            <w:pPr>
              <w:spacing w:line="264" w:lineRule="auto"/>
              <w:rPr>
                <w:rFonts w:hint="eastAsia" w:ascii="宋体" w:hAnsi="宋体"/>
                <w:b/>
                <w:szCs w:val="21"/>
              </w:rPr>
            </w:pPr>
          </w:p>
        </w:tc>
        <w:tc>
          <w:tcPr>
            <w:tcW w:w="4860" w:type="dxa"/>
          </w:tcPr>
          <w:p w14:paraId="71BC03DB">
            <w:pPr>
              <w:spacing w:line="264" w:lineRule="auto"/>
              <w:rPr>
                <w:rFonts w:hint="eastAsia" w:ascii="宋体" w:hAnsi="宋体"/>
                <w:b/>
                <w:szCs w:val="21"/>
              </w:rPr>
            </w:pPr>
            <w:r>
              <w:rPr>
                <w:rFonts w:ascii="宋体" w:hAnsi="宋体"/>
                <w:b/>
                <w:szCs w:val="21"/>
              </w:rPr>
              <w:t>合同专用章：</w:t>
            </w:r>
          </w:p>
        </w:tc>
      </w:tr>
      <w:tr w14:paraId="77CC7913">
        <w:tblPrEx>
          <w:tblCellMar>
            <w:top w:w="0" w:type="dxa"/>
            <w:left w:w="108" w:type="dxa"/>
            <w:bottom w:w="0" w:type="dxa"/>
            <w:right w:w="108" w:type="dxa"/>
          </w:tblCellMar>
        </w:tblPrEx>
        <w:tc>
          <w:tcPr>
            <w:tcW w:w="5148" w:type="dxa"/>
          </w:tcPr>
          <w:p w14:paraId="1EC45CEF">
            <w:pPr>
              <w:spacing w:line="264" w:lineRule="auto"/>
              <w:rPr>
                <w:rFonts w:hint="eastAsia" w:ascii="宋体" w:hAnsi="宋体"/>
                <w:b/>
                <w:szCs w:val="21"/>
              </w:rPr>
            </w:pPr>
          </w:p>
        </w:tc>
        <w:tc>
          <w:tcPr>
            <w:tcW w:w="4860" w:type="dxa"/>
          </w:tcPr>
          <w:p w14:paraId="6E2E0D98">
            <w:pPr>
              <w:spacing w:line="264" w:lineRule="auto"/>
              <w:rPr>
                <w:rFonts w:hint="eastAsia" w:ascii="宋体" w:hAnsi="宋体"/>
                <w:b/>
                <w:szCs w:val="21"/>
              </w:rPr>
            </w:pPr>
          </w:p>
        </w:tc>
      </w:tr>
      <w:tr w14:paraId="0596B3AE">
        <w:tblPrEx>
          <w:tblCellMar>
            <w:top w:w="0" w:type="dxa"/>
            <w:left w:w="108" w:type="dxa"/>
            <w:bottom w:w="0" w:type="dxa"/>
            <w:right w:w="108" w:type="dxa"/>
          </w:tblCellMar>
        </w:tblPrEx>
        <w:tc>
          <w:tcPr>
            <w:tcW w:w="5148" w:type="dxa"/>
          </w:tcPr>
          <w:p w14:paraId="7A4DCDA7">
            <w:pPr>
              <w:spacing w:line="264" w:lineRule="auto"/>
              <w:rPr>
                <w:rFonts w:hint="eastAsia" w:ascii="宋体" w:hAnsi="宋体"/>
                <w:b/>
                <w:szCs w:val="21"/>
              </w:rPr>
            </w:pPr>
          </w:p>
        </w:tc>
        <w:tc>
          <w:tcPr>
            <w:tcW w:w="4860" w:type="dxa"/>
          </w:tcPr>
          <w:p w14:paraId="15D77456">
            <w:pPr>
              <w:spacing w:line="264" w:lineRule="auto"/>
              <w:ind w:left="1054" w:hanging="1050" w:hangingChars="500"/>
              <w:rPr>
                <w:rFonts w:hint="eastAsia" w:ascii="宋体" w:hAnsi="宋体"/>
                <w:b/>
                <w:szCs w:val="21"/>
              </w:rPr>
            </w:pPr>
            <w:r>
              <w:rPr>
                <w:rFonts w:ascii="宋体" w:hAnsi="宋体"/>
                <w:b/>
                <w:szCs w:val="21"/>
              </w:rPr>
              <w:t>单位地址：</w:t>
            </w:r>
          </w:p>
        </w:tc>
      </w:tr>
      <w:tr w14:paraId="5973BDB2">
        <w:tblPrEx>
          <w:tblCellMar>
            <w:top w:w="0" w:type="dxa"/>
            <w:left w:w="108" w:type="dxa"/>
            <w:bottom w:w="0" w:type="dxa"/>
            <w:right w:w="108" w:type="dxa"/>
          </w:tblCellMar>
        </w:tblPrEx>
        <w:tc>
          <w:tcPr>
            <w:tcW w:w="5148" w:type="dxa"/>
          </w:tcPr>
          <w:p w14:paraId="0177C2AD">
            <w:pPr>
              <w:spacing w:line="264" w:lineRule="auto"/>
              <w:rPr>
                <w:rFonts w:hint="eastAsia" w:ascii="宋体" w:hAnsi="宋体"/>
                <w:b/>
                <w:szCs w:val="21"/>
              </w:rPr>
            </w:pPr>
          </w:p>
          <w:p w14:paraId="6A741D9E">
            <w:pPr>
              <w:spacing w:line="264" w:lineRule="auto"/>
              <w:rPr>
                <w:rFonts w:hint="eastAsia" w:ascii="宋体" w:hAnsi="宋体"/>
                <w:b/>
                <w:szCs w:val="21"/>
              </w:rPr>
            </w:pPr>
          </w:p>
        </w:tc>
        <w:tc>
          <w:tcPr>
            <w:tcW w:w="4860" w:type="dxa"/>
          </w:tcPr>
          <w:p w14:paraId="03A12E24">
            <w:pPr>
              <w:spacing w:line="264" w:lineRule="auto"/>
              <w:rPr>
                <w:rFonts w:hint="eastAsia" w:ascii="宋体" w:hAnsi="宋体"/>
                <w:b/>
                <w:szCs w:val="21"/>
              </w:rPr>
            </w:pPr>
          </w:p>
        </w:tc>
      </w:tr>
      <w:tr w14:paraId="0FC6B6C1">
        <w:tblPrEx>
          <w:tblCellMar>
            <w:top w:w="0" w:type="dxa"/>
            <w:left w:w="108" w:type="dxa"/>
            <w:bottom w:w="0" w:type="dxa"/>
            <w:right w:w="108" w:type="dxa"/>
          </w:tblCellMar>
        </w:tblPrEx>
        <w:tc>
          <w:tcPr>
            <w:tcW w:w="5148" w:type="dxa"/>
          </w:tcPr>
          <w:p w14:paraId="48412C5B">
            <w:pPr>
              <w:spacing w:line="264" w:lineRule="auto"/>
              <w:rPr>
                <w:rFonts w:hint="eastAsia" w:ascii="宋体" w:hAnsi="宋体"/>
                <w:b/>
                <w:szCs w:val="21"/>
              </w:rPr>
            </w:pPr>
            <w:r>
              <w:rPr>
                <w:rFonts w:ascii="宋体" w:hAnsi="宋体"/>
                <w:b/>
                <w:szCs w:val="21"/>
              </w:rPr>
              <w:t>合同专用章：</w:t>
            </w:r>
          </w:p>
        </w:tc>
        <w:tc>
          <w:tcPr>
            <w:tcW w:w="4860" w:type="dxa"/>
          </w:tcPr>
          <w:p w14:paraId="074F7EF8">
            <w:pPr>
              <w:spacing w:line="264" w:lineRule="auto"/>
              <w:rPr>
                <w:rFonts w:hint="eastAsia" w:ascii="宋体" w:hAnsi="宋体"/>
                <w:b/>
                <w:szCs w:val="21"/>
              </w:rPr>
            </w:pPr>
            <w:r>
              <w:rPr>
                <w:rFonts w:ascii="宋体" w:hAnsi="宋体"/>
                <w:b/>
                <w:szCs w:val="21"/>
              </w:rPr>
              <w:t>单位电话：</w:t>
            </w:r>
          </w:p>
        </w:tc>
      </w:tr>
      <w:tr w14:paraId="7966F55A">
        <w:tblPrEx>
          <w:tblCellMar>
            <w:top w:w="0" w:type="dxa"/>
            <w:left w:w="108" w:type="dxa"/>
            <w:bottom w:w="0" w:type="dxa"/>
            <w:right w:w="108" w:type="dxa"/>
          </w:tblCellMar>
        </w:tblPrEx>
        <w:tc>
          <w:tcPr>
            <w:tcW w:w="5148" w:type="dxa"/>
          </w:tcPr>
          <w:p w14:paraId="555DC89A">
            <w:pPr>
              <w:spacing w:line="264" w:lineRule="auto"/>
              <w:rPr>
                <w:rFonts w:hint="eastAsia" w:ascii="宋体" w:hAnsi="宋体"/>
                <w:b/>
                <w:szCs w:val="21"/>
              </w:rPr>
            </w:pPr>
          </w:p>
          <w:p w14:paraId="09E5A885">
            <w:pPr>
              <w:spacing w:line="264" w:lineRule="auto"/>
              <w:rPr>
                <w:rFonts w:hint="eastAsia" w:ascii="宋体" w:hAnsi="宋体"/>
                <w:b/>
                <w:szCs w:val="21"/>
              </w:rPr>
            </w:pPr>
          </w:p>
        </w:tc>
        <w:tc>
          <w:tcPr>
            <w:tcW w:w="4860" w:type="dxa"/>
          </w:tcPr>
          <w:p w14:paraId="4A7EB15C">
            <w:pPr>
              <w:spacing w:line="264" w:lineRule="auto"/>
              <w:rPr>
                <w:rFonts w:hint="eastAsia" w:ascii="宋体" w:hAnsi="宋体"/>
                <w:b/>
                <w:szCs w:val="21"/>
              </w:rPr>
            </w:pPr>
            <w:r>
              <w:rPr>
                <w:rFonts w:ascii="宋体" w:hAnsi="宋体"/>
                <w:b/>
                <w:szCs w:val="21"/>
              </w:rPr>
              <w:t>维修工程师电话：</w:t>
            </w:r>
          </w:p>
        </w:tc>
      </w:tr>
      <w:tr w14:paraId="2C685284">
        <w:tblPrEx>
          <w:tblCellMar>
            <w:top w:w="0" w:type="dxa"/>
            <w:left w:w="108" w:type="dxa"/>
            <w:bottom w:w="0" w:type="dxa"/>
            <w:right w:w="108" w:type="dxa"/>
          </w:tblCellMar>
        </w:tblPrEx>
        <w:tc>
          <w:tcPr>
            <w:tcW w:w="5148" w:type="dxa"/>
          </w:tcPr>
          <w:p w14:paraId="7DDF8337">
            <w:pPr>
              <w:spacing w:line="264" w:lineRule="auto"/>
              <w:rPr>
                <w:rFonts w:hint="eastAsia" w:ascii="宋体" w:hAnsi="宋体"/>
                <w:b/>
                <w:szCs w:val="21"/>
              </w:rPr>
            </w:pPr>
            <w:r>
              <w:rPr>
                <w:rFonts w:ascii="宋体" w:hAnsi="宋体"/>
                <w:b/>
                <w:szCs w:val="21"/>
              </w:rPr>
              <w:t xml:space="preserve">单位地址： </w:t>
            </w:r>
          </w:p>
        </w:tc>
        <w:tc>
          <w:tcPr>
            <w:tcW w:w="4860" w:type="dxa"/>
          </w:tcPr>
          <w:p w14:paraId="02B9C933">
            <w:pPr>
              <w:spacing w:line="264" w:lineRule="auto"/>
              <w:rPr>
                <w:rFonts w:hint="eastAsia" w:ascii="宋体" w:hAnsi="宋体"/>
                <w:b/>
                <w:szCs w:val="21"/>
              </w:rPr>
            </w:pPr>
            <w:r>
              <w:rPr>
                <w:rFonts w:ascii="宋体" w:hAnsi="宋体"/>
                <w:b/>
                <w:szCs w:val="21"/>
              </w:rPr>
              <w:t>开户行：</w:t>
            </w:r>
          </w:p>
        </w:tc>
      </w:tr>
      <w:tr w14:paraId="360ED84A">
        <w:tblPrEx>
          <w:tblCellMar>
            <w:top w:w="0" w:type="dxa"/>
            <w:left w:w="108" w:type="dxa"/>
            <w:bottom w:w="0" w:type="dxa"/>
            <w:right w:w="108" w:type="dxa"/>
          </w:tblCellMar>
        </w:tblPrEx>
        <w:tc>
          <w:tcPr>
            <w:tcW w:w="5148" w:type="dxa"/>
          </w:tcPr>
          <w:p w14:paraId="39325325">
            <w:pPr>
              <w:spacing w:line="264" w:lineRule="auto"/>
              <w:rPr>
                <w:rFonts w:hint="eastAsia" w:ascii="宋体" w:hAnsi="宋体"/>
                <w:b/>
                <w:szCs w:val="21"/>
              </w:rPr>
            </w:pPr>
          </w:p>
          <w:p w14:paraId="5AAC7DF8">
            <w:pPr>
              <w:spacing w:line="264" w:lineRule="auto"/>
              <w:rPr>
                <w:rFonts w:hint="eastAsia" w:ascii="宋体" w:hAnsi="宋体"/>
                <w:b/>
                <w:szCs w:val="21"/>
              </w:rPr>
            </w:pPr>
            <w:r>
              <w:rPr>
                <w:rFonts w:ascii="宋体" w:hAnsi="宋体"/>
                <w:b/>
                <w:szCs w:val="21"/>
              </w:rPr>
              <w:t>单位电话：</w:t>
            </w:r>
          </w:p>
        </w:tc>
        <w:tc>
          <w:tcPr>
            <w:tcW w:w="4860" w:type="dxa"/>
          </w:tcPr>
          <w:p w14:paraId="26697088">
            <w:pPr>
              <w:spacing w:line="264" w:lineRule="auto"/>
              <w:rPr>
                <w:rFonts w:hint="eastAsia" w:ascii="宋体" w:hAnsi="宋体"/>
                <w:b/>
                <w:szCs w:val="21"/>
              </w:rPr>
            </w:pPr>
            <w:r>
              <w:rPr>
                <w:rFonts w:ascii="宋体" w:hAnsi="宋体"/>
                <w:b/>
                <w:szCs w:val="21"/>
              </w:rPr>
              <w:t>帐号：</w:t>
            </w:r>
          </w:p>
        </w:tc>
      </w:tr>
      <w:tr w14:paraId="22C2C888">
        <w:tblPrEx>
          <w:tblCellMar>
            <w:top w:w="0" w:type="dxa"/>
            <w:left w:w="108" w:type="dxa"/>
            <w:bottom w:w="0" w:type="dxa"/>
            <w:right w:w="108" w:type="dxa"/>
          </w:tblCellMar>
        </w:tblPrEx>
        <w:tc>
          <w:tcPr>
            <w:tcW w:w="5148" w:type="dxa"/>
          </w:tcPr>
          <w:p w14:paraId="728C6246">
            <w:pPr>
              <w:spacing w:line="264" w:lineRule="auto"/>
              <w:rPr>
                <w:rFonts w:hint="eastAsia" w:ascii="宋体" w:hAnsi="宋体"/>
                <w:b/>
                <w:szCs w:val="21"/>
              </w:rPr>
            </w:pPr>
            <w:r>
              <w:rPr>
                <w:rFonts w:ascii="宋体" w:hAnsi="宋体"/>
                <w:b/>
                <w:szCs w:val="21"/>
              </w:rPr>
              <w:t>合同签订时间：    年   月   日</w:t>
            </w:r>
          </w:p>
        </w:tc>
        <w:tc>
          <w:tcPr>
            <w:tcW w:w="4860" w:type="dxa"/>
          </w:tcPr>
          <w:p w14:paraId="0EA31E01">
            <w:pPr>
              <w:spacing w:line="264" w:lineRule="auto"/>
              <w:rPr>
                <w:rFonts w:hint="eastAsia" w:ascii="宋体" w:hAnsi="宋体"/>
                <w:b/>
                <w:szCs w:val="21"/>
              </w:rPr>
            </w:pPr>
            <w:r>
              <w:rPr>
                <w:rFonts w:ascii="宋体" w:hAnsi="宋体"/>
                <w:b/>
                <w:szCs w:val="21"/>
              </w:rPr>
              <w:t>合同签订时间：    年   月   日</w:t>
            </w:r>
          </w:p>
        </w:tc>
      </w:tr>
    </w:tbl>
    <w:p w14:paraId="2593DDC7">
      <w:pPr>
        <w:adjustRightInd w:val="0"/>
        <w:snapToGrid w:val="0"/>
        <w:spacing w:line="400" w:lineRule="atLeast"/>
        <w:sectPr>
          <w:headerReference r:id="rId7" w:type="default"/>
          <w:footerReference r:id="rId8" w:type="default"/>
          <w:pgSz w:w="11906" w:h="16838"/>
          <w:pgMar w:top="1440" w:right="1080" w:bottom="1440" w:left="1080" w:header="851" w:footer="992" w:gutter="0"/>
          <w:cols w:space="720" w:num="1"/>
          <w:docGrid w:type="linesAndChars" w:linePitch="312" w:charSpace="0"/>
        </w:sectPr>
      </w:pPr>
      <w:bookmarkStart w:id="61" w:name="_Toc349573144"/>
      <w:bookmarkStart w:id="62" w:name="_Toc298240429"/>
      <w:bookmarkStart w:id="63" w:name="_Toc349637943"/>
      <w:r>
        <w:rPr>
          <w:rFonts w:hint="eastAsia" w:ascii="Arial" w:hAnsi="Arial" w:cs="Arial"/>
          <w:sz w:val="32"/>
          <w:szCs w:val="32"/>
        </w:rPr>
        <w:br w:type="page"/>
      </w:r>
    </w:p>
    <w:p w14:paraId="34AFE300">
      <w:pPr>
        <w:pStyle w:val="4"/>
      </w:pPr>
      <w:bookmarkStart w:id="64" w:name="_Toc31887"/>
      <w:r>
        <w:t>第</w:t>
      </w:r>
      <w:r>
        <w:rPr>
          <w:rFonts w:hint="eastAsia"/>
        </w:rPr>
        <w:t>五</w:t>
      </w:r>
      <w:r>
        <w:t>部分　范本格式</w:t>
      </w:r>
      <w:bookmarkEnd w:id="61"/>
      <w:bookmarkEnd w:id="62"/>
      <w:bookmarkEnd w:id="63"/>
      <w:bookmarkEnd w:id="64"/>
    </w:p>
    <w:p w14:paraId="5AA44A52">
      <w:pPr>
        <w:spacing w:line="499" w:lineRule="exact"/>
        <w:jc w:val="center"/>
        <w:outlineLvl w:val="1"/>
        <w:rPr>
          <w:rFonts w:hint="eastAsia" w:hAnsi="宋体"/>
          <w:b/>
          <w:bCs/>
          <w:color w:val="010000"/>
          <w:sz w:val="24"/>
        </w:rPr>
      </w:pPr>
      <w:bookmarkStart w:id="65" w:name="_Toc7928"/>
      <w:r>
        <w:rPr>
          <w:rFonts w:ascii="Arial" w:hAnsi="Arial" w:cs="Arial"/>
          <w:b/>
          <w:bCs/>
          <w:color w:val="010000"/>
          <w:sz w:val="24"/>
        </w:rPr>
        <w:t>1</w:t>
      </w:r>
      <w:r>
        <w:rPr>
          <w:rFonts w:hAnsi="宋体"/>
          <w:b/>
          <w:bCs/>
          <w:color w:val="010000"/>
          <w:sz w:val="24"/>
        </w:rPr>
        <w:t>、</w:t>
      </w:r>
      <w:r>
        <w:rPr>
          <w:rFonts w:hint="eastAsia" w:hAnsi="宋体"/>
          <w:b/>
          <w:bCs/>
          <w:color w:val="010000"/>
          <w:sz w:val="24"/>
        </w:rPr>
        <w:t>谈判响应书</w:t>
      </w:r>
      <w:bookmarkEnd w:id="65"/>
    </w:p>
    <w:p w14:paraId="6BC40507">
      <w:pPr>
        <w:spacing w:line="499" w:lineRule="exact"/>
        <w:jc w:val="center"/>
        <w:rPr>
          <w:rFonts w:hint="eastAsia" w:hAnsi="宋体"/>
          <w:b/>
          <w:bCs/>
          <w:color w:val="010000"/>
          <w:sz w:val="24"/>
        </w:rPr>
      </w:pPr>
    </w:p>
    <w:p w14:paraId="5A01C432">
      <w:pPr>
        <w:spacing w:line="499" w:lineRule="exact"/>
        <w:rPr>
          <w:rFonts w:ascii="Arial" w:hAnsi="Arial" w:cs="Arial"/>
          <w:sz w:val="24"/>
        </w:rPr>
      </w:pPr>
      <w:r>
        <w:rPr>
          <w:rFonts w:hint="eastAsia" w:hAnsi="宋体"/>
          <w:sz w:val="24"/>
        </w:rPr>
        <w:t>致：</w:t>
      </w:r>
      <w:r>
        <w:rPr>
          <w:rFonts w:ascii="Arial" w:hAnsi="Arial" w:cs="Arial"/>
          <w:sz w:val="24"/>
          <w:u w:val="single"/>
        </w:rPr>
        <w:t xml:space="preserve">               </w:t>
      </w:r>
      <w:r>
        <w:rPr>
          <w:rFonts w:ascii="Arial" w:hAnsi="Arial" w:cs="Arial"/>
          <w:sz w:val="24"/>
        </w:rPr>
        <w:t xml:space="preserve">（采购人名称） </w:t>
      </w:r>
    </w:p>
    <w:p w14:paraId="10D08650">
      <w:pPr>
        <w:spacing w:line="499" w:lineRule="exact"/>
        <w:ind w:firstLine="360" w:firstLineChars="150"/>
        <w:rPr>
          <w:rFonts w:ascii="Arial" w:hAnsi="Arial" w:cs="Arial"/>
          <w:sz w:val="24"/>
        </w:rPr>
      </w:pPr>
      <w:r>
        <w:rPr>
          <w:rFonts w:ascii="Arial" w:hAnsi="Arial" w:cs="Arial"/>
          <w:sz w:val="24"/>
        </w:rPr>
        <w:t>在充分研究</w:t>
      </w:r>
      <w:r>
        <w:rPr>
          <w:rFonts w:ascii="Arial" w:hAnsi="Arial" w:cs="Arial"/>
          <w:sz w:val="24"/>
          <w:u w:val="single"/>
        </w:rPr>
        <w:t xml:space="preserve">          </w:t>
      </w:r>
      <w:r>
        <w:rPr>
          <w:rFonts w:ascii="Arial" w:hAnsi="Arial" w:cs="Arial"/>
          <w:sz w:val="24"/>
        </w:rPr>
        <w:t>（项目名称）谈判文件的全部内容后,我方郑重承诺如下：</w:t>
      </w:r>
    </w:p>
    <w:p w14:paraId="2ABD5DDE">
      <w:pPr>
        <w:spacing w:line="499" w:lineRule="exact"/>
        <w:ind w:firstLine="360" w:firstLineChars="150"/>
        <w:rPr>
          <w:rFonts w:ascii="Arial" w:hAnsi="Arial" w:cs="Arial"/>
          <w:sz w:val="24"/>
        </w:rPr>
      </w:pPr>
      <w:r>
        <w:rPr>
          <w:rFonts w:ascii="Arial" w:hAnsi="Arial" w:cs="Arial"/>
          <w:sz w:val="24"/>
        </w:rPr>
        <w:t>1.我方谈判报价为</w:t>
      </w:r>
      <w:r>
        <w:rPr>
          <w:rFonts w:ascii="Arial" w:hAnsi="Arial" w:cs="Arial"/>
          <w:sz w:val="24"/>
          <w:u w:val="single"/>
        </w:rPr>
        <w:t xml:space="preserve">       </w:t>
      </w:r>
      <w:r>
        <w:rPr>
          <w:rFonts w:ascii="Arial" w:hAnsi="Arial" w:cs="Arial"/>
          <w:sz w:val="24"/>
        </w:rPr>
        <w:t>元，交货期为</w:t>
      </w:r>
      <w:r>
        <w:rPr>
          <w:rFonts w:ascii="Arial" w:hAnsi="Arial" w:cs="Arial"/>
          <w:sz w:val="24"/>
          <w:u w:val="single"/>
        </w:rPr>
        <w:t xml:space="preserve">        </w:t>
      </w:r>
      <w:r>
        <w:rPr>
          <w:rFonts w:ascii="Arial" w:hAnsi="Arial" w:cs="Arial"/>
          <w:sz w:val="24"/>
        </w:rPr>
        <w:t>，质保期为</w:t>
      </w:r>
      <w:r>
        <w:rPr>
          <w:rFonts w:ascii="Arial" w:hAnsi="Arial" w:cs="Arial"/>
          <w:sz w:val="24"/>
          <w:u w:val="single"/>
        </w:rPr>
        <w:t xml:space="preserve">         </w:t>
      </w:r>
      <w:r>
        <w:rPr>
          <w:rFonts w:ascii="Arial" w:hAnsi="Arial" w:cs="Arial"/>
          <w:sz w:val="24"/>
        </w:rPr>
        <w:t>，</w:t>
      </w:r>
      <w:r>
        <w:rPr>
          <w:rFonts w:hint="eastAsia" w:ascii="Arial" w:hAnsi="Arial" w:cs="Arial"/>
          <w:sz w:val="24"/>
        </w:rPr>
        <w:t>谈判响应</w:t>
      </w:r>
      <w:r>
        <w:rPr>
          <w:rFonts w:ascii="Arial" w:hAnsi="Arial" w:cs="Arial"/>
          <w:sz w:val="24"/>
        </w:rPr>
        <w:t>有效期</w:t>
      </w:r>
      <w:r>
        <w:rPr>
          <w:rFonts w:hint="eastAsia" w:ascii="Arial" w:hAnsi="Arial" w:cs="Arial"/>
          <w:sz w:val="24"/>
        </w:rPr>
        <w:t>自开标之日起</w:t>
      </w:r>
      <w:r>
        <w:rPr>
          <w:rFonts w:ascii="Arial" w:hAnsi="Arial" w:cs="Arial"/>
          <w:sz w:val="24"/>
          <w:u w:val="single"/>
        </w:rPr>
        <w:t xml:space="preserve">         </w:t>
      </w:r>
      <w:r>
        <w:rPr>
          <w:rFonts w:hint="eastAsia" w:ascii="Arial" w:hAnsi="Arial" w:cs="Arial"/>
          <w:sz w:val="24"/>
        </w:rPr>
        <w:t>个日历日。</w:t>
      </w:r>
    </w:p>
    <w:p w14:paraId="3DC6C6F8">
      <w:pPr>
        <w:spacing w:line="499" w:lineRule="exact"/>
        <w:ind w:firstLine="360" w:firstLineChars="150"/>
        <w:rPr>
          <w:rFonts w:ascii="Arial" w:hAnsi="Arial" w:cs="Arial"/>
          <w:sz w:val="24"/>
        </w:rPr>
      </w:pPr>
      <w:r>
        <w:rPr>
          <w:rFonts w:ascii="Arial" w:hAnsi="Arial" w:cs="Arial"/>
          <w:sz w:val="24"/>
        </w:rPr>
        <w:t>2.如果我方成交，我方将按规定履行合同责任义务。保证在合同约定的交货期，并确保我方提供的品种、规格、质量和数量以及相关服务满足谈判文件的要求。</w:t>
      </w:r>
    </w:p>
    <w:p w14:paraId="0DCBF036">
      <w:pPr>
        <w:spacing w:line="499" w:lineRule="exact"/>
        <w:ind w:firstLine="360" w:firstLineChars="150"/>
        <w:rPr>
          <w:rFonts w:ascii="Arial" w:hAnsi="Arial" w:cs="Arial"/>
          <w:sz w:val="24"/>
        </w:rPr>
      </w:pPr>
      <w:r>
        <w:rPr>
          <w:rFonts w:ascii="Arial" w:hAnsi="Arial" w:cs="Arial"/>
          <w:sz w:val="24"/>
        </w:rPr>
        <w:t>3.本响应文件在谈判文件规定的</w:t>
      </w:r>
      <w:r>
        <w:rPr>
          <w:rFonts w:hint="eastAsia" w:ascii="Arial" w:hAnsi="Arial" w:cs="Arial"/>
          <w:sz w:val="24"/>
        </w:rPr>
        <w:t>谈判响应</w:t>
      </w:r>
      <w:r>
        <w:rPr>
          <w:rFonts w:ascii="Arial" w:hAnsi="Arial" w:cs="Arial"/>
          <w:sz w:val="24"/>
        </w:rPr>
        <w:t>有效期内对我方具有约束力，如果我方在</w:t>
      </w:r>
      <w:r>
        <w:rPr>
          <w:rFonts w:hint="eastAsia" w:ascii="Arial" w:hAnsi="Arial" w:cs="Arial"/>
          <w:sz w:val="24"/>
        </w:rPr>
        <w:t>谈判响应</w:t>
      </w:r>
      <w:r>
        <w:rPr>
          <w:rFonts w:ascii="Arial" w:hAnsi="Arial" w:cs="Arial"/>
          <w:sz w:val="24"/>
        </w:rPr>
        <w:t>有效期内撤销</w:t>
      </w:r>
      <w:r>
        <w:rPr>
          <w:rFonts w:hint="eastAsia" w:ascii="Arial" w:hAnsi="Arial" w:cs="Arial"/>
          <w:sz w:val="24"/>
        </w:rPr>
        <w:t>响应</w:t>
      </w:r>
      <w:r>
        <w:rPr>
          <w:rFonts w:ascii="Arial" w:hAnsi="Arial" w:cs="Arial"/>
          <w:sz w:val="24"/>
        </w:rPr>
        <w:t>，其谈判保证金将被贵方没收。</w:t>
      </w:r>
    </w:p>
    <w:p w14:paraId="63CB1278">
      <w:pPr>
        <w:spacing w:line="499" w:lineRule="exact"/>
        <w:ind w:firstLine="360" w:firstLineChars="150"/>
        <w:rPr>
          <w:rFonts w:ascii="Arial" w:hAnsi="Arial" w:cs="Arial"/>
          <w:sz w:val="24"/>
        </w:rPr>
      </w:pPr>
      <w:r>
        <w:rPr>
          <w:rFonts w:ascii="Arial" w:hAnsi="Arial" w:cs="Arial"/>
          <w:sz w:val="24"/>
        </w:rPr>
        <w:t>4.我方已详细审查全部谈判文件并完全理解并同意放弃对这方面有不明及误解的权力。</w:t>
      </w:r>
    </w:p>
    <w:p w14:paraId="0090710C">
      <w:pPr>
        <w:spacing w:line="499" w:lineRule="exact"/>
        <w:ind w:firstLine="360" w:firstLineChars="150"/>
        <w:rPr>
          <w:rFonts w:ascii="Arial" w:hAnsi="Arial" w:cs="Arial"/>
          <w:sz w:val="24"/>
        </w:rPr>
      </w:pPr>
      <w:r>
        <w:rPr>
          <w:rFonts w:ascii="Arial" w:hAnsi="Arial" w:cs="Arial"/>
          <w:sz w:val="24"/>
        </w:rPr>
        <w:t>5.我方愿意提供贵方可能要求的与</w:t>
      </w:r>
      <w:r>
        <w:rPr>
          <w:rFonts w:hint="eastAsia" w:ascii="Arial" w:hAnsi="Arial" w:cs="Arial"/>
          <w:sz w:val="24"/>
        </w:rPr>
        <w:t>谈判响应</w:t>
      </w:r>
      <w:r>
        <w:rPr>
          <w:rFonts w:ascii="Arial" w:hAnsi="Arial" w:cs="Arial"/>
          <w:sz w:val="24"/>
        </w:rPr>
        <w:t>有关的一切数据或资料，完全理解贵方不一定接受最低谈判报价的</w:t>
      </w:r>
      <w:r>
        <w:rPr>
          <w:rFonts w:hint="eastAsia" w:ascii="Arial" w:hAnsi="Arial" w:cs="Arial"/>
          <w:sz w:val="24"/>
        </w:rPr>
        <w:t>谈判响应</w:t>
      </w:r>
      <w:r>
        <w:rPr>
          <w:rFonts w:ascii="Arial" w:hAnsi="Arial" w:cs="Arial"/>
          <w:sz w:val="24"/>
        </w:rPr>
        <w:t>或收到的任何</w:t>
      </w:r>
      <w:r>
        <w:rPr>
          <w:rFonts w:hint="eastAsia" w:ascii="Arial" w:hAnsi="Arial" w:cs="Arial"/>
          <w:sz w:val="24"/>
        </w:rPr>
        <w:t>谈判响应</w:t>
      </w:r>
      <w:r>
        <w:rPr>
          <w:rFonts w:ascii="Arial" w:hAnsi="Arial" w:cs="Arial"/>
          <w:sz w:val="24"/>
        </w:rPr>
        <w:t>。</w:t>
      </w:r>
    </w:p>
    <w:p w14:paraId="404D789B">
      <w:pPr>
        <w:spacing w:line="499" w:lineRule="exact"/>
        <w:ind w:firstLine="360" w:firstLineChars="150"/>
        <w:rPr>
          <w:rFonts w:ascii="Arial" w:hAnsi="Arial" w:cs="Arial"/>
          <w:sz w:val="24"/>
        </w:rPr>
      </w:pPr>
      <w:r>
        <w:rPr>
          <w:rFonts w:ascii="Arial" w:hAnsi="Arial" w:cs="Arial"/>
          <w:sz w:val="24"/>
        </w:rPr>
        <w:t>6.我方派法定代表人或其授权委托人作为我方代表，负责按时参加开标会并签署与</w:t>
      </w:r>
      <w:r>
        <w:rPr>
          <w:rFonts w:hint="eastAsia" w:ascii="Arial" w:hAnsi="Arial" w:cs="Arial"/>
          <w:sz w:val="24"/>
        </w:rPr>
        <w:t>谈判响应</w:t>
      </w:r>
      <w:r>
        <w:rPr>
          <w:rFonts w:ascii="Arial" w:hAnsi="Arial" w:cs="Arial"/>
          <w:sz w:val="24"/>
        </w:rPr>
        <w:t>有关的相关文件等。</w:t>
      </w:r>
    </w:p>
    <w:p w14:paraId="7718A255">
      <w:pPr>
        <w:spacing w:line="499" w:lineRule="exact"/>
        <w:ind w:firstLine="360" w:firstLineChars="150"/>
        <w:rPr>
          <w:rFonts w:hint="eastAsia" w:hAnsi="宋体"/>
          <w:sz w:val="24"/>
        </w:rPr>
      </w:pPr>
      <w:r>
        <w:rPr>
          <w:rFonts w:ascii="Arial" w:hAnsi="Arial" w:cs="Arial"/>
          <w:sz w:val="24"/>
        </w:rPr>
        <w:t>7.我</w:t>
      </w:r>
      <w:r>
        <w:rPr>
          <w:rFonts w:hint="eastAsia" w:hAnsi="宋体"/>
          <w:sz w:val="24"/>
        </w:rPr>
        <w:t>单位承诺我方的谈判响应资格没有被有关行政监督部门限制或取消，否则成交无效。</w:t>
      </w:r>
    </w:p>
    <w:p w14:paraId="07187BE3">
      <w:pPr>
        <w:spacing w:line="499" w:lineRule="exact"/>
        <w:ind w:firstLine="360" w:firstLineChars="150"/>
        <w:jc w:val="right"/>
        <w:rPr>
          <w:rFonts w:hint="eastAsia" w:hAnsi="宋体"/>
          <w:sz w:val="24"/>
        </w:rPr>
      </w:pPr>
      <w:r>
        <w:rPr>
          <w:rFonts w:hint="eastAsia" w:hAnsi="宋体"/>
          <w:sz w:val="24"/>
        </w:rPr>
        <w:t xml:space="preserve">供应商： </w:t>
      </w:r>
      <w:r>
        <w:rPr>
          <w:rFonts w:hint="eastAsia" w:hAnsi="宋体"/>
          <w:sz w:val="24"/>
        </w:rPr>
        <w:tab/>
      </w:r>
      <w:r>
        <w:rPr>
          <w:rFonts w:hint="eastAsia" w:hAnsi="宋体"/>
          <w:sz w:val="24"/>
        </w:rPr>
        <w:tab/>
      </w:r>
      <w:r>
        <w:rPr>
          <w:rFonts w:hint="eastAsia" w:hAnsi="宋体"/>
          <w:sz w:val="24"/>
        </w:rPr>
        <w:tab/>
      </w:r>
      <w:r>
        <w:rPr>
          <w:rFonts w:hint="eastAsia" w:hAnsi="宋体"/>
          <w:sz w:val="24"/>
        </w:rPr>
        <w:tab/>
      </w:r>
      <w:r>
        <w:rPr>
          <w:rFonts w:hint="eastAsia" w:hAnsi="宋体"/>
          <w:sz w:val="24"/>
        </w:rPr>
        <w:t xml:space="preserve">（盖章） </w:t>
      </w:r>
    </w:p>
    <w:p w14:paraId="5155613F">
      <w:pPr>
        <w:spacing w:line="499" w:lineRule="exact"/>
        <w:ind w:firstLine="360" w:firstLineChars="150"/>
        <w:jc w:val="right"/>
        <w:rPr>
          <w:rFonts w:hint="eastAsia" w:hAnsi="宋体"/>
          <w:sz w:val="24"/>
        </w:rPr>
      </w:pPr>
      <w:r>
        <w:rPr>
          <w:rFonts w:hint="eastAsia" w:hAnsi="宋体"/>
          <w:sz w:val="24"/>
        </w:rPr>
        <w:t xml:space="preserve">法定代表人： </w:t>
      </w:r>
      <w:r>
        <w:rPr>
          <w:rFonts w:hint="eastAsia" w:hAnsi="宋体"/>
          <w:sz w:val="24"/>
        </w:rPr>
        <w:tab/>
      </w:r>
      <w:r>
        <w:rPr>
          <w:rFonts w:hint="eastAsia" w:hAnsi="宋体"/>
          <w:sz w:val="24"/>
        </w:rPr>
        <w:tab/>
      </w:r>
      <w:r>
        <w:rPr>
          <w:rFonts w:hint="eastAsia" w:hAnsi="宋体"/>
          <w:sz w:val="24"/>
        </w:rPr>
        <w:tab/>
      </w:r>
      <w:r>
        <w:rPr>
          <w:rFonts w:hint="eastAsia" w:hAnsi="宋体"/>
          <w:sz w:val="24"/>
        </w:rPr>
        <w:tab/>
      </w:r>
      <w:r>
        <w:rPr>
          <w:rFonts w:hint="eastAsia" w:hAnsi="宋体"/>
          <w:sz w:val="24"/>
        </w:rPr>
        <w:t>（签字或盖章）</w:t>
      </w:r>
    </w:p>
    <w:p w14:paraId="5380870D">
      <w:pPr>
        <w:spacing w:line="499" w:lineRule="exact"/>
        <w:ind w:firstLine="360" w:firstLineChars="150"/>
        <w:jc w:val="right"/>
        <w:rPr>
          <w:rFonts w:hint="eastAsia" w:hAnsi="宋体"/>
        </w:rPr>
      </w:pPr>
      <w:r>
        <w:rPr>
          <w:rFonts w:hint="eastAsia" w:hAnsi="宋体"/>
          <w:sz w:val="24"/>
        </w:rPr>
        <w:t>日期：</w:t>
      </w:r>
      <w:r>
        <w:rPr>
          <w:rFonts w:hint="eastAsia" w:hAnsi="宋体"/>
          <w:sz w:val="24"/>
        </w:rPr>
        <w:tab/>
      </w:r>
      <w:r>
        <w:rPr>
          <w:rFonts w:hint="eastAsia" w:hAnsi="宋体"/>
          <w:sz w:val="24"/>
        </w:rPr>
        <w:t>年</w:t>
      </w:r>
      <w:r>
        <w:rPr>
          <w:rFonts w:hint="eastAsia" w:hAnsi="宋体"/>
          <w:sz w:val="24"/>
        </w:rPr>
        <w:tab/>
      </w:r>
      <w:r>
        <w:rPr>
          <w:rFonts w:hint="eastAsia" w:hAnsi="宋体"/>
          <w:sz w:val="24"/>
        </w:rPr>
        <w:t>月</w:t>
      </w:r>
      <w:r>
        <w:rPr>
          <w:rFonts w:hint="eastAsia" w:hAnsi="宋体"/>
          <w:sz w:val="24"/>
        </w:rPr>
        <w:tab/>
      </w:r>
      <w:r>
        <w:rPr>
          <w:rFonts w:hint="eastAsia" w:hAnsi="宋体"/>
          <w:sz w:val="24"/>
        </w:rPr>
        <w:t>日</w:t>
      </w:r>
    </w:p>
    <w:p w14:paraId="04C9DD69">
      <w:pPr>
        <w:ind w:firstLine="560"/>
        <w:jc w:val="center"/>
      </w:pPr>
    </w:p>
    <w:p w14:paraId="4F3FB6E5">
      <w:pPr>
        <w:spacing w:line="400" w:lineRule="atLeast"/>
        <w:rPr>
          <w:rFonts w:ascii="Arial" w:hAnsi="Arial" w:cs="Arial"/>
          <w:sz w:val="24"/>
        </w:rPr>
      </w:pPr>
    </w:p>
    <w:p w14:paraId="5A586068">
      <w:pPr>
        <w:pStyle w:val="309"/>
        <w:spacing w:line="360" w:lineRule="auto"/>
        <w:ind w:left="-180" w:leftChars="-86" w:firstLine="480" w:firstLineChars="200"/>
        <w:jc w:val="center"/>
        <w:rPr>
          <w:rFonts w:ascii="Arial" w:hAnsi="Arial" w:cs="Arial"/>
        </w:rPr>
        <w:sectPr>
          <w:pgSz w:w="11906" w:h="16838"/>
          <w:pgMar w:top="1440" w:right="1080" w:bottom="1440" w:left="1080" w:header="851" w:footer="992" w:gutter="0"/>
          <w:cols w:space="720" w:num="1"/>
          <w:docGrid w:type="linesAndChars" w:linePitch="312" w:charSpace="0"/>
        </w:sectPr>
      </w:pPr>
    </w:p>
    <w:p w14:paraId="0B77613B">
      <w:pPr>
        <w:tabs>
          <w:tab w:val="left" w:pos="9135"/>
        </w:tabs>
        <w:spacing w:line="400" w:lineRule="atLeast"/>
        <w:jc w:val="center"/>
        <w:outlineLvl w:val="1"/>
        <w:rPr>
          <w:rFonts w:ascii="Arial" w:hAnsi="Arial" w:cs="Arial"/>
          <w:b/>
          <w:bCs/>
          <w:sz w:val="24"/>
        </w:rPr>
      </w:pPr>
      <w:bookmarkStart w:id="66" w:name="_Toc5104"/>
      <w:r>
        <w:rPr>
          <w:rFonts w:ascii="Arial" w:hAnsi="Arial" w:cs="Arial"/>
          <w:b/>
          <w:bCs/>
          <w:sz w:val="24"/>
        </w:rPr>
        <w:t>2、开标一览表</w:t>
      </w:r>
      <w:bookmarkEnd w:id="66"/>
    </w:p>
    <w:p w14:paraId="7DD9DA0A">
      <w:pPr>
        <w:tabs>
          <w:tab w:val="left" w:pos="9135"/>
        </w:tabs>
        <w:spacing w:line="400" w:lineRule="atLeast"/>
        <w:rPr>
          <w:rFonts w:ascii="Arial" w:hAnsi="Arial" w:cs="Arial"/>
          <w:sz w:val="24"/>
        </w:rPr>
      </w:pPr>
    </w:p>
    <w:p w14:paraId="298EA805">
      <w:pPr>
        <w:tabs>
          <w:tab w:val="left" w:pos="9135"/>
        </w:tabs>
        <w:spacing w:line="400" w:lineRule="atLeast"/>
        <w:rPr>
          <w:rFonts w:ascii="Arial" w:hAnsi="Arial" w:cs="Arial"/>
          <w:sz w:val="24"/>
          <w:u w:val="single"/>
        </w:rPr>
      </w:pPr>
      <w:r>
        <w:rPr>
          <w:rFonts w:hint="eastAsia" w:ascii="Arial" w:hAnsi="Arial" w:cs="Arial"/>
          <w:sz w:val="24"/>
        </w:rPr>
        <w:t>项目名称：</w:t>
      </w:r>
      <w:r>
        <w:rPr>
          <w:rFonts w:ascii="Arial" w:hAnsi="Arial" w:cs="Arial"/>
          <w:sz w:val="24"/>
          <w:u w:val="single"/>
        </w:rPr>
        <w:t>　　           　　　　　　　　</w:t>
      </w:r>
      <w:r>
        <w:rPr>
          <w:rFonts w:hint="eastAsia" w:ascii="Arial" w:hAnsi="Arial" w:cs="Arial"/>
          <w:sz w:val="24"/>
          <w:u w:val="single"/>
        </w:rPr>
        <w:t xml:space="preserve">      </w:t>
      </w:r>
      <w:r>
        <w:rPr>
          <w:rFonts w:ascii="Arial" w:hAnsi="Arial" w:cs="Arial"/>
          <w:sz w:val="24"/>
        </w:rPr>
        <w:t>项目编号：</w:t>
      </w:r>
      <w:r>
        <w:rPr>
          <w:rFonts w:ascii="Arial" w:hAnsi="Arial" w:cs="Arial"/>
          <w:sz w:val="24"/>
          <w:u w:val="single"/>
        </w:rPr>
        <w:t>　　　</w:t>
      </w:r>
      <w:r>
        <w:rPr>
          <w:rFonts w:hint="eastAsia" w:ascii="Arial" w:hAnsi="Arial" w:cs="Arial"/>
          <w:sz w:val="24"/>
          <w:u w:val="single"/>
        </w:rPr>
        <w:t xml:space="preserve">           </w:t>
      </w:r>
      <w:r>
        <w:rPr>
          <w:rFonts w:ascii="Arial" w:hAnsi="Arial" w:cs="Arial"/>
          <w:sz w:val="24"/>
          <w:u w:val="single"/>
        </w:rPr>
        <w:t>　　　　　　　</w:t>
      </w:r>
    </w:p>
    <w:tbl>
      <w:tblPr>
        <w:tblStyle w:val="78"/>
        <w:tblW w:w="141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63"/>
        <w:gridCol w:w="2477"/>
        <w:gridCol w:w="2477"/>
        <w:gridCol w:w="2070"/>
        <w:gridCol w:w="2070"/>
        <w:gridCol w:w="1259"/>
      </w:tblGrid>
      <w:tr w14:paraId="3CB19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tblHeader/>
          <w:jc w:val="center"/>
        </w:trPr>
        <w:tc>
          <w:tcPr>
            <w:tcW w:w="3763" w:type="dxa"/>
            <w:vAlign w:val="center"/>
          </w:tcPr>
          <w:p w14:paraId="60D0A15B">
            <w:pPr>
              <w:tabs>
                <w:tab w:val="left" w:pos="9135"/>
              </w:tabs>
              <w:spacing w:line="400" w:lineRule="atLeast"/>
              <w:jc w:val="center"/>
              <w:rPr>
                <w:rFonts w:ascii="Arial" w:hAnsi="Arial" w:cs="Arial"/>
                <w:sz w:val="24"/>
              </w:rPr>
            </w:pPr>
            <w:r>
              <w:rPr>
                <w:rFonts w:hint="eastAsia" w:ascii="Arial" w:hAnsi="Arial" w:cs="Arial"/>
                <w:sz w:val="24"/>
              </w:rPr>
              <w:t>供应商</w:t>
            </w:r>
            <w:r>
              <w:rPr>
                <w:rFonts w:ascii="Arial" w:hAnsi="Arial" w:cs="Arial"/>
                <w:sz w:val="24"/>
              </w:rPr>
              <w:t>名称</w:t>
            </w:r>
          </w:p>
        </w:tc>
        <w:tc>
          <w:tcPr>
            <w:tcW w:w="2477" w:type="dxa"/>
            <w:vAlign w:val="center"/>
          </w:tcPr>
          <w:p w14:paraId="3ECAFC39">
            <w:pPr>
              <w:tabs>
                <w:tab w:val="left" w:pos="9135"/>
              </w:tabs>
              <w:spacing w:line="400" w:lineRule="atLeast"/>
              <w:jc w:val="center"/>
              <w:rPr>
                <w:rFonts w:ascii="Arial" w:hAnsi="Arial" w:cs="Arial"/>
                <w:sz w:val="24"/>
              </w:rPr>
            </w:pPr>
            <w:r>
              <w:rPr>
                <w:rFonts w:hint="eastAsia" w:ascii="Arial" w:hAnsi="Arial" w:cs="Arial"/>
                <w:sz w:val="24"/>
              </w:rPr>
              <w:t>谈判报价</w:t>
            </w:r>
          </w:p>
          <w:p w14:paraId="0C3ADA39">
            <w:pPr>
              <w:tabs>
                <w:tab w:val="left" w:pos="9135"/>
              </w:tabs>
              <w:spacing w:line="400" w:lineRule="atLeast"/>
              <w:jc w:val="center"/>
              <w:rPr>
                <w:rFonts w:ascii="Arial" w:hAnsi="Arial" w:cs="Arial"/>
                <w:sz w:val="24"/>
              </w:rPr>
            </w:pPr>
            <w:r>
              <w:rPr>
                <w:rFonts w:ascii="Arial" w:hAnsi="Arial" w:cs="Arial"/>
                <w:sz w:val="24"/>
              </w:rPr>
              <w:t>（元）</w:t>
            </w:r>
          </w:p>
        </w:tc>
        <w:tc>
          <w:tcPr>
            <w:tcW w:w="2477" w:type="dxa"/>
            <w:vAlign w:val="center"/>
          </w:tcPr>
          <w:p w14:paraId="48D26312">
            <w:pPr>
              <w:tabs>
                <w:tab w:val="left" w:pos="9135"/>
              </w:tabs>
              <w:spacing w:line="400" w:lineRule="atLeast"/>
              <w:jc w:val="center"/>
              <w:rPr>
                <w:rFonts w:ascii="Arial" w:hAnsi="Arial" w:cs="Arial"/>
                <w:sz w:val="24"/>
              </w:rPr>
            </w:pPr>
            <w:r>
              <w:rPr>
                <w:rFonts w:hint="eastAsia" w:ascii="Arial" w:hAnsi="Arial" w:cs="Arial"/>
                <w:sz w:val="24"/>
              </w:rPr>
              <w:t>谈判保证金</w:t>
            </w:r>
          </w:p>
        </w:tc>
        <w:tc>
          <w:tcPr>
            <w:tcW w:w="2070" w:type="dxa"/>
            <w:vAlign w:val="center"/>
          </w:tcPr>
          <w:p w14:paraId="4A2F8361">
            <w:pPr>
              <w:tabs>
                <w:tab w:val="left" w:pos="9135"/>
              </w:tabs>
              <w:spacing w:line="400" w:lineRule="atLeast"/>
              <w:jc w:val="center"/>
              <w:rPr>
                <w:rFonts w:ascii="Arial" w:hAnsi="Arial" w:cs="Arial"/>
                <w:sz w:val="24"/>
              </w:rPr>
            </w:pPr>
            <w:r>
              <w:rPr>
                <w:rFonts w:ascii="Arial" w:hAnsi="Arial" w:cs="Arial"/>
                <w:sz w:val="24"/>
              </w:rPr>
              <w:t>质保期</w:t>
            </w:r>
          </w:p>
        </w:tc>
        <w:tc>
          <w:tcPr>
            <w:tcW w:w="2070" w:type="dxa"/>
            <w:vAlign w:val="center"/>
          </w:tcPr>
          <w:p w14:paraId="1BCFF1EA">
            <w:pPr>
              <w:tabs>
                <w:tab w:val="left" w:pos="9135"/>
              </w:tabs>
              <w:spacing w:line="400" w:lineRule="atLeast"/>
              <w:jc w:val="center"/>
              <w:rPr>
                <w:rFonts w:ascii="Arial" w:hAnsi="Arial" w:cs="Arial"/>
                <w:sz w:val="24"/>
              </w:rPr>
            </w:pPr>
            <w:r>
              <w:rPr>
                <w:rFonts w:hint="eastAsia" w:ascii="Arial" w:hAnsi="Arial" w:cs="Arial"/>
                <w:sz w:val="24"/>
              </w:rPr>
              <w:t>交货期</w:t>
            </w:r>
          </w:p>
        </w:tc>
        <w:tc>
          <w:tcPr>
            <w:tcW w:w="1259" w:type="dxa"/>
            <w:vAlign w:val="center"/>
          </w:tcPr>
          <w:p w14:paraId="13805109">
            <w:pPr>
              <w:tabs>
                <w:tab w:val="left" w:pos="9135"/>
              </w:tabs>
              <w:spacing w:line="400" w:lineRule="atLeast"/>
              <w:jc w:val="center"/>
              <w:rPr>
                <w:rFonts w:ascii="Arial" w:hAnsi="Arial" w:cs="Arial"/>
                <w:sz w:val="24"/>
              </w:rPr>
            </w:pPr>
            <w:r>
              <w:rPr>
                <w:rFonts w:ascii="Arial" w:hAnsi="Arial" w:cs="Arial"/>
                <w:sz w:val="24"/>
              </w:rPr>
              <w:t>备注</w:t>
            </w:r>
          </w:p>
        </w:tc>
      </w:tr>
      <w:tr w14:paraId="3C6D4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3763" w:type="dxa"/>
            <w:vAlign w:val="center"/>
          </w:tcPr>
          <w:p w14:paraId="039A97E5">
            <w:pPr>
              <w:spacing w:line="400" w:lineRule="atLeast"/>
              <w:jc w:val="center"/>
              <w:rPr>
                <w:rFonts w:ascii="Arial" w:hAnsi="Arial" w:cs="Arial"/>
                <w:sz w:val="24"/>
              </w:rPr>
            </w:pPr>
            <w:r>
              <w:rPr>
                <w:rFonts w:ascii="Arial" w:hAnsi="Arial" w:cs="Arial"/>
                <w:sz w:val="24"/>
              </w:rPr>
              <w:t>…</w:t>
            </w:r>
          </w:p>
        </w:tc>
        <w:tc>
          <w:tcPr>
            <w:tcW w:w="2477" w:type="dxa"/>
            <w:vAlign w:val="center"/>
          </w:tcPr>
          <w:p w14:paraId="5CC1D1CE">
            <w:pPr>
              <w:tabs>
                <w:tab w:val="left" w:pos="9135"/>
              </w:tabs>
              <w:spacing w:line="400" w:lineRule="atLeast"/>
              <w:jc w:val="center"/>
              <w:rPr>
                <w:rFonts w:ascii="Arial" w:hAnsi="Arial" w:cs="Arial"/>
                <w:sz w:val="24"/>
              </w:rPr>
            </w:pPr>
          </w:p>
        </w:tc>
        <w:tc>
          <w:tcPr>
            <w:tcW w:w="2477" w:type="dxa"/>
            <w:vAlign w:val="center"/>
          </w:tcPr>
          <w:p w14:paraId="129AACB9">
            <w:pPr>
              <w:tabs>
                <w:tab w:val="left" w:pos="9135"/>
              </w:tabs>
              <w:spacing w:line="400" w:lineRule="atLeast"/>
              <w:jc w:val="center"/>
              <w:rPr>
                <w:rFonts w:ascii="Arial" w:hAnsi="Arial" w:cs="Arial"/>
                <w:sz w:val="24"/>
              </w:rPr>
            </w:pPr>
          </w:p>
        </w:tc>
        <w:tc>
          <w:tcPr>
            <w:tcW w:w="2070" w:type="dxa"/>
            <w:vAlign w:val="center"/>
          </w:tcPr>
          <w:p w14:paraId="52E0E35D">
            <w:pPr>
              <w:tabs>
                <w:tab w:val="left" w:pos="9135"/>
              </w:tabs>
              <w:spacing w:line="400" w:lineRule="atLeast"/>
              <w:jc w:val="center"/>
              <w:rPr>
                <w:rFonts w:ascii="Arial" w:hAnsi="Arial" w:cs="Arial"/>
                <w:sz w:val="24"/>
              </w:rPr>
            </w:pPr>
          </w:p>
        </w:tc>
        <w:tc>
          <w:tcPr>
            <w:tcW w:w="2070" w:type="dxa"/>
            <w:vAlign w:val="center"/>
          </w:tcPr>
          <w:p w14:paraId="187F3C6E">
            <w:pPr>
              <w:tabs>
                <w:tab w:val="left" w:pos="9135"/>
              </w:tabs>
              <w:spacing w:line="400" w:lineRule="atLeast"/>
              <w:jc w:val="center"/>
              <w:rPr>
                <w:rFonts w:ascii="Arial" w:hAnsi="Arial" w:cs="Arial"/>
                <w:sz w:val="24"/>
              </w:rPr>
            </w:pPr>
          </w:p>
        </w:tc>
        <w:tc>
          <w:tcPr>
            <w:tcW w:w="1259" w:type="dxa"/>
            <w:vAlign w:val="center"/>
          </w:tcPr>
          <w:p w14:paraId="643E130A">
            <w:pPr>
              <w:tabs>
                <w:tab w:val="left" w:pos="9135"/>
              </w:tabs>
              <w:spacing w:line="400" w:lineRule="atLeast"/>
              <w:jc w:val="center"/>
              <w:rPr>
                <w:rFonts w:ascii="Arial" w:hAnsi="Arial" w:cs="Arial"/>
                <w:sz w:val="24"/>
              </w:rPr>
            </w:pPr>
          </w:p>
        </w:tc>
      </w:tr>
    </w:tbl>
    <w:p w14:paraId="4654F35F">
      <w:pPr>
        <w:tabs>
          <w:tab w:val="left" w:pos="9135"/>
        </w:tabs>
        <w:spacing w:line="400" w:lineRule="atLeast"/>
        <w:ind w:firstLine="7140" w:firstLineChars="3400"/>
        <w:rPr>
          <w:rFonts w:hint="eastAsia" w:ascii="宋体" w:hAnsi="宋体" w:cs="微软雅黑"/>
          <w:kern w:val="0"/>
          <w:position w:val="-2"/>
          <w:szCs w:val="21"/>
        </w:rPr>
      </w:pPr>
    </w:p>
    <w:p w14:paraId="440954A9">
      <w:pPr>
        <w:tabs>
          <w:tab w:val="left" w:pos="9135"/>
        </w:tabs>
        <w:spacing w:line="400" w:lineRule="atLeast"/>
        <w:ind w:firstLine="7140" w:firstLineChars="3400"/>
        <w:rPr>
          <w:rFonts w:hint="eastAsia" w:ascii="宋体" w:hAnsi="宋体" w:cs="微软雅黑"/>
          <w:kern w:val="0"/>
          <w:position w:val="-2"/>
          <w:szCs w:val="21"/>
        </w:rPr>
      </w:pPr>
    </w:p>
    <w:p w14:paraId="3501A65F">
      <w:pPr>
        <w:tabs>
          <w:tab w:val="left" w:pos="9135"/>
        </w:tabs>
        <w:spacing w:line="400" w:lineRule="atLeast"/>
        <w:ind w:firstLine="6960" w:firstLineChars="2900"/>
        <w:rPr>
          <w:rFonts w:ascii="Arial" w:hAnsi="Arial" w:cs="Arial"/>
          <w:sz w:val="24"/>
        </w:rPr>
      </w:pPr>
      <w:r>
        <w:rPr>
          <w:rFonts w:hint="eastAsia" w:ascii="Arial" w:hAnsi="Arial" w:cs="Arial"/>
          <w:sz w:val="24"/>
        </w:rPr>
        <w:t>供应商名称：</w:t>
      </w:r>
      <w:r>
        <w:rPr>
          <w:rFonts w:hint="eastAsia" w:ascii="Arial" w:hAnsi="Arial" w:cs="Arial"/>
          <w:sz w:val="24"/>
          <w:u w:val="single"/>
        </w:rPr>
        <w:t xml:space="preserve">                            </w:t>
      </w:r>
      <w:r>
        <w:rPr>
          <w:rFonts w:hint="eastAsia" w:ascii="Arial" w:hAnsi="Arial" w:cs="Arial"/>
          <w:sz w:val="24"/>
        </w:rPr>
        <w:t xml:space="preserve"> （盖单位章）</w:t>
      </w:r>
    </w:p>
    <w:p w14:paraId="1B584F39">
      <w:pPr>
        <w:tabs>
          <w:tab w:val="left" w:pos="9135"/>
        </w:tabs>
        <w:spacing w:line="400" w:lineRule="atLeast"/>
        <w:ind w:firstLine="6960" w:firstLineChars="2900"/>
        <w:rPr>
          <w:rFonts w:ascii="Arial" w:hAnsi="Arial" w:cs="Arial"/>
          <w:sz w:val="24"/>
        </w:rPr>
      </w:pPr>
      <w:r>
        <w:rPr>
          <w:rFonts w:hint="eastAsia" w:ascii="Arial" w:hAnsi="Arial" w:cs="Arial"/>
          <w:sz w:val="24"/>
        </w:rPr>
        <w:t>供应商法定代表人或授权代表</w:t>
      </w:r>
      <w:r>
        <w:rPr>
          <w:rFonts w:ascii="Arial" w:hAnsi="Arial" w:cs="Arial"/>
          <w:sz w:val="24"/>
        </w:rPr>
        <w:t>：</w:t>
      </w:r>
      <w:r>
        <w:rPr>
          <w:rFonts w:ascii="Arial" w:hAnsi="Arial" w:cs="Arial"/>
          <w:sz w:val="24"/>
          <w:u w:val="single"/>
        </w:rPr>
        <w:t>　　　　　　　　　</w:t>
      </w:r>
      <w:r>
        <w:rPr>
          <w:rFonts w:hint="eastAsia" w:ascii="Arial" w:hAnsi="Arial" w:cs="Arial"/>
          <w:sz w:val="24"/>
        </w:rPr>
        <w:t>（签字或盖章）</w:t>
      </w:r>
    </w:p>
    <w:p w14:paraId="25E406D7">
      <w:pPr>
        <w:pStyle w:val="2"/>
        <w:ind w:firstLine="6960" w:firstLineChars="2900"/>
        <w:rPr>
          <w:rFonts w:cs="Arial"/>
        </w:rPr>
      </w:pPr>
      <w:r>
        <w:rPr>
          <w:rFonts w:hint="eastAsia" w:cs="Arial"/>
        </w:rPr>
        <w:t>日期：　 年　月　日</w:t>
      </w:r>
    </w:p>
    <w:p w14:paraId="37E7245F">
      <w:pPr>
        <w:autoSpaceDE w:val="0"/>
        <w:autoSpaceDN w:val="0"/>
        <w:adjustRightInd w:val="0"/>
        <w:snapToGrid w:val="0"/>
        <w:spacing w:line="400" w:lineRule="exact"/>
        <w:rPr>
          <w:rFonts w:hint="eastAsia" w:ascii="宋体" w:hAnsi="宋体" w:cs="宋体"/>
          <w:kern w:val="0"/>
          <w:sz w:val="24"/>
          <w:lang w:val="zh-CN"/>
        </w:rPr>
      </w:pPr>
      <w:r>
        <w:rPr>
          <w:rFonts w:ascii="Arial" w:hAnsi="Arial" w:cs="Arial"/>
          <w:sz w:val="24"/>
        </w:rPr>
        <w:t>注：</w:t>
      </w:r>
      <w:r>
        <w:rPr>
          <w:rFonts w:hint="eastAsia" w:ascii="宋体" w:hAnsi="宋体" w:cs="宋体"/>
          <w:kern w:val="0"/>
          <w:sz w:val="24"/>
          <w:lang w:val="zh-CN"/>
        </w:rPr>
        <w:t>1.填写此表时不得改变表格形式。</w:t>
      </w:r>
    </w:p>
    <w:p w14:paraId="396B282E">
      <w:pPr>
        <w:autoSpaceDE w:val="0"/>
        <w:autoSpaceDN w:val="0"/>
        <w:adjustRightInd w:val="0"/>
        <w:snapToGrid w:val="0"/>
        <w:spacing w:line="400" w:lineRule="exact"/>
        <w:ind w:firstLine="480"/>
        <w:rPr>
          <w:rFonts w:hint="eastAsia" w:ascii="宋体" w:hAnsi="宋体" w:cs="宋体"/>
          <w:kern w:val="0"/>
          <w:sz w:val="24"/>
        </w:rPr>
      </w:pPr>
      <w:r>
        <w:rPr>
          <w:rFonts w:ascii="宋体" w:hAnsi="宋体" w:cs="宋体"/>
          <w:kern w:val="0"/>
          <w:sz w:val="24"/>
        </w:rPr>
        <w:t>2.</w:t>
      </w:r>
      <w:r>
        <w:rPr>
          <w:rFonts w:hint="eastAsia" w:ascii="Arial" w:hAnsi="Arial" w:cs="Arial"/>
          <w:sz w:val="24"/>
          <w:szCs w:val="24"/>
        </w:rPr>
        <w:t>“谈判</w:t>
      </w:r>
      <w:r>
        <w:rPr>
          <w:rFonts w:hint="eastAsia" w:ascii="宋体" w:hAnsi="宋体" w:cs="宋体"/>
          <w:kern w:val="0"/>
          <w:sz w:val="24"/>
          <w:lang w:val="zh-CN"/>
        </w:rPr>
        <w:t>报价”</w:t>
      </w:r>
      <w:r>
        <w:rPr>
          <w:rFonts w:hint="eastAsia" w:ascii="Arial" w:hAnsi="Arial" w:cs="Arial"/>
          <w:sz w:val="24"/>
          <w:lang w:val="zh-CN"/>
        </w:rPr>
        <w:t>为</w:t>
      </w:r>
      <w:r>
        <w:rPr>
          <w:rFonts w:hint="eastAsia" w:ascii="Arial" w:hAnsi="Arial" w:cs="Arial"/>
          <w:sz w:val="24"/>
        </w:rPr>
        <w:t>谈判</w:t>
      </w:r>
      <w:r>
        <w:rPr>
          <w:rFonts w:hint="eastAsia" w:ascii="Arial" w:hAnsi="Arial" w:cs="Arial"/>
          <w:sz w:val="24"/>
          <w:lang w:val="zh-CN"/>
        </w:rPr>
        <w:t>总价。包括设备费、</w:t>
      </w:r>
      <w:r>
        <w:rPr>
          <w:rFonts w:hint="eastAsia" w:ascii="Arial" w:hAnsi="Arial" w:cs="Arial"/>
          <w:sz w:val="24"/>
        </w:rPr>
        <w:t>服务</w:t>
      </w:r>
      <w:r>
        <w:rPr>
          <w:rFonts w:hint="eastAsia" w:ascii="Arial" w:hAnsi="Arial" w:cs="Arial"/>
          <w:sz w:val="24"/>
          <w:lang w:val="zh-CN"/>
        </w:rPr>
        <w:t>费、手续费</w:t>
      </w:r>
      <w:r>
        <w:rPr>
          <w:rFonts w:hint="eastAsia" w:ascii="Arial" w:hAnsi="Arial" w:cs="Arial"/>
          <w:sz w:val="24"/>
        </w:rPr>
        <w:t>、</w:t>
      </w:r>
      <w:r>
        <w:rPr>
          <w:rFonts w:hint="eastAsia" w:ascii="Arial" w:hAnsi="Arial" w:cs="Arial"/>
          <w:sz w:val="24"/>
          <w:lang w:val="zh-CN"/>
        </w:rPr>
        <w:t>税金、运输、安装、</w:t>
      </w:r>
      <w:r>
        <w:rPr>
          <w:rFonts w:hint="eastAsia" w:ascii="Arial" w:hAnsi="Arial" w:cs="Arial"/>
          <w:sz w:val="24"/>
        </w:rPr>
        <w:t>接口费</w:t>
      </w:r>
      <w:r>
        <w:rPr>
          <w:rFonts w:hint="eastAsia" w:ascii="Arial" w:hAnsi="Arial" w:cs="Arial"/>
          <w:sz w:val="24"/>
          <w:lang w:val="zh-CN"/>
        </w:rPr>
        <w:t>、调试、培训、检测及不可预见费等全部费用</w:t>
      </w:r>
      <w:r>
        <w:rPr>
          <w:rFonts w:hint="eastAsia" w:ascii="宋体" w:hAnsi="宋体" w:cs="宋体"/>
          <w:kern w:val="0"/>
          <w:sz w:val="24"/>
        </w:rPr>
        <w:t>。</w:t>
      </w:r>
    </w:p>
    <w:p w14:paraId="5EF1341E">
      <w:pPr>
        <w:autoSpaceDE w:val="0"/>
        <w:autoSpaceDN w:val="0"/>
        <w:adjustRightInd w:val="0"/>
        <w:snapToGrid w:val="0"/>
        <w:spacing w:line="400" w:lineRule="exact"/>
        <w:ind w:firstLine="480"/>
        <w:rPr>
          <w:rFonts w:hint="eastAsia" w:ascii="宋体" w:hAnsi="宋体" w:cs="宋体"/>
          <w:kern w:val="0"/>
          <w:sz w:val="24"/>
          <w:lang w:val="zh-CN"/>
        </w:rPr>
      </w:pPr>
      <w:r>
        <w:rPr>
          <w:rFonts w:ascii="宋体" w:hAnsi="宋体" w:cs="宋体"/>
          <w:kern w:val="0"/>
          <w:sz w:val="24"/>
          <w:lang w:val="zh-CN"/>
        </w:rPr>
        <w:t>3.</w:t>
      </w:r>
      <w:r>
        <w:rPr>
          <w:rFonts w:hint="eastAsia" w:ascii="宋体" w:hAnsi="宋体" w:cs="宋体"/>
          <w:kern w:val="0"/>
          <w:sz w:val="24"/>
        </w:rPr>
        <w:t>谈判</w:t>
      </w:r>
      <w:r>
        <w:rPr>
          <w:rFonts w:hint="eastAsia" w:ascii="宋体" w:hAnsi="宋体" w:cs="宋体"/>
          <w:kern w:val="0"/>
          <w:sz w:val="24"/>
          <w:lang w:val="zh-CN"/>
        </w:rPr>
        <w:t>报价不能有两个或两个以上的报价方案。</w:t>
      </w:r>
    </w:p>
    <w:p w14:paraId="666940B5">
      <w:pPr>
        <w:pStyle w:val="29"/>
        <w:rPr>
          <w:rFonts w:hint="eastAsia"/>
        </w:rPr>
      </w:pPr>
    </w:p>
    <w:p w14:paraId="6EE4497A">
      <w:pPr>
        <w:tabs>
          <w:tab w:val="left" w:pos="9135"/>
        </w:tabs>
        <w:spacing w:line="400" w:lineRule="atLeast"/>
        <w:rPr>
          <w:rFonts w:ascii="Arial" w:hAnsi="Arial" w:cs="Arial"/>
          <w:sz w:val="24"/>
        </w:rPr>
      </w:pPr>
    </w:p>
    <w:p w14:paraId="46E3B279">
      <w:pPr>
        <w:pStyle w:val="309"/>
        <w:spacing w:line="360" w:lineRule="auto"/>
        <w:ind w:left="-180" w:leftChars="-86" w:firstLine="480" w:firstLineChars="200"/>
        <w:jc w:val="center"/>
        <w:rPr>
          <w:rFonts w:ascii="Arial" w:hAnsi="Arial" w:cs="Arial"/>
        </w:rPr>
      </w:pPr>
    </w:p>
    <w:p w14:paraId="2842AE31">
      <w:pPr>
        <w:pStyle w:val="309"/>
        <w:spacing w:line="360" w:lineRule="auto"/>
        <w:jc w:val="both"/>
        <w:rPr>
          <w:rFonts w:ascii="Arial" w:hAnsi="Arial" w:cs="Arial"/>
        </w:rPr>
        <w:sectPr>
          <w:pgSz w:w="16838" w:h="11906" w:orient="landscape"/>
          <w:pgMar w:top="1080" w:right="1440" w:bottom="1080" w:left="1440" w:header="851" w:footer="992" w:gutter="0"/>
          <w:cols w:space="720" w:num="1"/>
          <w:docGrid w:type="linesAndChars" w:linePitch="312" w:charSpace="0"/>
        </w:sectPr>
      </w:pPr>
    </w:p>
    <w:p w14:paraId="2121464D">
      <w:pPr>
        <w:spacing w:line="400" w:lineRule="atLeast"/>
        <w:rPr>
          <w:rFonts w:ascii="Arial" w:hAnsi="Arial" w:cs="Arial"/>
          <w:sz w:val="24"/>
        </w:rPr>
      </w:pPr>
    </w:p>
    <w:p w14:paraId="1492A9CE">
      <w:pPr>
        <w:spacing w:line="400" w:lineRule="atLeast"/>
        <w:ind w:left="2880" w:hanging="2880"/>
        <w:jc w:val="center"/>
        <w:outlineLvl w:val="1"/>
        <w:rPr>
          <w:rFonts w:ascii="Arial" w:hAnsi="Arial" w:cs="Arial"/>
          <w:b/>
          <w:bCs/>
          <w:sz w:val="24"/>
        </w:rPr>
      </w:pPr>
      <w:bookmarkStart w:id="67" w:name="_Toc19365"/>
      <w:bookmarkStart w:id="68" w:name="_Toc17397"/>
      <w:r>
        <w:rPr>
          <w:rFonts w:ascii="Arial" w:hAnsi="Arial" w:cs="Arial"/>
          <w:b/>
          <w:bCs/>
          <w:sz w:val="24"/>
        </w:rPr>
        <w:t>3</w:t>
      </w:r>
      <w:r>
        <w:rPr>
          <w:rFonts w:hint="eastAsia" w:ascii="Arial" w:hAnsi="Arial" w:cs="Arial"/>
          <w:b/>
          <w:bCs/>
          <w:sz w:val="24"/>
        </w:rPr>
        <w:t>、分项报价表</w:t>
      </w:r>
      <w:bookmarkEnd w:id="67"/>
      <w:bookmarkEnd w:id="68"/>
    </w:p>
    <w:p w14:paraId="5988EF4B">
      <w:pPr>
        <w:spacing w:line="400" w:lineRule="atLeast"/>
        <w:rPr>
          <w:rFonts w:ascii="Arial" w:hAnsi="Arial" w:cs="Arial"/>
          <w:sz w:val="24"/>
        </w:rPr>
      </w:pPr>
    </w:p>
    <w:p w14:paraId="7550F792">
      <w:pPr>
        <w:spacing w:line="400" w:lineRule="atLeast"/>
        <w:rPr>
          <w:rFonts w:ascii="Arial" w:hAnsi="Arial" w:cs="Arial"/>
          <w:sz w:val="24"/>
          <w:u w:val="single"/>
        </w:rPr>
      </w:pPr>
      <w:r>
        <w:rPr>
          <w:rFonts w:hint="eastAsia" w:ascii="Arial" w:hAnsi="Arial" w:cs="Arial"/>
          <w:sz w:val="24"/>
        </w:rPr>
        <w:t>项目名称供应商</w:t>
      </w:r>
      <w:r>
        <w:rPr>
          <w:rFonts w:ascii="Arial" w:hAnsi="Arial" w:cs="Arial"/>
          <w:sz w:val="24"/>
        </w:rPr>
        <w:t>名称（公章）：</w:t>
      </w:r>
      <w:r>
        <w:rPr>
          <w:rFonts w:ascii="Arial" w:hAnsi="Arial" w:cs="Arial"/>
          <w:sz w:val="24"/>
          <w:u w:val="single"/>
        </w:rPr>
        <w:t xml:space="preserve">         　</w:t>
      </w:r>
      <w:r>
        <w:rPr>
          <w:rFonts w:ascii="Arial" w:hAnsi="Arial" w:cs="Arial"/>
          <w:sz w:val="24"/>
        </w:rPr>
        <w:t>项目编号：</w:t>
      </w:r>
      <w:r>
        <w:rPr>
          <w:rFonts w:ascii="Arial" w:hAnsi="Arial" w:cs="Arial"/>
          <w:sz w:val="24"/>
          <w:u w:val="single"/>
        </w:rPr>
        <w:t xml:space="preserve">　　　　　　　　 </w:t>
      </w:r>
    </w:p>
    <w:tbl>
      <w:tblPr>
        <w:tblStyle w:val="78"/>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3"/>
        <w:gridCol w:w="1361"/>
        <w:gridCol w:w="1175"/>
        <w:gridCol w:w="1038"/>
        <w:gridCol w:w="912"/>
        <w:gridCol w:w="745"/>
        <w:gridCol w:w="1012"/>
        <w:gridCol w:w="1012"/>
        <w:gridCol w:w="1012"/>
        <w:gridCol w:w="1012"/>
      </w:tblGrid>
      <w:tr w14:paraId="01B8B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3" w:hRule="atLeast"/>
        </w:trPr>
        <w:tc>
          <w:tcPr>
            <w:tcW w:w="338" w:type="pct"/>
            <w:vAlign w:val="center"/>
          </w:tcPr>
          <w:p w14:paraId="3E368863">
            <w:pPr>
              <w:spacing w:line="400" w:lineRule="atLeast"/>
              <w:jc w:val="center"/>
              <w:rPr>
                <w:rFonts w:ascii="Arial" w:hAnsi="Arial" w:cs="Arial"/>
                <w:sz w:val="24"/>
              </w:rPr>
            </w:pPr>
            <w:r>
              <w:rPr>
                <w:rFonts w:ascii="Arial" w:hAnsi="Arial" w:cs="Arial"/>
                <w:sz w:val="24"/>
              </w:rPr>
              <w:t>序号</w:t>
            </w:r>
          </w:p>
        </w:tc>
        <w:tc>
          <w:tcPr>
            <w:tcW w:w="683" w:type="pct"/>
            <w:vAlign w:val="center"/>
          </w:tcPr>
          <w:p w14:paraId="4D1B0A9E">
            <w:pPr>
              <w:spacing w:line="400" w:lineRule="atLeast"/>
              <w:jc w:val="center"/>
              <w:rPr>
                <w:rFonts w:ascii="Arial" w:hAnsi="Arial" w:cs="Arial"/>
                <w:sz w:val="24"/>
              </w:rPr>
            </w:pPr>
            <w:r>
              <w:rPr>
                <w:rFonts w:hint="eastAsia" w:ascii="Arial" w:hAnsi="Arial" w:cs="Arial"/>
                <w:sz w:val="24"/>
              </w:rPr>
              <w:t>标的名称</w:t>
            </w:r>
          </w:p>
        </w:tc>
        <w:tc>
          <w:tcPr>
            <w:tcW w:w="590" w:type="pct"/>
            <w:vAlign w:val="center"/>
          </w:tcPr>
          <w:p w14:paraId="21732245">
            <w:pPr>
              <w:spacing w:line="400" w:lineRule="atLeast"/>
              <w:jc w:val="center"/>
              <w:rPr>
                <w:rFonts w:ascii="Arial" w:hAnsi="Arial" w:cs="Arial"/>
                <w:sz w:val="24"/>
              </w:rPr>
            </w:pPr>
            <w:r>
              <w:rPr>
                <w:rFonts w:hint="eastAsia" w:ascii="Arial" w:hAnsi="Arial" w:cs="Arial"/>
                <w:sz w:val="24"/>
              </w:rPr>
              <w:t>规格型号</w:t>
            </w:r>
          </w:p>
        </w:tc>
        <w:tc>
          <w:tcPr>
            <w:tcW w:w="521" w:type="pct"/>
            <w:vAlign w:val="center"/>
          </w:tcPr>
          <w:p w14:paraId="58F686DC">
            <w:pPr>
              <w:spacing w:line="400" w:lineRule="atLeast"/>
              <w:jc w:val="center"/>
              <w:rPr>
                <w:rFonts w:ascii="Arial" w:hAnsi="Arial" w:cs="Arial"/>
                <w:sz w:val="24"/>
              </w:rPr>
            </w:pPr>
            <w:r>
              <w:rPr>
                <w:rFonts w:hint="eastAsia" w:ascii="Arial" w:hAnsi="Arial" w:cs="Arial"/>
                <w:sz w:val="24"/>
              </w:rPr>
              <w:t>品牌</w:t>
            </w:r>
          </w:p>
        </w:tc>
        <w:tc>
          <w:tcPr>
            <w:tcW w:w="458" w:type="pct"/>
            <w:vAlign w:val="center"/>
          </w:tcPr>
          <w:p w14:paraId="04A07EF1">
            <w:pPr>
              <w:spacing w:line="400" w:lineRule="atLeast"/>
              <w:jc w:val="center"/>
              <w:rPr>
                <w:rFonts w:ascii="Arial" w:hAnsi="Arial" w:cs="Arial"/>
                <w:sz w:val="24"/>
              </w:rPr>
            </w:pPr>
            <w:r>
              <w:rPr>
                <w:rFonts w:hint="eastAsia" w:ascii="Arial" w:hAnsi="Arial" w:cs="Arial"/>
                <w:sz w:val="24"/>
              </w:rPr>
              <w:t>制造商</w:t>
            </w:r>
          </w:p>
        </w:tc>
        <w:tc>
          <w:tcPr>
            <w:tcW w:w="372" w:type="pct"/>
            <w:vAlign w:val="center"/>
          </w:tcPr>
          <w:p w14:paraId="1C328EF0">
            <w:pPr>
              <w:spacing w:line="400" w:lineRule="atLeast"/>
              <w:jc w:val="center"/>
              <w:rPr>
                <w:rFonts w:ascii="Arial" w:hAnsi="Arial" w:cs="Arial"/>
                <w:sz w:val="24"/>
              </w:rPr>
            </w:pPr>
            <w:r>
              <w:rPr>
                <w:rFonts w:hint="eastAsia" w:ascii="Arial" w:hAnsi="Arial" w:cs="Arial"/>
                <w:sz w:val="24"/>
              </w:rPr>
              <w:t>单位</w:t>
            </w:r>
          </w:p>
        </w:tc>
        <w:tc>
          <w:tcPr>
            <w:tcW w:w="508" w:type="pct"/>
            <w:vAlign w:val="center"/>
          </w:tcPr>
          <w:p w14:paraId="5AA2472E">
            <w:pPr>
              <w:spacing w:line="400" w:lineRule="atLeast"/>
              <w:jc w:val="center"/>
              <w:rPr>
                <w:rFonts w:ascii="Arial" w:hAnsi="Arial" w:cs="Arial"/>
                <w:sz w:val="24"/>
              </w:rPr>
            </w:pPr>
            <w:r>
              <w:rPr>
                <w:rFonts w:ascii="Arial" w:hAnsi="Arial" w:cs="Arial"/>
                <w:sz w:val="24"/>
              </w:rPr>
              <w:t>单价</w:t>
            </w:r>
            <w:r>
              <w:rPr>
                <w:rFonts w:hint="eastAsia" w:ascii="Arial" w:hAnsi="Arial" w:cs="Arial"/>
                <w:sz w:val="24"/>
              </w:rPr>
              <w:t>（元）</w:t>
            </w:r>
          </w:p>
        </w:tc>
        <w:tc>
          <w:tcPr>
            <w:tcW w:w="508" w:type="pct"/>
            <w:vAlign w:val="center"/>
          </w:tcPr>
          <w:p w14:paraId="1E91A02E">
            <w:pPr>
              <w:spacing w:line="400" w:lineRule="atLeast"/>
              <w:jc w:val="center"/>
              <w:rPr>
                <w:rFonts w:ascii="Arial" w:hAnsi="Arial" w:cs="Arial"/>
                <w:sz w:val="24"/>
              </w:rPr>
            </w:pPr>
            <w:r>
              <w:rPr>
                <w:rFonts w:hint="eastAsia" w:ascii="Arial" w:hAnsi="Arial" w:cs="Arial"/>
                <w:sz w:val="24"/>
              </w:rPr>
              <w:t>数量</w:t>
            </w:r>
          </w:p>
        </w:tc>
        <w:tc>
          <w:tcPr>
            <w:tcW w:w="508" w:type="pct"/>
            <w:vAlign w:val="center"/>
          </w:tcPr>
          <w:p w14:paraId="53BAD0D6">
            <w:pPr>
              <w:spacing w:line="400" w:lineRule="atLeast"/>
              <w:jc w:val="center"/>
              <w:rPr>
                <w:rFonts w:ascii="Arial" w:hAnsi="Arial" w:cs="Arial"/>
                <w:sz w:val="24"/>
              </w:rPr>
            </w:pPr>
            <w:r>
              <w:rPr>
                <w:rFonts w:hint="eastAsia" w:ascii="Arial" w:hAnsi="Arial" w:cs="Arial"/>
                <w:sz w:val="24"/>
              </w:rPr>
              <w:t>总价（元）</w:t>
            </w:r>
          </w:p>
        </w:tc>
        <w:tc>
          <w:tcPr>
            <w:tcW w:w="508" w:type="pct"/>
            <w:vAlign w:val="center"/>
          </w:tcPr>
          <w:p w14:paraId="40EA9090">
            <w:pPr>
              <w:spacing w:line="400" w:lineRule="atLeast"/>
              <w:jc w:val="center"/>
              <w:rPr>
                <w:rFonts w:ascii="Arial" w:hAnsi="Arial" w:cs="Arial"/>
                <w:sz w:val="24"/>
              </w:rPr>
            </w:pPr>
            <w:r>
              <w:rPr>
                <w:rFonts w:hint="eastAsia" w:ascii="Arial" w:hAnsi="Arial" w:cs="Arial"/>
                <w:sz w:val="24"/>
              </w:rPr>
              <w:t>备注</w:t>
            </w:r>
          </w:p>
        </w:tc>
      </w:tr>
      <w:tr w14:paraId="345B5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6" w:hRule="atLeast"/>
        </w:trPr>
        <w:tc>
          <w:tcPr>
            <w:tcW w:w="338" w:type="pct"/>
            <w:vAlign w:val="center"/>
          </w:tcPr>
          <w:p w14:paraId="255B6740">
            <w:pPr>
              <w:spacing w:line="400" w:lineRule="atLeast"/>
              <w:jc w:val="center"/>
              <w:rPr>
                <w:rFonts w:ascii="Arial" w:hAnsi="Arial" w:cs="Arial"/>
                <w:sz w:val="24"/>
              </w:rPr>
            </w:pPr>
            <w:r>
              <w:rPr>
                <w:rFonts w:ascii="Arial" w:hAnsi="Arial" w:cs="Arial"/>
                <w:sz w:val="24"/>
              </w:rPr>
              <w:t>1</w:t>
            </w:r>
          </w:p>
        </w:tc>
        <w:tc>
          <w:tcPr>
            <w:tcW w:w="683" w:type="pct"/>
            <w:vAlign w:val="center"/>
          </w:tcPr>
          <w:p w14:paraId="3E94C64A">
            <w:pPr>
              <w:spacing w:line="400" w:lineRule="atLeast"/>
              <w:jc w:val="center"/>
              <w:rPr>
                <w:rFonts w:ascii="Arial" w:hAnsi="Arial" w:cs="Arial"/>
                <w:sz w:val="24"/>
              </w:rPr>
            </w:pPr>
          </w:p>
        </w:tc>
        <w:tc>
          <w:tcPr>
            <w:tcW w:w="590" w:type="pct"/>
            <w:vAlign w:val="center"/>
          </w:tcPr>
          <w:p w14:paraId="6C87CCA9">
            <w:pPr>
              <w:spacing w:line="400" w:lineRule="atLeast"/>
              <w:jc w:val="center"/>
              <w:rPr>
                <w:rFonts w:ascii="Arial" w:hAnsi="Arial" w:cs="Arial"/>
                <w:sz w:val="24"/>
              </w:rPr>
            </w:pPr>
          </w:p>
        </w:tc>
        <w:tc>
          <w:tcPr>
            <w:tcW w:w="521" w:type="pct"/>
            <w:vAlign w:val="center"/>
          </w:tcPr>
          <w:p w14:paraId="30C3700C">
            <w:pPr>
              <w:spacing w:line="400" w:lineRule="atLeast"/>
              <w:jc w:val="center"/>
              <w:rPr>
                <w:rFonts w:ascii="Arial" w:hAnsi="Arial" w:cs="Arial"/>
                <w:sz w:val="24"/>
              </w:rPr>
            </w:pPr>
          </w:p>
        </w:tc>
        <w:tc>
          <w:tcPr>
            <w:tcW w:w="458" w:type="pct"/>
            <w:vAlign w:val="center"/>
          </w:tcPr>
          <w:p w14:paraId="54AE518D">
            <w:pPr>
              <w:spacing w:line="400" w:lineRule="atLeast"/>
              <w:jc w:val="center"/>
              <w:rPr>
                <w:rFonts w:ascii="Arial" w:hAnsi="Arial" w:cs="Arial"/>
                <w:sz w:val="24"/>
              </w:rPr>
            </w:pPr>
          </w:p>
        </w:tc>
        <w:tc>
          <w:tcPr>
            <w:tcW w:w="372" w:type="pct"/>
            <w:vAlign w:val="center"/>
          </w:tcPr>
          <w:p w14:paraId="3E7B7C38">
            <w:pPr>
              <w:spacing w:line="400" w:lineRule="atLeast"/>
              <w:jc w:val="center"/>
              <w:rPr>
                <w:rFonts w:ascii="Arial" w:hAnsi="Arial" w:cs="Arial"/>
                <w:sz w:val="24"/>
              </w:rPr>
            </w:pPr>
          </w:p>
        </w:tc>
        <w:tc>
          <w:tcPr>
            <w:tcW w:w="508" w:type="pct"/>
            <w:vAlign w:val="center"/>
          </w:tcPr>
          <w:p w14:paraId="22593CB3">
            <w:pPr>
              <w:spacing w:line="400" w:lineRule="atLeast"/>
              <w:jc w:val="center"/>
              <w:rPr>
                <w:rFonts w:ascii="Arial" w:hAnsi="Arial" w:cs="Arial"/>
                <w:sz w:val="24"/>
              </w:rPr>
            </w:pPr>
          </w:p>
        </w:tc>
        <w:tc>
          <w:tcPr>
            <w:tcW w:w="508" w:type="pct"/>
            <w:vAlign w:val="center"/>
          </w:tcPr>
          <w:p w14:paraId="547A5606">
            <w:pPr>
              <w:spacing w:line="400" w:lineRule="atLeast"/>
              <w:jc w:val="center"/>
              <w:rPr>
                <w:rFonts w:ascii="Arial" w:hAnsi="Arial" w:cs="Arial"/>
                <w:sz w:val="24"/>
              </w:rPr>
            </w:pPr>
          </w:p>
        </w:tc>
        <w:tc>
          <w:tcPr>
            <w:tcW w:w="508" w:type="pct"/>
            <w:vAlign w:val="center"/>
          </w:tcPr>
          <w:p w14:paraId="74430A74">
            <w:pPr>
              <w:spacing w:line="400" w:lineRule="atLeast"/>
              <w:jc w:val="center"/>
              <w:rPr>
                <w:rFonts w:ascii="Arial" w:hAnsi="Arial" w:cs="Arial"/>
                <w:sz w:val="24"/>
              </w:rPr>
            </w:pPr>
          </w:p>
        </w:tc>
        <w:tc>
          <w:tcPr>
            <w:tcW w:w="508" w:type="pct"/>
            <w:vAlign w:val="center"/>
          </w:tcPr>
          <w:p w14:paraId="4AF50205">
            <w:pPr>
              <w:spacing w:line="400" w:lineRule="atLeast"/>
              <w:jc w:val="center"/>
              <w:rPr>
                <w:rFonts w:ascii="Arial" w:hAnsi="Arial" w:cs="Arial"/>
                <w:sz w:val="24"/>
              </w:rPr>
            </w:pPr>
          </w:p>
        </w:tc>
      </w:tr>
      <w:tr w14:paraId="42BC0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338" w:type="pct"/>
            <w:vAlign w:val="center"/>
          </w:tcPr>
          <w:p w14:paraId="2F8B1B5C">
            <w:pPr>
              <w:spacing w:line="400" w:lineRule="atLeast"/>
              <w:jc w:val="center"/>
              <w:rPr>
                <w:rFonts w:ascii="Arial" w:hAnsi="Arial" w:cs="Arial"/>
                <w:sz w:val="24"/>
              </w:rPr>
            </w:pPr>
            <w:r>
              <w:rPr>
                <w:rFonts w:ascii="Arial" w:hAnsi="Arial" w:cs="Arial"/>
                <w:sz w:val="24"/>
              </w:rPr>
              <w:t>2</w:t>
            </w:r>
          </w:p>
        </w:tc>
        <w:tc>
          <w:tcPr>
            <w:tcW w:w="683" w:type="pct"/>
            <w:vAlign w:val="center"/>
          </w:tcPr>
          <w:p w14:paraId="06A55B09">
            <w:pPr>
              <w:spacing w:line="400" w:lineRule="atLeast"/>
              <w:jc w:val="center"/>
              <w:rPr>
                <w:rFonts w:ascii="Arial" w:hAnsi="Arial" w:cs="Arial"/>
                <w:sz w:val="24"/>
              </w:rPr>
            </w:pPr>
          </w:p>
        </w:tc>
        <w:tc>
          <w:tcPr>
            <w:tcW w:w="590" w:type="pct"/>
            <w:vAlign w:val="center"/>
          </w:tcPr>
          <w:p w14:paraId="10A22E1B">
            <w:pPr>
              <w:spacing w:line="400" w:lineRule="atLeast"/>
              <w:jc w:val="center"/>
              <w:rPr>
                <w:rFonts w:ascii="Arial" w:hAnsi="Arial" w:cs="Arial"/>
                <w:sz w:val="24"/>
              </w:rPr>
            </w:pPr>
          </w:p>
        </w:tc>
        <w:tc>
          <w:tcPr>
            <w:tcW w:w="521" w:type="pct"/>
            <w:vAlign w:val="center"/>
          </w:tcPr>
          <w:p w14:paraId="38CF8060">
            <w:pPr>
              <w:spacing w:line="400" w:lineRule="atLeast"/>
              <w:jc w:val="center"/>
              <w:rPr>
                <w:rFonts w:ascii="Arial" w:hAnsi="Arial" w:cs="Arial"/>
                <w:sz w:val="24"/>
              </w:rPr>
            </w:pPr>
          </w:p>
        </w:tc>
        <w:tc>
          <w:tcPr>
            <w:tcW w:w="458" w:type="pct"/>
            <w:vAlign w:val="center"/>
          </w:tcPr>
          <w:p w14:paraId="0B7CB00E">
            <w:pPr>
              <w:spacing w:line="400" w:lineRule="atLeast"/>
              <w:jc w:val="center"/>
              <w:rPr>
                <w:rFonts w:ascii="Arial" w:hAnsi="Arial" w:cs="Arial"/>
                <w:sz w:val="24"/>
              </w:rPr>
            </w:pPr>
          </w:p>
        </w:tc>
        <w:tc>
          <w:tcPr>
            <w:tcW w:w="372" w:type="pct"/>
            <w:vAlign w:val="center"/>
          </w:tcPr>
          <w:p w14:paraId="497AC002">
            <w:pPr>
              <w:spacing w:line="400" w:lineRule="atLeast"/>
              <w:jc w:val="center"/>
              <w:rPr>
                <w:rFonts w:ascii="Arial" w:hAnsi="Arial" w:cs="Arial"/>
                <w:sz w:val="24"/>
              </w:rPr>
            </w:pPr>
          </w:p>
        </w:tc>
        <w:tc>
          <w:tcPr>
            <w:tcW w:w="508" w:type="pct"/>
            <w:vAlign w:val="center"/>
          </w:tcPr>
          <w:p w14:paraId="0524EC0A">
            <w:pPr>
              <w:spacing w:line="400" w:lineRule="atLeast"/>
              <w:jc w:val="center"/>
              <w:rPr>
                <w:rFonts w:ascii="Arial" w:hAnsi="Arial" w:cs="Arial"/>
                <w:sz w:val="24"/>
              </w:rPr>
            </w:pPr>
          </w:p>
        </w:tc>
        <w:tc>
          <w:tcPr>
            <w:tcW w:w="508" w:type="pct"/>
            <w:vAlign w:val="center"/>
          </w:tcPr>
          <w:p w14:paraId="747FF0E7">
            <w:pPr>
              <w:spacing w:line="400" w:lineRule="atLeast"/>
              <w:jc w:val="center"/>
              <w:rPr>
                <w:rFonts w:ascii="Arial" w:hAnsi="Arial" w:cs="Arial"/>
                <w:sz w:val="24"/>
              </w:rPr>
            </w:pPr>
          </w:p>
        </w:tc>
        <w:tc>
          <w:tcPr>
            <w:tcW w:w="508" w:type="pct"/>
            <w:vAlign w:val="center"/>
          </w:tcPr>
          <w:p w14:paraId="6B49D3BD">
            <w:pPr>
              <w:spacing w:line="400" w:lineRule="atLeast"/>
              <w:jc w:val="center"/>
              <w:rPr>
                <w:rFonts w:ascii="Arial" w:hAnsi="Arial" w:cs="Arial"/>
                <w:sz w:val="24"/>
              </w:rPr>
            </w:pPr>
          </w:p>
        </w:tc>
        <w:tc>
          <w:tcPr>
            <w:tcW w:w="508" w:type="pct"/>
            <w:vAlign w:val="center"/>
          </w:tcPr>
          <w:p w14:paraId="0A4CE363">
            <w:pPr>
              <w:spacing w:line="400" w:lineRule="atLeast"/>
              <w:jc w:val="center"/>
              <w:rPr>
                <w:rFonts w:ascii="Arial" w:hAnsi="Arial" w:cs="Arial"/>
                <w:sz w:val="24"/>
              </w:rPr>
            </w:pPr>
          </w:p>
        </w:tc>
      </w:tr>
      <w:tr w14:paraId="50C87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338" w:type="pct"/>
            <w:vAlign w:val="center"/>
          </w:tcPr>
          <w:p w14:paraId="431EAD11">
            <w:pPr>
              <w:spacing w:line="400" w:lineRule="atLeast"/>
              <w:jc w:val="center"/>
              <w:rPr>
                <w:rFonts w:ascii="Arial" w:hAnsi="Arial" w:cs="Arial"/>
                <w:sz w:val="24"/>
              </w:rPr>
            </w:pPr>
            <w:r>
              <w:rPr>
                <w:rFonts w:hint="eastAsia" w:ascii="Arial" w:hAnsi="Arial" w:cs="Arial"/>
                <w:sz w:val="24"/>
              </w:rPr>
              <w:t>3</w:t>
            </w:r>
          </w:p>
        </w:tc>
        <w:tc>
          <w:tcPr>
            <w:tcW w:w="683" w:type="pct"/>
            <w:vAlign w:val="center"/>
          </w:tcPr>
          <w:p w14:paraId="0AE231FB">
            <w:pPr>
              <w:spacing w:line="400" w:lineRule="atLeast"/>
              <w:jc w:val="center"/>
              <w:rPr>
                <w:rFonts w:ascii="Arial" w:hAnsi="Arial" w:cs="Arial"/>
                <w:sz w:val="24"/>
              </w:rPr>
            </w:pPr>
          </w:p>
        </w:tc>
        <w:tc>
          <w:tcPr>
            <w:tcW w:w="590" w:type="pct"/>
            <w:vAlign w:val="center"/>
          </w:tcPr>
          <w:p w14:paraId="22A424A1">
            <w:pPr>
              <w:spacing w:line="400" w:lineRule="atLeast"/>
              <w:jc w:val="center"/>
              <w:rPr>
                <w:rFonts w:ascii="Arial" w:hAnsi="Arial" w:cs="Arial"/>
                <w:sz w:val="24"/>
              </w:rPr>
            </w:pPr>
          </w:p>
        </w:tc>
        <w:tc>
          <w:tcPr>
            <w:tcW w:w="521" w:type="pct"/>
            <w:vAlign w:val="center"/>
          </w:tcPr>
          <w:p w14:paraId="0E1E020B">
            <w:pPr>
              <w:spacing w:line="400" w:lineRule="atLeast"/>
              <w:jc w:val="center"/>
              <w:rPr>
                <w:rFonts w:ascii="Arial" w:hAnsi="Arial" w:cs="Arial"/>
                <w:sz w:val="24"/>
              </w:rPr>
            </w:pPr>
          </w:p>
        </w:tc>
        <w:tc>
          <w:tcPr>
            <w:tcW w:w="458" w:type="pct"/>
            <w:vAlign w:val="center"/>
          </w:tcPr>
          <w:p w14:paraId="30411366">
            <w:pPr>
              <w:spacing w:line="400" w:lineRule="atLeast"/>
              <w:jc w:val="center"/>
              <w:rPr>
                <w:rFonts w:ascii="Arial" w:hAnsi="Arial" w:cs="Arial"/>
                <w:sz w:val="24"/>
              </w:rPr>
            </w:pPr>
          </w:p>
        </w:tc>
        <w:tc>
          <w:tcPr>
            <w:tcW w:w="372" w:type="pct"/>
            <w:vAlign w:val="center"/>
          </w:tcPr>
          <w:p w14:paraId="4B91FAC2">
            <w:pPr>
              <w:spacing w:line="400" w:lineRule="atLeast"/>
              <w:jc w:val="center"/>
              <w:rPr>
                <w:rFonts w:ascii="Arial" w:hAnsi="Arial" w:cs="Arial"/>
                <w:sz w:val="24"/>
              </w:rPr>
            </w:pPr>
          </w:p>
        </w:tc>
        <w:tc>
          <w:tcPr>
            <w:tcW w:w="508" w:type="pct"/>
            <w:vAlign w:val="center"/>
          </w:tcPr>
          <w:p w14:paraId="3A4DC1FD">
            <w:pPr>
              <w:spacing w:line="400" w:lineRule="atLeast"/>
              <w:jc w:val="center"/>
              <w:rPr>
                <w:rFonts w:ascii="Arial" w:hAnsi="Arial" w:cs="Arial"/>
                <w:sz w:val="24"/>
              </w:rPr>
            </w:pPr>
          </w:p>
        </w:tc>
        <w:tc>
          <w:tcPr>
            <w:tcW w:w="508" w:type="pct"/>
            <w:vAlign w:val="center"/>
          </w:tcPr>
          <w:p w14:paraId="5417D4C2">
            <w:pPr>
              <w:spacing w:line="400" w:lineRule="atLeast"/>
              <w:jc w:val="center"/>
              <w:rPr>
                <w:rFonts w:ascii="Arial" w:hAnsi="Arial" w:cs="Arial"/>
                <w:sz w:val="24"/>
              </w:rPr>
            </w:pPr>
          </w:p>
        </w:tc>
        <w:tc>
          <w:tcPr>
            <w:tcW w:w="508" w:type="pct"/>
            <w:vAlign w:val="center"/>
          </w:tcPr>
          <w:p w14:paraId="314A0C1D">
            <w:pPr>
              <w:spacing w:line="400" w:lineRule="atLeast"/>
              <w:jc w:val="center"/>
              <w:rPr>
                <w:rFonts w:ascii="Arial" w:hAnsi="Arial" w:cs="Arial"/>
                <w:sz w:val="24"/>
              </w:rPr>
            </w:pPr>
          </w:p>
        </w:tc>
        <w:tc>
          <w:tcPr>
            <w:tcW w:w="508" w:type="pct"/>
            <w:vAlign w:val="center"/>
          </w:tcPr>
          <w:p w14:paraId="00BF951F">
            <w:pPr>
              <w:spacing w:line="400" w:lineRule="atLeast"/>
              <w:jc w:val="center"/>
              <w:rPr>
                <w:rFonts w:ascii="Arial" w:hAnsi="Arial" w:cs="Arial"/>
                <w:sz w:val="24"/>
              </w:rPr>
            </w:pPr>
          </w:p>
        </w:tc>
      </w:tr>
      <w:tr w14:paraId="0C8FC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338" w:type="pct"/>
            <w:vAlign w:val="center"/>
          </w:tcPr>
          <w:p w14:paraId="36B97069">
            <w:pPr>
              <w:spacing w:line="400" w:lineRule="atLeast"/>
              <w:rPr>
                <w:rFonts w:ascii="Arial" w:hAnsi="Arial" w:cs="Arial"/>
                <w:sz w:val="24"/>
              </w:rPr>
            </w:pPr>
          </w:p>
        </w:tc>
        <w:tc>
          <w:tcPr>
            <w:tcW w:w="683" w:type="pct"/>
            <w:vAlign w:val="center"/>
          </w:tcPr>
          <w:p w14:paraId="031A4131">
            <w:pPr>
              <w:spacing w:line="400" w:lineRule="atLeast"/>
              <w:jc w:val="center"/>
              <w:rPr>
                <w:rFonts w:ascii="Arial" w:hAnsi="Arial" w:cs="Arial"/>
                <w:sz w:val="24"/>
              </w:rPr>
            </w:pPr>
          </w:p>
        </w:tc>
        <w:tc>
          <w:tcPr>
            <w:tcW w:w="590" w:type="pct"/>
            <w:vAlign w:val="center"/>
          </w:tcPr>
          <w:p w14:paraId="2143AE7F">
            <w:pPr>
              <w:spacing w:line="400" w:lineRule="atLeast"/>
              <w:jc w:val="center"/>
              <w:rPr>
                <w:rFonts w:ascii="Arial" w:hAnsi="Arial" w:cs="Arial"/>
                <w:sz w:val="24"/>
              </w:rPr>
            </w:pPr>
          </w:p>
        </w:tc>
        <w:tc>
          <w:tcPr>
            <w:tcW w:w="521" w:type="pct"/>
            <w:vAlign w:val="center"/>
          </w:tcPr>
          <w:p w14:paraId="3C8A12BC">
            <w:pPr>
              <w:spacing w:line="400" w:lineRule="atLeast"/>
              <w:jc w:val="center"/>
              <w:rPr>
                <w:rFonts w:ascii="Arial" w:hAnsi="Arial" w:cs="Arial"/>
                <w:sz w:val="24"/>
              </w:rPr>
            </w:pPr>
          </w:p>
        </w:tc>
        <w:tc>
          <w:tcPr>
            <w:tcW w:w="458" w:type="pct"/>
            <w:vAlign w:val="center"/>
          </w:tcPr>
          <w:p w14:paraId="17FD838D">
            <w:pPr>
              <w:spacing w:line="400" w:lineRule="atLeast"/>
              <w:jc w:val="center"/>
              <w:rPr>
                <w:rFonts w:ascii="Arial" w:hAnsi="Arial" w:cs="Arial"/>
                <w:sz w:val="24"/>
              </w:rPr>
            </w:pPr>
          </w:p>
        </w:tc>
        <w:tc>
          <w:tcPr>
            <w:tcW w:w="372" w:type="pct"/>
            <w:vAlign w:val="center"/>
          </w:tcPr>
          <w:p w14:paraId="73AC761C">
            <w:pPr>
              <w:spacing w:line="400" w:lineRule="atLeast"/>
              <w:jc w:val="center"/>
              <w:rPr>
                <w:rFonts w:ascii="Arial" w:hAnsi="Arial" w:cs="Arial"/>
                <w:sz w:val="24"/>
              </w:rPr>
            </w:pPr>
          </w:p>
        </w:tc>
        <w:tc>
          <w:tcPr>
            <w:tcW w:w="508" w:type="pct"/>
            <w:vAlign w:val="center"/>
          </w:tcPr>
          <w:p w14:paraId="3A3C11B9">
            <w:pPr>
              <w:spacing w:line="400" w:lineRule="atLeast"/>
              <w:jc w:val="center"/>
              <w:rPr>
                <w:rFonts w:ascii="Arial" w:hAnsi="Arial" w:cs="Arial"/>
                <w:sz w:val="24"/>
              </w:rPr>
            </w:pPr>
          </w:p>
        </w:tc>
        <w:tc>
          <w:tcPr>
            <w:tcW w:w="508" w:type="pct"/>
            <w:vAlign w:val="center"/>
          </w:tcPr>
          <w:p w14:paraId="2D80C24C">
            <w:pPr>
              <w:spacing w:line="400" w:lineRule="atLeast"/>
              <w:jc w:val="center"/>
              <w:rPr>
                <w:rFonts w:ascii="Arial" w:hAnsi="Arial" w:cs="Arial"/>
                <w:sz w:val="24"/>
              </w:rPr>
            </w:pPr>
          </w:p>
        </w:tc>
        <w:tc>
          <w:tcPr>
            <w:tcW w:w="508" w:type="pct"/>
            <w:vAlign w:val="center"/>
          </w:tcPr>
          <w:p w14:paraId="3FAA9A27">
            <w:pPr>
              <w:spacing w:line="400" w:lineRule="atLeast"/>
              <w:jc w:val="center"/>
              <w:rPr>
                <w:rFonts w:ascii="Arial" w:hAnsi="Arial" w:cs="Arial"/>
                <w:sz w:val="24"/>
              </w:rPr>
            </w:pPr>
          </w:p>
        </w:tc>
        <w:tc>
          <w:tcPr>
            <w:tcW w:w="508" w:type="pct"/>
            <w:vAlign w:val="center"/>
          </w:tcPr>
          <w:p w14:paraId="0EE89B05">
            <w:pPr>
              <w:spacing w:line="400" w:lineRule="atLeast"/>
              <w:jc w:val="center"/>
              <w:rPr>
                <w:rFonts w:ascii="Arial" w:hAnsi="Arial" w:cs="Arial"/>
                <w:sz w:val="24"/>
              </w:rPr>
            </w:pPr>
          </w:p>
        </w:tc>
      </w:tr>
      <w:tr w14:paraId="283C1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338" w:type="pct"/>
            <w:vAlign w:val="center"/>
          </w:tcPr>
          <w:p w14:paraId="020F2992">
            <w:pPr>
              <w:spacing w:line="400" w:lineRule="atLeast"/>
              <w:rPr>
                <w:rFonts w:ascii="Arial" w:hAnsi="Arial" w:cs="Arial"/>
                <w:sz w:val="24"/>
              </w:rPr>
            </w:pPr>
          </w:p>
        </w:tc>
        <w:tc>
          <w:tcPr>
            <w:tcW w:w="683" w:type="pct"/>
            <w:vAlign w:val="center"/>
          </w:tcPr>
          <w:p w14:paraId="1ABA674F">
            <w:pPr>
              <w:spacing w:line="400" w:lineRule="atLeast"/>
              <w:jc w:val="center"/>
              <w:rPr>
                <w:rFonts w:ascii="Arial" w:hAnsi="Arial" w:cs="Arial"/>
                <w:sz w:val="24"/>
              </w:rPr>
            </w:pPr>
          </w:p>
        </w:tc>
        <w:tc>
          <w:tcPr>
            <w:tcW w:w="590" w:type="pct"/>
            <w:vAlign w:val="center"/>
          </w:tcPr>
          <w:p w14:paraId="7C1A0E0D">
            <w:pPr>
              <w:spacing w:line="400" w:lineRule="atLeast"/>
              <w:jc w:val="center"/>
              <w:rPr>
                <w:rFonts w:ascii="Arial" w:hAnsi="Arial" w:cs="Arial"/>
                <w:sz w:val="24"/>
              </w:rPr>
            </w:pPr>
          </w:p>
        </w:tc>
        <w:tc>
          <w:tcPr>
            <w:tcW w:w="521" w:type="pct"/>
            <w:vAlign w:val="center"/>
          </w:tcPr>
          <w:p w14:paraId="0E99FD17">
            <w:pPr>
              <w:spacing w:line="400" w:lineRule="atLeast"/>
              <w:jc w:val="center"/>
              <w:rPr>
                <w:rFonts w:ascii="Arial" w:hAnsi="Arial" w:cs="Arial"/>
                <w:sz w:val="24"/>
              </w:rPr>
            </w:pPr>
          </w:p>
        </w:tc>
        <w:tc>
          <w:tcPr>
            <w:tcW w:w="458" w:type="pct"/>
            <w:vAlign w:val="center"/>
          </w:tcPr>
          <w:p w14:paraId="448F1247">
            <w:pPr>
              <w:spacing w:line="400" w:lineRule="atLeast"/>
              <w:jc w:val="center"/>
              <w:rPr>
                <w:rFonts w:ascii="Arial" w:hAnsi="Arial" w:cs="Arial"/>
                <w:sz w:val="24"/>
              </w:rPr>
            </w:pPr>
          </w:p>
        </w:tc>
        <w:tc>
          <w:tcPr>
            <w:tcW w:w="372" w:type="pct"/>
            <w:vAlign w:val="center"/>
          </w:tcPr>
          <w:p w14:paraId="3FBD0D1A">
            <w:pPr>
              <w:spacing w:line="400" w:lineRule="atLeast"/>
              <w:jc w:val="center"/>
              <w:rPr>
                <w:rFonts w:ascii="Arial" w:hAnsi="Arial" w:cs="Arial"/>
                <w:sz w:val="24"/>
              </w:rPr>
            </w:pPr>
          </w:p>
        </w:tc>
        <w:tc>
          <w:tcPr>
            <w:tcW w:w="508" w:type="pct"/>
            <w:vAlign w:val="center"/>
          </w:tcPr>
          <w:p w14:paraId="52AC7A15">
            <w:pPr>
              <w:spacing w:line="400" w:lineRule="atLeast"/>
              <w:jc w:val="center"/>
              <w:rPr>
                <w:rFonts w:ascii="Arial" w:hAnsi="Arial" w:cs="Arial"/>
                <w:sz w:val="24"/>
              </w:rPr>
            </w:pPr>
          </w:p>
        </w:tc>
        <w:tc>
          <w:tcPr>
            <w:tcW w:w="508" w:type="pct"/>
            <w:vAlign w:val="center"/>
          </w:tcPr>
          <w:p w14:paraId="3DD45717">
            <w:pPr>
              <w:spacing w:line="400" w:lineRule="atLeast"/>
              <w:jc w:val="center"/>
              <w:rPr>
                <w:rFonts w:ascii="Arial" w:hAnsi="Arial" w:cs="Arial"/>
                <w:sz w:val="24"/>
              </w:rPr>
            </w:pPr>
          </w:p>
        </w:tc>
        <w:tc>
          <w:tcPr>
            <w:tcW w:w="508" w:type="pct"/>
            <w:vAlign w:val="center"/>
          </w:tcPr>
          <w:p w14:paraId="161DD092">
            <w:pPr>
              <w:spacing w:line="400" w:lineRule="atLeast"/>
              <w:jc w:val="center"/>
              <w:rPr>
                <w:rFonts w:ascii="Arial" w:hAnsi="Arial" w:cs="Arial"/>
                <w:sz w:val="24"/>
              </w:rPr>
            </w:pPr>
          </w:p>
        </w:tc>
        <w:tc>
          <w:tcPr>
            <w:tcW w:w="508" w:type="pct"/>
            <w:vAlign w:val="center"/>
          </w:tcPr>
          <w:p w14:paraId="10D721E5">
            <w:pPr>
              <w:spacing w:line="400" w:lineRule="atLeast"/>
              <w:jc w:val="center"/>
              <w:rPr>
                <w:rFonts w:ascii="Arial" w:hAnsi="Arial" w:cs="Arial"/>
                <w:sz w:val="24"/>
              </w:rPr>
            </w:pPr>
          </w:p>
        </w:tc>
      </w:tr>
      <w:tr w14:paraId="241BC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6" w:hRule="atLeast"/>
        </w:trPr>
        <w:tc>
          <w:tcPr>
            <w:tcW w:w="338" w:type="pct"/>
            <w:vAlign w:val="center"/>
          </w:tcPr>
          <w:p w14:paraId="23913258">
            <w:pPr>
              <w:spacing w:line="400" w:lineRule="atLeast"/>
              <w:rPr>
                <w:rFonts w:ascii="Arial" w:hAnsi="Arial" w:cs="Arial"/>
                <w:sz w:val="24"/>
              </w:rPr>
            </w:pPr>
          </w:p>
        </w:tc>
        <w:tc>
          <w:tcPr>
            <w:tcW w:w="683" w:type="pct"/>
            <w:vAlign w:val="center"/>
          </w:tcPr>
          <w:p w14:paraId="14451B16">
            <w:pPr>
              <w:spacing w:line="400" w:lineRule="atLeast"/>
              <w:jc w:val="center"/>
              <w:rPr>
                <w:rFonts w:ascii="Arial" w:hAnsi="Arial" w:cs="Arial"/>
                <w:sz w:val="24"/>
              </w:rPr>
            </w:pPr>
          </w:p>
        </w:tc>
        <w:tc>
          <w:tcPr>
            <w:tcW w:w="590" w:type="pct"/>
            <w:vAlign w:val="center"/>
          </w:tcPr>
          <w:p w14:paraId="3A2CC88D">
            <w:pPr>
              <w:spacing w:line="400" w:lineRule="atLeast"/>
              <w:jc w:val="center"/>
              <w:rPr>
                <w:rFonts w:ascii="Arial" w:hAnsi="Arial" w:cs="Arial"/>
                <w:sz w:val="24"/>
              </w:rPr>
            </w:pPr>
          </w:p>
        </w:tc>
        <w:tc>
          <w:tcPr>
            <w:tcW w:w="521" w:type="pct"/>
            <w:vAlign w:val="center"/>
          </w:tcPr>
          <w:p w14:paraId="63168D7B">
            <w:pPr>
              <w:spacing w:line="400" w:lineRule="atLeast"/>
              <w:jc w:val="center"/>
              <w:rPr>
                <w:rFonts w:ascii="Arial" w:hAnsi="Arial" w:cs="Arial"/>
                <w:sz w:val="24"/>
              </w:rPr>
            </w:pPr>
          </w:p>
        </w:tc>
        <w:tc>
          <w:tcPr>
            <w:tcW w:w="458" w:type="pct"/>
            <w:vAlign w:val="center"/>
          </w:tcPr>
          <w:p w14:paraId="733E93BA">
            <w:pPr>
              <w:spacing w:line="400" w:lineRule="atLeast"/>
              <w:jc w:val="center"/>
              <w:rPr>
                <w:rFonts w:ascii="Arial" w:hAnsi="Arial" w:cs="Arial"/>
                <w:sz w:val="24"/>
              </w:rPr>
            </w:pPr>
          </w:p>
        </w:tc>
        <w:tc>
          <w:tcPr>
            <w:tcW w:w="372" w:type="pct"/>
            <w:vAlign w:val="center"/>
          </w:tcPr>
          <w:p w14:paraId="42B643ED">
            <w:pPr>
              <w:spacing w:line="400" w:lineRule="atLeast"/>
              <w:jc w:val="center"/>
              <w:rPr>
                <w:rFonts w:ascii="Arial" w:hAnsi="Arial" w:cs="Arial"/>
                <w:sz w:val="24"/>
              </w:rPr>
            </w:pPr>
          </w:p>
        </w:tc>
        <w:tc>
          <w:tcPr>
            <w:tcW w:w="508" w:type="pct"/>
            <w:vAlign w:val="center"/>
          </w:tcPr>
          <w:p w14:paraId="6558B097">
            <w:pPr>
              <w:spacing w:line="400" w:lineRule="atLeast"/>
              <w:jc w:val="center"/>
              <w:rPr>
                <w:rFonts w:ascii="Arial" w:hAnsi="Arial" w:cs="Arial"/>
                <w:sz w:val="24"/>
              </w:rPr>
            </w:pPr>
          </w:p>
        </w:tc>
        <w:tc>
          <w:tcPr>
            <w:tcW w:w="508" w:type="pct"/>
            <w:vAlign w:val="center"/>
          </w:tcPr>
          <w:p w14:paraId="167B745D">
            <w:pPr>
              <w:spacing w:line="400" w:lineRule="atLeast"/>
              <w:jc w:val="center"/>
              <w:rPr>
                <w:rFonts w:ascii="Arial" w:hAnsi="Arial" w:cs="Arial"/>
                <w:sz w:val="24"/>
              </w:rPr>
            </w:pPr>
          </w:p>
        </w:tc>
        <w:tc>
          <w:tcPr>
            <w:tcW w:w="508" w:type="pct"/>
            <w:vAlign w:val="center"/>
          </w:tcPr>
          <w:p w14:paraId="192BCFA8">
            <w:pPr>
              <w:spacing w:line="400" w:lineRule="atLeast"/>
              <w:jc w:val="center"/>
              <w:rPr>
                <w:rFonts w:ascii="Arial" w:hAnsi="Arial" w:cs="Arial"/>
                <w:sz w:val="24"/>
              </w:rPr>
            </w:pPr>
          </w:p>
        </w:tc>
        <w:tc>
          <w:tcPr>
            <w:tcW w:w="508" w:type="pct"/>
            <w:vAlign w:val="center"/>
          </w:tcPr>
          <w:p w14:paraId="40CA1887">
            <w:pPr>
              <w:spacing w:line="400" w:lineRule="atLeast"/>
              <w:jc w:val="center"/>
              <w:rPr>
                <w:rFonts w:ascii="Arial" w:hAnsi="Arial" w:cs="Arial"/>
                <w:sz w:val="24"/>
              </w:rPr>
            </w:pPr>
          </w:p>
        </w:tc>
      </w:tr>
      <w:tr w14:paraId="528CB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 w:hRule="atLeast"/>
        </w:trPr>
        <w:tc>
          <w:tcPr>
            <w:tcW w:w="338" w:type="pct"/>
            <w:vAlign w:val="center"/>
          </w:tcPr>
          <w:p w14:paraId="59508E9E">
            <w:pPr>
              <w:spacing w:line="400" w:lineRule="atLeast"/>
              <w:jc w:val="center"/>
              <w:rPr>
                <w:rFonts w:ascii="Arial" w:hAnsi="Arial" w:cs="Arial"/>
                <w:sz w:val="24"/>
              </w:rPr>
            </w:pPr>
          </w:p>
        </w:tc>
        <w:tc>
          <w:tcPr>
            <w:tcW w:w="2626" w:type="pct"/>
            <w:gridSpan w:val="5"/>
            <w:vAlign w:val="center"/>
          </w:tcPr>
          <w:p w14:paraId="027C2ABB">
            <w:pPr>
              <w:spacing w:line="400" w:lineRule="atLeast"/>
              <w:jc w:val="center"/>
              <w:rPr>
                <w:rFonts w:ascii="Arial" w:hAnsi="Arial" w:cs="Arial"/>
                <w:sz w:val="24"/>
              </w:rPr>
            </w:pPr>
            <w:r>
              <w:rPr>
                <w:rFonts w:hint="eastAsia" w:ascii="Arial" w:hAnsi="Arial" w:cs="Arial"/>
                <w:sz w:val="24"/>
              </w:rPr>
              <w:t>合计：</w:t>
            </w:r>
          </w:p>
        </w:tc>
        <w:tc>
          <w:tcPr>
            <w:tcW w:w="508" w:type="pct"/>
            <w:vAlign w:val="center"/>
          </w:tcPr>
          <w:p w14:paraId="707FE78D">
            <w:pPr>
              <w:spacing w:line="400" w:lineRule="atLeast"/>
              <w:jc w:val="center"/>
              <w:rPr>
                <w:rFonts w:ascii="Arial" w:hAnsi="Arial" w:cs="Arial"/>
                <w:sz w:val="24"/>
              </w:rPr>
            </w:pPr>
          </w:p>
        </w:tc>
        <w:tc>
          <w:tcPr>
            <w:tcW w:w="508" w:type="pct"/>
            <w:vAlign w:val="center"/>
          </w:tcPr>
          <w:p w14:paraId="75E2FF16">
            <w:pPr>
              <w:spacing w:line="400" w:lineRule="atLeast"/>
              <w:jc w:val="center"/>
              <w:rPr>
                <w:rFonts w:ascii="Arial" w:hAnsi="Arial" w:cs="Arial"/>
                <w:sz w:val="24"/>
              </w:rPr>
            </w:pPr>
          </w:p>
        </w:tc>
        <w:tc>
          <w:tcPr>
            <w:tcW w:w="508" w:type="pct"/>
            <w:vAlign w:val="center"/>
          </w:tcPr>
          <w:p w14:paraId="2060F14B">
            <w:pPr>
              <w:spacing w:line="400" w:lineRule="atLeast"/>
              <w:jc w:val="center"/>
              <w:rPr>
                <w:rFonts w:ascii="Arial" w:hAnsi="Arial" w:cs="Arial"/>
                <w:sz w:val="24"/>
              </w:rPr>
            </w:pPr>
          </w:p>
        </w:tc>
        <w:tc>
          <w:tcPr>
            <w:tcW w:w="508" w:type="pct"/>
            <w:vAlign w:val="center"/>
          </w:tcPr>
          <w:p w14:paraId="42159F4A">
            <w:pPr>
              <w:spacing w:line="400" w:lineRule="atLeast"/>
              <w:jc w:val="center"/>
              <w:rPr>
                <w:rFonts w:ascii="Arial" w:hAnsi="Arial" w:cs="Arial"/>
                <w:sz w:val="24"/>
              </w:rPr>
            </w:pPr>
          </w:p>
        </w:tc>
      </w:tr>
    </w:tbl>
    <w:p w14:paraId="7BC62724">
      <w:pPr>
        <w:spacing w:line="400" w:lineRule="atLeast"/>
        <w:rPr>
          <w:rFonts w:ascii="Arial" w:hAnsi="Arial" w:cs="Arial"/>
          <w:sz w:val="24"/>
        </w:rPr>
      </w:pPr>
    </w:p>
    <w:p w14:paraId="7BD8930D">
      <w:pPr>
        <w:spacing w:line="400" w:lineRule="atLeast"/>
        <w:ind w:left="2880" w:hanging="2880"/>
        <w:jc w:val="left"/>
        <w:rPr>
          <w:rFonts w:ascii="Arial" w:hAnsi="Arial" w:cs="Arial"/>
          <w:sz w:val="24"/>
        </w:rPr>
      </w:pPr>
      <w:r>
        <w:rPr>
          <w:rFonts w:hint="eastAsia" w:ascii="Arial" w:hAnsi="Arial" w:cs="Arial"/>
          <w:sz w:val="24"/>
        </w:rPr>
        <w:t>注：1.按照谈判文件第三部分（所参加的标项）内容进行逐项填写，不得缺项漏项。</w:t>
      </w:r>
    </w:p>
    <w:p w14:paraId="3E8E470B">
      <w:pPr>
        <w:spacing w:line="400" w:lineRule="atLeast"/>
        <w:ind w:firstLine="480" w:firstLineChars="200"/>
        <w:rPr>
          <w:rFonts w:ascii="Arial" w:hAnsi="Arial" w:cs="Arial"/>
          <w:sz w:val="24"/>
        </w:rPr>
      </w:pPr>
      <w:r>
        <w:rPr>
          <w:rFonts w:hint="eastAsia" w:ascii="Arial" w:hAnsi="Arial" w:cs="Arial"/>
          <w:sz w:val="24"/>
        </w:rPr>
        <w:t>2.当开启最终轮报价时，供应商须提供最终报价的分项报价作为附件上传至政采云平台。</w:t>
      </w:r>
    </w:p>
    <w:p w14:paraId="73484B6F">
      <w:pPr>
        <w:spacing w:line="400" w:lineRule="atLeast"/>
        <w:ind w:left="2880" w:hanging="2880"/>
        <w:rPr>
          <w:rFonts w:ascii="Arial" w:hAnsi="Arial" w:cs="Arial"/>
          <w:sz w:val="24"/>
        </w:rPr>
      </w:pPr>
    </w:p>
    <w:p w14:paraId="3782C461">
      <w:pPr>
        <w:spacing w:line="400" w:lineRule="atLeast"/>
        <w:ind w:left="2880" w:hanging="2880"/>
        <w:rPr>
          <w:rFonts w:ascii="Arial" w:hAnsi="Arial" w:cs="Arial"/>
          <w:sz w:val="24"/>
        </w:rPr>
      </w:pPr>
    </w:p>
    <w:p w14:paraId="2EB49C2C">
      <w:pPr>
        <w:tabs>
          <w:tab w:val="left" w:pos="9135"/>
        </w:tabs>
        <w:spacing w:line="400" w:lineRule="atLeast"/>
        <w:rPr>
          <w:rFonts w:hint="eastAsia" w:ascii="宋体" w:hAnsi="宋体" w:cs="微软雅黑"/>
          <w:kern w:val="0"/>
          <w:position w:val="-2"/>
          <w:szCs w:val="21"/>
        </w:rPr>
      </w:pPr>
    </w:p>
    <w:p w14:paraId="61D82324">
      <w:pPr>
        <w:tabs>
          <w:tab w:val="left" w:pos="9135"/>
        </w:tabs>
        <w:spacing w:line="400" w:lineRule="atLeast"/>
        <w:ind w:firstLine="1920" w:firstLineChars="800"/>
        <w:rPr>
          <w:rFonts w:ascii="Arial" w:hAnsi="Arial" w:cs="Arial"/>
          <w:sz w:val="24"/>
        </w:rPr>
      </w:pPr>
      <w:r>
        <w:rPr>
          <w:rFonts w:hint="eastAsia" w:ascii="Arial" w:hAnsi="Arial" w:cs="Arial"/>
          <w:sz w:val="24"/>
        </w:rPr>
        <w:t>供应商名称：</w:t>
      </w:r>
      <w:r>
        <w:rPr>
          <w:rFonts w:hint="eastAsia" w:ascii="Arial" w:hAnsi="Arial" w:cs="Arial"/>
          <w:sz w:val="24"/>
          <w:u w:val="single"/>
        </w:rPr>
        <w:t xml:space="preserve">                            </w:t>
      </w:r>
      <w:r>
        <w:rPr>
          <w:rFonts w:hint="eastAsia" w:ascii="Arial" w:hAnsi="Arial" w:cs="Arial"/>
          <w:sz w:val="24"/>
        </w:rPr>
        <w:t xml:space="preserve"> （盖单位章）</w:t>
      </w:r>
    </w:p>
    <w:p w14:paraId="3BC91025">
      <w:pPr>
        <w:tabs>
          <w:tab w:val="left" w:pos="9135"/>
        </w:tabs>
        <w:spacing w:line="400" w:lineRule="atLeast"/>
        <w:ind w:firstLine="1920" w:firstLineChars="800"/>
        <w:rPr>
          <w:rFonts w:ascii="Arial" w:hAnsi="Arial" w:cs="Arial"/>
          <w:sz w:val="24"/>
        </w:rPr>
      </w:pPr>
      <w:r>
        <w:rPr>
          <w:rFonts w:hint="eastAsia" w:ascii="Arial" w:hAnsi="Arial" w:cs="Arial"/>
          <w:sz w:val="24"/>
        </w:rPr>
        <w:t>供应商法定代表人或授权代表</w:t>
      </w:r>
      <w:r>
        <w:rPr>
          <w:rFonts w:ascii="Arial" w:hAnsi="Arial" w:cs="Arial"/>
          <w:sz w:val="24"/>
        </w:rPr>
        <w:t>：</w:t>
      </w:r>
      <w:r>
        <w:rPr>
          <w:rFonts w:ascii="Arial" w:hAnsi="Arial" w:cs="Arial"/>
          <w:sz w:val="24"/>
          <w:u w:val="single"/>
        </w:rPr>
        <w:t>　　　　　　　　　</w:t>
      </w:r>
      <w:r>
        <w:rPr>
          <w:rFonts w:hint="eastAsia" w:ascii="Arial" w:hAnsi="Arial" w:cs="Arial"/>
          <w:sz w:val="24"/>
        </w:rPr>
        <w:t>（签字或盖章）</w:t>
      </w:r>
    </w:p>
    <w:p w14:paraId="2B7D1CC8">
      <w:pPr>
        <w:pStyle w:val="2"/>
        <w:ind w:firstLine="1920" w:firstLineChars="800"/>
      </w:pPr>
      <w:r>
        <w:rPr>
          <w:rFonts w:hint="eastAsia" w:cs="Arial"/>
        </w:rPr>
        <w:t>日期：　 年　月　日</w:t>
      </w:r>
    </w:p>
    <w:p w14:paraId="79C5E71D">
      <w:pPr>
        <w:jc w:val="center"/>
        <w:rPr>
          <w:rFonts w:hint="eastAsia" w:ascii="宋体" w:hAnsi="宋体"/>
          <w:b/>
          <w:sz w:val="24"/>
          <w:szCs w:val="24"/>
        </w:rPr>
      </w:pPr>
    </w:p>
    <w:p w14:paraId="38404829">
      <w:pPr>
        <w:jc w:val="center"/>
        <w:rPr>
          <w:rFonts w:hint="eastAsia" w:ascii="宋体" w:hAnsi="宋体"/>
          <w:b/>
          <w:sz w:val="24"/>
          <w:szCs w:val="24"/>
        </w:rPr>
      </w:pPr>
    </w:p>
    <w:p w14:paraId="151D13DB">
      <w:pPr>
        <w:jc w:val="center"/>
        <w:outlineLvl w:val="1"/>
        <w:rPr>
          <w:rFonts w:hint="eastAsia" w:ascii="宋体" w:hAnsi="宋体"/>
          <w:b/>
          <w:sz w:val="24"/>
          <w:szCs w:val="24"/>
        </w:rPr>
      </w:pPr>
      <w:r>
        <w:rPr>
          <w:rFonts w:ascii="宋体" w:hAnsi="宋体"/>
          <w:b/>
          <w:sz w:val="24"/>
          <w:szCs w:val="24"/>
        </w:rPr>
        <w:br w:type="page"/>
      </w:r>
      <w:bookmarkStart w:id="69" w:name="_Toc7967"/>
      <w:r>
        <w:rPr>
          <w:rFonts w:ascii="宋体" w:hAnsi="宋体"/>
          <w:b/>
          <w:sz w:val="24"/>
          <w:szCs w:val="24"/>
        </w:rPr>
        <w:t>4</w:t>
      </w:r>
      <w:r>
        <w:rPr>
          <w:rFonts w:hint="eastAsia" w:ascii="宋体" w:hAnsi="宋体"/>
          <w:b/>
          <w:sz w:val="24"/>
          <w:szCs w:val="24"/>
        </w:rPr>
        <w:t>、法定代表人身份证明书</w:t>
      </w:r>
      <w:bookmarkEnd w:id="69"/>
    </w:p>
    <w:p w14:paraId="178F6C90">
      <w:pPr>
        <w:jc w:val="left"/>
        <w:rPr>
          <w:rFonts w:hint="eastAsia" w:ascii="宋体" w:hAnsi="宋体"/>
          <w:sz w:val="24"/>
          <w:szCs w:val="24"/>
        </w:rPr>
      </w:pPr>
    </w:p>
    <w:p w14:paraId="74448609">
      <w:pPr>
        <w:jc w:val="center"/>
        <w:rPr>
          <w:rFonts w:hint="eastAsia" w:ascii="宋体" w:hAnsi="宋体"/>
          <w:bCs/>
          <w:color w:val="000000"/>
        </w:rPr>
      </w:pPr>
    </w:p>
    <w:p w14:paraId="03D6EA2E">
      <w:pPr>
        <w:rPr>
          <w:rFonts w:hint="eastAsia" w:ascii="宋体" w:hAnsi="宋体"/>
          <w:bCs/>
          <w:color w:val="000000"/>
          <w:sz w:val="24"/>
          <w:szCs w:val="22"/>
          <w:u w:val="single"/>
        </w:rPr>
      </w:pPr>
      <w:r>
        <w:rPr>
          <w:rFonts w:hint="eastAsia" w:ascii="宋体" w:hAnsi="宋体"/>
          <w:bCs/>
          <w:color w:val="000000"/>
          <w:sz w:val="24"/>
          <w:szCs w:val="22"/>
        </w:rPr>
        <w:t>单位名称：</w:t>
      </w:r>
      <w:r>
        <w:rPr>
          <w:rFonts w:hint="eastAsia" w:ascii="宋体" w:hAnsi="宋体"/>
          <w:bCs/>
          <w:color w:val="000000"/>
          <w:sz w:val="24"/>
          <w:szCs w:val="22"/>
          <w:u w:val="single"/>
        </w:rPr>
        <w:t xml:space="preserve">                                                   </w:t>
      </w:r>
    </w:p>
    <w:p w14:paraId="66E29131">
      <w:pPr>
        <w:rPr>
          <w:rFonts w:hint="eastAsia" w:ascii="宋体" w:hAnsi="宋体"/>
          <w:bCs/>
          <w:color w:val="000000"/>
          <w:sz w:val="24"/>
          <w:szCs w:val="22"/>
          <w:u w:val="single"/>
        </w:rPr>
      </w:pPr>
      <w:r>
        <w:rPr>
          <w:rFonts w:hint="eastAsia" w:ascii="宋体" w:hAnsi="宋体"/>
          <w:bCs/>
          <w:color w:val="000000"/>
          <w:sz w:val="24"/>
          <w:szCs w:val="22"/>
        </w:rPr>
        <w:t>企业类型：</w:t>
      </w:r>
      <w:r>
        <w:rPr>
          <w:rFonts w:hint="eastAsia" w:ascii="宋体" w:hAnsi="宋体"/>
          <w:bCs/>
          <w:color w:val="000000"/>
          <w:sz w:val="24"/>
          <w:szCs w:val="22"/>
          <w:u w:val="single"/>
        </w:rPr>
        <w:t xml:space="preserve">                                                   </w:t>
      </w:r>
    </w:p>
    <w:p w14:paraId="1CE904A2">
      <w:pPr>
        <w:rPr>
          <w:rFonts w:hint="eastAsia" w:ascii="宋体" w:hAnsi="宋体"/>
          <w:bCs/>
          <w:color w:val="000000"/>
          <w:sz w:val="24"/>
          <w:szCs w:val="22"/>
          <w:u w:val="single"/>
        </w:rPr>
      </w:pPr>
      <w:r>
        <w:rPr>
          <w:rFonts w:hint="eastAsia" w:ascii="宋体" w:hAnsi="宋体"/>
          <w:bCs/>
          <w:color w:val="000000"/>
          <w:sz w:val="24"/>
          <w:szCs w:val="22"/>
        </w:rPr>
        <w:t>地    址：</w:t>
      </w:r>
      <w:r>
        <w:rPr>
          <w:rFonts w:hint="eastAsia" w:ascii="宋体" w:hAnsi="宋体"/>
          <w:bCs/>
          <w:color w:val="000000"/>
          <w:sz w:val="24"/>
          <w:szCs w:val="22"/>
          <w:u w:val="single"/>
        </w:rPr>
        <w:t xml:space="preserve">                                                   </w:t>
      </w:r>
    </w:p>
    <w:p w14:paraId="326369AF">
      <w:pPr>
        <w:rPr>
          <w:rFonts w:hint="eastAsia" w:ascii="宋体" w:hAnsi="宋体"/>
          <w:bCs/>
          <w:color w:val="000000"/>
          <w:sz w:val="24"/>
          <w:szCs w:val="22"/>
          <w:u w:val="single"/>
        </w:rPr>
      </w:pPr>
      <w:r>
        <w:rPr>
          <w:rFonts w:hint="eastAsia" w:ascii="宋体" w:hAnsi="宋体"/>
          <w:bCs/>
          <w:color w:val="000000"/>
          <w:sz w:val="24"/>
          <w:szCs w:val="22"/>
        </w:rPr>
        <w:t>营业期限：</w:t>
      </w:r>
      <w:r>
        <w:rPr>
          <w:rFonts w:hint="eastAsia" w:ascii="宋体" w:hAnsi="宋体"/>
          <w:bCs/>
          <w:color w:val="000000"/>
          <w:sz w:val="24"/>
          <w:szCs w:val="22"/>
          <w:u w:val="single"/>
        </w:rPr>
        <w:t xml:space="preserve">                                                   </w:t>
      </w:r>
    </w:p>
    <w:p w14:paraId="2ADA2635">
      <w:pPr>
        <w:rPr>
          <w:rFonts w:hint="eastAsia" w:ascii="宋体" w:hAnsi="宋体"/>
          <w:bCs/>
          <w:color w:val="000000"/>
          <w:sz w:val="24"/>
          <w:szCs w:val="22"/>
          <w:u w:val="single"/>
        </w:rPr>
      </w:pPr>
      <w:r>
        <w:rPr>
          <w:rFonts w:hint="eastAsia" w:ascii="宋体" w:hAnsi="宋体"/>
          <w:bCs/>
          <w:color w:val="000000"/>
          <w:sz w:val="24"/>
          <w:szCs w:val="22"/>
        </w:rPr>
        <w:t>成立时间：</w:t>
      </w:r>
      <w:r>
        <w:rPr>
          <w:rFonts w:hint="eastAsia" w:ascii="宋体" w:hAnsi="宋体"/>
          <w:bCs/>
          <w:color w:val="000000"/>
          <w:sz w:val="24"/>
          <w:szCs w:val="22"/>
          <w:u w:val="single"/>
        </w:rPr>
        <w:t xml:space="preserve">                                                   </w:t>
      </w:r>
    </w:p>
    <w:p w14:paraId="0DF88B9C">
      <w:pPr>
        <w:rPr>
          <w:rFonts w:hint="eastAsia" w:ascii="宋体" w:hAnsi="宋体"/>
          <w:bCs/>
          <w:color w:val="000000"/>
          <w:sz w:val="24"/>
          <w:szCs w:val="22"/>
          <w:u w:val="single"/>
        </w:rPr>
      </w:pPr>
    </w:p>
    <w:p w14:paraId="131096AC">
      <w:pPr>
        <w:rPr>
          <w:rFonts w:hint="eastAsia" w:ascii="宋体" w:hAnsi="宋体"/>
          <w:bCs/>
          <w:color w:val="000000"/>
          <w:sz w:val="24"/>
          <w:szCs w:val="22"/>
          <w:u w:val="single"/>
        </w:rPr>
      </w:pPr>
      <w:r>
        <w:rPr>
          <w:rFonts w:hint="eastAsia" w:ascii="宋体" w:hAnsi="宋体"/>
          <w:bCs/>
          <w:color w:val="000000"/>
          <w:sz w:val="24"/>
          <w:szCs w:val="22"/>
        </w:rPr>
        <w:t>姓名：</w:t>
      </w:r>
      <w:r>
        <w:rPr>
          <w:rFonts w:hint="eastAsia" w:ascii="宋体" w:hAnsi="宋体"/>
          <w:bCs/>
          <w:color w:val="000000"/>
          <w:sz w:val="24"/>
          <w:szCs w:val="22"/>
          <w:u w:val="single"/>
        </w:rPr>
        <w:t xml:space="preserve">              </w:t>
      </w:r>
      <w:r>
        <w:rPr>
          <w:rFonts w:hint="eastAsia" w:ascii="宋体" w:hAnsi="宋体"/>
          <w:bCs/>
          <w:color w:val="000000"/>
          <w:sz w:val="24"/>
          <w:szCs w:val="22"/>
        </w:rPr>
        <w:t xml:space="preserve">   性别：</w:t>
      </w:r>
      <w:r>
        <w:rPr>
          <w:rFonts w:hint="eastAsia" w:ascii="宋体" w:hAnsi="宋体"/>
          <w:bCs/>
          <w:color w:val="000000"/>
          <w:sz w:val="24"/>
          <w:szCs w:val="22"/>
          <w:u w:val="single"/>
        </w:rPr>
        <w:t xml:space="preserve">              </w:t>
      </w:r>
      <w:r>
        <w:rPr>
          <w:rFonts w:hint="eastAsia" w:ascii="宋体" w:hAnsi="宋体"/>
          <w:bCs/>
          <w:color w:val="000000"/>
          <w:sz w:val="24"/>
          <w:szCs w:val="22"/>
        </w:rPr>
        <w:t xml:space="preserve">   年龄：</w:t>
      </w:r>
      <w:r>
        <w:rPr>
          <w:rFonts w:hint="eastAsia" w:ascii="宋体" w:hAnsi="宋体"/>
          <w:bCs/>
          <w:color w:val="000000"/>
          <w:sz w:val="24"/>
          <w:szCs w:val="22"/>
          <w:u w:val="single"/>
        </w:rPr>
        <w:t xml:space="preserve">              </w:t>
      </w:r>
      <w:r>
        <w:rPr>
          <w:rFonts w:hint="eastAsia" w:ascii="宋体" w:hAnsi="宋体"/>
          <w:bCs/>
          <w:color w:val="000000"/>
          <w:sz w:val="24"/>
          <w:szCs w:val="22"/>
        </w:rPr>
        <w:t xml:space="preserve">  职务：</w:t>
      </w:r>
      <w:r>
        <w:rPr>
          <w:rFonts w:hint="eastAsia" w:ascii="宋体" w:hAnsi="宋体"/>
          <w:bCs/>
          <w:color w:val="000000"/>
          <w:sz w:val="24"/>
          <w:szCs w:val="22"/>
          <w:u w:val="single"/>
        </w:rPr>
        <w:t xml:space="preserve">        </w:t>
      </w:r>
    </w:p>
    <w:p w14:paraId="7E710465">
      <w:pPr>
        <w:rPr>
          <w:rFonts w:hint="eastAsia" w:ascii="宋体" w:hAnsi="宋体"/>
          <w:bCs/>
          <w:color w:val="000000"/>
        </w:rPr>
      </w:pPr>
      <w:r>
        <w:rPr>
          <w:rFonts w:hint="eastAsia" w:ascii="宋体" w:hAnsi="宋体"/>
          <w:bCs/>
          <w:color w:val="000000"/>
          <w:sz w:val="24"/>
          <w:szCs w:val="22"/>
        </w:rPr>
        <w:t xml:space="preserve">系 </w:t>
      </w:r>
      <w:r>
        <w:rPr>
          <w:rFonts w:hint="eastAsia" w:ascii="宋体" w:hAnsi="宋体"/>
          <w:bCs/>
          <w:color w:val="000000"/>
          <w:sz w:val="24"/>
          <w:szCs w:val="22"/>
          <w:u w:val="single"/>
        </w:rPr>
        <w:t xml:space="preserve">         （供应商名称）               </w:t>
      </w:r>
      <w:r>
        <w:rPr>
          <w:rFonts w:hint="eastAsia" w:ascii="宋体" w:hAnsi="宋体"/>
          <w:bCs/>
          <w:color w:val="000000"/>
          <w:sz w:val="24"/>
          <w:szCs w:val="22"/>
        </w:rPr>
        <w:t>的法定代表人。</w:t>
      </w:r>
    </w:p>
    <w:p w14:paraId="50C29492">
      <w:pPr>
        <w:rPr>
          <w:rFonts w:hint="eastAsia" w:ascii="宋体" w:hAnsi="宋体"/>
          <w:bCs/>
          <w:color w:val="000000"/>
        </w:rPr>
      </w:pPr>
    </w:p>
    <w:p w14:paraId="53CA84DF">
      <w:pPr>
        <w:rPr>
          <w:rFonts w:hint="eastAsia" w:ascii="宋体" w:hAnsi="宋体"/>
          <w:bCs/>
          <w:color w:val="000000"/>
        </w:rPr>
      </w:pPr>
    </w:p>
    <w:tbl>
      <w:tblPr>
        <w:tblStyle w:val="78"/>
        <w:tblW w:w="61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02"/>
      </w:tblGrid>
      <w:tr w14:paraId="245E5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8" w:hRule="atLeast"/>
          <w:jc w:val="center"/>
        </w:trPr>
        <w:tc>
          <w:tcPr>
            <w:tcW w:w="6102" w:type="dxa"/>
          </w:tcPr>
          <w:p w14:paraId="1B584511">
            <w:pPr>
              <w:spacing w:line="440" w:lineRule="exact"/>
              <w:jc w:val="left"/>
              <w:rPr>
                <w:rFonts w:hint="eastAsia" w:ascii="宋体" w:hAnsi="宋体"/>
                <w:sz w:val="24"/>
              </w:rPr>
            </w:pPr>
            <w:r>
              <w:rPr>
                <w:rFonts w:hint="eastAsia" w:ascii="宋体" w:hAnsi="宋体"/>
                <w:sz w:val="24"/>
              </w:rPr>
              <w:t>法定代表人身份证（正反面）</w:t>
            </w:r>
          </w:p>
        </w:tc>
      </w:tr>
    </w:tbl>
    <w:p w14:paraId="538D8E37">
      <w:pPr>
        <w:rPr>
          <w:rFonts w:hint="eastAsia" w:ascii="宋体" w:hAnsi="宋体"/>
          <w:bCs/>
          <w:color w:val="000000"/>
        </w:rPr>
      </w:pPr>
    </w:p>
    <w:p w14:paraId="7895B8E8">
      <w:pPr>
        <w:rPr>
          <w:rFonts w:hint="eastAsia" w:ascii="宋体" w:hAnsi="宋体"/>
          <w:bCs/>
          <w:color w:val="000000"/>
        </w:rPr>
      </w:pPr>
    </w:p>
    <w:p w14:paraId="22E38FD3">
      <w:pPr>
        <w:rPr>
          <w:rFonts w:hint="eastAsia" w:ascii="宋体" w:hAnsi="宋体"/>
          <w:bCs/>
          <w:color w:val="000000"/>
          <w:sz w:val="24"/>
          <w:szCs w:val="22"/>
        </w:rPr>
      </w:pPr>
      <w:r>
        <w:rPr>
          <w:rFonts w:hint="eastAsia" w:ascii="宋体" w:hAnsi="宋体"/>
          <w:bCs/>
          <w:color w:val="000000"/>
          <w:sz w:val="24"/>
          <w:szCs w:val="22"/>
        </w:rPr>
        <w:t>特此证明。</w:t>
      </w:r>
    </w:p>
    <w:p w14:paraId="0F1148BA">
      <w:pPr>
        <w:rPr>
          <w:rFonts w:hint="eastAsia" w:ascii="宋体" w:hAnsi="宋体"/>
          <w:bCs/>
          <w:color w:val="000000"/>
        </w:rPr>
      </w:pPr>
    </w:p>
    <w:p w14:paraId="251FCE74">
      <w:pPr>
        <w:wordWrap w:val="0"/>
        <w:jc w:val="right"/>
        <w:rPr>
          <w:rFonts w:hint="eastAsia" w:ascii="宋体" w:hAnsi="宋体"/>
          <w:bCs/>
          <w:color w:val="000000"/>
          <w:sz w:val="24"/>
          <w:szCs w:val="24"/>
          <w:u w:val="single"/>
        </w:rPr>
      </w:pPr>
      <w:r>
        <w:rPr>
          <w:rFonts w:hint="eastAsia" w:ascii="宋体" w:hAnsi="宋体"/>
          <w:bCs/>
          <w:color w:val="000000"/>
          <w:sz w:val="24"/>
          <w:szCs w:val="24"/>
        </w:rPr>
        <w:t>供应商：</w:t>
      </w:r>
      <w:r>
        <w:rPr>
          <w:rFonts w:hint="eastAsia" w:ascii="宋体" w:hAnsi="宋体"/>
          <w:bCs/>
          <w:color w:val="000000"/>
          <w:sz w:val="24"/>
          <w:szCs w:val="24"/>
          <w:u w:val="single"/>
        </w:rPr>
        <w:t xml:space="preserve">                      </w:t>
      </w:r>
      <w:r>
        <w:rPr>
          <w:rFonts w:hint="eastAsia" w:ascii="宋体" w:hAnsi="宋体"/>
          <w:bCs/>
          <w:color w:val="000000"/>
          <w:sz w:val="24"/>
          <w:szCs w:val="24"/>
        </w:rPr>
        <w:t>（盖章）</w:t>
      </w:r>
    </w:p>
    <w:p w14:paraId="50400B89">
      <w:pPr>
        <w:jc w:val="right"/>
        <w:rPr>
          <w:rFonts w:cs="Arial"/>
          <w:sz w:val="24"/>
          <w:szCs w:val="24"/>
        </w:rPr>
      </w:pPr>
      <w:r>
        <w:rPr>
          <w:rFonts w:hint="eastAsia" w:ascii="宋体" w:hAnsi="宋体"/>
          <w:bCs/>
          <w:color w:val="000000"/>
          <w:sz w:val="24"/>
          <w:szCs w:val="24"/>
        </w:rPr>
        <w:t>日  期：</w:t>
      </w:r>
      <w:r>
        <w:rPr>
          <w:rFonts w:hint="eastAsia" w:ascii="宋体" w:hAnsi="宋体"/>
          <w:bCs/>
          <w:color w:val="000000"/>
          <w:sz w:val="24"/>
          <w:szCs w:val="24"/>
          <w:u w:val="single"/>
        </w:rPr>
        <w:t xml:space="preserve">        </w:t>
      </w:r>
      <w:r>
        <w:rPr>
          <w:rFonts w:hint="eastAsia" w:ascii="宋体" w:hAnsi="宋体"/>
          <w:bCs/>
          <w:color w:val="000000"/>
          <w:sz w:val="24"/>
          <w:szCs w:val="24"/>
        </w:rPr>
        <w:t>年</w:t>
      </w:r>
      <w:r>
        <w:rPr>
          <w:rFonts w:hint="eastAsia" w:ascii="宋体" w:hAnsi="宋体"/>
          <w:bCs/>
          <w:color w:val="000000"/>
          <w:sz w:val="24"/>
          <w:szCs w:val="24"/>
          <w:u w:val="single"/>
        </w:rPr>
        <w:t xml:space="preserve">        </w:t>
      </w:r>
      <w:r>
        <w:rPr>
          <w:rFonts w:hint="eastAsia" w:ascii="宋体" w:hAnsi="宋体"/>
          <w:bCs/>
          <w:color w:val="000000"/>
          <w:sz w:val="24"/>
          <w:szCs w:val="24"/>
        </w:rPr>
        <w:t>月</w:t>
      </w:r>
      <w:r>
        <w:rPr>
          <w:rFonts w:hint="eastAsia" w:ascii="宋体" w:hAnsi="宋体"/>
          <w:bCs/>
          <w:color w:val="000000"/>
          <w:sz w:val="24"/>
          <w:szCs w:val="24"/>
          <w:u w:val="single"/>
        </w:rPr>
        <w:t xml:space="preserve">        </w:t>
      </w:r>
      <w:r>
        <w:rPr>
          <w:rFonts w:hint="eastAsia" w:ascii="宋体" w:hAnsi="宋体"/>
          <w:bCs/>
          <w:color w:val="000000"/>
          <w:sz w:val="24"/>
          <w:szCs w:val="24"/>
        </w:rPr>
        <w:t>日</w:t>
      </w:r>
    </w:p>
    <w:p w14:paraId="440766FA">
      <w:pPr>
        <w:jc w:val="center"/>
        <w:outlineLvl w:val="1"/>
        <w:rPr>
          <w:rFonts w:hint="eastAsia" w:ascii="宋体" w:hAnsi="宋体"/>
          <w:sz w:val="24"/>
          <w:szCs w:val="24"/>
        </w:rPr>
      </w:pPr>
      <w:r>
        <w:rPr>
          <w:rFonts w:ascii="宋体" w:hAnsi="宋体"/>
          <w:sz w:val="24"/>
          <w:szCs w:val="24"/>
        </w:rPr>
        <w:br w:type="page"/>
      </w:r>
      <w:bookmarkStart w:id="70" w:name="_Toc14740"/>
      <w:r>
        <w:rPr>
          <w:rFonts w:ascii="宋体" w:hAnsi="宋体"/>
          <w:b/>
          <w:sz w:val="24"/>
          <w:szCs w:val="24"/>
        </w:rPr>
        <w:t>5</w:t>
      </w:r>
      <w:r>
        <w:rPr>
          <w:rFonts w:hint="eastAsia" w:ascii="宋体" w:hAnsi="宋体"/>
          <w:b/>
          <w:sz w:val="24"/>
          <w:szCs w:val="24"/>
        </w:rPr>
        <w:t>、法</w:t>
      </w:r>
      <w:r>
        <w:rPr>
          <w:rFonts w:hint="eastAsia" w:ascii="宋体" w:hAnsi="宋体"/>
          <w:b/>
          <w:bCs/>
          <w:sz w:val="24"/>
          <w:szCs w:val="24"/>
        </w:rPr>
        <w:t>定代表人授权委托书</w:t>
      </w:r>
      <w:bookmarkEnd w:id="70"/>
    </w:p>
    <w:p w14:paraId="6B066759">
      <w:pPr>
        <w:jc w:val="center"/>
        <w:rPr>
          <w:rFonts w:hint="eastAsia" w:ascii="宋体" w:hAnsi="宋体"/>
          <w:b/>
          <w:sz w:val="24"/>
          <w:szCs w:val="24"/>
        </w:rPr>
      </w:pPr>
    </w:p>
    <w:p w14:paraId="6FB7BC10">
      <w:pPr>
        <w:spacing w:line="440" w:lineRule="exact"/>
        <w:ind w:firstLine="480" w:firstLineChars="200"/>
        <w:jc w:val="left"/>
        <w:rPr>
          <w:rFonts w:hint="eastAsia" w:ascii="宋体" w:hAnsi="宋体"/>
          <w:sz w:val="24"/>
          <w:szCs w:val="24"/>
        </w:rPr>
      </w:pPr>
      <w:r>
        <w:rPr>
          <w:rFonts w:hint="eastAsia" w:ascii="宋体" w:hAnsi="宋体"/>
          <w:sz w:val="24"/>
          <w:szCs w:val="24"/>
        </w:rPr>
        <w:t>本授权书声明：注册于</w:t>
      </w:r>
      <w:r>
        <w:rPr>
          <w:rFonts w:hint="eastAsia" w:ascii="宋体" w:hAnsi="宋体"/>
          <w:sz w:val="24"/>
          <w:szCs w:val="24"/>
          <w:u w:val="single"/>
        </w:rPr>
        <w:t>（地区的名称</w:t>
      </w:r>
      <w:r>
        <w:rPr>
          <w:rFonts w:hint="eastAsia" w:ascii="宋体" w:hAnsi="宋体"/>
          <w:sz w:val="24"/>
          <w:szCs w:val="24"/>
        </w:rPr>
        <w:t>）的</w:t>
      </w:r>
      <w:r>
        <w:rPr>
          <w:rFonts w:hint="eastAsia" w:ascii="宋体" w:hAnsi="宋体"/>
          <w:sz w:val="24"/>
          <w:szCs w:val="24"/>
          <w:u w:val="single"/>
        </w:rPr>
        <w:t>（公司名称</w:t>
      </w:r>
      <w:r>
        <w:rPr>
          <w:rFonts w:hint="eastAsia" w:ascii="宋体" w:hAnsi="宋体"/>
          <w:sz w:val="24"/>
          <w:szCs w:val="24"/>
        </w:rPr>
        <w:t xml:space="preserve">），在下面签字的法人代表 </w:t>
      </w:r>
      <w:r>
        <w:rPr>
          <w:rFonts w:hint="eastAsia" w:ascii="宋体" w:hAnsi="宋体"/>
          <w:sz w:val="24"/>
          <w:szCs w:val="24"/>
          <w:u w:val="single"/>
        </w:rPr>
        <w:t>（姓名、职务</w:t>
      </w:r>
      <w:r>
        <w:rPr>
          <w:rFonts w:hint="eastAsia" w:ascii="宋体" w:hAnsi="宋体"/>
          <w:sz w:val="24"/>
          <w:szCs w:val="24"/>
        </w:rPr>
        <w:t>），代表本公司授权在下面签字的</w:t>
      </w:r>
      <w:r>
        <w:rPr>
          <w:rFonts w:hint="eastAsia" w:ascii="宋体" w:hAnsi="宋体"/>
          <w:sz w:val="24"/>
          <w:szCs w:val="24"/>
          <w:u w:val="single"/>
        </w:rPr>
        <w:t>（被授权人的姓名、职务</w:t>
      </w:r>
      <w:r>
        <w:rPr>
          <w:rFonts w:hint="eastAsia" w:ascii="宋体" w:hAnsi="宋体"/>
          <w:sz w:val="24"/>
          <w:szCs w:val="24"/>
        </w:rPr>
        <w:t>）为本公司的合法代理人，就</w:t>
      </w:r>
      <w:r>
        <w:rPr>
          <w:rFonts w:hint="eastAsia" w:ascii="宋体" w:hAnsi="宋体"/>
          <w:sz w:val="24"/>
          <w:szCs w:val="24"/>
          <w:u w:val="single"/>
        </w:rPr>
        <w:t xml:space="preserve">（项目编号+项目名称） </w:t>
      </w:r>
      <w:r>
        <w:rPr>
          <w:rFonts w:hint="eastAsia" w:ascii="宋体" w:hAnsi="宋体"/>
          <w:sz w:val="24"/>
          <w:szCs w:val="24"/>
        </w:rPr>
        <w:t>的谈判响应，以本公司的名义处理一切与之有关的事物。</w:t>
      </w:r>
    </w:p>
    <w:p w14:paraId="76B6A007">
      <w:pPr>
        <w:spacing w:line="440" w:lineRule="exact"/>
        <w:jc w:val="left"/>
        <w:rPr>
          <w:rFonts w:hint="eastAsia" w:ascii="宋体" w:hAnsi="宋体"/>
          <w:sz w:val="24"/>
          <w:szCs w:val="24"/>
        </w:rPr>
      </w:pPr>
    </w:p>
    <w:p w14:paraId="5726343D">
      <w:pPr>
        <w:spacing w:line="440" w:lineRule="exact"/>
        <w:jc w:val="left"/>
        <w:rPr>
          <w:rFonts w:hint="eastAsia" w:ascii="宋体" w:hAnsi="宋体"/>
          <w:sz w:val="24"/>
          <w:szCs w:val="24"/>
        </w:rPr>
      </w:pPr>
      <w:r>
        <w:rPr>
          <w:rFonts w:hint="eastAsia" w:ascii="宋体" w:hAnsi="宋体"/>
          <w:sz w:val="24"/>
          <w:szCs w:val="24"/>
        </w:rPr>
        <w:t>本授权书于</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日签字生效，特此声明！</w:t>
      </w:r>
    </w:p>
    <w:p w14:paraId="6FAEE033">
      <w:pPr>
        <w:spacing w:line="440" w:lineRule="exact"/>
        <w:jc w:val="left"/>
        <w:rPr>
          <w:rFonts w:hint="eastAsia" w:ascii="宋体" w:hAnsi="宋体"/>
          <w:sz w:val="24"/>
          <w:szCs w:val="24"/>
        </w:rPr>
      </w:pPr>
    </w:p>
    <w:tbl>
      <w:tblPr>
        <w:tblStyle w:val="78"/>
        <w:tblW w:w="61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02"/>
      </w:tblGrid>
      <w:tr w14:paraId="6A641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7" w:hRule="atLeast"/>
          <w:jc w:val="center"/>
        </w:trPr>
        <w:tc>
          <w:tcPr>
            <w:tcW w:w="6102" w:type="dxa"/>
          </w:tcPr>
          <w:p w14:paraId="22DBEEC7">
            <w:pPr>
              <w:spacing w:line="440" w:lineRule="exact"/>
              <w:jc w:val="left"/>
              <w:rPr>
                <w:rFonts w:hint="eastAsia" w:ascii="宋体" w:hAnsi="宋体"/>
                <w:sz w:val="24"/>
                <w:szCs w:val="24"/>
              </w:rPr>
            </w:pPr>
            <w:r>
              <w:rPr>
                <w:rFonts w:hint="eastAsia" w:ascii="宋体" w:hAnsi="宋体"/>
                <w:sz w:val="24"/>
                <w:szCs w:val="24"/>
              </w:rPr>
              <w:t>法定代表人身份证（正反面）</w:t>
            </w:r>
          </w:p>
        </w:tc>
      </w:tr>
      <w:tr w14:paraId="28817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0" w:hRule="atLeast"/>
          <w:jc w:val="center"/>
        </w:trPr>
        <w:tc>
          <w:tcPr>
            <w:tcW w:w="6102" w:type="dxa"/>
          </w:tcPr>
          <w:p w14:paraId="1C05E07A">
            <w:pPr>
              <w:spacing w:line="440" w:lineRule="exact"/>
              <w:jc w:val="left"/>
              <w:rPr>
                <w:rFonts w:hint="eastAsia" w:ascii="宋体" w:hAnsi="宋体"/>
                <w:sz w:val="24"/>
                <w:szCs w:val="24"/>
              </w:rPr>
            </w:pPr>
            <w:r>
              <w:rPr>
                <w:rFonts w:hint="eastAsia" w:ascii="宋体" w:hAnsi="宋体"/>
                <w:sz w:val="24"/>
                <w:szCs w:val="24"/>
              </w:rPr>
              <w:t>被授权人的身份证（正反面）</w:t>
            </w:r>
          </w:p>
        </w:tc>
      </w:tr>
    </w:tbl>
    <w:p w14:paraId="093D89A9">
      <w:pPr>
        <w:spacing w:line="440" w:lineRule="exact"/>
        <w:jc w:val="left"/>
        <w:rPr>
          <w:rFonts w:hint="eastAsia" w:ascii="宋体" w:hAnsi="宋体"/>
          <w:sz w:val="24"/>
          <w:szCs w:val="24"/>
        </w:rPr>
      </w:pPr>
    </w:p>
    <w:p w14:paraId="18D6C548">
      <w:pPr>
        <w:wordWrap w:val="0"/>
        <w:spacing w:line="440" w:lineRule="exact"/>
        <w:jc w:val="right"/>
        <w:rPr>
          <w:rFonts w:hint="eastAsia" w:ascii="宋体" w:hAnsi="宋体"/>
          <w:sz w:val="24"/>
          <w:szCs w:val="24"/>
        </w:rPr>
      </w:pPr>
      <w:r>
        <w:rPr>
          <w:rFonts w:hint="eastAsia" w:ascii="宋体" w:hAnsi="宋体"/>
          <w:sz w:val="24"/>
          <w:szCs w:val="24"/>
        </w:rPr>
        <w:t xml:space="preserve">法定代表人签字或盖章：    </w:t>
      </w:r>
    </w:p>
    <w:p w14:paraId="025B0711">
      <w:pPr>
        <w:wordWrap w:val="0"/>
        <w:spacing w:line="440" w:lineRule="exact"/>
        <w:jc w:val="right"/>
        <w:rPr>
          <w:rFonts w:hint="eastAsia" w:ascii="宋体" w:hAnsi="宋体"/>
          <w:sz w:val="24"/>
          <w:szCs w:val="24"/>
        </w:rPr>
      </w:pPr>
      <w:r>
        <w:rPr>
          <w:rFonts w:hint="eastAsia" w:ascii="宋体" w:hAnsi="宋体"/>
          <w:sz w:val="24"/>
          <w:szCs w:val="24"/>
        </w:rPr>
        <w:t xml:space="preserve">被授权人签字：    </w:t>
      </w:r>
    </w:p>
    <w:p w14:paraId="792ADB95">
      <w:pPr>
        <w:wordWrap w:val="0"/>
        <w:spacing w:line="440" w:lineRule="exact"/>
        <w:jc w:val="right"/>
        <w:rPr>
          <w:rFonts w:hint="eastAsia" w:ascii="宋体" w:hAnsi="宋体"/>
          <w:sz w:val="24"/>
          <w:szCs w:val="24"/>
        </w:rPr>
      </w:pPr>
      <w:r>
        <w:rPr>
          <w:rFonts w:hint="eastAsia" w:ascii="宋体" w:hAnsi="宋体"/>
          <w:sz w:val="24"/>
          <w:szCs w:val="24"/>
        </w:rPr>
        <w:t xml:space="preserve">公        章：    </w:t>
      </w:r>
    </w:p>
    <w:p w14:paraId="7C36DD1C">
      <w:pPr>
        <w:spacing w:line="440" w:lineRule="exact"/>
        <w:jc w:val="right"/>
        <w:rPr>
          <w:rFonts w:hint="eastAsia" w:ascii="宋体" w:hAnsi="宋体"/>
          <w:sz w:val="24"/>
          <w:szCs w:val="24"/>
        </w:rPr>
      </w:pPr>
    </w:p>
    <w:p w14:paraId="5FCD875C">
      <w:pPr>
        <w:spacing w:line="440" w:lineRule="exact"/>
        <w:jc w:val="right"/>
        <w:rPr>
          <w:rFonts w:hint="eastAsia" w:ascii="宋体" w:hAnsi="宋体"/>
          <w:b/>
          <w:bCs/>
          <w:sz w:val="24"/>
          <w:szCs w:val="24"/>
        </w:rPr>
      </w:pPr>
      <w:r>
        <w:rPr>
          <w:rFonts w:hint="eastAsia" w:ascii="宋体" w:hAnsi="宋体"/>
          <w:bCs/>
          <w:sz w:val="24"/>
          <w:szCs w:val="24"/>
        </w:rPr>
        <w:t>年   月   日</w:t>
      </w:r>
    </w:p>
    <w:p w14:paraId="6ACECEED">
      <w:pPr>
        <w:spacing w:line="400" w:lineRule="atLeast"/>
        <w:jc w:val="center"/>
        <w:rPr>
          <w:rFonts w:hint="eastAsia" w:ascii="宋体" w:hAnsi="宋体" w:cs="Arial"/>
          <w:sz w:val="24"/>
          <w:szCs w:val="24"/>
        </w:rPr>
      </w:pPr>
      <w:r>
        <w:rPr>
          <w:rFonts w:hint="eastAsia" w:ascii="宋体" w:hAnsi="宋体"/>
          <w:sz w:val="24"/>
          <w:szCs w:val="24"/>
        </w:rPr>
        <w:t>注：若法定代表本人作为公司代理人前来参加谈判响应的供应商，可不提供此项证明文件。</w:t>
      </w:r>
    </w:p>
    <w:p w14:paraId="1AE559A1">
      <w:pPr>
        <w:spacing w:line="400" w:lineRule="atLeast"/>
        <w:jc w:val="center"/>
        <w:rPr>
          <w:rFonts w:hint="eastAsia" w:ascii="宋体" w:hAnsi="宋体" w:cs="Arial"/>
          <w:sz w:val="24"/>
          <w:szCs w:val="24"/>
        </w:rPr>
      </w:pPr>
    </w:p>
    <w:p w14:paraId="6BAC2EF5">
      <w:pPr>
        <w:jc w:val="center"/>
        <w:outlineLvl w:val="1"/>
        <w:rPr>
          <w:rFonts w:ascii="Arial" w:hAnsi="Arial" w:cs="Arial"/>
          <w:sz w:val="24"/>
        </w:rPr>
      </w:pPr>
      <w:r>
        <w:rPr>
          <w:rFonts w:ascii="宋体" w:hAnsi="宋体" w:cs="Arial"/>
          <w:sz w:val="24"/>
          <w:szCs w:val="24"/>
        </w:rPr>
        <w:br w:type="page"/>
      </w:r>
      <w:bookmarkStart w:id="71" w:name="_Toc23928"/>
      <w:r>
        <w:rPr>
          <w:rFonts w:hint="eastAsia" w:ascii="Arial" w:hAnsi="Arial" w:cs="Arial"/>
          <w:b/>
          <w:bCs/>
          <w:sz w:val="24"/>
        </w:rPr>
        <w:t>6、技术参数、功能偏离表</w:t>
      </w:r>
      <w:bookmarkEnd w:id="71"/>
    </w:p>
    <w:p w14:paraId="4792530E">
      <w:pPr>
        <w:spacing w:line="400" w:lineRule="atLeast"/>
        <w:rPr>
          <w:rFonts w:ascii="Arial" w:hAnsi="Arial" w:cs="Arial"/>
          <w:sz w:val="24"/>
          <w:u w:val="single"/>
        </w:rPr>
      </w:pPr>
      <w:r>
        <w:rPr>
          <w:rFonts w:hint="eastAsia" w:ascii="Arial" w:hAnsi="Arial" w:cs="Arial"/>
          <w:sz w:val="24"/>
        </w:rPr>
        <w:t>项目名称：</w:t>
      </w:r>
      <w:r>
        <w:rPr>
          <w:rFonts w:ascii="Arial" w:hAnsi="Arial" w:cs="Arial"/>
          <w:sz w:val="24"/>
          <w:u w:val="single"/>
        </w:rPr>
        <w:t>　　　　　　　　　　　</w:t>
      </w:r>
      <w:r>
        <w:rPr>
          <w:rFonts w:hint="eastAsia" w:ascii="Arial" w:hAnsi="Arial" w:cs="Arial"/>
          <w:sz w:val="24"/>
          <w:u w:val="single"/>
        </w:rPr>
        <w:t xml:space="preserve">   </w:t>
      </w:r>
      <w:r>
        <w:rPr>
          <w:rFonts w:hint="eastAsia" w:ascii="Arial" w:hAnsi="Arial" w:cs="Arial"/>
          <w:sz w:val="24"/>
        </w:rPr>
        <w:t>项目编号：</w:t>
      </w:r>
      <w:r>
        <w:rPr>
          <w:rFonts w:ascii="Arial" w:hAnsi="Arial" w:cs="Arial"/>
          <w:sz w:val="24"/>
          <w:u w:val="single"/>
        </w:rPr>
        <w:t>　　　　　　　　　　　</w:t>
      </w:r>
    </w:p>
    <w:tbl>
      <w:tblPr>
        <w:tblStyle w:val="78"/>
        <w:tblW w:w="95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1"/>
        <w:gridCol w:w="1820"/>
        <w:gridCol w:w="2778"/>
        <w:gridCol w:w="1911"/>
        <w:gridCol w:w="1464"/>
        <w:gridCol w:w="1020"/>
      </w:tblGrid>
      <w:tr w14:paraId="21F13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571" w:type="dxa"/>
            <w:tcBorders>
              <w:top w:val="single" w:color="auto" w:sz="4" w:space="0"/>
              <w:left w:val="single" w:color="auto" w:sz="4" w:space="0"/>
              <w:bottom w:val="single" w:color="auto" w:sz="4" w:space="0"/>
              <w:right w:val="single" w:color="auto" w:sz="4" w:space="0"/>
            </w:tcBorders>
            <w:vAlign w:val="center"/>
          </w:tcPr>
          <w:p w14:paraId="53892936">
            <w:pPr>
              <w:spacing w:line="400" w:lineRule="atLeast"/>
              <w:jc w:val="center"/>
              <w:rPr>
                <w:rFonts w:ascii="Arial" w:hAnsi="Arial" w:cs="Arial"/>
                <w:sz w:val="24"/>
              </w:rPr>
            </w:pPr>
            <w:r>
              <w:rPr>
                <w:rFonts w:hint="eastAsia" w:ascii="Arial" w:hAnsi="Arial" w:cs="Arial"/>
                <w:sz w:val="24"/>
              </w:rPr>
              <w:t>序号</w:t>
            </w:r>
          </w:p>
        </w:tc>
        <w:tc>
          <w:tcPr>
            <w:tcW w:w="1820" w:type="dxa"/>
            <w:tcBorders>
              <w:top w:val="single" w:color="auto" w:sz="4" w:space="0"/>
              <w:left w:val="single" w:color="auto" w:sz="4" w:space="0"/>
              <w:bottom w:val="single" w:color="auto" w:sz="4" w:space="0"/>
              <w:right w:val="single" w:color="auto" w:sz="4" w:space="0"/>
            </w:tcBorders>
            <w:vAlign w:val="center"/>
          </w:tcPr>
          <w:p w14:paraId="4FFED063">
            <w:pPr>
              <w:spacing w:line="400" w:lineRule="atLeast"/>
              <w:jc w:val="center"/>
              <w:rPr>
                <w:rFonts w:ascii="Arial" w:hAnsi="Arial" w:cs="Arial"/>
                <w:sz w:val="24"/>
              </w:rPr>
            </w:pPr>
            <w:r>
              <w:rPr>
                <w:rFonts w:hint="eastAsia" w:ascii="Arial" w:hAnsi="Arial" w:cs="Arial"/>
                <w:sz w:val="24"/>
              </w:rPr>
              <w:t>谈判文件产品名称</w:t>
            </w:r>
          </w:p>
        </w:tc>
        <w:tc>
          <w:tcPr>
            <w:tcW w:w="2778" w:type="dxa"/>
            <w:tcBorders>
              <w:top w:val="single" w:color="auto" w:sz="4" w:space="0"/>
              <w:left w:val="single" w:color="auto" w:sz="4" w:space="0"/>
              <w:bottom w:val="single" w:color="auto" w:sz="4" w:space="0"/>
              <w:right w:val="single" w:color="auto" w:sz="4" w:space="0"/>
            </w:tcBorders>
            <w:vAlign w:val="center"/>
          </w:tcPr>
          <w:p w14:paraId="7D8D42A6">
            <w:pPr>
              <w:spacing w:line="400" w:lineRule="atLeast"/>
              <w:jc w:val="center"/>
              <w:rPr>
                <w:rFonts w:ascii="Arial" w:hAnsi="Arial" w:cs="Arial"/>
                <w:sz w:val="24"/>
              </w:rPr>
            </w:pPr>
            <w:r>
              <w:rPr>
                <w:rFonts w:hint="eastAsia" w:ascii="Arial" w:hAnsi="Arial" w:cs="Arial"/>
                <w:sz w:val="24"/>
              </w:rPr>
              <w:t>谈判文件要求参数</w:t>
            </w:r>
          </w:p>
        </w:tc>
        <w:tc>
          <w:tcPr>
            <w:tcW w:w="1911" w:type="dxa"/>
            <w:tcBorders>
              <w:top w:val="single" w:color="auto" w:sz="4" w:space="0"/>
              <w:left w:val="single" w:color="auto" w:sz="4" w:space="0"/>
              <w:bottom w:val="single" w:color="auto" w:sz="4" w:space="0"/>
              <w:right w:val="single" w:color="auto" w:sz="4" w:space="0"/>
            </w:tcBorders>
            <w:vAlign w:val="center"/>
          </w:tcPr>
          <w:p w14:paraId="2F42CE98">
            <w:pPr>
              <w:spacing w:line="400" w:lineRule="atLeast"/>
              <w:jc w:val="center"/>
              <w:rPr>
                <w:rFonts w:ascii="Arial" w:hAnsi="Arial" w:cs="Arial"/>
                <w:sz w:val="24"/>
              </w:rPr>
            </w:pPr>
            <w:r>
              <w:rPr>
                <w:rFonts w:hint="eastAsia" w:ascii="Arial" w:hAnsi="Arial" w:cs="Arial"/>
                <w:sz w:val="24"/>
              </w:rPr>
              <w:t>响应参数</w:t>
            </w:r>
          </w:p>
        </w:tc>
        <w:tc>
          <w:tcPr>
            <w:tcW w:w="1464" w:type="dxa"/>
            <w:tcBorders>
              <w:top w:val="single" w:color="auto" w:sz="4" w:space="0"/>
              <w:left w:val="single" w:color="auto" w:sz="4" w:space="0"/>
              <w:bottom w:val="single" w:color="auto" w:sz="4" w:space="0"/>
              <w:right w:val="single" w:color="auto" w:sz="4" w:space="0"/>
            </w:tcBorders>
            <w:vAlign w:val="center"/>
          </w:tcPr>
          <w:p w14:paraId="30FC7376">
            <w:pPr>
              <w:spacing w:line="400" w:lineRule="atLeast"/>
              <w:jc w:val="center"/>
              <w:rPr>
                <w:rFonts w:ascii="Arial" w:hAnsi="Arial" w:cs="Arial"/>
                <w:sz w:val="24"/>
              </w:rPr>
            </w:pPr>
            <w:r>
              <w:rPr>
                <w:rFonts w:hint="eastAsia" w:ascii="Arial" w:hAnsi="Arial" w:cs="Arial"/>
                <w:sz w:val="24"/>
              </w:rPr>
              <w:t>偏离</w:t>
            </w:r>
          </w:p>
        </w:tc>
        <w:tc>
          <w:tcPr>
            <w:tcW w:w="1020" w:type="dxa"/>
            <w:tcBorders>
              <w:top w:val="single" w:color="auto" w:sz="4" w:space="0"/>
              <w:left w:val="single" w:color="auto" w:sz="4" w:space="0"/>
              <w:bottom w:val="single" w:color="auto" w:sz="4" w:space="0"/>
              <w:right w:val="single" w:color="auto" w:sz="4" w:space="0"/>
            </w:tcBorders>
            <w:vAlign w:val="center"/>
          </w:tcPr>
          <w:p w14:paraId="5FE65254">
            <w:pPr>
              <w:spacing w:line="400" w:lineRule="atLeast"/>
              <w:jc w:val="center"/>
              <w:rPr>
                <w:rFonts w:ascii="Arial" w:hAnsi="Arial" w:cs="Arial"/>
                <w:sz w:val="24"/>
              </w:rPr>
            </w:pPr>
            <w:r>
              <w:rPr>
                <w:rFonts w:hint="eastAsia" w:ascii="Arial" w:hAnsi="Arial" w:cs="Arial"/>
                <w:sz w:val="24"/>
              </w:rPr>
              <w:t>说明</w:t>
            </w:r>
          </w:p>
        </w:tc>
      </w:tr>
      <w:tr w14:paraId="623FF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571" w:type="dxa"/>
            <w:tcBorders>
              <w:top w:val="single" w:color="auto" w:sz="4" w:space="0"/>
              <w:left w:val="single" w:color="auto" w:sz="4" w:space="0"/>
              <w:bottom w:val="single" w:color="auto" w:sz="4" w:space="0"/>
              <w:right w:val="single" w:color="auto" w:sz="4" w:space="0"/>
            </w:tcBorders>
          </w:tcPr>
          <w:p w14:paraId="3F2D3D29">
            <w:pPr>
              <w:spacing w:line="400" w:lineRule="atLeast"/>
              <w:rPr>
                <w:rFonts w:ascii="Arial" w:hAnsi="Arial" w:cs="Arial"/>
                <w:sz w:val="24"/>
              </w:rPr>
            </w:pPr>
          </w:p>
          <w:p w14:paraId="4590293B">
            <w:pPr>
              <w:spacing w:line="400" w:lineRule="atLeast"/>
              <w:rPr>
                <w:rFonts w:ascii="Arial" w:hAnsi="Arial" w:cs="Arial"/>
                <w:sz w:val="24"/>
              </w:rPr>
            </w:pPr>
          </w:p>
        </w:tc>
        <w:tc>
          <w:tcPr>
            <w:tcW w:w="1820" w:type="dxa"/>
            <w:tcBorders>
              <w:top w:val="single" w:color="auto" w:sz="4" w:space="0"/>
              <w:left w:val="single" w:color="auto" w:sz="4" w:space="0"/>
              <w:bottom w:val="single" w:color="auto" w:sz="4" w:space="0"/>
              <w:right w:val="single" w:color="auto" w:sz="4" w:space="0"/>
            </w:tcBorders>
          </w:tcPr>
          <w:p w14:paraId="468AA662">
            <w:pPr>
              <w:widowControl/>
              <w:spacing w:line="400" w:lineRule="atLeast"/>
              <w:jc w:val="left"/>
              <w:rPr>
                <w:rFonts w:ascii="Arial" w:hAnsi="Arial" w:cs="Arial"/>
                <w:sz w:val="24"/>
              </w:rPr>
            </w:pPr>
          </w:p>
          <w:p w14:paraId="501DD14C">
            <w:pPr>
              <w:spacing w:line="400" w:lineRule="atLeast"/>
              <w:rPr>
                <w:rFonts w:ascii="Arial" w:hAnsi="Arial" w:cs="Arial"/>
                <w:sz w:val="24"/>
              </w:rPr>
            </w:pPr>
          </w:p>
        </w:tc>
        <w:tc>
          <w:tcPr>
            <w:tcW w:w="2778" w:type="dxa"/>
            <w:tcBorders>
              <w:top w:val="single" w:color="auto" w:sz="4" w:space="0"/>
              <w:left w:val="single" w:color="auto" w:sz="4" w:space="0"/>
              <w:bottom w:val="single" w:color="auto" w:sz="4" w:space="0"/>
              <w:right w:val="single" w:color="auto" w:sz="4" w:space="0"/>
            </w:tcBorders>
          </w:tcPr>
          <w:p w14:paraId="22F32654">
            <w:pPr>
              <w:spacing w:line="400" w:lineRule="atLeast"/>
              <w:rPr>
                <w:rFonts w:ascii="Arial" w:hAnsi="Arial" w:cs="Arial"/>
                <w:sz w:val="24"/>
              </w:rPr>
            </w:pPr>
          </w:p>
        </w:tc>
        <w:tc>
          <w:tcPr>
            <w:tcW w:w="1911" w:type="dxa"/>
            <w:tcBorders>
              <w:top w:val="single" w:color="auto" w:sz="4" w:space="0"/>
              <w:left w:val="single" w:color="auto" w:sz="4" w:space="0"/>
              <w:bottom w:val="single" w:color="auto" w:sz="4" w:space="0"/>
              <w:right w:val="single" w:color="auto" w:sz="4" w:space="0"/>
            </w:tcBorders>
          </w:tcPr>
          <w:p w14:paraId="6512368F">
            <w:pPr>
              <w:spacing w:line="400" w:lineRule="atLeast"/>
              <w:rPr>
                <w:rFonts w:ascii="Arial" w:hAnsi="Arial" w:cs="Arial"/>
                <w:sz w:val="24"/>
              </w:rPr>
            </w:pPr>
          </w:p>
        </w:tc>
        <w:tc>
          <w:tcPr>
            <w:tcW w:w="1464" w:type="dxa"/>
            <w:tcBorders>
              <w:top w:val="single" w:color="auto" w:sz="4" w:space="0"/>
              <w:left w:val="single" w:color="auto" w:sz="4" w:space="0"/>
              <w:bottom w:val="single" w:color="auto" w:sz="4" w:space="0"/>
              <w:right w:val="single" w:color="auto" w:sz="4" w:space="0"/>
            </w:tcBorders>
          </w:tcPr>
          <w:p w14:paraId="06C4082F">
            <w:pPr>
              <w:spacing w:line="400" w:lineRule="atLeast"/>
              <w:rPr>
                <w:rFonts w:ascii="Arial" w:hAnsi="Arial" w:cs="Arial"/>
                <w:sz w:val="24"/>
              </w:rPr>
            </w:pPr>
          </w:p>
        </w:tc>
        <w:tc>
          <w:tcPr>
            <w:tcW w:w="1020" w:type="dxa"/>
            <w:tcBorders>
              <w:top w:val="single" w:color="auto" w:sz="4" w:space="0"/>
              <w:left w:val="single" w:color="auto" w:sz="4" w:space="0"/>
              <w:bottom w:val="single" w:color="auto" w:sz="4" w:space="0"/>
              <w:right w:val="single" w:color="auto" w:sz="4" w:space="0"/>
            </w:tcBorders>
          </w:tcPr>
          <w:p w14:paraId="297AACB2">
            <w:pPr>
              <w:spacing w:line="400" w:lineRule="atLeast"/>
              <w:rPr>
                <w:rFonts w:ascii="Arial" w:hAnsi="Arial" w:cs="Arial"/>
                <w:sz w:val="24"/>
              </w:rPr>
            </w:pPr>
          </w:p>
        </w:tc>
      </w:tr>
      <w:tr w14:paraId="0933F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571" w:type="dxa"/>
            <w:tcBorders>
              <w:top w:val="single" w:color="auto" w:sz="4" w:space="0"/>
              <w:left w:val="single" w:color="auto" w:sz="4" w:space="0"/>
              <w:bottom w:val="single" w:color="auto" w:sz="4" w:space="0"/>
              <w:right w:val="single" w:color="auto" w:sz="4" w:space="0"/>
            </w:tcBorders>
          </w:tcPr>
          <w:p w14:paraId="4AD8559D">
            <w:pPr>
              <w:spacing w:line="400" w:lineRule="atLeast"/>
              <w:rPr>
                <w:rFonts w:ascii="Arial" w:hAnsi="Arial" w:cs="Arial"/>
                <w:sz w:val="24"/>
              </w:rPr>
            </w:pPr>
          </w:p>
          <w:p w14:paraId="685954FB">
            <w:pPr>
              <w:spacing w:line="400" w:lineRule="atLeast"/>
              <w:rPr>
                <w:rFonts w:ascii="Arial" w:hAnsi="Arial" w:cs="Arial"/>
                <w:sz w:val="24"/>
              </w:rPr>
            </w:pPr>
          </w:p>
        </w:tc>
        <w:tc>
          <w:tcPr>
            <w:tcW w:w="1820" w:type="dxa"/>
            <w:tcBorders>
              <w:top w:val="single" w:color="auto" w:sz="4" w:space="0"/>
              <w:left w:val="single" w:color="auto" w:sz="4" w:space="0"/>
              <w:bottom w:val="single" w:color="auto" w:sz="4" w:space="0"/>
              <w:right w:val="single" w:color="auto" w:sz="4" w:space="0"/>
            </w:tcBorders>
          </w:tcPr>
          <w:p w14:paraId="461DFF12">
            <w:pPr>
              <w:widowControl/>
              <w:spacing w:line="400" w:lineRule="atLeast"/>
              <w:jc w:val="left"/>
              <w:rPr>
                <w:rFonts w:ascii="Arial" w:hAnsi="Arial" w:cs="Arial"/>
                <w:sz w:val="24"/>
              </w:rPr>
            </w:pPr>
          </w:p>
          <w:p w14:paraId="07CF1FDF">
            <w:pPr>
              <w:spacing w:line="400" w:lineRule="atLeast"/>
              <w:rPr>
                <w:rFonts w:ascii="Arial" w:hAnsi="Arial" w:cs="Arial"/>
                <w:sz w:val="24"/>
              </w:rPr>
            </w:pPr>
          </w:p>
        </w:tc>
        <w:tc>
          <w:tcPr>
            <w:tcW w:w="2778" w:type="dxa"/>
            <w:tcBorders>
              <w:top w:val="single" w:color="auto" w:sz="4" w:space="0"/>
              <w:left w:val="single" w:color="auto" w:sz="4" w:space="0"/>
              <w:bottom w:val="single" w:color="auto" w:sz="4" w:space="0"/>
              <w:right w:val="single" w:color="auto" w:sz="4" w:space="0"/>
            </w:tcBorders>
          </w:tcPr>
          <w:p w14:paraId="300668AF">
            <w:pPr>
              <w:spacing w:line="400" w:lineRule="atLeast"/>
              <w:rPr>
                <w:rFonts w:ascii="Arial" w:hAnsi="Arial" w:cs="Arial"/>
                <w:sz w:val="24"/>
              </w:rPr>
            </w:pPr>
          </w:p>
        </w:tc>
        <w:tc>
          <w:tcPr>
            <w:tcW w:w="1911" w:type="dxa"/>
            <w:tcBorders>
              <w:top w:val="single" w:color="auto" w:sz="4" w:space="0"/>
              <w:left w:val="single" w:color="auto" w:sz="4" w:space="0"/>
              <w:bottom w:val="single" w:color="auto" w:sz="4" w:space="0"/>
              <w:right w:val="single" w:color="auto" w:sz="4" w:space="0"/>
            </w:tcBorders>
          </w:tcPr>
          <w:p w14:paraId="00EABDAC">
            <w:pPr>
              <w:spacing w:line="400" w:lineRule="atLeast"/>
              <w:rPr>
                <w:rFonts w:ascii="Arial" w:hAnsi="Arial" w:cs="Arial"/>
                <w:sz w:val="24"/>
              </w:rPr>
            </w:pPr>
          </w:p>
        </w:tc>
        <w:tc>
          <w:tcPr>
            <w:tcW w:w="1464" w:type="dxa"/>
            <w:tcBorders>
              <w:top w:val="single" w:color="auto" w:sz="4" w:space="0"/>
              <w:left w:val="single" w:color="auto" w:sz="4" w:space="0"/>
              <w:bottom w:val="single" w:color="auto" w:sz="4" w:space="0"/>
              <w:right w:val="single" w:color="auto" w:sz="4" w:space="0"/>
            </w:tcBorders>
          </w:tcPr>
          <w:p w14:paraId="487B1686">
            <w:pPr>
              <w:spacing w:line="400" w:lineRule="atLeast"/>
              <w:rPr>
                <w:rFonts w:ascii="Arial" w:hAnsi="Arial" w:cs="Arial"/>
                <w:sz w:val="24"/>
              </w:rPr>
            </w:pPr>
          </w:p>
        </w:tc>
        <w:tc>
          <w:tcPr>
            <w:tcW w:w="1020" w:type="dxa"/>
            <w:tcBorders>
              <w:top w:val="single" w:color="auto" w:sz="4" w:space="0"/>
              <w:left w:val="single" w:color="auto" w:sz="4" w:space="0"/>
              <w:bottom w:val="single" w:color="auto" w:sz="4" w:space="0"/>
              <w:right w:val="single" w:color="auto" w:sz="4" w:space="0"/>
            </w:tcBorders>
          </w:tcPr>
          <w:p w14:paraId="351BDE82">
            <w:pPr>
              <w:spacing w:line="400" w:lineRule="atLeast"/>
              <w:rPr>
                <w:rFonts w:ascii="Arial" w:hAnsi="Arial" w:cs="Arial"/>
                <w:sz w:val="24"/>
              </w:rPr>
            </w:pPr>
          </w:p>
        </w:tc>
      </w:tr>
      <w:tr w14:paraId="746CB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571" w:type="dxa"/>
            <w:tcBorders>
              <w:top w:val="single" w:color="auto" w:sz="4" w:space="0"/>
              <w:left w:val="single" w:color="auto" w:sz="4" w:space="0"/>
              <w:bottom w:val="single" w:color="auto" w:sz="4" w:space="0"/>
              <w:right w:val="single" w:color="auto" w:sz="4" w:space="0"/>
            </w:tcBorders>
          </w:tcPr>
          <w:p w14:paraId="2AE2E4F6">
            <w:pPr>
              <w:spacing w:line="400" w:lineRule="atLeast"/>
              <w:rPr>
                <w:rFonts w:ascii="Arial" w:hAnsi="Arial" w:cs="Arial"/>
                <w:sz w:val="24"/>
              </w:rPr>
            </w:pPr>
          </w:p>
          <w:p w14:paraId="5D76758D">
            <w:pPr>
              <w:spacing w:line="400" w:lineRule="atLeast"/>
              <w:rPr>
                <w:rFonts w:ascii="Arial" w:hAnsi="Arial" w:cs="Arial"/>
                <w:sz w:val="24"/>
              </w:rPr>
            </w:pPr>
          </w:p>
        </w:tc>
        <w:tc>
          <w:tcPr>
            <w:tcW w:w="1820" w:type="dxa"/>
            <w:tcBorders>
              <w:top w:val="single" w:color="auto" w:sz="4" w:space="0"/>
              <w:left w:val="single" w:color="auto" w:sz="4" w:space="0"/>
              <w:bottom w:val="single" w:color="auto" w:sz="4" w:space="0"/>
              <w:right w:val="single" w:color="auto" w:sz="4" w:space="0"/>
            </w:tcBorders>
          </w:tcPr>
          <w:p w14:paraId="2488874E">
            <w:pPr>
              <w:widowControl/>
              <w:spacing w:line="400" w:lineRule="atLeast"/>
              <w:jc w:val="left"/>
              <w:rPr>
                <w:rFonts w:ascii="Arial" w:hAnsi="Arial" w:cs="Arial"/>
                <w:sz w:val="24"/>
              </w:rPr>
            </w:pPr>
          </w:p>
          <w:p w14:paraId="24BB7016">
            <w:pPr>
              <w:spacing w:line="400" w:lineRule="atLeast"/>
              <w:rPr>
                <w:rFonts w:ascii="Arial" w:hAnsi="Arial" w:cs="Arial"/>
                <w:sz w:val="24"/>
              </w:rPr>
            </w:pPr>
          </w:p>
        </w:tc>
        <w:tc>
          <w:tcPr>
            <w:tcW w:w="2778" w:type="dxa"/>
            <w:tcBorders>
              <w:top w:val="single" w:color="auto" w:sz="4" w:space="0"/>
              <w:left w:val="single" w:color="auto" w:sz="4" w:space="0"/>
              <w:bottom w:val="single" w:color="auto" w:sz="4" w:space="0"/>
              <w:right w:val="single" w:color="auto" w:sz="4" w:space="0"/>
            </w:tcBorders>
          </w:tcPr>
          <w:p w14:paraId="45C7D109">
            <w:pPr>
              <w:spacing w:line="400" w:lineRule="atLeast"/>
              <w:rPr>
                <w:rFonts w:ascii="Arial" w:hAnsi="Arial" w:cs="Arial"/>
                <w:sz w:val="24"/>
              </w:rPr>
            </w:pPr>
          </w:p>
        </w:tc>
        <w:tc>
          <w:tcPr>
            <w:tcW w:w="1911" w:type="dxa"/>
            <w:tcBorders>
              <w:top w:val="single" w:color="auto" w:sz="4" w:space="0"/>
              <w:left w:val="single" w:color="auto" w:sz="4" w:space="0"/>
              <w:bottom w:val="single" w:color="auto" w:sz="4" w:space="0"/>
              <w:right w:val="single" w:color="auto" w:sz="4" w:space="0"/>
            </w:tcBorders>
          </w:tcPr>
          <w:p w14:paraId="1DAB2654">
            <w:pPr>
              <w:spacing w:line="400" w:lineRule="atLeast"/>
              <w:rPr>
                <w:rFonts w:ascii="Arial" w:hAnsi="Arial" w:cs="Arial"/>
                <w:sz w:val="24"/>
              </w:rPr>
            </w:pPr>
          </w:p>
        </w:tc>
        <w:tc>
          <w:tcPr>
            <w:tcW w:w="1464" w:type="dxa"/>
            <w:tcBorders>
              <w:top w:val="single" w:color="auto" w:sz="4" w:space="0"/>
              <w:left w:val="single" w:color="auto" w:sz="4" w:space="0"/>
              <w:bottom w:val="single" w:color="auto" w:sz="4" w:space="0"/>
              <w:right w:val="single" w:color="auto" w:sz="4" w:space="0"/>
            </w:tcBorders>
          </w:tcPr>
          <w:p w14:paraId="49EA391C">
            <w:pPr>
              <w:spacing w:line="400" w:lineRule="atLeast"/>
              <w:rPr>
                <w:rFonts w:ascii="Arial" w:hAnsi="Arial" w:cs="Arial"/>
                <w:sz w:val="24"/>
              </w:rPr>
            </w:pPr>
          </w:p>
        </w:tc>
        <w:tc>
          <w:tcPr>
            <w:tcW w:w="1020" w:type="dxa"/>
            <w:tcBorders>
              <w:top w:val="single" w:color="auto" w:sz="4" w:space="0"/>
              <w:left w:val="single" w:color="auto" w:sz="4" w:space="0"/>
              <w:bottom w:val="single" w:color="auto" w:sz="4" w:space="0"/>
              <w:right w:val="single" w:color="auto" w:sz="4" w:space="0"/>
            </w:tcBorders>
          </w:tcPr>
          <w:p w14:paraId="399DC3C9">
            <w:pPr>
              <w:spacing w:line="400" w:lineRule="atLeast"/>
              <w:rPr>
                <w:rFonts w:ascii="Arial" w:hAnsi="Arial" w:cs="Arial"/>
                <w:sz w:val="24"/>
              </w:rPr>
            </w:pPr>
          </w:p>
        </w:tc>
      </w:tr>
      <w:tr w14:paraId="0CF18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571" w:type="dxa"/>
            <w:tcBorders>
              <w:top w:val="single" w:color="auto" w:sz="4" w:space="0"/>
              <w:left w:val="single" w:color="auto" w:sz="4" w:space="0"/>
              <w:bottom w:val="single" w:color="auto" w:sz="4" w:space="0"/>
              <w:right w:val="single" w:color="auto" w:sz="4" w:space="0"/>
            </w:tcBorders>
          </w:tcPr>
          <w:p w14:paraId="0A9A9D30">
            <w:pPr>
              <w:spacing w:line="400" w:lineRule="atLeast"/>
              <w:rPr>
                <w:rFonts w:ascii="Arial" w:hAnsi="Arial" w:cs="Arial"/>
                <w:sz w:val="24"/>
              </w:rPr>
            </w:pPr>
          </w:p>
          <w:p w14:paraId="688CF04F">
            <w:pPr>
              <w:spacing w:line="400" w:lineRule="atLeast"/>
              <w:rPr>
                <w:rFonts w:ascii="Arial" w:hAnsi="Arial" w:cs="Arial"/>
                <w:sz w:val="24"/>
              </w:rPr>
            </w:pPr>
          </w:p>
        </w:tc>
        <w:tc>
          <w:tcPr>
            <w:tcW w:w="1820" w:type="dxa"/>
            <w:tcBorders>
              <w:top w:val="single" w:color="auto" w:sz="4" w:space="0"/>
              <w:left w:val="single" w:color="auto" w:sz="4" w:space="0"/>
              <w:bottom w:val="single" w:color="auto" w:sz="4" w:space="0"/>
              <w:right w:val="single" w:color="auto" w:sz="4" w:space="0"/>
            </w:tcBorders>
          </w:tcPr>
          <w:p w14:paraId="01EBF78C">
            <w:pPr>
              <w:widowControl/>
              <w:spacing w:line="400" w:lineRule="atLeast"/>
              <w:jc w:val="left"/>
              <w:rPr>
                <w:rFonts w:ascii="Arial" w:hAnsi="Arial" w:cs="Arial"/>
                <w:sz w:val="24"/>
              </w:rPr>
            </w:pPr>
          </w:p>
          <w:p w14:paraId="5484581A">
            <w:pPr>
              <w:spacing w:line="400" w:lineRule="atLeast"/>
              <w:rPr>
                <w:rFonts w:ascii="Arial" w:hAnsi="Arial" w:cs="Arial"/>
                <w:sz w:val="24"/>
              </w:rPr>
            </w:pPr>
          </w:p>
        </w:tc>
        <w:tc>
          <w:tcPr>
            <w:tcW w:w="2778" w:type="dxa"/>
            <w:tcBorders>
              <w:top w:val="single" w:color="auto" w:sz="4" w:space="0"/>
              <w:left w:val="single" w:color="auto" w:sz="4" w:space="0"/>
              <w:bottom w:val="single" w:color="auto" w:sz="4" w:space="0"/>
              <w:right w:val="single" w:color="auto" w:sz="4" w:space="0"/>
            </w:tcBorders>
          </w:tcPr>
          <w:p w14:paraId="7434B7A9">
            <w:pPr>
              <w:spacing w:line="400" w:lineRule="atLeast"/>
              <w:rPr>
                <w:rFonts w:ascii="Arial" w:hAnsi="Arial" w:cs="Arial"/>
                <w:sz w:val="24"/>
              </w:rPr>
            </w:pPr>
          </w:p>
        </w:tc>
        <w:tc>
          <w:tcPr>
            <w:tcW w:w="1911" w:type="dxa"/>
            <w:tcBorders>
              <w:top w:val="single" w:color="auto" w:sz="4" w:space="0"/>
              <w:left w:val="single" w:color="auto" w:sz="4" w:space="0"/>
              <w:bottom w:val="single" w:color="auto" w:sz="4" w:space="0"/>
              <w:right w:val="single" w:color="auto" w:sz="4" w:space="0"/>
            </w:tcBorders>
          </w:tcPr>
          <w:p w14:paraId="2576B38D">
            <w:pPr>
              <w:spacing w:line="400" w:lineRule="atLeast"/>
              <w:rPr>
                <w:rFonts w:ascii="Arial" w:hAnsi="Arial" w:cs="Arial"/>
                <w:sz w:val="24"/>
              </w:rPr>
            </w:pPr>
          </w:p>
        </w:tc>
        <w:tc>
          <w:tcPr>
            <w:tcW w:w="1464" w:type="dxa"/>
            <w:tcBorders>
              <w:top w:val="single" w:color="auto" w:sz="4" w:space="0"/>
              <w:left w:val="single" w:color="auto" w:sz="4" w:space="0"/>
              <w:bottom w:val="single" w:color="auto" w:sz="4" w:space="0"/>
              <w:right w:val="single" w:color="auto" w:sz="4" w:space="0"/>
            </w:tcBorders>
          </w:tcPr>
          <w:p w14:paraId="55D2E417">
            <w:pPr>
              <w:spacing w:line="400" w:lineRule="atLeast"/>
              <w:rPr>
                <w:rFonts w:ascii="Arial" w:hAnsi="Arial" w:cs="Arial"/>
                <w:sz w:val="24"/>
              </w:rPr>
            </w:pPr>
          </w:p>
        </w:tc>
        <w:tc>
          <w:tcPr>
            <w:tcW w:w="1020" w:type="dxa"/>
            <w:tcBorders>
              <w:top w:val="single" w:color="auto" w:sz="4" w:space="0"/>
              <w:left w:val="single" w:color="auto" w:sz="4" w:space="0"/>
              <w:bottom w:val="single" w:color="auto" w:sz="4" w:space="0"/>
              <w:right w:val="single" w:color="auto" w:sz="4" w:space="0"/>
            </w:tcBorders>
          </w:tcPr>
          <w:p w14:paraId="16852538">
            <w:pPr>
              <w:spacing w:line="400" w:lineRule="atLeast"/>
              <w:rPr>
                <w:rFonts w:ascii="Arial" w:hAnsi="Arial" w:cs="Arial"/>
                <w:sz w:val="24"/>
              </w:rPr>
            </w:pPr>
          </w:p>
        </w:tc>
      </w:tr>
      <w:tr w14:paraId="7D028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571" w:type="dxa"/>
            <w:tcBorders>
              <w:top w:val="single" w:color="auto" w:sz="4" w:space="0"/>
              <w:left w:val="single" w:color="auto" w:sz="4" w:space="0"/>
              <w:bottom w:val="single" w:color="auto" w:sz="4" w:space="0"/>
              <w:right w:val="single" w:color="auto" w:sz="4" w:space="0"/>
            </w:tcBorders>
          </w:tcPr>
          <w:p w14:paraId="28DB74CF">
            <w:pPr>
              <w:spacing w:line="400" w:lineRule="atLeast"/>
              <w:rPr>
                <w:rFonts w:ascii="Arial" w:hAnsi="Arial" w:cs="Arial"/>
                <w:sz w:val="24"/>
              </w:rPr>
            </w:pPr>
          </w:p>
          <w:p w14:paraId="061CEA2A">
            <w:pPr>
              <w:spacing w:line="400" w:lineRule="atLeast"/>
              <w:rPr>
                <w:rFonts w:ascii="Arial" w:hAnsi="Arial" w:cs="Arial"/>
                <w:sz w:val="24"/>
              </w:rPr>
            </w:pPr>
          </w:p>
        </w:tc>
        <w:tc>
          <w:tcPr>
            <w:tcW w:w="1820" w:type="dxa"/>
            <w:tcBorders>
              <w:top w:val="single" w:color="auto" w:sz="4" w:space="0"/>
              <w:left w:val="single" w:color="auto" w:sz="4" w:space="0"/>
              <w:bottom w:val="single" w:color="auto" w:sz="4" w:space="0"/>
              <w:right w:val="single" w:color="auto" w:sz="4" w:space="0"/>
            </w:tcBorders>
          </w:tcPr>
          <w:p w14:paraId="1E50133E">
            <w:pPr>
              <w:widowControl/>
              <w:spacing w:line="400" w:lineRule="atLeast"/>
              <w:jc w:val="left"/>
              <w:rPr>
                <w:rFonts w:ascii="Arial" w:hAnsi="Arial" w:cs="Arial"/>
                <w:sz w:val="24"/>
              </w:rPr>
            </w:pPr>
          </w:p>
          <w:p w14:paraId="00FEFE08">
            <w:pPr>
              <w:spacing w:line="400" w:lineRule="atLeast"/>
              <w:rPr>
                <w:rFonts w:ascii="Arial" w:hAnsi="Arial" w:cs="Arial"/>
                <w:sz w:val="24"/>
              </w:rPr>
            </w:pPr>
          </w:p>
        </w:tc>
        <w:tc>
          <w:tcPr>
            <w:tcW w:w="2778" w:type="dxa"/>
            <w:tcBorders>
              <w:top w:val="single" w:color="auto" w:sz="4" w:space="0"/>
              <w:left w:val="single" w:color="auto" w:sz="4" w:space="0"/>
              <w:bottom w:val="single" w:color="auto" w:sz="4" w:space="0"/>
              <w:right w:val="single" w:color="auto" w:sz="4" w:space="0"/>
            </w:tcBorders>
          </w:tcPr>
          <w:p w14:paraId="5164177A">
            <w:pPr>
              <w:spacing w:line="400" w:lineRule="atLeast"/>
              <w:rPr>
                <w:rFonts w:ascii="Arial" w:hAnsi="Arial" w:cs="Arial"/>
                <w:sz w:val="24"/>
              </w:rPr>
            </w:pPr>
          </w:p>
        </w:tc>
        <w:tc>
          <w:tcPr>
            <w:tcW w:w="1911" w:type="dxa"/>
            <w:tcBorders>
              <w:top w:val="single" w:color="auto" w:sz="4" w:space="0"/>
              <w:left w:val="single" w:color="auto" w:sz="4" w:space="0"/>
              <w:bottom w:val="single" w:color="auto" w:sz="4" w:space="0"/>
              <w:right w:val="single" w:color="auto" w:sz="4" w:space="0"/>
            </w:tcBorders>
          </w:tcPr>
          <w:p w14:paraId="07E5815C">
            <w:pPr>
              <w:spacing w:line="400" w:lineRule="atLeast"/>
              <w:rPr>
                <w:rFonts w:ascii="Arial" w:hAnsi="Arial" w:cs="Arial"/>
                <w:sz w:val="24"/>
              </w:rPr>
            </w:pPr>
          </w:p>
        </w:tc>
        <w:tc>
          <w:tcPr>
            <w:tcW w:w="1464" w:type="dxa"/>
            <w:tcBorders>
              <w:top w:val="single" w:color="auto" w:sz="4" w:space="0"/>
              <w:left w:val="single" w:color="auto" w:sz="4" w:space="0"/>
              <w:bottom w:val="single" w:color="auto" w:sz="4" w:space="0"/>
              <w:right w:val="single" w:color="auto" w:sz="4" w:space="0"/>
            </w:tcBorders>
          </w:tcPr>
          <w:p w14:paraId="0AA063CB">
            <w:pPr>
              <w:spacing w:line="400" w:lineRule="atLeast"/>
              <w:rPr>
                <w:rFonts w:ascii="Arial" w:hAnsi="Arial" w:cs="Arial"/>
                <w:sz w:val="24"/>
              </w:rPr>
            </w:pPr>
          </w:p>
        </w:tc>
        <w:tc>
          <w:tcPr>
            <w:tcW w:w="1020" w:type="dxa"/>
            <w:tcBorders>
              <w:top w:val="single" w:color="auto" w:sz="4" w:space="0"/>
              <w:left w:val="single" w:color="auto" w:sz="4" w:space="0"/>
              <w:bottom w:val="single" w:color="auto" w:sz="4" w:space="0"/>
              <w:right w:val="single" w:color="auto" w:sz="4" w:space="0"/>
            </w:tcBorders>
          </w:tcPr>
          <w:p w14:paraId="46210D28">
            <w:pPr>
              <w:spacing w:line="400" w:lineRule="atLeast"/>
              <w:rPr>
                <w:rFonts w:ascii="Arial" w:hAnsi="Arial" w:cs="Arial"/>
                <w:sz w:val="24"/>
              </w:rPr>
            </w:pPr>
          </w:p>
        </w:tc>
      </w:tr>
      <w:tr w14:paraId="094B5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571" w:type="dxa"/>
            <w:tcBorders>
              <w:top w:val="single" w:color="auto" w:sz="4" w:space="0"/>
              <w:left w:val="single" w:color="auto" w:sz="4" w:space="0"/>
              <w:bottom w:val="single" w:color="auto" w:sz="4" w:space="0"/>
              <w:right w:val="single" w:color="auto" w:sz="4" w:space="0"/>
            </w:tcBorders>
          </w:tcPr>
          <w:p w14:paraId="657607DB">
            <w:pPr>
              <w:spacing w:line="400" w:lineRule="atLeast"/>
              <w:rPr>
                <w:rFonts w:ascii="Arial" w:hAnsi="Arial" w:cs="Arial"/>
                <w:sz w:val="24"/>
              </w:rPr>
            </w:pPr>
          </w:p>
          <w:p w14:paraId="7C184A2D">
            <w:pPr>
              <w:spacing w:line="400" w:lineRule="atLeast"/>
              <w:rPr>
                <w:rFonts w:ascii="Arial" w:hAnsi="Arial" w:cs="Arial"/>
                <w:sz w:val="24"/>
              </w:rPr>
            </w:pPr>
          </w:p>
        </w:tc>
        <w:tc>
          <w:tcPr>
            <w:tcW w:w="1820" w:type="dxa"/>
            <w:tcBorders>
              <w:top w:val="single" w:color="auto" w:sz="4" w:space="0"/>
              <w:left w:val="single" w:color="auto" w:sz="4" w:space="0"/>
              <w:bottom w:val="single" w:color="auto" w:sz="4" w:space="0"/>
              <w:right w:val="single" w:color="auto" w:sz="4" w:space="0"/>
            </w:tcBorders>
          </w:tcPr>
          <w:p w14:paraId="4AE29696">
            <w:pPr>
              <w:widowControl/>
              <w:spacing w:line="400" w:lineRule="atLeast"/>
              <w:jc w:val="left"/>
              <w:rPr>
                <w:rFonts w:ascii="Arial" w:hAnsi="Arial" w:cs="Arial"/>
                <w:sz w:val="24"/>
              </w:rPr>
            </w:pPr>
          </w:p>
          <w:p w14:paraId="71B7C43E">
            <w:pPr>
              <w:spacing w:line="400" w:lineRule="atLeast"/>
              <w:rPr>
                <w:rFonts w:ascii="Arial" w:hAnsi="Arial" w:cs="Arial"/>
                <w:sz w:val="24"/>
              </w:rPr>
            </w:pPr>
          </w:p>
        </w:tc>
        <w:tc>
          <w:tcPr>
            <w:tcW w:w="2778" w:type="dxa"/>
            <w:tcBorders>
              <w:top w:val="single" w:color="auto" w:sz="4" w:space="0"/>
              <w:left w:val="single" w:color="auto" w:sz="4" w:space="0"/>
              <w:bottom w:val="single" w:color="auto" w:sz="4" w:space="0"/>
              <w:right w:val="single" w:color="auto" w:sz="4" w:space="0"/>
            </w:tcBorders>
          </w:tcPr>
          <w:p w14:paraId="31F070DD">
            <w:pPr>
              <w:spacing w:line="400" w:lineRule="atLeast"/>
              <w:rPr>
                <w:rFonts w:ascii="Arial" w:hAnsi="Arial" w:cs="Arial"/>
                <w:sz w:val="24"/>
              </w:rPr>
            </w:pPr>
          </w:p>
        </w:tc>
        <w:tc>
          <w:tcPr>
            <w:tcW w:w="1911" w:type="dxa"/>
            <w:tcBorders>
              <w:top w:val="single" w:color="auto" w:sz="4" w:space="0"/>
              <w:left w:val="single" w:color="auto" w:sz="4" w:space="0"/>
              <w:bottom w:val="single" w:color="auto" w:sz="4" w:space="0"/>
              <w:right w:val="single" w:color="auto" w:sz="4" w:space="0"/>
            </w:tcBorders>
          </w:tcPr>
          <w:p w14:paraId="7026AF51">
            <w:pPr>
              <w:spacing w:line="400" w:lineRule="atLeast"/>
              <w:rPr>
                <w:rFonts w:ascii="Arial" w:hAnsi="Arial" w:cs="Arial"/>
                <w:sz w:val="24"/>
              </w:rPr>
            </w:pPr>
          </w:p>
        </w:tc>
        <w:tc>
          <w:tcPr>
            <w:tcW w:w="1464" w:type="dxa"/>
            <w:tcBorders>
              <w:top w:val="single" w:color="auto" w:sz="4" w:space="0"/>
              <w:left w:val="single" w:color="auto" w:sz="4" w:space="0"/>
              <w:bottom w:val="single" w:color="auto" w:sz="4" w:space="0"/>
              <w:right w:val="single" w:color="auto" w:sz="4" w:space="0"/>
            </w:tcBorders>
          </w:tcPr>
          <w:p w14:paraId="172098E2">
            <w:pPr>
              <w:spacing w:line="400" w:lineRule="atLeast"/>
              <w:rPr>
                <w:rFonts w:ascii="Arial" w:hAnsi="Arial" w:cs="Arial"/>
                <w:sz w:val="24"/>
              </w:rPr>
            </w:pPr>
          </w:p>
        </w:tc>
        <w:tc>
          <w:tcPr>
            <w:tcW w:w="1020" w:type="dxa"/>
            <w:tcBorders>
              <w:top w:val="single" w:color="auto" w:sz="4" w:space="0"/>
              <w:left w:val="single" w:color="auto" w:sz="4" w:space="0"/>
              <w:bottom w:val="single" w:color="auto" w:sz="4" w:space="0"/>
              <w:right w:val="single" w:color="auto" w:sz="4" w:space="0"/>
            </w:tcBorders>
          </w:tcPr>
          <w:p w14:paraId="5895E3A7">
            <w:pPr>
              <w:spacing w:line="400" w:lineRule="atLeast"/>
              <w:rPr>
                <w:rFonts w:ascii="Arial" w:hAnsi="Arial" w:cs="Arial"/>
                <w:sz w:val="24"/>
              </w:rPr>
            </w:pPr>
          </w:p>
        </w:tc>
      </w:tr>
      <w:tr w14:paraId="283F5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571" w:type="dxa"/>
            <w:tcBorders>
              <w:top w:val="single" w:color="auto" w:sz="4" w:space="0"/>
              <w:left w:val="single" w:color="auto" w:sz="4" w:space="0"/>
              <w:bottom w:val="single" w:color="auto" w:sz="4" w:space="0"/>
              <w:right w:val="single" w:color="auto" w:sz="4" w:space="0"/>
            </w:tcBorders>
          </w:tcPr>
          <w:p w14:paraId="2A660808">
            <w:pPr>
              <w:spacing w:line="400" w:lineRule="atLeast"/>
              <w:rPr>
                <w:rFonts w:ascii="Arial" w:hAnsi="Arial" w:cs="Arial"/>
                <w:sz w:val="24"/>
              </w:rPr>
            </w:pPr>
          </w:p>
          <w:p w14:paraId="274ED20E">
            <w:pPr>
              <w:spacing w:line="400" w:lineRule="atLeast"/>
              <w:rPr>
                <w:rFonts w:ascii="Arial" w:hAnsi="Arial" w:cs="Arial"/>
                <w:sz w:val="24"/>
              </w:rPr>
            </w:pPr>
          </w:p>
        </w:tc>
        <w:tc>
          <w:tcPr>
            <w:tcW w:w="1820" w:type="dxa"/>
            <w:tcBorders>
              <w:top w:val="single" w:color="auto" w:sz="4" w:space="0"/>
              <w:left w:val="single" w:color="auto" w:sz="4" w:space="0"/>
              <w:bottom w:val="single" w:color="auto" w:sz="4" w:space="0"/>
              <w:right w:val="single" w:color="auto" w:sz="4" w:space="0"/>
            </w:tcBorders>
          </w:tcPr>
          <w:p w14:paraId="15DD30F0">
            <w:pPr>
              <w:widowControl/>
              <w:spacing w:line="400" w:lineRule="atLeast"/>
              <w:jc w:val="left"/>
              <w:rPr>
                <w:rFonts w:ascii="Arial" w:hAnsi="Arial" w:cs="Arial"/>
                <w:sz w:val="24"/>
              </w:rPr>
            </w:pPr>
          </w:p>
          <w:p w14:paraId="61AB3676">
            <w:pPr>
              <w:spacing w:line="400" w:lineRule="atLeast"/>
              <w:rPr>
                <w:rFonts w:ascii="Arial" w:hAnsi="Arial" w:cs="Arial"/>
                <w:sz w:val="24"/>
              </w:rPr>
            </w:pPr>
          </w:p>
        </w:tc>
        <w:tc>
          <w:tcPr>
            <w:tcW w:w="2778" w:type="dxa"/>
            <w:tcBorders>
              <w:top w:val="single" w:color="auto" w:sz="4" w:space="0"/>
              <w:left w:val="single" w:color="auto" w:sz="4" w:space="0"/>
              <w:bottom w:val="single" w:color="auto" w:sz="4" w:space="0"/>
              <w:right w:val="single" w:color="auto" w:sz="4" w:space="0"/>
            </w:tcBorders>
          </w:tcPr>
          <w:p w14:paraId="00552D74">
            <w:pPr>
              <w:spacing w:line="400" w:lineRule="atLeast"/>
              <w:rPr>
                <w:rFonts w:ascii="Arial" w:hAnsi="Arial" w:cs="Arial"/>
                <w:sz w:val="24"/>
              </w:rPr>
            </w:pPr>
          </w:p>
        </w:tc>
        <w:tc>
          <w:tcPr>
            <w:tcW w:w="1911" w:type="dxa"/>
            <w:tcBorders>
              <w:top w:val="single" w:color="auto" w:sz="4" w:space="0"/>
              <w:left w:val="single" w:color="auto" w:sz="4" w:space="0"/>
              <w:bottom w:val="single" w:color="auto" w:sz="4" w:space="0"/>
              <w:right w:val="single" w:color="auto" w:sz="4" w:space="0"/>
            </w:tcBorders>
          </w:tcPr>
          <w:p w14:paraId="5EBD73C9">
            <w:pPr>
              <w:spacing w:line="400" w:lineRule="atLeast"/>
              <w:rPr>
                <w:rFonts w:ascii="Arial" w:hAnsi="Arial" w:cs="Arial"/>
                <w:sz w:val="24"/>
              </w:rPr>
            </w:pPr>
          </w:p>
        </w:tc>
        <w:tc>
          <w:tcPr>
            <w:tcW w:w="1464" w:type="dxa"/>
            <w:tcBorders>
              <w:top w:val="single" w:color="auto" w:sz="4" w:space="0"/>
              <w:left w:val="single" w:color="auto" w:sz="4" w:space="0"/>
              <w:bottom w:val="single" w:color="auto" w:sz="4" w:space="0"/>
              <w:right w:val="single" w:color="auto" w:sz="4" w:space="0"/>
            </w:tcBorders>
          </w:tcPr>
          <w:p w14:paraId="250FCC26">
            <w:pPr>
              <w:spacing w:line="400" w:lineRule="atLeast"/>
              <w:rPr>
                <w:rFonts w:ascii="Arial" w:hAnsi="Arial" w:cs="Arial"/>
                <w:sz w:val="24"/>
              </w:rPr>
            </w:pPr>
          </w:p>
        </w:tc>
        <w:tc>
          <w:tcPr>
            <w:tcW w:w="1020" w:type="dxa"/>
            <w:tcBorders>
              <w:top w:val="single" w:color="auto" w:sz="4" w:space="0"/>
              <w:left w:val="single" w:color="auto" w:sz="4" w:space="0"/>
              <w:bottom w:val="single" w:color="auto" w:sz="4" w:space="0"/>
              <w:right w:val="single" w:color="auto" w:sz="4" w:space="0"/>
            </w:tcBorders>
          </w:tcPr>
          <w:p w14:paraId="6A17A5C5">
            <w:pPr>
              <w:spacing w:line="400" w:lineRule="atLeast"/>
              <w:rPr>
                <w:rFonts w:ascii="Arial" w:hAnsi="Arial" w:cs="Arial"/>
                <w:sz w:val="24"/>
              </w:rPr>
            </w:pPr>
          </w:p>
        </w:tc>
      </w:tr>
      <w:tr w14:paraId="0E398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571" w:type="dxa"/>
            <w:tcBorders>
              <w:top w:val="single" w:color="auto" w:sz="4" w:space="0"/>
              <w:left w:val="single" w:color="auto" w:sz="4" w:space="0"/>
              <w:bottom w:val="single" w:color="auto" w:sz="4" w:space="0"/>
              <w:right w:val="single" w:color="auto" w:sz="4" w:space="0"/>
            </w:tcBorders>
          </w:tcPr>
          <w:p w14:paraId="2166A729">
            <w:pPr>
              <w:spacing w:line="400" w:lineRule="atLeast"/>
              <w:rPr>
                <w:rFonts w:ascii="Arial" w:hAnsi="Arial" w:cs="Arial"/>
                <w:sz w:val="24"/>
              </w:rPr>
            </w:pPr>
          </w:p>
          <w:p w14:paraId="7A2794C0">
            <w:pPr>
              <w:spacing w:line="400" w:lineRule="atLeast"/>
              <w:rPr>
                <w:rFonts w:ascii="Arial" w:hAnsi="Arial" w:cs="Arial"/>
                <w:sz w:val="24"/>
              </w:rPr>
            </w:pPr>
          </w:p>
        </w:tc>
        <w:tc>
          <w:tcPr>
            <w:tcW w:w="1820" w:type="dxa"/>
            <w:tcBorders>
              <w:top w:val="single" w:color="auto" w:sz="4" w:space="0"/>
              <w:left w:val="single" w:color="auto" w:sz="4" w:space="0"/>
              <w:bottom w:val="single" w:color="auto" w:sz="4" w:space="0"/>
              <w:right w:val="single" w:color="auto" w:sz="4" w:space="0"/>
            </w:tcBorders>
          </w:tcPr>
          <w:p w14:paraId="5B82872E">
            <w:pPr>
              <w:widowControl/>
              <w:spacing w:line="400" w:lineRule="atLeast"/>
              <w:jc w:val="left"/>
              <w:rPr>
                <w:rFonts w:ascii="Arial" w:hAnsi="Arial" w:cs="Arial"/>
                <w:sz w:val="24"/>
              </w:rPr>
            </w:pPr>
          </w:p>
          <w:p w14:paraId="3988CC40">
            <w:pPr>
              <w:spacing w:line="400" w:lineRule="atLeast"/>
              <w:rPr>
                <w:rFonts w:ascii="Arial" w:hAnsi="Arial" w:cs="Arial"/>
                <w:sz w:val="24"/>
              </w:rPr>
            </w:pPr>
          </w:p>
        </w:tc>
        <w:tc>
          <w:tcPr>
            <w:tcW w:w="2778" w:type="dxa"/>
            <w:tcBorders>
              <w:top w:val="single" w:color="auto" w:sz="4" w:space="0"/>
              <w:left w:val="single" w:color="auto" w:sz="4" w:space="0"/>
              <w:bottom w:val="single" w:color="auto" w:sz="4" w:space="0"/>
              <w:right w:val="single" w:color="auto" w:sz="4" w:space="0"/>
            </w:tcBorders>
          </w:tcPr>
          <w:p w14:paraId="5010733D">
            <w:pPr>
              <w:spacing w:line="400" w:lineRule="atLeast"/>
              <w:rPr>
                <w:rFonts w:ascii="Arial" w:hAnsi="Arial" w:cs="Arial"/>
                <w:sz w:val="24"/>
              </w:rPr>
            </w:pPr>
          </w:p>
        </w:tc>
        <w:tc>
          <w:tcPr>
            <w:tcW w:w="1911" w:type="dxa"/>
            <w:tcBorders>
              <w:top w:val="single" w:color="auto" w:sz="4" w:space="0"/>
              <w:left w:val="single" w:color="auto" w:sz="4" w:space="0"/>
              <w:bottom w:val="single" w:color="auto" w:sz="4" w:space="0"/>
              <w:right w:val="single" w:color="auto" w:sz="4" w:space="0"/>
            </w:tcBorders>
          </w:tcPr>
          <w:p w14:paraId="2221C9A6">
            <w:pPr>
              <w:spacing w:line="400" w:lineRule="atLeast"/>
              <w:rPr>
                <w:rFonts w:ascii="Arial" w:hAnsi="Arial" w:cs="Arial"/>
                <w:sz w:val="24"/>
              </w:rPr>
            </w:pPr>
          </w:p>
        </w:tc>
        <w:tc>
          <w:tcPr>
            <w:tcW w:w="1464" w:type="dxa"/>
            <w:tcBorders>
              <w:top w:val="single" w:color="auto" w:sz="4" w:space="0"/>
              <w:left w:val="single" w:color="auto" w:sz="4" w:space="0"/>
              <w:bottom w:val="single" w:color="auto" w:sz="4" w:space="0"/>
              <w:right w:val="single" w:color="auto" w:sz="4" w:space="0"/>
            </w:tcBorders>
          </w:tcPr>
          <w:p w14:paraId="05419AA8">
            <w:pPr>
              <w:spacing w:line="400" w:lineRule="atLeast"/>
              <w:rPr>
                <w:rFonts w:ascii="Arial" w:hAnsi="Arial" w:cs="Arial"/>
                <w:sz w:val="24"/>
              </w:rPr>
            </w:pPr>
          </w:p>
        </w:tc>
        <w:tc>
          <w:tcPr>
            <w:tcW w:w="1020" w:type="dxa"/>
            <w:tcBorders>
              <w:top w:val="single" w:color="auto" w:sz="4" w:space="0"/>
              <w:left w:val="single" w:color="auto" w:sz="4" w:space="0"/>
              <w:bottom w:val="single" w:color="auto" w:sz="4" w:space="0"/>
              <w:right w:val="single" w:color="auto" w:sz="4" w:space="0"/>
            </w:tcBorders>
          </w:tcPr>
          <w:p w14:paraId="40D6DF18">
            <w:pPr>
              <w:spacing w:line="400" w:lineRule="atLeast"/>
              <w:rPr>
                <w:rFonts w:ascii="Arial" w:hAnsi="Arial" w:cs="Arial"/>
                <w:sz w:val="24"/>
              </w:rPr>
            </w:pPr>
          </w:p>
        </w:tc>
      </w:tr>
      <w:tr w14:paraId="03737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571" w:type="dxa"/>
            <w:tcBorders>
              <w:top w:val="single" w:color="auto" w:sz="4" w:space="0"/>
              <w:left w:val="single" w:color="auto" w:sz="4" w:space="0"/>
              <w:bottom w:val="single" w:color="auto" w:sz="4" w:space="0"/>
              <w:right w:val="single" w:color="auto" w:sz="4" w:space="0"/>
            </w:tcBorders>
          </w:tcPr>
          <w:p w14:paraId="4F1D4C93">
            <w:pPr>
              <w:spacing w:line="400" w:lineRule="atLeast"/>
              <w:rPr>
                <w:rFonts w:ascii="Arial" w:hAnsi="Arial" w:cs="Arial"/>
                <w:sz w:val="24"/>
              </w:rPr>
            </w:pPr>
          </w:p>
          <w:p w14:paraId="320F8A35">
            <w:pPr>
              <w:spacing w:line="400" w:lineRule="atLeast"/>
              <w:rPr>
                <w:rFonts w:ascii="Arial" w:hAnsi="Arial" w:cs="Arial"/>
                <w:sz w:val="24"/>
              </w:rPr>
            </w:pPr>
          </w:p>
        </w:tc>
        <w:tc>
          <w:tcPr>
            <w:tcW w:w="1820" w:type="dxa"/>
            <w:tcBorders>
              <w:top w:val="single" w:color="auto" w:sz="4" w:space="0"/>
              <w:left w:val="single" w:color="auto" w:sz="4" w:space="0"/>
              <w:bottom w:val="single" w:color="auto" w:sz="4" w:space="0"/>
              <w:right w:val="single" w:color="auto" w:sz="4" w:space="0"/>
            </w:tcBorders>
          </w:tcPr>
          <w:p w14:paraId="1935CED3">
            <w:pPr>
              <w:widowControl/>
              <w:spacing w:line="400" w:lineRule="atLeast"/>
              <w:jc w:val="left"/>
              <w:rPr>
                <w:rFonts w:ascii="Arial" w:hAnsi="Arial" w:cs="Arial"/>
                <w:sz w:val="24"/>
              </w:rPr>
            </w:pPr>
          </w:p>
          <w:p w14:paraId="404C37A3">
            <w:pPr>
              <w:spacing w:line="400" w:lineRule="atLeast"/>
              <w:rPr>
                <w:rFonts w:ascii="Arial" w:hAnsi="Arial" w:cs="Arial"/>
                <w:sz w:val="24"/>
              </w:rPr>
            </w:pPr>
          </w:p>
        </w:tc>
        <w:tc>
          <w:tcPr>
            <w:tcW w:w="2778" w:type="dxa"/>
            <w:tcBorders>
              <w:top w:val="single" w:color="auto" w:sz="4" w:space="0"/>
              <w:left w:val="single" w:color="auto" w:sz="4" w:space="0"/>
              <w:bottom w:val="single" w:color="auto" w:sz="4" w:space="0"/>
              <w:right w:val="single" w:color="auto" w:sz="4" w:space="0"/>
            </w:tcBorders>
          </w:tcPr>
          <w:p w14:paraId="46FF50E4">
            <w:pPr>
              <w:spacing w:line="400" w:lineRule="atLeast"/>
              <w:rPr>
                <w:rFonts w:ascii="Arial" w:hAnsi="Arial" w:cs="Arial"/>
                <w:sz w:val="24"/>
              </w:rPr>
            </w:pPr>
          </w:p>
        </w:tc>
        <w:tc>
          <w:tcPr>
            <w:tcW w:w="1911" w:type="dxa"/>
            <w:tcBorders>
              <w:top w:val="single" w:color="auto" w:sz="4" w:space="0"/>
              <w:left w:val="single" w:color="auto" w:sz="4" w:space="0"/>
              <w:bottom w:val="single" w:color="auto" w:sz="4" w:space="0"/>
              <w:right w:val="single" w:color="auto" w:sz="4" w:space="0"/>
            </w:tcBorders>
          </w:tcPr>
          <w:p w14:paraId="4BCF0B27">
            <w:pPr>
              <w:spacing w:line="400" w:lineRule="atLeast"/>
              <w:rPr>
                <w:rFonts w:ascii="Arial" w:hAnsi="Arial" w:cs="Arial"/>
                <w:sz w:val="24"/>
              </w:rPr>
            </w:pPr>
          </w:p>
        </w:tc>
        <w:tc>
          <w:tcPr>
            <w:tcW w:w="1464" w:type="dxa"/>
            <w:tcBorders>
              <w:top w:val="single" w:color="auto" w:sz="4" w:space="0"/>
              <w:left w:val="single" w:color="auto" w:sz="4" w:space="0"/>
              <w:bottom w:val="single" w:color="auto" w:sz="4" w:space="0"/>
              <w:right w:val="single" w:color="auto" w:sz="4" w:space="0"/>
            </w:tcBorders>
          </w:tcPr>
          <w:p w14:paraId="60EBA637">
            <w:pPr>
              <w:spacing w:line="400" w:lineRule="atLeast"/>
              <w:rPr>
                <w:rFonts w:ascii="Arial" w:hAnsi="Arial" w:cs="Arial"/>
                <w:sz w:val="24"/>
              </w:rPr>
            </w:pPr>
          </w:p>
        </w:tc>
        <w:tc>
          <w:tcPr>
            <w:tcW w:w="1020" w:type="dxa"/>
            <w:tcBorders>
              <w:top w:val="single" w:color="auto" w:sz="4" w:space="0"/>
              <w:left w:val="single" w:color="auto" w:sz="4" w:space="0"/>
              <w:bottom w:val="single" w:color="auto" w:sz="4" w:space="0"/>
              <w:right w:val="single" w:color="auto" w:sz="4" w:space="0"/>
            </w:tcBorders>
          </w:tcPr>
          <w:p w14:paraId="4B547E05">
            <w:pPr>
              <w:spacing w:line="400" w:lineRule="atLeast"/>
              <w:rPr>
                <w:rFonts w:ascii="Arial" w:hAnsi="Arial" w:cs="Arial"/>
                <w:sz w:val="24"/>
              </w:rPr>
            </w:pPr>
          </w:p>
        </w:tc>
      </w:tr>
      <w:tr w14:paraId="65C1C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571" w:type="dxa"/>
            <w:tcBorders>
              <w:top w:val="single" w:color="auto" w:sz="4" w:space="0"/>
              <w:left w:val="single" w:color="auto" w:sz="4" w:space="0"/>
              <w:bottom w:val="single" w:color="auto" w:sz="4" w:space="0"/>
              <w:right w:val="single" w:color="auto" w:sz="4" w:space="0"/>
            </w:tcBorders>
          </w:tcPr>
          <w:p w14:paraId="7ECA2370">
            <w:pPr>
              <w:spacing w:line="400" w:lineRule="atLeast"/>
              <w:rPr>
                <w:rFonts w:ascii="Arial" w:hAnsi="Arial" w:cs="Arial"/>
                <w:sz w:val="24"/>
              </w:rPr>
            </w:pPr>
          </w:p>
          <w:p w14:paraId="2BBE7A32">
            <w:pPr>
              <w:spacing w:line="400" w:lineRule="atLeast"/>
              <w:rPr>
                <w:rFonts w:ascii="Arial" w:hAnsi="Arial" w:cs="Arial"/>
                <w:sz w:val="24"/>
              </w:rPr>
            </w:pPr>
          </w:p>
        </w:tc>
        <w:tc>
          <w:tcPr>
            <w:tcW w:w="1820" w:type="dxa"/>
            <w:tcBorders>
              <w:top w:val="single" w:color="auto" w:sz="4" w:space="0"/>
              <w:left w:val="single" w:color="auto" w:sz="4" w:space="0"/>
              <w:bottom w:val="single" w:color="auto" w:sz="4" w:space="0"/>
              <w:right w:val="single" w:color="auto" w:sz="4" w:space="0"/>
            </w:tcBorders>
          </w:tcPr>
          <w:p w14:paraId="4562A967">
            <w:pPr>
              <w:widowControl/>
              <w:spacing w:line="400" w:lineRule="atLeast"/>
              <w:jc w:val="left"/>
              <w:rPr>
                <w:rFonts w:ascii="Arial" w:hAnsi="Arial" w:cs="Arial"/>
                <w:sz w:val="24"/>
              </w:rPr>
            </w:pPr>
          </w:p>
          <w:p w14:paraId="7509BB11">
            <w:pPr>
              <w:spacing w:line="400" w:lineRule="atLeast"/>
              <w:rPr>
                <w:rFonts w:ascii="Arial" w:hAnsi="Arial" w:cs="Arial"/>
                <w:sz w:val="24"/>
              </w:rPr>
            </w:pPr>
          </w:p>
        </w:tc>
        <w:tc>
          <w:tcPr>
            <w:tcW w:w="2778" w:type="dxa"/>
            <w:tcBorders>
              <w:top w:val="single" w:color="auto" w:sz="4" w:space="0"/>
              <w:left w:val="single" w:color="auto" w:sz="4" w:space="0"/>
              <w:bottom w:val="single" w:color="auto" w:sz="4" w:space="0"/>
              <w:right w:val="single" w:color="auto" w:sz="4" w:space="0"/>
            </w:tcBorders>
          </w:tcPr>
          <w:p w14:paraId="115A7589">
            <w:pPr>
              <w:spacing w:line="400" w:lineRule="atLeast"/>
              <w:rPr>
                <w:rFonts w:ascii="Arial" w:hAnsi="Arial" w:cs="Arial"/>
                <w:sz w:val="24"/>
              </w:rPr>
            </w:pPr>
          </w:p>
        </w:tc>
        <w:tc>
          <w:tcPr>
            <w:tcW w:w="1911" w:type="dxa"/>
            <w:tcBorders>
              <w:top w:val="single" w:color="auto" w:sz="4" w:space="0"/>
              <w:left w:val="single" w:color="auto" w:sz="4" w:space="0"/>
              <w:bottom w:val="single" w:color="auto" w:sz="4" w:space="0"/>
              <w:right w:val="single" w:color="auto" w:sz="4" w:space="0"/>
            </w:tcBorders>
          </w:tcPr>
          <w:p w14:paraId="565BD412">
            <w:pPr>
              <w:spacing w:line="400" w:lineRule="atLeast"/>
              <w:rPr>
                <w:rFonts w:ascii="Arial" w:hAnsi="Arial" w:cs="Arial"/>
                <w:sz w:val="24"/>
              </w:rPr>
            </w:pPr>
          </w:p>
        </w:tc>
        <w:tc>
          <w:tcPr>
            <w:tcW w:w="1464" w:type="dxa"/>
            <w:tcBorders>
              <w:top w:val="single" w:color="auto" w:sz="4" w:space="0"/>
              <w:left w:val="single" w:color="auto" w:sz="4" w:space="0"/>
              <w:bottom w:val="single" w:color="auto" w:sz="4" w:space="0"/>
              <w:right w:val="single" w:color="auto" w:sz="4" w:space="0"/>
            </w:tcBorders>
          </w:tcPr>
          <w:p w14:paraId="1BE3A56F">
            <w:pPr>
              <w:spacing w:line="400" w:lineRule="atLeast"/>
              <w:rPr>
                <w:rFonts w:ascii="Arial" w:hAnsi="Arial" w:cs="Arial"/>
                <w:sz w:val="24"/>
              </w:rPr>
            </w:pPr>
          </w:p>
        </w:tc>
        <w:tc>
          <w:tcPr>
            <w:tcW w:w="1020" w:type="dxa"/>
            <w:tcBorders>
              <w:top w:val="single" w:color="auto" w:sz="4" w:space="0"/>
              <w:left w:val="single" w:color="auto" w:sz="4" w:space="0"/>
              <w:bottom w:val="single" w:color="auto" w:sz="4" w:space="0"/>
              <w:right w:val="single" w:color="auto" w:sz="4" w:space="0"/>
            </w:tcBorders>
          </w:tcPr>
          <w:p w14:paraId="074E6693">
            <w:pPr>
              <w:spacing w:line="400" w:lineRule="atLeast"/>
              <w:rPr>
                <w:rFonts w:ascii="Arial" w:hAnsi="Arial" w:cs="Arial"/>
                <w:sz w:val="24"/>
              </w:rPr>
            </w:pPr>
          </w:p>
        </w:tc>
      </w:tr>
      <w:tr w14:paraId="2AB65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571" w:type="dxa"/>
            <w:tcBorders>
              <w:top w:val="single" w:color="auto" w:sz="4" w:space="0"/>
              <w:left w:val="single" w:color="auto" w:sz="4" w:space="0"/>
              <w:bottom w:val="single" w:color="auto" w:sz="4" w:space="0"/>
              <w:right w:val="single" w:color="auto" w:sz="4" w:space="0"/>
            </w:tcBorders>
          </w:tcPr>
          <w:p w14:paraId="5521DE79">
            <w:pPr>
              <w:spacing w:line="400" w:lineRule="atLeast"/>
              <w:rPr>
                <w:rFonts w:ascii="Arial" w:hAnsi="Arial" w:cs="Arial"/>
                <w:sz w:val="24"/>
              </w:rPr>
            </w:pPr>
          </w:p>
          <w:p w14:paraId="0F609B95">
            <w:pPr>
              <w:spacing w:line="400" w:lineRule="atLeast"/>
              <w:rPr>
                <w:rFonts w:ascii="Arial" w:hAnsi="Arial" w:cs="Arial"/>
                <w:sz w:val="24"/>
              </w:rPr>
            </w:pPr>
          </w:p>
        </w:tc>
        <w:tc>
          <w:tcPr>
            <w:tcW w:w="1820" w:type="dxa"/>
            <w:tcBorders>
              <w:top w:val="single" w:color="auto" w:sz="4" w:space="0"/>
              <w:left w:val="single" w:color="auto" w:sz="4" w:space="0"/>
              <w:bottom w:val="single" w:color="auto" w:sz="4" w:space="0"/>
              <w:right w:val="single" w:color="auto" w:sz="4" w:space="0"/>
            </w:tcBorders>
          </w:tcPr>
          <w:p w14:paraId="083D4B85">
            <w:pPr>
              <w:widowControl/>
              <w:spacing w:line="400" w:lineRule="atLeast"/>
              <w:jc w:val="left"/>
              <w:rPr>
                <w:rFonts w:ascii="Arial" w:hAnsi="Arial" w:cs="Arial"/>
                <w:sz w:val="24"/>
              </w:rPr>
            </w:pPr>
          </w:p>
          <w:p w14:paraId="3286DD1F">
            <w:pPr>
              <w:spacing w:line="400" w:lineRule="atLeast"/>
              <w:rPr>
                <w:rFonts w:ascii="Arial" w:hAnsi="Arial" w:cs="Arial"/>
                <w:sz w:val="24"/>
              </w:rPr>
            </w:pPr>
          </w:p>
        </w:tc>
        <w:tc>
          <w:tcPr>
            <w:tcW w:w="2778" w:type="dxa"/>
            <w:tcBorders>
              <w:top w:val="single" w:color="auto" w:sz="4" w:space="0"/>
              <w:left w:val="single" w:color="auto" w:sz="4" w:space="0"/>
              <w:bottom w:val="single" w:color="auto" w:sz="4" w:space="0"/>
              <w:right w:val="single" w:color="auto" w:sz="4" w:space="0"/>
            </w:tcBorders>
          </w:tcPr>
          <w:p w14:paraId="7ADDC3C0">
            <w:pPr>
              <w:spacing w:line="400" w:lineRule="atLeast"/>
              <w:rPr>
                <w:rFonts w:ascii="Arial" w:hAnsi="Arial" w:cs="Arial"/>
                <w:sz w:val="24"/>
              </w:rPr>
            </w:pPr>
          </w:p>
        </w:tc>
        <w:tc>
          <w:tcPr>
            <w:tcW w:w="1911" w:type="dxa"/>
            <w:tcBorders>
              <w:top w:val="single" w:color="auto" w:sz="4" w:space="0"/>
              <w:left w:val="single" w:color="auto" w:sz="4" w:space="0"/>
              <w:bottom w:val="single" w:color="auto" w:sz="4" w:space="0"/>
              <w:right w:val="single" w:color="auto" w:sz="4" w:space="0"/>
            </w:tcBorders>
          </w:tcPr>
          <w:p w14:paraId="28ABA69F">
            <w:pPr>
              <w:spacing w:line="400" w:lineRule="atLeast"/>
              <w:rPr>
                <w:rFonts w:ascii="Arial" w:hAnsi="Arial" w:cs="Arial"/>
                <w:sz w:val="24"/>
              </w:rPr>
            </w:pPr>
          </w:p>
        </w:tc>
        <w:tc>
          <w:tcPr>
            <w:tcW w:w="1464" w:type="dxa"/>
            <w:tcBorders>
              <w:top w:val="single" w:color="auto" w:sz="4" w:space="0"/>
              <w:left w:val="single" w:color="auto" w:sz="4" w:space="0"/>
              <w:bottom w:val="single" w:color="auto" w:sz="4" w:space="0"/>
              <w:right w:val="single" w:color="auto" w:sz="4" w:space="0"/>
            </w:tcBorders>
          </w:tcPr>
          <w:p w14:paraId="5C23DDA1">
            <w:pPr>
              <w:spacing w:line="400" w:lineRule="atLeast"/>
              <w:rPr>
                <w:rFonts w:ascii="Arial" w:hAnsi="Arial" w:cs="Arial"/>
                <w:sz w:val="24"/>
              </w:rPr>
            </w:pPr>
          </w:p>
        </w:tc>
        <w:tc>
          <w:tcPr>
            <w:tcW w:w="1020" w:type="dxa"/>
            <w:tcBorders>
              <w:top w:val="single" w:color="auto" w:sz="4" w:space="0"/>
              <w:left w:val="single" w:color="auto" w:sz="4" w:space="0"/>
              <w:bottom w:val="single" w:color="auto" w:sz="4" w:space="0"/>
              <w:right w:val="single" w:color="auto" w:sz="4" w:space="0"/>
            </w:tcBorders>
          </w:tcPr>
          <w:p w14:paraId="66FA4858">
            <w:pPr>
              <w:spacing w:line="400" w:lineRule="atLeast"/>
              <w:rPr>
                <w:rFonts w:ascii="Arial" w:hAnsi="Arial" w:cs="Arial"/>
                <w:sz w:val="24"/>
              </w:rPr>
            </w:pPr>
          </w:p>
        </w:tc>
      </w:tr>
      <w:tr w14:paraId="6F81E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571" w:type="dxa"/>
            <w:tcBorders>
              <w:top w:val="single" w:color="auto" w:sz="4" w:space="0"/>
              <w:left w:val="single" w:color="auto" w:sz="4" w:space="0"/>
              <w:bottom w:val="single" w:color="auto" w:sz="4" w:space="0"/>
              <w:right w:val="single" w:color="auto" w:sz="4" w:space="0"/>
            </w:tcBorders>
          </w:tcPr>
          <w:p w14:paraId="30222481">
            <w:pPr>
              <w:spacing w:line="400" w:lineRule="atLeast"/>
              <w:rPr>
                <w:rFonts w:ascii="Arial" w:hAnsi="Arial" w:cs="Arial"/>
                <w:sz w:val="24"/>
              </w:rPr>
            </w:pPr>
          </w:p>
        </w:tc>
        <w:tc>
          <w:tcPr>
            <w:tcW w:w="1820" w:type="dxa"/>
            <w:tcBorders>
              <w:top w:val="single" w:color="auto" w:sz="4" w:space="0"/>
              <w:left w:val="single" w:color="auto" w:sz="4" w:space="0"/>
              <w:bottom w:val="single" w:color="auto" w:sz="4" w:space="0"/>
              <w:right w:val="single" w:color="auto" w:sz="4" w:space="0"/>
            </w:tcBorders>
          </w:tcPr>
          <w:p w14:paraId="28DF29D4">
            <w:pPr>
              <w:spacing w:line="400" w:lineRule="atLeast"/>
              <w:rPr>
                <w:rFonts w:ascii="Arial" w:hAnsi="Arial" w:cs="Arial"/>
                <w:sz w:val="24"/>
              </w:rPr>
            </w:pPr>
          </w:p>
        </w:tc>
        <w:tc>
          <w:tcPr>
            <w:tcW w:w="2778" w:type="dxa"/>
            <w:tcBorders>
              <w:top w:val="single" w:color="auto" w:sz="4" w:space="0"/>
              <w:left w:val="single" w:color="auto" w:sz="4" w:space="0"/>
              <w:bottom w:val="single" w:color="auto" w:sz="4" w:space="0"/>
              <w:right w:val="single" w:color="auto" w:sz="4" w:space="0"/>
            </w:tcBorders>
          </w:tcPr>
          <w:p w14:paraId="14547000">
            <w:pPr>
              <w:spacing w:line="400" w:lineRule="atLeast"/>
              <w:rPr>
                <w:rFonts w:ascii="Arial" w:hAnsi="Arial" w:cs="Arial"/>
                <w:sz w:val="24"/>
              </w:rPr>
            </w:pPr>
          </w:p>
          <w:p w14:paraId="06597C81">
            <w:pPr>
              <w:spacing w:line="400" w:lineRule="atLeast"/>
              <w:rPr>
                <w:rFonts w:ascii="Arial" w:hAnsi="Arial" w:cs="Arial"/>
                <w:sz w:val="24"/>
              </w:rPr>
            </w:pPr>
          </w:p>
        </w:tc>
        <w:tc>
          <w:tcPr>
            <w:tcW w:w="1911" w:type="dxa"/>
            <w:tcBorders>
              <w:top w:val="single" w:color="auto" w:sz="4" w:space="0"/>
              <w:left w:val="single" w:color="auto" w:sz="4" w:space="0"/>
              <w:bottom w:val="single" w:color="auto" w:sz="4" w:space="0"/>
              <w:right w:val="single" w:color="auto" w:sz="4" w:space="0"/>
            </w:tcBorders>
          </w:tcPr>
          <w:p w14:paraId="320A25CC">
            <w:pPr>
              <w:widowControl/>
              <w:spacing w:line="400" w:lineRule="atLeast"/>
              <w:jc w:val="left"/>
              <w:rPr>
                <w:rFonts w:ascii="Arial" w:hAnsi="Arial" w:cs="Arial"/>
                <w:sz w:val="24"/>
              </w:rPr>
            </w:pPr>
          </w:p>
          <w:p w14:paraId="4A58E125">
            <w:pPr>
              <w:spacing w:line="400" w:lineRule="atLeast"/>
              <w:rPr>
                <w:rFonts w:ascii="Arial" w:hAnsi="Arial" w:cs="Arial"/>
                <w:sz w:val="24"/>
              </w:rPr>
            </w:pPr>
          </w:p>
        </w:tc>
        <w:tc>
          <w:tcPr>
            <w:tcW w:w="1464" w:type="dxa"/>
            <w:tcBorders>
              <w:top w:val="single" w:color="auto" w:sz="4" w:space="0"/>
              <w:left w:val="single" w:color="auto" w:sz="4" w:space="0"/>
              <w:bottom w:val="single" w:color="auto" w:sz="4" w:space="0"/>
              <w:right w:val="single" w:color="auto" w:sz="4" w:space="0"/>
            </w:tcBorders>
          </w:tcPr>
          <w:p w14:paraId="4EC220B5">
            <w:pPr>
              <w:spacing w:line="400" w:lineRule="atLeast"/>
              <w:rPr>
                <w:rFonts w:ascii="Arial" w:hAnsi="Arial" w:cs="Arial"/>
                <w:sz w:val="24"/>
              </w:rPr>
            </w:pPr>
          </w:p>
        </w:tc>
        <w:tc>
          <w:tcPr>
            <w:tcW w:w="1020" w:type="dxa"/>
            <w:tcBorders>
              <w:top w:val="single" w:color="auto" w:sz="4" w:space="0"/>
              <w:left w:val="single" w:color="auto" w:sz="4" w:space="0"/>
              <w:bottom w:val="single" w:color="auto" w:sz="4" w:space="0"/>
              <w:right w:val="single" w:color="auto" w:sz="4" w:space="0"/>
            </w:tcBorders>
          </w:tcPr>
          <w:p w14:paraId="086D988C">
            <w:pPr>
              <w:spacing w:line="400" w:lineRule="atLeast"/>
              <w:rPr>
                <w:rFonts w:ascii="Arial" w:hAnsi="Arial" w:cs="Arial"/>
                <w:sz w:val="24"/>
              </w:rPr>
            </w:pPr>
          </w:p>
        </w:tc>
      </w:tr>
    </w:tbl>
    <w:p w14:paraId="66D592BF">
      <w:pPr>
        <w:spacing w:line="400" w:lineRule="atLeast"/>
        <w:rPr>
          <w:rFonts w:ascii="Arial" w:hAnsi="Arial" w:cs="Arial"/>
          <w:sz w:val="24"/>
        </w:rPr>
      </w:pPr>
      <w:r>
        <w:rPr>
          <w:rFonts w:hint="eastAsia" w:ascii="Arial" w:hAnsi="Arial" w:cs="Arial"/>
          <w:sz w:val="24"/>
        </w:rPr>
        <w:t>注：与谈判文件要求逐条对应填写（对应谈判文件第三部分内容）。</w:t>
      </w:r>
    </w:p>
    <w:p w14:paraId="2A6B98CF">
      <w:pPr>
        <w:tabs>
          <w:tab w:val="left" w:pos="9135"/>
        </w:tabs>
        <w:spacing w:line="400" w:lineRule="atLeast"/>
        <w:ind w:firstLine="2400" w:firstLineChars="1000"/>
        <w:rPr>
          <w:rFonts w:ascii="Arial" w:hAnsi="Arial" w:cs="Arial"/>
          <w:sz w:val="24"/>
        </w:rPr>
      </w:pPr>
      <w:r>
        <w:rPr>
          <w:rFonts w:hint="eastAsia" w:ascii="Arial" w:hAnsi="Arial" w:cs="Arial"/>
          <w:sz w:val="24"/>
        </w:rPr>
        <w:t>供应商名称：</w:t>
      </w:r>
      <w:r>
        <w:rPr>
          <w:rFonts w:hint="eastAsia" w:ascii="Arial" w:hAnsi="Arial" w:cs="Arial"/>
          <w:sz w:val="24"/>
          <w:u w:val="single"/>
        </w:rPr>
        <w:t xml:space="preserve">                            </w:t>
      </w:r>
      <w:r>
        <w:rPr>
          <w:rFonts w:hint="eastAsia" w:ascii="Arial" w:hAnsi="Arial" w:cs="Arial"/>
          <w:sz w:val="24"/>
        </w:rPr>
        <w:t xml:space="preserve"> （盖单位章）</w:t>
      </w:r>
    </w:p>
    <w:p w14:paraId="7CD1F47E">
      <w:pPr>
        <w:tabs>
          <w:tab w:val="left" w:pos="9135"/>
        </w:tabs>
        <w:spacing w:line="400" w:lineRule="atLeast"/>
        <w:ind w:firstLine="2400" w:firstLineChars="1000"/>
        <w:rPr>
          <w:rFonts w:ascii="Arial" w:hAnsi="Arial" w:cs="Arial"/>
          <w:sz w:val="24"/>
        </w:rPr>
      </w:pPr>
      <w:r>
        <w:rPr>
          <w:rFonts w:hint="eastAsia" w:ascii="Arial" w:hAnsi="Arial" w:cs="Arial"/>
          <w:sz w:val="24"/>
        </w:rPr>
        <w:t>供应商法定代表人或授权代表</w:t>
      </w:r>
      <w:r>
        <w:rPr>
          <w:rFonts w:ascii="Arial" w:hAnsi="Arial" w:cs="Arial"/>
          <w:sz w:val="24"/>
        </w:rPr>
        <w:t>：</w:t>
      </w:r>
      <w:r>
        <w:rPr>
          <w:rFonts w:ascii="Arial" w:hAnsi="Arial" w:cs="Arial"/>
          <w:sz w:val="24"/>
          <w:u w:val="single"/>
        </w:rPr>
        <w:t>　　　　　　　　　</w:t>
      </w:r>
      <w:r>
        <w:rPr>
          <w:rFonts w:hint="eastAsia" w:ascii="Arial" w:hAnsi="Arial" w:cs="Arial"/>
          <w:sz w:val="24"/>
        </w:rPr>
        <w:t>（签字或盖章）</w:t>
      </w:r>
    </w:p>
    <w:p w14:paraId="1D9D87ED">
      <w:pPr>
        <w:pStyle w:val="2"/>
        <w:ind w:firstLine="2400" w:firstLineChars="1000"/>
        <w:rPr>
          <w:rFonts w:cs="Arial"/>
        </w:rPr>
      </w:pPr>
      <w:r>
        <w:rPr>
          <w:rFonts w:hint="eastAsia" w:cs="Arial"/>
        </w:rPr>
        <w:t>日期：　 年　月　日</w:t>
      </w:r>
    </w:p>
    <w:p w14:paraId="3F745634">
      <w:pPr>
        <w:spacing w:line="400" w:lineRule="atLeast"/>
        <w:rPr>
          <w:rFonts w:ascii="Arial" w:hAnsi="Arial" w:cs="Arial"/>
          <w:b/>
          <w:bCs/>
          <w:sz w:val="24"/>
        </w:rPr>
        <w:sectPr>
          <w:headerReference r:id="rId9" w:type="default"/>
          <w:pgSz w:w="11906" w:h="16838"/>
          <w:pgMar w:top="1440" w:right="1080" w:bottom="1440" w:left="1080" w:header="851" w:footer="850" w:gutter="0"/>
          <w:cols w:space="720" w:num="1"/>
          <w:docGrid w:type="lines" w:linePitch="409" w:charSpace="0"/>
        </w:sectPr>
      </w:pPr>
    </w:p>
    <w:p w14:paraId="6D1BF130">
      <w:pPr>
        <w:spacing w:line="400" w:lineRule="atLeast"/>
        <w:jc w:val="center"/>
        <w:outlineLvl w:val="1"/>
        <w:rPr>
          <w:rFonts w:ascii="Arial" w:hAnsi="Arial" w:cs="Arial"/>
          <w:b/>
          <w:bCs/>
          <w:sz w:val="24"/>
        </w:rPr>
      </w:pPr>
      <w:bookmarkStart w:id="72" w:name="_Toc16942"/>
      <w:r>
        <w:rPr>
          <w:rFonts w:hint="eastAsia" w:ascii="Arial" w:hAnsi="Arial" w:cs="Arial"/>
          <w:b/>
          <w:bCs/>
          <w:sz w:val="24"/>
        </w:rPr>
        <w:t>7、商务条款偏离表</w:t>
      </w:r>
      <w:bookmarkEnd w:id="72"/>
    </w:p>
    <w:p w14:paraId="6400B8A5">
      <w:pPr>
        <w:spacing w:line="400" w:lineRule="atLeast"/>
        <w:rPr>
          <w:rFonts w:ascii="Arial" w:hAnsi="Arial" w:cs="Arial"/>
          <w:sz w:val="24"/>
          <w:u w:val="single"/>
        </w:rPr>
      </w:pPr>
      <w:r>
        <w:rPr>
          <w:rFonts w:hint="eastAsia" w:ascii="Arial" w:hAnsi="Arial" w:cs="Arial"/>
          <w:sz w:val="24"/>
        </w:rPr>
        <w:t>项目名称：</w:t>
      </w:r>
      <w:r>
        <w:rPr>
          <w:rFonts w:ascii="Arial" w:hAnsi="Arial" w:cs="Arial"/>
          <w:sz w:val="24"/>
          <w:u w:val="single"/>
        </w:rPr>
        <w:t>　　　　　　　　　　　</w:t>
      </w:r>
      <w:r>
        <w:rPr>
          <w:rFonts w:hint="eastAsia" w:ascii="Arial" w:hAnsi="Arial" w:cs="Arial"/>
          <w:sz w:val="24"/>
        </w:rPr>
        <w:t>项目编号：</w:t>
      </w:r>
      <w:r>
        <w:rPr>
          <w:rFonts w:hint="eastAsia" w:ascii="Arial" w:hAnsi="Arial" w:cs="Arial"/>
          <w:sz w:val="24"/>
          <w:u w:val="single"/>
        </w:rPr>
        <w:t>　　　　　　　　　　　</w:t>
      </w:r>
    </w:p>
    <w:tbl>
      <w:tblPr>
        <w:tblStyle w:val="78"/>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555"/>
        <w:gridCol w:w="2496"/>
        <w:gridCol w:w="2552"/>
        <w:gridCol w:w="2551"/>
      </w:tblGrid>
      <w:tr w14:paraId="65032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35" w:type="dxa"/>
            <w:tcBorders>
              <w:top w:val="single" w:color="auto" w:sz="4" w:space="0"/>
              <w:left w:val="single" w:color="auto" w:sz="4" w:space="0"/>
              <w:bottom w:val="single" w:color="auto" w:sz="4" w:space="0"/>
              <w:right w:val="single" w:color="auto" w:sz="4" w:space="0"/>
            </w:tcBorders>
            <w:vAlign w:val="center"/>
          </w:tcPr>
          <w:p w14:paraId="0AB875AD">
            <w:pPr>
              <w:spacing w:line="400" w:lineRule="atLeast"/>
              <w:jc w:val="center"/>
              <w:rPr>
                <w:rFonts w:ascii="Arial" w:hAnsi="Arial" w:cs="Arial"/>
                <w:sz w:val="24"/>
              </w:rPr>
            </w:pPr>
            <w:r>
              <w:rPr>
                <w:rFonts w:hint="eastAsia" w:ascii="Arial" w:hAnsi="Arial" w:cs="Arial"/>
                <w:sz w:val="24"/>
              </w:rPr>
              <w:t>序号</w:t>
            </w:r>
          </w:p>
        </w:tc>
        <w:tc>
          <w:tcPr>
            <w:tcW w:w="1555" w:type="dxa"/>
            <w:tcBorders>
              <w:top w:val="single" w:color="auto" w:sz="4" w:space="0"/>
              <w:left w:val="single" w:color="auto" w:sz="4" w:space="0"/>
              <w:bottom w:val="single" w:color="auto" w:sz="4" w:space="0"/>
              <w:right w:val="single" w:color="auto" w:sz="4" w:space="0"/>
            </w:tcBorders>
            <w:vAlign w:val="center"/>
          </w:tcPr>
          <w:p w14:paraId="61871841">
            <w:pPr>
              <w:spacing w:line="400" w:lineRule="atLeast"/>
              <w:jc w:val="center"/>
              <w:rPr>
                <w:rFonts w:ascii="Arial" w:hAnsi="Arial" w:cs="Arial"/>
                <w:sz w:val="24"/>
              </w:rPr>
            </w:pPr>
            <w:r>
              <w:rPr>
                <w:rFonts w:hint="eastAsia" w:ascii="Arial" w:hAnsi="Arial" w:cs="Arial"/>
                <w:sz w:val="24"/>
              </w:rPr>
              <w:t>谈判文件</w:t>
            </w:r>
          </w:p>
          <w:p w14:paraId="16BA6E7A">
            <w:pPr>
              <w:spacing w:line="400" w:lineRule="atLeast"/>
              <w:jc w:val="center"/>
              <w:rPr>
                <w:rFonts w:ascii="Arial" w:hAnsi="Arial" w:cs="Arial"/>
                <w:sz w:val="24"/>
              </w:rPr>
            </w:pPr>
            <w:r>
              <w:rPr>
                <w:rFonts w:hint="eastAsia" w:ascii="Arial" w:hAnsi="Arial" w:cs="Arial"/>
                <w:sz w:val="24"/>
              </w:rPr>
              <w:t>条目号</w:t>
            </w:r>
          </w:p>
        </w:tc>
        <w:tc>
          <w:tcPr>
            <w:tcW w:w="2496" w:type="dxa"/>
            <w:tcBorders>
              <w:top w:val="single" w:color="auto" w:sz="4" w:space="0"/>
              <w:left w:val="single" w:color="auto" w:sz="4" w:space="0"/>
              <w:bottom w:val="single" w:color="auto" w:sz="4" w:space="0"/>
              <w:right w:val="single" w:color="auto" w:sz="4" w:space="0"/>
            </w:tcBorders>
            <w:vAlign w:val="center"/>
          </w:tcPr>
          <w:p w14:paraId="092CF146">
            <w:pPr>
              <w:spacing w:line="400" w:lineRule="atLeast"/>
              <w:jc w:val="center"/>
              <w:rPr>
                <w:rFonts w:ascii="Arial" w:hAnsi="Arial" w:cs="Arial"/>
                <w:sz w:val="24"/>
              </w:rPr>
            </w:pPr>
            <w:r>
              <w:rPr>
                <w:rFonts w:hint="eastAsia" w:ascii="Arial" w:hAnsi="Arial" w:cs="Arial"/>
                <w:sz w:val="24"/>
              </w:rPr>
              <w:t>谈判文件的商务条款</w:t>
            </w:r>
          </w:p>
        </w:tc>
        <w:tc>
          <w:tcPr>
            <w:tcW w:w="2552" w:type="dxa"/>
            <w:tcBorders>
              <w:top w:val="single" w:color="auto" w:sz="4" w:space="0"/>
              <w:left w:val="single" w:color="auto" w:sz="4" w:space="0"/>
              <w:bottom w:val="single" w:color="auto" w:sz="4" w:space="0"/>
              <w:right w:val="single" w:color="auto" w:sz="4" w:space="0"/>
            </w:tcBorders>
            <w:vAlign w:val="center"/>
          </w:tcPr>
          <w:p w14:paraId="1C30D1B0">
            <w:pPr>
              <w:spacing w:line="400" w:lineRule="atLeast"/>
              <w:jc w:val="center"/>
              <w:rPr>
                <w:rFonts w:ascii="Arial" w:hAnsi="Arial" w:cs="Arial"/>
                <w:sz w:val="24"/>
              </w:rPr>
            </w:pPr>
            <w:r>
              <w:rPr>
                <w:rFonts w:hint="eastAsia" w:ascii="Arial" w:hAnsi="Arial" w:cs="Arial"/>
                <w:sz w:val="24"/>
              </w:rPr>
              <w:t>响应文件的商务条款</w:t>
            </w:r>
          </w:p>
        </w:tc>
        <w:tc>
          <w:tcPr>
            <w:tcW w:w="2551" w:type="dxa"/>
            <w:tcBorders>
              <w:top w:val="single" w:color="auto" w:sz="4" w:space="0"/>
              <w:left w:val="single" w:color="auto" w:sz="4" w:space="0"/>
              <w:bottom w:val="single" w:color="auto" w:sz="4" w:space="0"/>
              <w:right w:val="single" w:color="auto" w:sz="4" w:space="0"/>
            </w:tcBorders>
            <w:vAlign w:val="center"/>
          </w:tcPr>
          <w:p w14:paraId="17E91CD0">
            <w:pPr>
              <w:spacing w:line="400" w:lineRule="atLeast"/>
              <w:jc w:val="center"/>
              <w:rPr>
                <w:rFonts w:ascii="Arial" w:hAnsi="Arial" w:cs="Arial"/>
                <w:sz w:val="24"/>
              </w:rPr>
            </w:pPr>
            <w:r>
              <w:rPr>
                <w:rFonts w:hint="eastAsia" w:ascii="Arial" w:hAnsi="Arial" w:cs="Arial"/>
                <w:sz w:val="24"/>
              </w:rPr>
              <w:t>说明</w:t>
            </w:r>
          </w:p>
        </w:tc>
      </w:tr>
      <w:tr w14:paraId="37983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735" w:type="dxa"/>
            <w:tcBorders>
              <w:top w:val="single" w:color="auto" w:sz="4" w:space="0"/>
              <w:left w:val="single" w:color="auto" w:sz="4" w:space="0"/>
              <w:bottom w:val="single" w:color="auto" w:sz="4" w:space="0"/>
              <w:right w:val="single" w:color="auto" w:sz="4" w:space="0"/>
            </w:tcBorders>
          </w:tcPr>
          <w:p w14:paraId="4468E6A9">
            <w:pPr>
              <w:spacing w:line="400" w:lineRule="atLeast"/>
              <w:rPr>
                <w:rFonts w:ascii="Arial" w:hAnsi="Arial" w:cs="Arial"/>
                <w:sz w:val="24"/>
              </w:rPr>
            </w:pPr>
          </w:p>
          <w:p w14:paraId="0765CA86">
            <w:pPr>
              <w:spacing w:line="400" w:lineRule="atLeast"/>
              <w:rPr>
                <w:rFonts w:ascii="Arial" w:hAnsi="Arial" w:cs="Arial"/>
                <w:sz w:val="24"/>
              </w:rPr>
            </w:pPr>
          </w:p>
        </w:tc>
        <w:tc>
          <w:tcPr>
            <w:tcW w:w="1555" w:type="dxa"/>
            <w:tcBorders>
              <w:top w:val="single" w:color="auto" w:sz="4" w:space="0"/>
              <w:left w:val="single" w:color="auto" w:sz="4" w:space="0"/>
              <w:bottom w:val="single" w:color="auto" w:sz="4" w:space="0"/>
              <w:right w:val="single" w:color="auto" w:sz="4" w:space="0"/>
            </w:tcBorders>
          </w:tcPr>
          <w:p w14:paraId="67172416">
            <w:pPr>
              <w:widowControl/>
              <w:spacing w:line="400" w:lineRule="atLeast"/>
              <w:jc w:val="left"/>
              <w:rPr>
                <w:rFonts w:ascii="Arial" w:hAnsi="Arial" w:cs="Arial"/>
                <w:sz w:val="24"/>
              </w:rPr>
            </w:pPr>
          </w:p>
          <w:p w14:paraId="7DD03CAD">
            <w:pPr>
              <w:spacing w:line="400" w:lineRule="atLeast"/>
              <w:rPr>
                <w:rFonts w:ascii="Arial" w:hAnsi="Arial" w:cs="Arial"/>
                <w:sz w:val="24"/>
              </w:rPr>
            </w:pPr>
          </w:p>
        </w:tc>
        <w:tc>
          <w:tcPr>
            <w:tcW w:w="2496" w:type="dxa"/>
            <w:tcBorders>
              <w:top w:val="single" w:color="auto" w:sz="4" w:space="0"/>
              <w:left w:val="single" w:color="auto" w:sz="4" w:space="0"/>
              <w:bottom w:val="single" w:color="auto" w:sz="4" w:space="0"/>
              <w:right w:val="single" w:color="auto" w:sz="4" w:space="0"/>
            </w:tcBorders>
          </w:tcPr>
          <w:p w14:paraId="38B4AD23">
            <w:pPr>
              <w:spacing w:line="400" w:lineRule="atLeast"/>
              <w:rPr>
                <w:rFonts w:ascii="Arial" w:hAnsi="Arial" w:cs="Arial"/>
                <w:sz w:val="24"/>
              </w:rPr>
            </w:pPr>
          </w:p>
        </w:tc>
        <w:tc>
          <w:tcPr>
            <w:tcW w:w="2552" w:type="dxa"/>
            <w:tcBorders>
              <w:top w:val="single" w:color="auto" w:sz="4" w:space="0"/>
              <w:left w:val="single" w:color="auto" w:sz="4" w:space="0"/>
              <w:bottom w:val="single" w:color="auto" w:sz="4" w:space="0"/>
              <w:right w:val="single" w:color="auto" w:sz="4" w:space="0"/>
            </w:tcBorders>
          </w:tcPr>
          <w:p w14:paraId="0662EDF6">
            <w:pPr>
              <w:spacing w:line="400" w:lineRule="atLeast"/>
              <w:rPr>
                <w:rFonts w:ascii="Arial" w:hAnsi="Arial" w:cs="Arial"/>
                <w:sz w:val="24"/>
              </w:rPr>
            </w:pPr>
          </w:p>
        </w:tc>
        <w:tc>
          <w:tcPr>
            <w:tcW w:w="2551" w:type="dxa"/>
            <w:tcBorders>
              <w:top w:val="single" w:color="auto" w:sz="4" w:space="0"/>
              <w:left w:val="single" w:color="auto" w:sz="4" w:space="0"/>
              <w:bottom w:val="single" w:color="auto" w:sz="4" w:space="0"/>
              <w:right w:val="single" w:color="auto" w:sz="4" w:space="0"/>
            </w:tcBorders>
          </w:tcPr>
          <w:p w14:paraId="1C4FAC78">
            <w:pPr>
              <w:spacing w:line="400" w:lineRule="atLeast"/>
              <w:rPr>
                <w:rFonts w:ascii="Arial" w:hAnsi="Arial" w:cs="Arial"/>
                <w:sz w:val="24"/>
              </w:rPr>
            </w:pPr>
          </w:p>
        </w:tc>
      </w:tr>
      <w:tr w14:paraId="7B317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735" w:type="dxa"/>
            <w:tcBorders>
              <w:top w:val="single" w:color="auto" w:sz="4" w:space="0"/>
              <w:left w:val="single" w:color="auto" w:sz="4" w:space="0"/>
              <w:bottom w:val="single" w:color="auto" w:sz="4" w:space="0"/>
              <w:right w:val="single" w:color="auto" w:sz="4" w:space="0"/>
            </w:tcBorders>
          </w:tcPr>
          <w:p w14:paraId="648DD9A4">
            <w:pPr>
              <w:spacing w:line="400" w:lineRule="atLeast"/>
              <w:rPr>
                <w:rFonts w:ascii="Arial" w:hAnsi="Arial" w:cs="Arial"/>
                <w:sz w:val="24"/>
              </w:rPr>
            </w:pPr>
          </w:p>
          <w:p w14:paraId="30E343EB">
            <w:pPr>
              <w:spacing w:line="400" w:lineRule="atLeast"/>
              <w:rPr>
                <w:rFonts w:ascii="Arial" w:hAnsi="Arial" w:cs="Arial"/>
                <w:sz w:val="24"/>
              </w:rPr>
            </w:pPr>
          </w:p>
        </w:tc>
        <w:tc>
          <w:tcPr>
            <w:tcW w:w="1555" w:type="dxa"/>
            <w:tcBorders>
              <w:top w:val="single" w:color="auto" w:sz="4" w:space="0"/>
              <w:left w:val="single" w:color="auto" w:sz="4" w:space="0"/>
              <w:bottom w:val="single" w:color="auto" w:sz="4" w:space="0"/>
              <w:right w:val="single" w:color="auto" w:sz="4" w:space="0"/>
            </w:tcBorders>
          </w:tcPr>
          <w:p w14:paraId="19B151F6">
            <w:pPr>
              <w:widowControl/>
              <w:spacing w:line="400" w:lineRule="atLeast"/>
              <w:jc w:val="left"/>
              <w:rPr>
                <w:rFonts w:ascii="Arial" w:hAnsi="Arial" w:cs="Arial"/>
                <w:sz w:val="24"/>
              </w:rPr>
            </w:pPr>
          </w:p>
          <w:p w14:paraId="42A1F7B3">
            <w:pPr>
              <w:spacing w:line="400" w:lineRule="atLeast"/>
              <w:rPr>
                <w:rFonts w:ascii="Arial" w:hAnsi="Arial" w:cs="Arial"/>
                <w:sz w:val="24"/>
              </w:rPr>
            </w:pPr>
          </w:p>
        </w:tc>
        <w:tc>
          <w:tcPr>
            <w:tcW w:w="2496" w:type="dxa"/>
            <w:tcBorders>
              <w:top w:val="single" w:color="auto" w:sz="4" w:space="0"/>
              <w:left w:val="single" w:color="auto" w:sz="4" w:space="0"/>
              <w:bottom w:val="single" w:color="auto" w:sz="4" w:space="0"/>
              <w:right w:val="single" w:color="auto" w:sz="4" w:space="0"/>
            </w:tcBorders>
          </w:tcPr>
          <w:p w14:paraId="5AA863BE">
            <w:pPr>
              <w:spacing w:line="400" w:lineRule="atLeast"/>
              <w:rPr>
                <w:rFonts w:ascii="Arial" w:hAnsi="Arial" w:cs="Arial"/>
                <w:sz w:val="24"/>
              </w:rPr>
            </w:pPr>
          </w:p>
        </w:tc>
        <w:tc>
          <w:tcPr>
            <w:tcW w:w="2552" w:type="dxa"/>
            <w:tcBorders>
              <w:top w:val="single" w:color="auto" w:sz="4" w:space="0"/>
              <w:left w:val="single" w:color="auto" w:sz="4" w:space="0"/>
              <w:bottom w:val="single" w:color="auto" w:sz="4" w:space="0"/>
              <w:right w:val="single" w:color="auto" w:sz="4" w:space="0"/>
            </w:tcBorders>
          </w:tcPr>
          <w:p w14:paraId="09076870">
            <w:pPr>
              <w:spacing w:line="400" w:lineRule="atLeast"/>
              <w:rPr>
                <w:rFonts w:ascii="Arial" w:hAnsi="Arial" w:cs="Arial"/>
                <w:sz w:val="24"/>
              </w:rPr>
            </w:pPr>
          </w:p>
        </w:tc>
        <w:tc>
          <w:tcPr>
            <w:tcW w:w="2551" w:type="dxa"/>
            <w:tcBorders>
              <w:top w:val="single" w:color="auto" w:sz="4" w:space="0"/>
              <w:left w:val="single" w:color="auto" w:sz="4" w:space="0"/>
              <w:bottom w:val="single" w:color="auto" w:sz="4" w:space="0"/>
              <w:right w:val="single" w:color="auto" w:sz="4" w:space="0"/>
            </w:tcBorders>
          </w:tcPr>
          <w:p w14:paraId="7C3E4030">
            <w:pPr>
              <w:spacing w:line="400" w:lineRule="atLeast"/>
              <w:rPr>
                <w:rFonts w:ascii="Arial" w:hAnsi="Arial" w:cs="Arial"/>
                <w:sz w:val="24"/>
              </w:rPr>
            </w:pPr>
          </w:p>
        </w:tc>
      </w:tr>
      <w:tr w14:paraId="11EFA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735" w:type="dxa"/>
            <w:tcBorders>
              <w:top w:val="single" w:color="auto" w:sz="4" w:space="0"/>
              <w:left w:val="single" w:color="auto" w:sz="4" w:space="0"/>
              <w:bottom w:val="single" w:color="auto" w:sz="4" w:space="0"/>
              <w:right w:val="single" w:color="auto" w:sz="4" w:space="0"/>
            </w:tcBorders>
          </w:tcPr>
          <w:p w14:paraId="33CD27B9">
            <w:pPr>
              <w:spacing w:line="400" w:lineRule="atLeast"/>
              <w:rPr>
                <w:rFonts w:ascii="Arial" w:hAnsi="Arial" w:cs="Arial"/>
                <w:sz w:val="24"/>
              </w:rPr>
            </w:pPr>
          </w:p>
          <w:p w14:paraId="6079A59E">
            <w:pPr>
              <w:spacing w:line="400" w:lineRule="atLeast"/>
              <w:rPr>
                <w:rFonts w:ascii="Arial" w:hAnsi="Arial" w:cs="Arial"/>
                <w:sz w:val="24"/>
              </w:rPr>
            </w:pPr>
          </w:p>
        </w:tc>
        <w:tc>
          <w:tcPr>
            <w:tcW w:w="1555" w:type="dxa"/>
            <w:tcBorders>
              <w:top w:val="single" w:color="auto" w:sz="4" w:space="0"/>
              <w:left w:val="single" w:color="auto" w:sz="4" w:space="0"/>
              <w:bottom w:val="single" w:color="auto" w:sz="4" w:space="0"/>
              <w:right w:val="single" w:color="auto" w:sz="4" w:space="0"/>
            </w:tcBorders>
          </w:tcPr>
          <w:p w14:paraId="35D38E31">
            <w:pPr>
              <w:widowControl/>
              <w:spacing w:line="400" w:lineRule="atLeast"/>
              <w:jc w:val="left"/>
              <w:rPr>
                <w:rFonts w:ascii="Arial" w:hAnsi="Arial" w:cs="Arial"/>
                <w:sz w:val="24"/>
              </w:rPr>
            </w:pPr>
          </w:p>
          <w:p w14:paraId="1002C7F1">
            <w:pPr>
              <w:spacing w:line="400" w:lineRule="atLeast"/>
              <w:rPr>
                <w:rFonts w:ascii="Arial" w:hAnsi="Arial" w:cs="Arial"/>
                <w:sz w:val="24"/>
              </w:rPr>
            </w:pPr>
          </w:p>
        </w:tc>
        <w:tc>
          <w:tcPr>
            <w:tcW w:w="2496" w:type="dxa"/>
            <w:tcBorders>
              <w:top w:val="single" w:color="auto" w:sz="4" w:space="0"/>
              <w:left w:val="single" w:color="auto" w:sz="4" w:space="0"/>
              <w:bottom w:val="single" w:color="auto" w:sz="4" w:space="0"/>
              <w:right w:val="single" w:color="auto" w:sz="4" w:space="0"/>
            </w:tcBorders>
          </w:tcPr>
          <w:p w14:paraId="55BD2FBB">
            <w:pPr>
              <w:spacing w:line="400" w:lineRule="atLeast"/>
              <w:rPr>
                <w:rFonts w:ascii="Arial" w:hAnsi="Arial" w:cs="Arial"/>
                <w:sz w:val="24"/>
              </w:rPr>
            </w:pPr>
          </w:p>
        </w:tc>
        <w:tc>
          <w:tcPr>
            <w:tcW w:w="2552" w:type="dxa"/>
            <w:tcBorders>
              <w:top w:val="single" w:color="auto" w:sz="4" w:space="0"/>
              <w:left w:val="single" w:color="auto" w:sz="4" w:space="0"/>
              <w:bottom w:val="single" w:color="auto" w:sz="4" w:space="0"/>
              <w:right w:val="single" w:color="auto" w:sz="4" w:space="0"/>
            </w:tcBorders>
          </w:tcPr>
          <w:p w14:paraId="55DD0833">
            <w:pPr>
              <w:spacing w:line="400" w:lineRule="atLeast"/>
              <w:rPr>
                <w:rFonts w:ascii="Arial" w:hAnsi="Arial" w:cs="Arial"/>
                <w:sz w:val="24"/>
              </w:rPr>
            </w:pPr>
          </w:p>
        </w:tc>
        <w:tc>
          <w:tcPr>
            <w:tcW w:w="2551" w:type="dxa"/>
            <w:tcBorders>
              <w:top w:val="single" w:color="auto" w:sz="4" w:space="0"/>
              <w:left w:val="single" w:color="auto" w:sz="4" w:space="0"/>
              <w:bottom w:val="single" w:color="auto" w:sz="4" w:space="0"/>
              <w:right w:val="single" w:color="auto" w:sz="4" w:space="0"/>
            </w:tcBorders>
          </w:tcPr>
          <w:p w14:paraId="1B90829E">
            <w:pPr>
              <w:spacing w:line="400" w:lineRule="atLeast"/>
              <w:rPr>
                <w:rFonts w:ascii="Arial" w:hAnsi="Arial" w:cs="Arial"/>
                <w:sz w:val="24"/>
              </w:rPr>
            </w:pPr>
          </w:p>
        </w:tc>
      </w:tr>
      <w:tr w14:paraId="262F1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735" w:type="dxa"/>
            <w:tcBorders>
              <w:top w:val="single" w:color="auto" w:sz="4" w:space="0"/>
              <w:left w:val="single" w:color="auto" w:sz="4" w:space="0"/>
              <w:bottom w:val="single" w:color="auto" w:sz="4" w:space="0"/>
              <w:right w:val="single" w:color="auto" w:sz="4" w:space="0"/>
            </w:tcBorders>
          </w:tcPr>
          <w:p w14:paraId="319C4376">
            <w:pPr>
              <w:spacing w:line="400" w:lineRule="atLeast"/>
              <w:rPr>
                <w:rFonts w:ascii="Arial" w:hAnsi="Arial" w:cs="Arial"/>
                <w:sz w:val="24"/>
              </w:rPr>
            </w:pPr>
          </w:p>
          <w:p w14:paraId="52D4C7E1">
            <w:pPr>
              <w:spacing w:line="400" w:lineRule="atLeast"/>
              <w:rPr>
                <w:rFonts w:ascii="Arial" w:hAnsi="Arial" w:cs="Arial"/>
                <w:sz w:val="24"/>
              </w:rPr>
            </w:pPr>
          </w:p>
        </w:tc>
        <w:tc>
          <w:tcPr>
            <w:tcW w:w="1555" w:type="dxa"/>
            <w:tcBorders>
              <w:top w:val="single" w:color="auto" w:sz="4" w:space="0"/>
              <w:left w:val="single" w:color="auto" w:sz="4" w:space="0"/>
              <w:bottom w:val="single" w:color="auto" w:sz="4" w:space="0"/>
              <w:right w:val="single" w:color="auto" w:sz="4" w:space="0"/>
            </w:tcBorders>
          </w:tcPr>
          <w:p w14:paraId="4804DD8D">
            <w:pPr>
              <w:widowControl/>
              <w:spacing w:line="400" w:lineRule="atLeast"/>
              <w:jc w:val="left"/>
              <w:rPr>
                <w:rFonts w:ascii="Arial" w:hAnsi="Arial" w:cs="Arial"/>
                <w:sz w:val="24"/>
              </w:rPr>
            </w:pPr>
          </w:p>
          <w:p w14:paraId="7DB449C1">
            <w:pPr>
              <w:spacing w:line="400" w:lineRule="atLeast"/>
              <w:rPr>
                <w:rFonts w:ascii="Arial" w:hAnsi="Arial" w:cs="Arial"/>
                <w:sz w:val="24"/>
              </w:rPr>
            </w:pPr>
          </w:p>
        </w:tc>
        <w:tc>
          <w:tcPr>
            <w:tcW w:w="2496" w:type="dxa"/>
            <w:tcBorders>
              <w:top w:val="single" w:color="auto" w:sz="4" w:space="0"/>
              <w:left w:val="single" w:color="auto" w:sz="4" w:space="0"/>
              <w:bottom w:val="single" w:color="auto" w:sz="4" w:space="0"/>
              <w:right w:val="single" w:color="auto" w:sz="4" w:space="0"/>
            </w:tcBorders>
          </w:tcPr>
          <w:p w14:paraId="087E61A9">
            <w:pPr>
              <w:spacing w:line="400" w:lineRule="atLeast"/>
              <w:rPr>
                <w:rFonts w:ascii="Arial" w:hAnsi="Arial" w:cs="Arial"/>
                <w:sz w:val="24"/>
              </w:rPr>
            </w:pPr>
          </w:p>
        </w:tc>
        <w:tc>
          <w:tcPr>
            <w:tcW w:w="2552" w:type="dxa"/>
            <w:tcBorders>
              <w:top w:val="single" w:color="auto" w:sz="4" w:space="0"/>
              <w:left w:val="single" w:color="auto" w:sz="4" w:space="0"/>
              <w:bottom w:val="single" w:color="auto" w:sz="4" w:space="0"/>
              <w:right w:val="single" w:color="auto" w:sz="4" w:space="0"/>
            </w:tcBorders>
          </w:tcPr>
          <w:p w14:paraId="73753D46">
            <w:pPr>
              <w:spacing w:line="400" w:lineRule="atLeast"/>
              <w:rPr>
                <w:rFonts w:ascii="Arial" w:hAnsi="Arial" w:cs="Arial"/>
                <w:sz w:val="24"/>
              </w:rPr>
            </w:pPr>
          </w:p>
        </w:tc>
        <w:tc>
          <w:tcPr>
            <w:tcW w:w="2551" w:type="dxa"/>
            <w:tcBorders>
              <w:top w:val="single" w:color="auto" w:sz="4" w:space="0"/>
              <w:left w:val="single" w:color="auto" w:sz="4" w:space="0"/>
              <w:bottom w:val="single" w:color="auto" w:sz="4" w:space="0"/>
              <w:right w:val="single" w:color="auto" w:sz="4" w:space="0"/>
            </w:tcBorders>
          </w:tcPr>
          <w:p w14:paraId="73BC9F10">
            <w:pPr>
              <w:spacing w:line="400" w:lineRule="atLeast"/>
              <w:rPr>
                <w:rFonts w:ascii="Arial" w:hAnsi="Arial" w:cs="Arial"/>
                <w:sz w:val="24"/>
              </w:rPr>
            </w:pPr>
          </w:p>
        </w:tc>
      </w:tr>
      <w:tr w14:paraId="32ADD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735" w:type="dxa"/>
            <w:tcBorders>
              <w:top w:val="single" w:color="auto" w:sz="4" w:space="0"/>
              <w:left w:val="single" w:color="auto" w:sz="4" w:space="0"/>
              <w:bottom w:val="single" w:color="auto" w:sz="4" w:space="0"/>
              <w:right w:val="single" w:color="auto" w:sz="4" w:space="0"/>
            </w:tcBorders>
          </w:tcPr>
          <w:p w14:paraId="7714F4ED">
            <w:pPr>
              <w:spacing w:line="400" w:lineRule="atLeast"/>
              <w:rPr>
                <w:rFonts w:ascii="Arial" w:hAnsi="Arial" w:cs="Arial"/>
                <w:sz w:val="24"/>
              </w:rPr>
            </w:pPr>
          </w:p>
          <w:p w14:paraId="7A051BEF">
            <w:pPr>
              <w:spacing w:line="400" w:lineRule="atLeast"/>
              <w:rPr>
                <w:rFonts w:ascii="Arial" w:hAnsi="Arial" w:cs="Arial"/>
                <w:sz w:val="24"/>
              </w:rPr>
            </w:pPr>
          </w:p>
        </w:tc>
        <w:tc>
          <w:tcPr>
            <w:tcW w:w="1555" w:type="dxa"/>
            <w:tcBorders>
              <w:top w:val="single" w:color="auto" w:sz="4" w:space="0"/>
              <w:left w:val="single" w:color="auto" w:sz="4" w:space="0"/>
              <w:bottom w:val="single" w:color="auto" w:sz="4" w:space="0"/>
              <w:right w:val="single" w:color="auto" w:sz="4" w:space="0"/>
            </w:tcBorders>
          </w:tcPr>
          <w:p w14:paraId="310D9922">
            <w:pPr>
              <w:widowControl/>
              <w:spacing w:line="400" w:lineRule="atLeast"/>
              <w:jc w:val="left"/>
              <w:rPr>
                <w:rFonts w:ascii="Arial" w:hAnsi="Arial" w:cs="Arial"/>
                <w:sz w:val="24"/>
              </w:rPr>
            </w:pPr>
          </w:p>
          <w:p w14:paraId="71B88A2F">
            <w:pPr>
              <w:spacing w:line="400" w:lineRule="atLeast"/>
              <w:rPr>
                <w:rFonts w:ascii="Arial" w:hAnsi="Arial" w:cs="Arial"/>
                <w:sz w:val="24"/>
              </w:rPr>
            </w:pPr>
          </w:p>
        </w:tc>
        <w:tc>
          <w:tcPr>
            <w:tcW w:w="2496" w:type="dxa"/>
            <w:tcBorders>
              <w:top w:val="single" w:color="auto" w:sz="4" w:space="0"/>
              <w:left w:val="single" w:color="auto" w:sz="4" w:space="0"/>
              <w:bottom w:val="single" w:color="auto" w:sz="4" w:space="0"/>
              <w:right w:val="single" w:color="auto" w:sz="4" w:space="0"/>
            </w:tcBorders>
          </w:tcPr>
          <w:p w14:paraId="4F9A2F4D">
            <w:pPr>
              <w:spacing w:line="400" w:lineRule="atLeast"/>
              <w:rPr>
                <w:rFonts w:ascii="Arial" w:hAnsi="Arial" w:cs="Arial"/>
                <w:sz w:val="24"/>
              </w:rPr>
            </w:pPr>
          </w:p>
        </w:tc>
        <w:tc>
          <w:tcPr>
            <w:tcW w:w="2552" w:type="dxa"/>
            <w:tcBorders>
              <w:top w:val="single" w:color="auto" w:sz="4" w:space="0"/>
              <w:left w:val="single" w:color="auto" w:sz="4" w:space="0"/>
              <w:bottom w:val="single" w:color="auto" w:sz="4" w:space="0"/>
              <w:right w:val="single" w:color="auto" w:sz="4" w:space="0"/>
            </w:tcBorders>
          </w:tcPr>
          <w:p w14:paraId="69156B1F">
            <w:pPr>
              <w:spacing w:line="400" w:lineRule="atLeast"/>
              <w:rPr>
                <w:rFonts w:ascii="Arial" w:hAnsi="Arial" w:cs="Arial"/>
                <w:sz w:val="24"/>
              </w:rPr>
            </w:pPr>
          </w:p>
        </w:tc>
        <w:tc>
          <w:tcPr>
            <w:tcW w:w="2551" w:type="dxa"/>
            <w:tcBorders>
              <w:top w:val="single" w:color="auto" w:sz="4" w:space="0"/>
              <w:left w:val="single" w:color="auto" w:sz="4" w:space="0"/>
              <w:bottom w:val="single" w:color="auto" w:sz="4" w:space="0"/>
              <w:right w:val="single" w:color="auto" w:sz="4" w:space="0"/>
            </w:tcBorders>
          </w:tcPr>
          <w:p w14:paraId="75BB6F68">
            <w:pPr>
              <w:spacing w:line="400" w:lineRule="atLeast"/>
              <w:rPr>
                <w:rFonts w:ascii="Arial" w:hAnsi="Arial" w:cs="Arial"/>
                <w:sz w:val="24"/>
              </w:rPr>
            </w:pPr>
          </w:p>
        </w:tc>
      </w:tr>
      <w:tr w14:paraId="797DE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735" w:type="dxa"/>
            <w:tcBorders>
              <w:top w:val="single" w:color="auto" w:sz="4" w:space="0"/>
              <w:left w:val="single" w:color="auto" w:sz="4" w:space="0"/>
              <w:bottom w:val="single" w:color="auto" w:sz="4" w:space="0"/>
              <w:right w:val="single" w:color="auto" w:sz="4" w:space="0"/>
            </w:tcBorders>
          </w:tcPr>
          <w:p w14:paraId="535A2E1B">
            <w:pPr>
              <w:spacing w:line="400" w:lineRule="atLeast"/>
              <w:rPr>
                <w:rFonts w:ascii="Arial" w:hAnsi="Arial" w:cs="Arial"/>
                <w:sz w:val="24"/>
              </w:rPr>
            </w:pPr>
          </w:p>
          <w:p w14:paraId="45A7A0D1">
            <w:pPr>
              <w:spacing w:line="400" w:lineRule="atLeast"/>
              <w:rPr>
                <w:rFonts w:ascii="Arial" w:hAnsi="Arial" w:cs="Arial"/>
                <w:sz w:val="24"/>
              </w:rPr>
            </w:pPr>
          </w:p>
        </w:tc>
        <w:tc>
          <w:tcPr>
            <w:tcW w:w="1555" w:type="dxa"/>
            <w:tcBorders>
              <w:top w:val="single" w:color="auto" w:sz="4" w:space="0"/>
              <w:left w:val="single" w:color="auto" w:sz="4" w:space="0"/>
              <w:bottom w:val="single" w:color="auto" w:sz="4" w:space="0"/>
              <w:right w:val="single" w:color="auto" w:sz="4" w:space="0"/>
            </w:tcBorders>
          </w:tcPr>
          <w:p w14:paraId="4AD1580D">
            <w:pPr>
              <w:widowControl/>
              <w:spacing w:line="400" w:lineRule="atLeast"/>
              <w:jc w:val="left"/>
              <w:rPr>
                <w:rFonts w:ascii="Arial" w:hAnsi="Arial" w:cs="Arial"/>
                <w:sz w:val="24"/>
              </w:rPr>
            </w:pPr>
          </w:p>
          <w:p w14:paraId="5C2BDAAA">
            <w:pPr>
              <w:spacing w:line="400" w:lineRule="atLeast"/>
              <w:rPr>
                <w:rFonts w:ascii="Arial" w:hAnsi="Arial" w:cs="Arial"/>
                <w:sz w:val="24"/>
              </w:rPr>
            </w:pPr>
          </w:p>
        </w:tc>
        <w:tc>
          <w:tcPr>
            <w:tcW w:w="2496" w:type="dxa"/>
            <w:tcBorders>
              <w:top w:val="single" w:color="auto" w:sz="4" w:space="0"/>
              <w:left w:val="single" w:color="auto" w:sz="4" w:space="0"/>
              <w:bottom w:val="single" w:color="auto" w:sz="4" w:space="0"/>
              <w:right w:val="single" w:color="auto" w:sz="4" w:space="0"/>
            </w:tcBorders>
          </w:tcPr>
          <w:p w14:paraId="197093D6">
            <w:pPr>
              <w:spacing w:line="400" w:lineRule="atLeast"/>
              <w:rPr>
                <w:rFonts w:ascii="Arial" w:hAnsi="Arial" w:cs="Arial"/>
                <w:sz w:val="24"/>
              </w:rPr>
            </w:pPr>
          </w:p>
        </w:tc>
        <w:tc>
          <w:tcPr>
            <w:tcW w:w="2552" w:type="dxa"/>
            <w:tcBorders>
              <w:top w:val="single" w:color="auto" w:sz="4" w:space="0"/>
              <w:left w:val="single" w:color="auto" w:sz="4" w:space="0"/>
              <w:bottom w:val="single" w:color="auto" w:sz="4" w:space="0"/>
              <w:right w:val="single" w:color="auto" w:sz="4" w:space="0"/>
            </w:tcBorders>
          </w:tcPr>
          <w:p w14:paraId="0EE437AF">
            <w:pPr>
              <w:spacing w:line="400" w:lineRule="atLeast"/>
              <w:rPr>
                <w:rFonts w:ascii="Arial" w:hAnsi="Arial" w:cs="Arial"/>
                <w:sz w:val="24"/>
              </w:rPr>
            </w:pPr>
          </w:p>
        </w:tc>
        <w:tc>
          <w:tcPr>
            <w:tcW w:w="2551" w:type="dxa"/>
            <w:tcBorders>
              <w:top w:val="single" w:color="auto" w:sz="4" w:space="0"/>
              <w:left w:val="single" w:color="auto" w:sz="4" w:space="0"/>
              <w:bottom w:val="single" w:color="auto" w:sz="4" w:space="0"/>
              <w:right w:val="single" w:color="auto" w:sz="4" w:space="0"/>
            </w:tcBorders>
          </w:tcPr>
          <w:p w14:paraId="6438FE3A">
            <w:pPr>
              <w:spacing w:line="400" w:lineRule="atLeast"/>
              <w:rPr>
                <w:rFonts w:ascii="Arial" w:hAnsi="Arial" w:cs="Arial"/>
                <w:sz w:val="24"/>
              </w:rPr>
            </w:pPr>
          </w:p>
        </w:tc>
      </w:tr>
      <w:tr w14:paraId="0F3EA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735" w:type="dxa"/>
            <w:tcBorders>
              <w:top w:val="single" w:color="auto" w:sz="4" w:space="0"/>
              <w:left w:val="single" w:color="auto" w:sz="4" w:space="0"/>
              <w:bottom w:val="single" w:color="auto" w:sz="4" w:space="0"/>
              <w:right w:val="single" w:color="auto" w:sz="4" w:space="0"/>
            </w:tcBorders>
          </w:tcPr>
          <w:p w14:paraId="6DF1C7B7">
            <w:pPr>
              <w:spacing w:line="400" w:lineRule="atLeast"/>
              <w:rPr>
                <w:rFonts w:ascii="Arial" w:hAnsi="Arial" w:cs="Arial"/>
                <w:sz w:val="24"/>
              </w:rPr>
            </w:pPr>
          </w:p>
          <w:p w14:paraId="6F87A7F2">
            <w:pPr>
              <w:spacing w:line="400" w:lineRule="atLeast"/>
              <w:rPr>
                <w:rFonts w:ascii="Arial" w:hAnsi="Arial" w:cs="Arial"/>
                <w:sz w:val="24"/>
              </w:rPr>
            </w:pPr>
          </w:p>
        </w:tc>
        <w:tc>
          <w:tcPr>
            <w:tcW w:w="1555" w:type="dxa"/>
            <w:tcBorders>
              <w:top w:val="single" w:color="auto" w:sz="4" w:space="0"/>
              <w:left w:val="single" w:color="auto" w:sz="4" w:space="0"/>
              <w:bottom w:val="single" w:color="auto" w:sz="4" w:space="0"/>
              <w:right w:val="single" w:color="auto" w:sz="4" w:space="0"/>
            </w:tcBorders>
          </w:tcPr>
          <w:p w14:paraId="4242E17B">
            <w:pPr>
              <w:widowControl/>
              <w:spacing w:line="400" w:lineRule="atLeast"/>
              <w:jc w:val="left"/>
              <w:rPr>
                <w:rFonts w:ascii="Arial" w:hAnsi="Arial" w:cs="Arial"/>
                <w:sz w:val="24"/>
              </w:rPr>
            </w:pPr>
          </w:p>
          <w:p w14:paraId="1AD0FB2F">
            <w:pPr>
              <w:spacing w:line="400" w:lineRule="atLeast"/>
              <w:rPr>
                <w:rFonts w:ascii="Arial" w:hAnsi="Arial" w:cs="Arial"/>
                <w:sz w:val="24"/>
              </w:rPr>
            </w:pPr>
          </w:p>
        </w:tc>
        <w:tc>
          <w:tcPr>
            <w:tcW w:w="2496" w:type="dxa"/>
            <w:tcBorders>
              <w:top w:val="single" w:color="auto" w:sz="4" w:space="0"/>
              <w:left w:val="single" w:color="auto" w:sz="4" w:space="0"/>
              <w:bottom w:val="single" w:color="auto" w:sz="4" w:space="0"/>
              <w:right w:val="single" w:color="auto" w:sz="4" w:space="0"/>
            </w:tcBorders>
          </w:tcPr>
          <w:p w14:paraId="5E410932">
            <w:pPr>
              <w:spacing w:line="400" w:lineRule="atLeast"/>
              <w:rPr>
                <w:rFonts w:ascii="Arial" w:hAnsi="Arial" w:cs="Arial"/>
                <w:sz w:val="24"/>
              </w:rPr>
            </w:pPr>
          </w:p>
        </w:tc>
        <w:tc>
          <w:tcPr>
            <w:tcW w:w="2552" w:type="dxa"/>
            <w:tcBorders>
              <w:top w:val="single" w:color="auto" w:sz="4" w:space="0"/>
              <w:left w:val="single" w:color="auto" w:sz="4" w:space="0"/>
              <w:bottom w:val="single" w:color="auto" w:sz="4" w:space="0"/>
              <w:right w:val="single" w:color="auto" w:sz="4" w:space="0"/>
            </w:tcBorders>
          </w:tcPr>
          <w:p w14:paraId="000ABC2D">
            <w:pPr>
              <w:spacing w:line="400" w:lineRule="atLeast"/>
              <w:rPr>
                <w:rFonts w:ascii="Arial" w:hAnsi="Arial" w:cs="Arial"/>
                <w:sz w:val="24"/>
              </w:rPr>
            </w:pPr>
          </w:p>
        </w:tc>
        <w:tc>
          <w:tcPr>
            <w:tcW w:w="2551" w:type="dxa"/>
            <w:tcBorders>
              <w:top w:val="single" w:color="auto" w:sz="4" w:space="0"/>
              <w:left w:val="single" w:color="auto" w:sz="4" w:space="0"/>
              <w:bottom w:val="single" w:color="auto" w:sz="4" w:space="0"/>
              <w:right w:val="single" w:color="auto" w:sz="4" w:space="0"/>
            </w:tcBorders>
          </w:tcPr>
          <w:p w14:paraId="36E1CB3D">
            <w:pPr>
              <w:spacing w:line="400" w:lineRule="atLeast"/>
              <w:rPr>
                <w:rFonts w:ascii="Arial" w:hAnsi="Arial" w:cs="Arial"/>
                <w:sz w:val="24"/>
              </w:rPr>
            </w:pPr>
          </w:p>
        </w:tc>
      </w:tr>
      <w:tr w14:paraId="433A5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735" w:type="dxa"/>
            <w:tcBorders>
              <w:top w:val="single" w:color="auto" w:sz="4" w:space="0"/>
              <w:left w:val="single" w:color="auto" w:sz="4" w:space="0"/>
              <w:bottom w:val="single" w:color="auto" w:sz="4" w:space="0"/>
              <w:right w:val="single" w:color="auto" w:sz="4" w:space="0"/>
            </w:tcBorders>
          </w:tcPr>
          <w:p w14:paraId="70E0769B">
            <w:pPr>
              <w:spacing w:line="400" w:lineRule="atLeast"/>
              <w:rPr>
                <w:rFonts w:ascii="Arial" w:hAnsi="Arial" w:cs="Arial"/>
                <w:sz w:val="24"/>
              </w:rPr>
            </w:pPr>
          </w:p>
          <w:p w14:paraId="6E33057A">
            <w:pPr>
              <w:spacing w:line="400" w:lineRule="atLeast"/>
              <w:rPr>
                <w:rFonts w:ascii="Arial" w:hAnsi="Arial" w:cs="Arial"/>
                <w:sz w:val="24"/>
              </w:rPr>
            </w:pPr>
          </w:p>
        </w:tc>
        <w:tc>
          <w:tcPr>
            <w:tcW w:w="1555" w:type="dxa"/>
            <w:tcBorders>
              <w:top w:val="single" w:color="auto" w:sz="4" w:space="0"/>
              <w:left w:val="single" w:color="auto" w:sz="4" w:space="0"/>
              <w:bottom w:val="single" w:color="auto" w:sz="4" w:space="0"/>
              <w:right w:val="single" w:color="auto" w:sz="4" w:space="0"/>
            </w:tcBorders>
          </w:tcPr>
          <w:p w14:paraId="36660C30">
            <w:pPr>
              <w:widowControl/>
              <w:spacing w:line="400" w:lineRule="atLeast"/>
              <w:jc w:val="left"/>
              <w:rPr>
                <w:rFonts w:ascii="Arial" w:hAnsi="Arial" w:cs="Arial"/>
                <w:sz w:val="24"/>
              </w:rPr>
            </w:pPr>
          </w:p>
          <w:p w14:paraId="03EE5273">
            <w:pPr>
              <w:spacing w:line="400" w:lineRule="atLeast"/>
              <w:rPr>
                <w:rFonts w:ascii="Arial" w:hAnsi="Arial" w:cs="Arial"/>
                <w:sz w:val="24"/>
              </w:rPr>
            </w:pPr>
          </w:p>
        </w:tc>
        <w:tc>
          <w:tcPr>
            <w:tcW w:w="2496" w:type="dxa"/>
            <w:tcBorders>
              <w:top w:val="single" w:color="auto" w:sz="4" w:space="0"/>
              <w:left w:val="single" w:color="auto" w:sz="4" w:space="0"/>
              <w:bottom w:val="single" w:color="auto" w:sz="4" w:space="0"/>
              <w:right w:val="single" w:color="auto" w:sz="4" w:space="0"/>
            </w:tcBorders>
          </w:tcPr>
          <w:p w14:paraId="68DDC46A">
            <w:pPr>
              <w:spacing w:line="400" w:lineRule="atLeast"/>
              <w:rPr>
                <w:rFonts w:ascii="Arial" w:hAnsi="Arial" w:cs="Arial"/>
                <w:sz w:val="24"/>
              </w:rPr>
            </w:pPr>
          </w:p>
        </w:tc>
        <w:tc>
          <w:tcPr>
            <w:tcW w:w="2552" w:type="dxa"/>
            <w:tcBorders>
              <w:top w:val="single" w:color="auto" w:sz="4" w:space="0"/>
              <w:left w:val="single" w:color="auto" w:sz="4" w:space="0"/>
              <w:bottom w:val="single" w:color="auto" w:sz="4" w:space="0"/>
              <w:right w:val="single" w:color="auto" w:sz="4" w:space="0"/>
            </w:tcBorders>
          </w:tcPr>
          <w:p w14:paraId="1EC51105">
            <w:pPr>
              <w:spacing w:line="400" w:lineRule="atLeast"/>
              <w:rPr>
                <w:rFonts w:ascii="Arial" w:hAnsi="Arial" w:cs="Arial"/>
                <w:sz w:val="24"/>
              </w:rPr>
            </w:pPr>
          </w:p>
        </w:tc>
        <w:tc>
          <w:tcPr>
            <w:tcW w:w="2551" w:type="dxa"/>
            <w:tcBorders>
              <w:top w:val="single" w:color="auto" w:sz="4" w:space="0"/>
              <w:left w:val="single" w:color="auto" w:sz="4" w:space="0"/>
              <w:bottom w:val="single" w:color="auto" w:sz="4" w:space="0"/>
              <w:right w:val="single" w:color="auto" w:sz="4" w:space="0"/>
            </w:tcBorders>
          </w:tcPr>
          <w:p w14:paraId="092A9F9F">
            <w:pPr>
              <w:spacing w:line="400" w:lineRule="atLeast"/>
              <w:rPr>
                <w:rFonts w:ascii="Arial" w:hAnsi="Arial" w:cs="Arial"/>
                <w:sz w:val="24"/>
              </w:rPr>
            </w:pPr>
          </w:p>
        </w:tc>
      </w:tr>
      <w:tr w14:paraId="02D9F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735" w:type="dxa"/>
            <w:tcBorders>
              <w:top w:val="single" w:color="auto" w:sz="4" w:space="0"/>
              <w:left w:val="single" w:color="auto" w:sz="4" w:space="0"/>
              <w:bottom w:val="single" w:color="auto" w:sz="4" w:space="0"/>
              <w:right w:val="single" w:color="auto" w:sz="4" w:space="0"/>
            </w:tcBorders>
          </w:tcPr>
          <w:p w14:paraId="2F1F0DBF">
            <w:pPr>
              <w:spacing w:line="400" w:lineRule="atLeast"/>
              <w:rPr>
                <w:rFonts w:ascii="Arial" w:hAnsi="Arial" w:cs="Arial"/>
                <w:sz w:val="24"/>
              </w:rPr>
            </w:pPr>
          </w:p>
          <w:p w14:paraId="555F233D">
            <w:pPr>
              <w:spacing w:line="400" w:lineRule="atLeast"/>
              <w:rPr>
                <w:rFonts w:ascii="Arial" w:hAnsi="Arial" w:cs="Arial"/>
                <w:sz w:val="24"/>
              </w:rPr>
            </w:pPr>
          </w:p>
        </w:tc>
        <w:tc>
          <w:tcPr>
            <w:tcW w:w="1555" w:type="dxa"/>
            <w:tcBorders>
              <w:top w:val="single" w:color="auto" w:sz="4" w:space="0"/>
              <w:left w:val="single" w:color="auto" w:sz="4" w:space="0"/>
              <w:bottom w:val="single" w:color="auto" w:sz="4" w:space="0"/>
              <w:right w:val="single" w:color="auto" w:sz="4" w:space="0"/>
            </w:tcBorders>
          </w:tcPr>
          <w:p w14:paraId="3DD7C69C">
            <w:pPr>
              <w:widowControl/>
              <w:spacing w:line="400" w:lineRule="atLeast"/>
              <w:jc w:val="left"/>
              <w:rPr>
                <w:rFonts w:ascii="Arial" w:hAnsi="Arial" w:cs="Arial"/>
                <w:sz w:val="24"/>
              </w:rPr>
            </w:pPr>
          </w:p>
          <w:p w14:paraId="19EB1448">
            <w:pPr>
              <w:spacing w:line="400" w:lineRule="atLeast"/>
              <w:rPr>
                <w:rFonts w:ascii="Arial" w:hAnsi="Arial" w:cs="Arial"/>
                <w:sz w:val="24"/>
              </w:rPr>
            </w:pPr>
          </w:p>
        </w:tc>
        <w:tc>
          <w:tcPr>
            <w:tcW w:w="2496" w:type="dxa"/>
            <w:tcBorders>
              <w:top w:val="single" w:color="auto" w:sz="4" w:space="0"/>
              <w:left w:val="single" w:color="auto" w:sz="4" w:space="0"/>
              <w:bottom w:val="single" w:color="auto" w:sz="4" w:space="0"/>
              <w:right w:val="single" w:color="auto" w:sz="4" w:space="0"/>
            </w:tcBorders>
          </w:tcPr>
          <w:p w14:paraId="6A75DE2D">
            <w:pPr>
              <w:spacing w:line="400" w:lineRule="atLeast"/>
              <w:rPr>
                <w:rFonts w:ascii="Arial" w:hAnsi="Arial" w:cs="Arial"/>
                <w:sz w:val="24"/>
              </w:rPr>
            </w:pPr>
          </w:p>
        </w:tc>
        <w:tc>
          <w:tcPr>
            <w:tcW w:w="2552" w:type="dxa"/>
            <w:tcBorders>
              <w:top w:val="single" w:color="auto" w:sz="4" w:space="0"/>
              <w:left w:val="single" w:color="auto" w:sz="4" w:space="0"/>
              <w:bottom w:val="single" w:color="auto" w:sz="4" w:space="0"/>
              <w:right w:val="single" w:color="auto" w:sz="4" w:space="0"/>
            </w:tcBorders>
          </w:tcPr>
          <w:p w14:paraId="46D96440">
            <w:pPr>
              <w:spacing w:line="400" w:lineRule="atLeast"/>
              <w:rPr>
                <w:rFonts w:ascii="Arial" w:hAnsi="Arial" w:cs="Arial"/>
                <w:sz w:val="24"/>
              </w:rPr>
            </w:pPr>
          </w:p>
        </w:tc>
        <w:tc>
          <w:tcPr>
            <w:tcW w:w="2551" w:type="dxa"/>
            <w:tcBorders>
              <w:top w:val="single" w:color="auto" w:sz="4" w:space="0"/>
              <w:left w:val="single" w:color="auto" w:sz="4" w:space="0"/>
              <w:bottom w:val="single" w:color="auto" w:sz="4" w:space="0"/>
              <w:right w:val="single" w:color="auto" w:sz="4" w:space="0"/>
            </w:tcBorders>
          </w:tcPr>
          <w:p w14:paraId="1CE7C76A">
            <w:pPr>
              <w:spacing w:line="400" w:lineRule="atLeast"/>
              <w:rPr>
                <w:rFonts w:ascii="Arial" w:hAnsi="Arial" w:cs="Arial"/>
                <w:sz w:val="24"/>
              </w:rPr>
            </w:pPr>
          </w:p>
        </w:tc>
      </w:tr>
      <w:tr w14:paraId="7ACC3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735" w:type="dxa"/>
            <w:tcBorders>
              <w:top w:val="single" w:color="auto" w:sz="4" w:space="0"/>
              <w:left w:val="single" w:color="auto" w:sz="4" w:space="0"/>
              <w:bottom w:val="single" w:color="auto" w:sz="4" w:space="0"/>
              <w:right w:val="single" w:color="auto" w:sz="4" w:space="0"/>
            </w:tcBorders>
          </w:tcPr>
          <w:p w14:paraId="7E00198A">
            <w:pPr>
              <w:spacing w:line="400" w:lineRule="atLeast"/>
              <w:rPr>
                <w:rFonts w:ascii="Arial" w:hAnsi="Arial" w:cs="Arial"/>
                <w:sz w:val="24"/>
              </w:rPr>
            </w:pPr>
          </w:p>
          <w:p w14:paraId="64E0C356">
            <w:pPr>
              <w:spacing w:line="400" w:lineRule="atLeast"/>
              <w:rPr>
                <w:rFonts w:ascii="Arial" w:hAnsi="Arial" w:cs="Arial"/>
                <w:sz w:val="24"/>
              </w:rPr>
            </w:pPr>
          </w:p>
        </w:tc>
        <w:tc>
          <w:tcPr>
            <w:tcW w:w="1555" w:type="dxa"/>
            <w:tcBorders>
              <w:top w:val="single" w:color="auto" w:sz="4" w:space="0"/>
              <w:left w:val="single" w:color="auto" w:sz="4" w:space="0"/>
              <w:bottom w:val="single" w:color="auto" w:sz="4" w:space="0"/>
              <w:right w:val="single" w:color="auto" w:sz="4" w:space="0"/>
            </w:tcBorders>
          </w:tcPr>
          <w:p w14:paraId="1DB2A2EB">
            <w:pPr>
              <w:widowControl/>
              <w:spacing w:line="400" w:lineRule="atLeast"/>
              <w:jc w:val="left"/>
              <w:rPr>
                <w:rFonts w:ascii="Arial" w:hAnsi="Arial" w:cs="Arial"/>
                <w:sz w:val="24"/>
              </w:rPr>
            </w:pPr>
          </w:p>
          <w:p w14:paraId="6920E1B1">
            <w:pPr>
              <w:spacing w:line="400" w:lineRule="atLeast"/>
              <w:rPr>
                <w:rFonts w:ascii="Arial" w:hAnsi="Arial" w:cs="Arial"/>
                <w:sz w:val="24"/>
              </w:rPr>
            </w:pPr>
          </w:p>
        </w:tc>
        <w:tc>
          <w:tcPr>
            <w:tcW w:w="2496" w:type="dxa"/>
            <w:tcBorders>
              <w:top w:val="single" w:color="auto" w:sz="4" w:space="0"/>
              <w:left w:val="single" w:color="auto" w:sz="4" w:space="0"/>
              <w:bottom w:val="single" w:color="auto" w:sz="4" w:space="0"/>
              <w:right w:val="single" w:color="auto" w:sz="4" w:space="0"/>
            </w:tcBorders>
          </w:tcPr>
          <w:p w14:paraId="2D7F38B7">
            <w:pPr>
              <w:spacing w:line="400" w:lineRule="atLeast"/>
              <w:rPr>
                <w:rFonts w:ascii="Arial" w:hAnsi="Arial" w:cs="Arial"/>
                <w:sz w:val="24"/>
              </w:rPr>
            </w:pPr>
          </w:p>
        </w:tc>
        <w:tc>
          <w:tcPr>
            <w:tcW w:w="2552" w:type="dxa"/>
            <w:tcBorders>
              <w:top w:val="single" w:color="auto" w:sz="4" w:space="0"/>
              <w:left w:val="single" w:color="auto" w:sz="4" w:space="0"/>
              <w:bottom w:val="single" w:color="auto" w:sz="4" w:space="0"/>
              <w:right w:val="single" w:color="auto" w:sz="4" w:space="0"/>
            </w:tcBorders>
          </w:tcPr>
          <w:p w14:paraId="04AF9029">
            <w:pPr>
              <w:spacing w:line="400" w:lineRule="atLeast"/>
              <w:rPr>
                <w:rFonts w:ascii="Arial" w:hAnsi="Arial" w:cs="Arial"/>
                <w:sz w:val="24"/>
              </w:rPr>
            </w:pPr>
          </w:p>
        </w:tc>
        <w:tc>
          <w:tcPr>
            <w:tcW w:w="2551" w:type="dxa"/>
            <w:tcBorders>
              <w:top w:val="single" w:color="auto" w:sz="4" w:space="0"/>
              <w:left w:val="single" w:color="auto" w:sz="4" w:space="0"/>
              <w:bottom w:val="single" w:color="auto" w:sz="4" w:space="0"/>
              <w:right w:val="single" w:color="auto" w:sz="4" w:space="0"/>
            </w:tcBorders>
          </w:tcPr>
          <w:p w14:paraId="5E3A39E7">
            <w:pPr>
              <w:spacing w:line="400" w:lineRule="atLeast"/>
              <w:rPr>
                <w:rFonts w:ascii="Arial" w:hAnsi="Arial" w:cs="Arial"/>
                <w:sz w:val="24"/>
              </w:rPr>
            </w:pPr>
          </w:p>
        </w:tc>
      </w:tr>
      <w:tr w14:paraId="24CF1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735" w:type="dxa"/>
            <w:tcBorders>
              <w:top w:val="single" w:color="auto" w:sz="4" w:space="0"/>
              <w:left w:val="single" w:color="auto" w:sz="4" w:space="0"/>
              <w:bottom w:val="single" w:color="auto" w:sz="4" w:space="0"/>
              <w:right w:val="single" w:color="auto" w:sz="4" w:space="0"/>
            </w:tcBorders>
          </w:tcPr>
          <w:p w14:paraId="078A2CE2">
            <w:pPr>
              <w:spacing w:line="400" w:lineRule="atLeast"/>
              <w:rPr>
                <w:rFonts w:ascii="Arial" w:hAnsi="Arial" w:cs="Arial"/>
                <w:sz w:val="24"/>
              </w:rPr>
            </w:pPr>
          </w:p>
          <w:p w14:paraId="5AE88CFA">
            <w:pPr>
              <w:spacing w:line="400" w:lineRule="atLeast"/>
              <w:rPr>
                <w:rFonts w:ascii="Arial" w:hAnsi="Arial" w:cs="Arial"/>
                <w:sz w:val="24"/>
              </w:rPr>
            </w:pPr>
          </w:p>
        </w:tc>
        <w:tc>
          <w:tcPr>
            <w:tcW w:w="1555" w:type="dxa"/>
            <w:tcBorders>
              <w:top w:val="single" w:color="auto" w:sz="4" w:space="0"/>
              <w:left w:val="single" w:color="auto" w:sz="4" w:space="0"/>
              <w:bottom w:val="single" w:color="auto" w:sz="4" w:space="0"/>
              <w:right w:val="single" w:color="auto" w:sz="4" w:space="0"/>
            </w:tcBorders>
          </w:tcPr>
          <w:p w14:paraId="26753979">
            <w:pPr>
              <w:widowControl/>
              <w:spacing w:line="400" w:lineRule="atLeast"/>
              <w:jc w:val="left"/>
              <w:rPr>
                <w:rFonts w:ascii="Arial" w:hAnsi="Arial" w:cs="Arial"/>
                <w:sz w:val="24"/>
              </w:rPr>
            </w:pPr>
          </w:p>
          <w:p w14:paraId="7A2AAAF3">
            <w:pPr>
              <w:spacing w:line="400" w:lineRule="atLeast"/>
              <w:rPr>
                <w:rFonts w:ascii="Arial" w:hAnsi="Arial" w:cs="Arial"/>
                <w:sz w:val="24"/>
              </w:rPr>
            </w:pPr>
          </w:p>
        </w:tc>
        <w:tc>
          <w:tcPr>
            <w:tcW w:w="2496" w:type="dxa"/>
            <w:tcBorders>
              <w:top w:val="single" w:color="auto" w:sz="4" w:space="0"/>
              <w:left w:val="single" w:color="auto" w:sz="4" w:space="0"/>
              <w:bottom w:val="single" w:color="auto" w:sz="4" w:space="0"/>
              <w:right w:val="single" w:color="auto" w:sz="4" w:space="0"/>
            </w:tcBorders>
          </w:tcPr>
          <w:p w14:paraId="51ED1DDE">
            <w:pPr>
              <w:spacing w:line="400" w:lineRule="atLeast"/>
              <w:rPr>
                <w:rFonts w:ascii="Arial" w:hAnsi="Arial" w:cs="Arial"/>
                <w:sz w:val="24"/>
              </w:rPr>
            </w:pPr>
          </w:p>
        </w:tc>
        <w:tc>
          <w:tcPr>
            <w:tcW w:w="2552" w:type="dxa"/>
            <w:tcBorders>
              <w:top w:val="single" w:color="auto" w:sz="4" w:space="0"/>
              <w:left w:val="single" w:color="auto" w:sz="4" w:space="0"/>
              <w:bottom w:val="single" w:color="auto" w:sz="4" w:space="0"/>
              <w:right w:val="single" w:color="auto" w:sz="4" w:space="0"/>
            </w:tcBorders>
          </w:tcPr>
          <w:p w14:paraId="109FB594">
            <w:pPr>
              <w:spacing w:line="400" w:lineRule="atLeast"/>
              <w:rPr>
                <w:rFonts w:ascii="Arial" w:hAnsi="Arial" w:cs="Arial"/>
                <w:sz w:val="24"/>
              </w:rPr>
            </w:pPr>
          </w:p>
        </w:tc>
        <w:tc>
          <w:tcPr>
            <w:tcW w:w="2551" w:type="dxa"/>
            <w:tcBorders>
              <w:top w:val="single" w:color="auto" w:sz="4" w:space="0"/>
              <w:left w:val="single" w:color="auto" w:sz="4" w:space="0"/>
              <w:bottom w:val="single" w:color="auto" w:sz="4" w:space="0"/>
              <w:right w:val="single" w:color="auto" w:sz="4" w:space="0"/>
            </w:tcBorders>
          </w:tcPr>
          <w:p w14:paraId="5A059FC4">
            <w:pPr>
              <w:spacing w:line="400" w:lineRule="atLeast"/>
              <w:rPr>
                <w:rFonts w:ascii="Arial" w:hAnsi="Arial" w:cs="Arial"/>
                <w:sz w:val="24"/>
              </w:rPr>
            </w:pPr>
          </w:p>
        </w:tc>
      </w:tr>
      <w:tr w14:paraId="51080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735" w:type="dxa"/>
            <w:tcBorders>
              <w:top w:val="single" w:color="auto" w:sz="4" w:space="0"/>
              <w:left w:val="single" w:color="auto" w:sz="4" w:space="0"/>
              <w:bottom w:val="single" w:color="auto" w:sz="4" w:space="0"/>
              <w:right w:val="single" w:color="auto" w:sz="4" w:space="0"/>
            </w:tcBorders>
          </w:tcPr>
          <w:p w14:paraId="38370F2A">
            <w:pPr>
              <w:spacing w:line="400" w:lineRule="atLeast"/>
              <w:rPr>
                <w:rFonts w:ascii="Arial" w:hAnsi="Arial" w:cs="Arial"/>
                <w:sz w:val="24"/>
              </w:rPr>
            </w:pPr>
          </w:p>
          <w:p w14:paraId="334D801F">
            <w:pPr>
              <w:spacing w:line="400" w:lineRule="atLeast"/>
              <w:rPr>
                <w:rFonts w:ascii="Arial" w:hAnsi="Arial" w:cs="Arial"/>
                <w:sz w:val="24"/>
              </w:rPr>
            </w:pPr>
          </w:p>
        </w:tc>
        <w:tc>
          <w:tcPr>
            <w:tcW w:w="1555" w:type="dxa"/>
            <w:tcBorders>
              <w:top w:val="single" w:color="auto" w:sz="4" w:space="0"/>
              <w:left w:val="single" w:color="auto" w:sz="4" w:space="0"/>
              <w:bottom w:val="single" w:color="auto" w:sz="4" w:space="0"/>
              <w:right w:val="single" w:color="auto" w:sz="4" w:space="0"/>
            </w:tcBorders>
          </w:tcPr>
          <w:p w14:paraId="3F38F223">
            <w:pPr>
              <w:widowControl/>
              <w:spacing w:line="400" w:lineRule="atLeast"/>
              <w:jc w:val="left"/>
              <w:rPr>
                <w:rFonts w:ascii="Arial" w:hAnsi="Arial" w:cs="Arial"/>
                <w:sz w:val="24"/>
              </w:rPr>
            </w:pPr>
          </w:p>
          <w:p w14:paraId="06AE107F">
            <w:pPr>
              <w:spacing w:line="400" w:lineRule="atLeast"/>
              <w:rPr>
                <w:rFonts w:ascii="Arial" w:hAnsi="Arial" w:cs="Arial"/>
                <w:sz w:val="24"/>
              </w:rPr>
            </w:pPr>
          </w:p>
        </w:tc>
        <w:tc>
          <w:tcPr>
            <w:tcW w:w="2496" w:type="dxa"/>
            <w:tcBorders>
              <w:top w:val="single" w:color="auto" w:sz="4" w:space="0"/>
              <w:left w:val="single" w:color="auto" w:sz="4" w:space="0"/>
              <w:bottom w:val="single" w:color="auto" w:sz="4" w:space="0"/>
              <w:right w:val="single" w:color="auto" w:sz="4" w:space="0"/>
            </w:tcBorders>
          </w:tcPr>
          <w:p w14:paraId="5EBB7B34">
            <w:pPr>
              <w:spacing w:line="400" w:lineRule="atLeast"/>
              <w:rPr>
                <w:rFonts w:ascii="Arial" w:hAnsi="Arial" w:cs="Arial"/>
                <w:sz w:val="24"/>
              </w:rPr>
            </w:pPr>
          </w:p>
        </w:tc>
        <w:tc>
          <w:tcPr>
            <w:tcW w:w="2552" w:type="dxa"/>
            <w:tcBorders>
              <w:top w:val="single" w:color="auto" w:sz="4" w:space="0"/>
              <w:left w:val="single" w:color="auto" w:sz="4" w:space="0"/>
              <w:bottom w:val="single" w:color="auto" w:sz="4" w:space="0"/>
              <w:right w:val="single" w:color="auto" w:sz="4" w:space="0"/>
            </w:tcBorders>
          </w:tcPr>
          <w:p w14:paraId="59725407">
            <w:pPr>
              <w:spacing w:line="400" w:lineRule="atLeast"/>
              <w:rPr>
                <w:rFonts w:ascii="Arial" w:hAnsi="Arial" w:cs="Arial"/>
                <w:sz w:val="24"/>
              </w:rPr>
            </w:pPr>
          </w:p>
        </w:tc>
        <w:tc>
          <w:tcPr>
            <w:tcW w:w="2551" w:type="dxa"/>
            <w:tcBorders>
              <w:top w:val="single" w:color="auto" w:sz="4" w:space="0"/>
              <w:left w:val="single" w:color="auto" w:sz="4" w:space="0"/>
              <w:bottom w:val="single" w:color="auto" w:sz="4" w:space="0"/>
              <w:right w:val="single" w:color="auto" w:sz="4" w:space="0"/>
            </w:tcBorders>
          </w:tcPr>
          <w:p w14:paraId="120E7E17">
            <w:pPr>
              <w:spacing w:line="400" w:lineRule="atLeast"/>
              <w:rPr>
                <w:rFonts w:ascii="Arial" w:hAnsi="Arial" w:cs="Arial"/>
                <w:sz w:val="24"/>
              </w:rPr>
            </w:pPr>
          </w:p>
        </w:tc>
      </w:tr>
      <w:tr w14:paraId="480DC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735" w:type="dxa"/>
            <w:tcBorders>
              <w:top w:val="single" w:color="auto" w:sz="4" w:space="0"/>
              <w:left w:val="single" w:color="auto" w:sz="4" w:space="0"/>
              <w:bottom w:val="single" w:color="auto" w:sz="4" w:space="0"/>
              <w:right w:val="single" w:color="auto" w:sz="4" w:space="0"/>
            </w:tcBorders>
          </w:tcPr>
          <w:p w14:paraId="3B253710">
            <w:pPr>
              <w:spacing w:line="400" w:lineRule="atLeast"/>
              <w:rPr>
                <w:rFonts w:ascii="Arial" w:hAnsi="Arial" w:cs="Arial"/>
                <w:sz w:val="24"/>
              </w:rPr>
            </w:pPr>
          </w:p>
        </w:tc>
        <w:tc>
          <w:tcPr>
            <w:tcW w:w="1555" w:type="dxa"/>
            <w:tcBorders>
              <w:top w:val="single" w:color="auto" w:sz="4" w:space="0"/>
              <w:left w:val="single" w:color="auto" w:sz="4" w:space="0"/>
              <w:bottom w:val="single" w:color="auto" w:sz="4" w:space="0"/>
              <w:right w:val="single" w:color="auto" w:sz="4" w:space="0"/>
            </w:tcBorders>
          </w:tcPr>
          <w:p w14:paraId="1DBE44D8">
            <w:pPr>
              <w:spacing w:line="400" w:lineRule="atLeast"/>
              <w:rPr>
                <w:rFonts w:ascii="Arial" w:hAnsi="Arial" w:cs="Arial"/>
                <w:sz w:val="24"/>
              </w:rPr>
            </w:pPr>
          </w:p>
        </w:tc>
        <w:tc>
          <w:tcPr>
            <w:tcW w:w="2496" w:type="dxa"/>
            <w:tcBorders>
              <w:top w:val="single" w:color="auto" w:sz="4" w:space="0"/>
              <w:left w:val="single" w:color="auto" w:sz="4" w:space="0"/>
              <w:bottom w:val="single" w:color="auto" w:sz="4" w:space="0"/>
              <w:right w:val="single" w:color="auto" w:sz="4" w:space="0"/>
            </w:tcBorders>
          </w:tcPr>
          <w:p w14:paraId="2763D8C1">
            <w:pPr>
              <w:spacing w:line="400" w:lineRule="atLeast"/>
              <w:rPr>
                <w:rFonts w:ascii="Arial" w:hAnsi="Arial" w:cs="Arial"/>
                <w:sz w:val="24"/>
              </w:rPr>
            </w:pPr>
          </w:p>
        </w:tc>
        <w:tc>
          <w:tcPr>
            <w:tcW w:w="2552" w:type="dxa"/>
            <w:tcBorders>
              <w:top w:val="single" w:color="auto" w:sz="4" w:space="0"/>
              <w:left w:val="single" w:color="auto" w:sz="4" w:space="0"/>
              <w:bottom w:val="single" w:color="auto" w:sz="4" w:space="0"/>
              <w:right w:val="single" w:color="auto" w:sz="4" w:space="0"/>
            </w:tcBorders>
          </w:tcPr>
          <w:p w14:paraId="3C7F2620">
            <w:pPr>
              <w:spacing w:line="400" w:lineRule="atLeast"/>
              <w:rPr>
                <w:rFonts w:ascii="Arial" w:hAnsi="Arial" w:cs="Arial"/>
                <w:sz w:val="24"/>
              </w:rPr>
            </w:pPr>
          </w:p>
        </w:tc>
        <w:tc>
          <w:tcPr>
            <w:tcW w:w="2551" w:type="dxa"/>
            <w:tcBorders>
              <w:top w:val="single" w:color="auto" w:sz="4" w:space="0"/>
              <w:left w:val="single" w:color="auto" w:sz="4" w:space="0"/>
              <w:bottom w:val="single" w:color="auto" w:sz="4" w:space="0"/>
              <w:right w:val="single" w:color="auto" w:sz="4" w:space="0"/>
            </w:tcBorders>
          </w:tcPr>
          <w:p w14:paraId="74E6746F">
            <w:pPr>
              <w:spacing w:line="400" w:lineRule="atLeast"/>
              <w:rPr>
                <w:rFonts w:ascii="Arial" w:hAnsi="Arial" w:cs="Arial"/>
                <w:sz w:val="24"/>
              </w:rPr>
            </w:pPr>
          </w:p>
        </w:tc>
      </w:tr>
    </w:tbl>
    <w:p w14:paraId="546070F6">
      <w:pPr>
        <w:spacing w:line="400" w:lineRule="atLeast"/>
        <w:rPr>
          <w:rFonts w:ascii="Arial" w:hAnsi="Arial" w:cs="Arial"/>
          <w:sz w:val="24"/>
        </w:rPr>
      </w:pPr>
      <w:r>
        <w:rPr>
          <w:rFonts w:hint="eastAsia" w:ascii="Arial" w:hAnsi="Arial" w:cs="Arial"/>
          <w:sz w:val="24"/>
        </w:rPr>
        <w:t>（对应谈判文件第三部分内容）</w:t>
      </w:r>
    </w:p>
    <w:p w14:paraId="12DA676F">
      <w:pPr>
        <w:tabs>
          <w:tab w:val="left" w:pos="9135"/>
        </w:tabs>
        <w:spacing w:line="400" w:lineRule="atLeast"/>
        <w:rPr>
          <w:rFonts w:ascii="Arial" w:hAnsi="Arial" w:cs="Arial"/>
          <w:sz w:val="24"/>
        </w:rPr>
      </w:pPr>
    </w:p>
    <w:p w14:paraId="5FBECD89">
      <w:pPr>
        <w:tabs>
          <w:tab w:val="left" w:pos="9135"/>
        </w:tabs>
        <w:spacing w:line="400" w:lineRule="atLeast"/>
        <w:ind w:firstLine="2160" w:firstLineChars="900"/>
        <w:rPr>
          <w:rFonts w:ascii="Arial" w:hAnsi="Arial" w:cs="Arial"/>
          <w:sz w:val="24"/>
        </w:rPr>
      </w:pPr>
      <w:r>
        <w:rPr>
          <w:rFonts w:hint="eastAsia" w:ascii="Arial" w:hAnsi="Arial" w:cs="Arial"/>
          <w:sz w:val="24"/>
        </w:rPr>
        <w:t>供应商名称：</w:t>
      </w:r>
      <w:r>
        <w:rPr>
          <w:rFonts w:hint="eastAsia" w:ascii="Arial" w:hAnsi="Arial" w:cs="Arial"/>
          <w:sz w:val="24"/>
          <w:u w:val="single"/>
        </w:rPr>
        <w:t xml:space="preserve">                            </w:t>
      </w:r>
      <w:r>
        <w:rPr>
          <w:rFonts w:hint="eastAsia" w:ascii="Arial" w:hAnsi="Arial" w:cs="Arial"/>
          <w:sz w:val="24"/>
        </w:rPr>
        <w:t xml:space="preserve"> （盖单位章）</w:t>
      </w:r>
    </w:p>
    <w:p w14:paraId="35DFF429">
      <w:pPr>
        <w:tabs>
          <w:tab w:val="left" w:pos="9135"/>
        </w:tabs>
        <w:spacing w:line="400" w:lineRule="atLeast"/>
        <w:ind w:firstLine="2160" w:firstLineChars="900"/>
        <w:rPr>
          <w:rFonts w:ascii="Arial" w:hAnsi="Arial" w:cs="Arial"/>
          <w:sz w:val="24"/>
        </w:rPr>
      </w:pPr>
      <w:r>
        <w:rPr>
          <w:rFonts w:hint="eastAsia" w:ascii="Arial" w:hAnsi="Arial" w:cs="Arial"/>
          <w:sz w:val="24"/>
        </w:rPr>
        <w:t>供应商法定代表人或授权代表</w:t>
      </w:r>
      <w:r>
        <w:rPr>
          <w:rFonts w:ascii="Arial" w:hAnsi="Arial" w:cs="Arial"/>
          <w:sz w:val="24"/>
        </w:rPr>
        <w:t>：</w:t>
      </w:r>
      <w:r>
        <w:rPr>
          <w:rFonts w:ascii="Arial" w:hAnsi="Arial" w:cs="Arial"/>
          <w:sz w:val="24"/>
          <w:u w:val="single"/>
        </w:rPr>
        <w:t>　　　　　　　　　</w:t>
      </w:r>
      <w:r>
        <w:rPr>
          <w:rFonts w:hint="eastAsia" w:ascii="Arial" w:hAnsi="Arial" w:cs="Arial"/>
          <w:sz w:val="24"/>
        </w:rPr>
        <w:t>（签字或盖章）</w:t>
      </w:r>
    </w:p>
    <w:p w14:paraId="6BA6983E">
      <w:pPr>
        <w:tabs>
          <w:tab w:val="left" w:pos="9135"/>
        </w:tabs>
        <w:spacing w:line="400" w:lineRule="atLeast"/>
        <w:ind w:firstLine="2160" w:firstLineChars="900"/>
        <w:rPr>
          <w:rFonts w:ascii="Arial" w:hAnsi="Arial" w:cs="Arial"/>
          <w:sz w:val="24"/>
        </w:rPr>
      </w:pPr>
      <w:r>
        <w:rPr>
          <w:rFonts w:hint="eastAsia" w:ascii="Arial" w:hAnsi="Arial" w:cs="Arial"/>
          <w:sz w:val="24"/>
        </w:rPr>
        <w:t>日期：　 年　月　日</w:t>
      </w:r>
    </w:p>
    <w:p w14:paraId="712B6A12">
      <w:pPr>
        <w:jc w:val="center"/>
        <w:outlineLvl w:val="1"/>
        <w:rPr>
          <w:rFonts w:hint="eastAsia" w:ascii="宋体" w:hAnsi="宋体" w:cs="宋体"/>
          <w:b/>
          <w:bCs/>
          <w:sz w:val="24"/>
        </w:rPr>
      </w:pPr>
      <w:bookmarkStart w:id="73" w:name="_Toc25689"/>
      <w:r>
        <w:rPr>
          <w:rFonts w:hint="eastAsia" w:ascii="宋体" w:hAnsi="宋体" w:cs="宋体"/>
          <w:b/>
          <w:bCs/>
          <w:sz w:val="24"/>
        </w:rPr>
        <w:t>8、其他证明材料</w:t>
      </w:r>
      <w:bookmarkEnd w:id="73"/>
    </w:p>
    <w:p w14:paraId="299135F1">
      <w:pPr>
        <w:pStyle w:val="19"/>
        <w:ind w:firstLine="0" w:firstLineChars="0"/>
        <w:jc w:val="center"/>
        <w:rPr>
          <w:rFonts w:ascii="Arial" w:hAnsi="Arial" w:cs="Arial"/>
          <w:color w:val="000000"/>
          <w:sz w:val="24"/>
          <w:szCs w:val="20"/>
        </w:rPr>
      </w:pPr>
      <w:r>
        <w:rPr>
          <w:rFonts w:hint="eastAsia" w:ascii="Arial" w:hAnsi="Arial" w:cs="Arial"/>
          <w:color w:val="000000"/>
          <w:sz w:val="24"/>
          <w:szCs w:val="20"/>
        </w:rPr>
        <w:t>（格式自拟）</w:t>
      </w:r>
    </w:p>
    <w:p w14:paraId="42CF2CB3">
      <w:pPr>
        <w:pStyle w:val="2"/>
      </w:pPr>
    </w:p>
    <w:p w14:paraId="20F2BA2D">
      <w:pPr>
        <w:jc w:val="center"/>
        <w:outlineLvl w:val="1"/>
        <w:rPr>
          <w:rFonts w:ascii="Arial" w:hAnsi="Arial" w:cs="Arial"/>
          <w:b/>
          <w:bCs/>
          <w:sz w:val="24"/>
          <w:szCs w:val="24"/>
          <w:lang w:val="zh-CN"/>
        </w:rPr>
      </w:pPr>
      <w:bookmarkStart w:id="74" w:name="_Toc2214"/>
      <w:r>
        <w:rPr>
          <w:rFonts w:hint="eastAsia" w:ascii="Arial" w:hAnsi="Arial" w:cs="Arial"/>
          <w:b/>
          <w:bCs/>
          <w:sz w:val="24"/>
          <w:szCs w:val="24"/>
        </w:rPr>
        <w:t>9</w:t>
      </w:r>
      <w:r>
        <w:rPr>
          <w:rFonts w:hint="eastAsia" w:ascii="Arial" w:hAnsi="Arial" w:cs="Arial"/>
          <w:b/>
          <w:bCs/>
          <w:sz w:val="24"/>
          <w:szCs w:val="24"/>
          <w:lang w:val="zh-CN"/>
        </w:rPr>
        <w:t>、供应商反商业贿赂承诺书</w:t>
      </w:r>
      <w:bookmarkEnd w:id="74"/>
    </w:p>
    <w:p w14:paraId="1ADD2073">
      <w:pPr>
        <w:adjustRightInd w:val="0"/>
        <w:snapToGrid w:val="0"/>
        <w:spacing w:line="400" w:lineRule="atLeast"/>
        <w:jc w:val="center"/>
        <w:rPr>
          <w:rFonts w:hint="eastAsia" w:ascii="宋体" w:hAnsi="宋体"/>
          <w:sz w:val="24"/>
          <w:szCs w:val="24"/>
        </w:rPr>
      </w:pPr>
      <w:r>
        <w:rPr>
          <w:rFonts w:hint="eastAsia" w:ascii="宋体" w:hAnsi="宋体"/>
          <w:sz w:val="24"/>
          <w:szCs w:val="24"/>
        </w:rPr>
        <w:t>供应商反商业贿赂承诺书</w:t>
      </w:r>
    </w:p>
    <w:p w14:paraId="303295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00" w:lineRule="atLeast"/>
        <w:ind w:firstLine="480" w:firstLineChars="200"/>
        <w:jc w:val="left"/>
        <w:rPr>
          <w:rFonts w:hint="eastAsia" w:ascii="宋体" w:hAnsi="宋体" w:cs="Arial"/>
          <w:sz w:val="24"/>
          <w:szCs w:val="24"/>
        </w:rPr>
      </w:pPr>
      <w:r>
        <w:rPr>
          <w:rFonts w:hint="eastAsia" w:ascii="宋体" w:hAnsi="宋体" w:cs="Arial"/>
          <w:sz w:val="24"/>
          <w:szCs w:val="24"/>
        </w:rPr>
        <w:t>我公司承诺在</w:t>
      </w:r>
      <w:r>
        <w:rPr>
          <w:rFonts w:hint="eastAsia" w:ascii="宋体" w:hAnsi="宋体" w:cs="Arial"/>
          <w:sz w:val="24"/>
          <w:szCs w:val="24"/>
          <w:u w:val="single"/>
        </w:rPr>
        <w:t xml:space="preserve"> </w:t>
      </w:r>
      <w:r>
        <w:rPr>
          <w:rFonts w:ascii="宋体" w:hAnsi="宋体" w:cs="Arial"/>
          <w:sz w:val="24"/>
          <w:szCs w:val="24"/>
          <w:u w:val="single"/>
        </w:rPr>
        <w:t xml:space="preserve">                      </w:t>
      </w:r>
      <w:r>
        <w:rPr>
          <w:rFonts w:hint="eastAsia" w:ascii="宋体" w:hAnsi="宋体" w:cs="Arial"/>
          <w:sz w:val="24"/>
          <w:szCs w:val="24"/>
        </w:rPr>
        <w:t>项目（编号：</w:t>
      </w:r>
      <w:r>
        <w:rPr>
          <w:rFonts w:ascii="宋体" w:hAnsi="宋体" w:cs="Arial"/>
          <w:sz w:val="24"/>
          <w:szCs w:val="24"/>
          <w:u w:val="single"/>
        </w:rPr>
        <w:t xml:space="preserve">                       </w:t>
      </w:r>
      <w:r>
        <w:rPr>
          <w:rFonts w:hint="eastAsia" w:ascii="宋体" w:hAnsi="宋体" w:cs="Arial"/>
          <w:sz w:val="24"/>
          <w:szCs w:val="24"/>
        </w:rPr>
        <w:t>）的采购活动</w:t>
      </w:r>
      <w:r>
        <w:rPr>
          <w:rFonts w:ascii="宋体" w:hAnsi="宋体" w:cs="Arial"/>
          <w:sz w:val="24"/>
          <w:szCs w:val="24"/>
        </w:rPr>
        <w:t>中</w:t>
      </w:r>
      <w:r>
        <w:rPr>
          <w:rFonts w:hint="eastAsia" w:ascii="宋体" w:hAnsi="宋体" w:cs="Arial"/>
          <w:sz w:val="24"/>
          <w:szCs w:val="24"/>
        </w:rPr>
        <w:t>，</w:t>
      </w:r>
      <w:r>
        <w:rPr>
          <w:rFonts w:ascii="宋体" w:hAnsi="宋体" w:cs="Arial"/>
          <w:sz w:val="24"/>
          <w:szCs w:val="24"/>
        </w:rPr>
        <w:t>保证做到</w:t>
      </w:r>
      <w:r>
        <w:rPr>
          <w:rFonts w:hint="eastAsia" w:ascii="宋体" w:hAnsi="宋体" w:cs="Arial"/>
          <w:sz w:val="24"/>
          <w:szCs w:val="24"/>
        </w:rPr>
        <w:t>：</w:t>
      </w:r>
    </w:p>
    <w:p w14:paraId="1FAE56C7">
      <w:pPr>
        <w:pStyle w:val="508"/>
        <w:numPr>
          <w:ilvl w:val="0"/>
          <w:numId w:val="6"/>
        </w:numPr>
        <w:adjustRightInd w:val="0"/>
        <w:snapToGrid w:val="0"/>
        <w:spacing w:line="400" w:lineRule="atLeast"/>
        <w:ind w:left="0" w:firstLine="585" w:firstLineChars="0"/>
        <w:rPr>
          <w:rFonts w:hint="eastAsia" w:ascii="宋体" w:hAnsi="宋体"/>
          <w:sz w:val="24"/>
          <w:szCs w:val="24"/>
        </w:rPr>
      </w:pPr>
      <w:r>
        <w:rPr>
          <w:rFonts w:hint="eastAsia" w:ascii="宋体" w:hAnsi="宋体"/>
          <w:sz w:val="24"/>
          <w:szCs w:val="24"/>
        </w:rPr>
        <w:t>公平竞争参加本次采购活动,保证在本次谈判响应中提交的所有文件均是真实、有效的.</w:t>
      </w:r>
    </w:p>
    <w:p w14:paraId="7E43D42D">
      <w:pPr>
        <w:pStyle w:val="508"/>
        <w:numPr>
          <w:ilvl w:val="0"/>
          <w:numId w:val="6"/>
        </w:numPr>
        <w:adjustRightInd w:val="0"/>
        <w:snapToGrid w:val="0"/>
        <w:spacing w:line="400" w:lineRule="atLeast"/>
        <w:ind w:left="0" w:firstLine="585" w:firstLineChars="0"/>
        <w:rPr>
          <w:rFonts w:hint="eastAsia" w:ascii="宋体" w:hAnsi="宋体"/>
          <w:sz w:val="24"/>
          <w:szCs w:val="24"/>
          <w:u w:val="single"/>
        </w:rPr>
      </w:pPr>
      <w:r>
        <w:rPr>
          <w:rFonts w:hint="eastAsia" w:ascii="宋体" w:hAnsi="宋体"/>
          <w:sz w:val="24"/>
          <w:szCs w:val="24"/>
        </w:rPr>
        <w:t>杜绝任何形式的商业贿赂行为。不给与有关工作人员、代理机构工作人员、评审专家及其亲属提供礼品礼金、有价证券、购物券、回扣、佣金、咨询费、劳务费、赞助费、宣传费、宴请；不为其报销各种消费凭证，不支付其旅游、娱乐等费用。</w:t>
      </w:r>
    </w:p>
    <w:p w14:paraId="0B2FB1EB">
      <w:pPr>
        <w:pStyle w:val="508"/>
        <w:numPr>
          <w:ilvl w:val="0"/>
          <w:numId w:val="6"/>
        </w:numPr>
        <w:adjustRightInd w:val="0"/>
        <w:snapToGrid w:val="0"/>
        <w:spacing w:line="400" w:lineRule="atLeast"/>
        <w:ind w:left="0" w:firstLine="585" w:firstLineChars="0"/>
        <w:rPr>
          <w:rFonts w:hint="eastAsia" w:ascii="宋体" w:hAnsi="宋体"/>
          <w:sz w:val="24"/>
          <w:szCs w:val="24"/>
        </w:rPr>
      </w:pPr>
      <w:r>
        <w:rPr>
          <w:rFonts w:hint="eastAsia" w:ascii="宋体" w:hAnsi="宋体"/>
          <w:sz w:val="24"/>
          <w:szCs w:val="24"/>
        </w:rPr>
        <w:t>如果我公司</w:t>
      </w:r>
      <w:r>
        <w:rPr>
          <w:rFonts w:hint="eastAsia" w:ascii="宋体" w:hAnsi="宋体"/>
          <w:sz w:val="24"/>
          <w:szCs w:val="24"/>
          <w:lang w:val="en-US" w:eastAsia="zh-CN"/>
        </w:rPr>
        <w:t>为中标（成交）单位</w:t>
      </w:r>
      <w:r>
        <w:rPr>
          <w:rFonts w:hint="eastAsia" w:ascii="宋体" w:hAnsi="宋体"/>
          <w:sz w:val="24"/>
          <w:szCs w:val="24"/>
        </w:rPr>
        <w:t>，将严格按谈判响应文件承诺履行合同，</w:t>
      </w:r>
      <w:r>
        <w:rPr>
          <w:rFonts w:ascii="宋体" w:hAnsi="宋体"/>
          <w:sz w:val="24"/>
          <w:szCs w:val="24"/>
        </w:rPr>
        <w:t>保证</w:t>
      </w:r>
      <w:r>
        <w:rPr>
          <w:rFonts w:hint="eastAsia" w:ascii="宋体" w:hAnsi="宋体"/>
          <w:sz w:val="24"/>
          <w:szCs w:val="24"/>
        </w:rPr>
        <w:t>供货设备与所投设备是一致的.如有违反,用户有权依照相关法律追究相应责任</w:t>
      </w:r>
      <w:r>
        <w:rPr>
          <w:rFonts w:ascii="宋体" w:hAnsi="宋体"/>
          <w:sz w:val="24"/>
          <w:szCs w:val="24"/>
        </w:rPr>
        <w:t>。</w:t>
      </w:r>
    </w:p>
    <w:p w14:paraId="3FC949AE">
      <w:pPr>
        <w:pStyle w:val="508"/>
        <w:numPr>
          <w:ilvl w:val="0"/>
          <w:numId w:val="6"/>
        </w:numPr>
        <w:adjustRightInd w:val="0"/>
        <w:snapToGrid w:val="0"/>
        <w:spacing w:line="400" w:lineRule="atLeast"/>
        <w:ind w:left="0" w:firstLine="585" w:firstLineChars="0"/>
        <w:rPr>
          <w:rFonts w:hint="eastAsia" w:ascii="宋体" w:hAnsi="宋体"/>
          <w:sz w:val="24"/>
          <w:szCs w:val="24"/>
          <w:u w:val="single"/>
        </w:rPr>
      </w:pPr>
      <w:r>
        <w:rPr>
          <w:rFonts w:hint="eastAsia" w:ascii="宋体" w:hAnsi="宋体"/>
          <w:sz w:val="24"/>
          <w:szCs w:val="24"/>
        </w:rPr>
        <w:t>若出现上述行为，我公司及参与谈判响应的工作人员愿意接受按照《反不正当竞争法》等国家法律法规有关规定经予的处罚。</w:t>
      </w:r>
    </w:p>
    <w:p w14:paraId="281C72BA">
      <w:pPr>
        <w:pStyle w:val="508"/>
        <w:adjustRightInd w:val="0"/>
        <w:snapToGrid w:val="0"/>
        <w:spacing w:line="400" w:lineRule="atLeast"/>
        <w:ind w:left="1276" w:firstLine="0" w:firstLineChars="0"/>
        <w:rPr>
          <w:rFonts w:hint="eastAsia" w:ascii="宋体" w:hAnsi="宋体"/>
          <w:sz w:val="24"/>
          <w:szCs w:val="24"/>
          <w:u w:val="single"/>
        </w:rPr>
      </w:pPr>
    </w:p>
    <w:p w14:paraId="666A0D3B">
      <w:pPr>
        <w:tabs>
          <w:tab w:val="left" w:pos="9135"/>
        </w:tabs>
        <w:spacing w:line="400" w:lineRule="atLeast"/>
        <w:ind w:firstLine="6960" w:firstLineChars="2900"/>
        <w:rPr>
          <w:rFonts w:ascii="Arial" w:hAnsi="Arial" w:cs="Arial"/>
          <w:sz w:val="24"/>
        </w:rPr>
      </w:pPr>
    </w:p>
    <w:p w14:paraId="0D8A6B1A">
      <w:pPr>
        <w:tabs>
          <w:tab w:val="left" w:pos="9135"/>
        </w:tabs>
        <w:spacing w:line="400" w:lineRule="atLeast"/>
        <w:rPr>
          <w:rFonts w:ascii="Arial" w:hAnsi="Arial" w:cs="Arial"/>
          <w:sz w:val="24"/>
        </w:rPr>
      </w:pPr>
    </w:p>
    <w:p w14:paraId="123B6FAF">
      <w:pPr>
        <w:tabs>
          <w:tab w:val="left" w:pos="9135"/>
        </w:tabs>
        <w:spacing w:line="400" w:lineRule="atLeast"/>
        <w:rPr>
          <w:rFonts w:ascii="Arial" w:hAnsi="Arial" w:cs="Arial"/>
          <w:sz w:val="24"/>
        </w:rPr>
      </w:pPr>
    </w:p>
    <w:p w14:paraId="0D3838A3">
      <w:pPr>
        <w:tabs>
          <w:tab w:val="left" w:pos="9135"/>
        </w:tabs>
        <w:spacing w:line="400" w:lineRule="atLeast"/>
        <w:ind w:firstLine="2160" w:firstLineChars="900"/>
        <w:rPr>
          <w:rFonts w:ascii="Arial" w:hAnsi="Arial" w:cs="Arial"/>
          <w:sz w:val="24"/>
        </w:rPr>
      </w:pPr>
      <w:r>
        <w:rPr>
          <w:rFonts w:hint="eastAsia" w:ascii="Arial" w:hAnsi="Arial" w:cs="Arial"/>
          <w:sz w:val="24"/>
        </w:rPr>
        <w:t>供应商名称：</w:t>
      </w:r>
      <w:r>
        <w:rPr>
          <w:rFonts w:hint="eastAsia" w:ascii="Arial" w:hAnsi="Arial" w:cs="Arial"/>
          <w:sz w:val="24"/>
          <w:u w:val="single"/>
        </w:rPr>
        <w:t xml:space="preserve">                            </w:t>
      </w:r>
      <w:r>
        <w:rPr>
          <w:rFonts w:hint="eastAsia" w:ascii="Arial" w:hAnsi="Arial" w:cs="Arial"/>
          <w:sz w:val="24"/>
        </w:rPr>
        <w:t xml:space="preserve"> （盖单位章）</w:t>
      </w:r>
    </w:p>
    <w:p w14:paraId="40E17133">
      <w:pPr>
        <w:tabs>
          <w:tab w:val="left" w:pos="9135"/>
        </w:tabs>
        <w:spacing w:line="400" w:lineRule="atLeast"/>
        <w:ind w:firstLine="2160" w:firstLineChars="900"/>
        <w:rPr>
          <w:rFonts w:ascii="Arial" w:hAnsi="Arial" w:cs="Arial"/>
          <w:sz w:val="24"/>
        </w:rPr>
      </w:pPr>
      <w:r>
        <w:rPr>
          <w:rFonts w:hint="eastAsia" w:ascii="Arial" w:hAnsi="Arial" w:cs="Arial"/>
          <w:sz w:val="24"/>
        </w:rPr>
        <w:t>供应商法定代表人或授权代表</w:t>
      </w:r>
      <w:r>
        <w:rPr>
          <w:rFonts w:ascii="Arial" w:hAnsi="Arial" w:cs="Arial"/>
          <w:sz w:val="24"/>
        </w:rPr>
        <w:t>：</w:t>
      </w:r>
      <w:r>
        <w:rPr>
          <w:rFonts w:ascii="Arial" w:hAnsi="Arial" w:cs="Arial"/>
          <w:sz w:val="24"/>
          <w:u w:val="single"/>
        </w:rPr>
        <w:t>　　　　　　　　　</w:t>
      </w:r>
      <w:r>
        <w:rPr>
          <w:rFonts w:hint="eastAsia" w:ascii="Arial" w:hAnsi="Arial" w:cs="Arial"/>
          <w:sz w:val="24"/>
        </w:rPr>
        <w:t>（签字或盖章）</w:t>
      </w:r>
    </w:p>
    <w:p w14:paraId="23C07CE8">
      <w:pPr>
        <w:pStyle w:val="2"/>
        <w:ind w:firstLine="2160" w:firstLineChars="900"/>
      </w:pPr>
      <w:r>
        <w:rPr>
          <w:rFonts w:hint="eastAsia" w:cs="Arial"/>
        </w:rPr>
        <w:t>日期：　 年　月　日</w:t>
      </w:r>
    </w:p>
    <w:p w14:paraId="2A849FC8">
      <w:pPr>
        <w:rPr>
          <w:rFonts w:ascii="Arial" w:hAnsi="Arial" w:cs="Arial"/>
          <w:sz w:val="24"/>
        </w:rPr>
      </w:pPr>
    </w:p>
    <w:p w14:paraId="3CF28AC8">
      <w:pPr>
        <w:rPr>
          <w:rFonts w:hint="eastAsia" w:ascii="宋体" w:hAnsi="宋体" w:cs="Arial"/>
          <w:color w:val="000000"/>
          <w:sz w:val="24"/>
        </w:rPr>
      </w:pPr>
    </w:p>
    <w:p w14:paraId="3FC2ED4D">
      <w:pPr>
        <w:rPr>
          <w:rFonts w:ascii="Arial" w:hAnsi="Arial" w:cs="Arial"/>
          <w:b/>
          <w:bCs/>
          <w:sz w:val="24"/>
          <w:szCs w:val="24"/>
        </w:rPr>
        <w:sectPr>
          <w:pgSz w:w="11906" w:h="16838"/>
          <w:pgMar w:top="1440" w:right="1080" w:bottom="1440" w:left="1080" w:header="851" w:footer="850" w:gutter="0"/>
          <w:cols w:space="720" w:num="1"/>
          <w:docGrid w:type="lines" w:linePitch="409" w:charSpace="0"/>
        </w:sectPr>
      </w:pPr>
      <w:bookmarkStart w:id="75" w:name="_Toc39669655"/>
      <w:bookmarkStart w:id="76" w:name="_Toc12461"/>
    </w:p>
    <w:p w14:paraId="34168A3A">
      <w:pPr>
        <w:outlineLvl w:val="1"/>
        <w:rPr>
          <w:rFonts w:ascii="Arial" w:hAnsi="Arial" w:cs="Arial"/>
          <w:b/>
          <w:bCs/>
          <w:sz w:val="24"/>
          <w:szCs w:val="24"/>
          <w:lang w:val="zh-CN"/>
        </w:rPr>
      </w:pPr>
      <w:bookmarkStart w:id="77" w:name="_Toc18499"/>
      <w:r>
        <w:rPr>
          <w:rFonts w:hint="eastAsia" w:ascii="Arial" w:hAnsi="Arial" w:cs="Arial"/>
          <w:b/>
          <w:bCs/>
          <w:sz w:val="24"/>
          <w:szCs w:val="24"/>
        </w:rPr>
        <w:t>10、</w:t>
      </w:r>
      <w:r>
        <w:rPr>
          <w:rFonts w:hint="eastAsia" w:ascii="Arial" w:hAnsi="Arial" w:cs="Arial"/>
          <w:b/>
          <w:bCs/>
          <w:sz w:val="24"/>
          <w:szCs w:val="24"/>
          <w:lang w:eastAsia="zh-CN"/>
        </w:rPr>
        <w:t>监狱</w:t>
      </w:r>
      <w:r>
        <w:rPr>
          <w:rFonts w:hint="eastAsia" w:ascii="Arial" w:hAnsi="Arial" w:cs="Arial"/>
          <w:b/>
          <w:bCs/>
          <w:sz w:val="24"/>
          <w:szCs w:val="24"/>
          <w:lang w:val="zh-CN"/>
        </w:rPr>
        <w:t>企业证明文件（如有）、残疾人福利性单位声明函（如有）、</w:t>
      </w:r>
      <w:bookmarkEnd w:id="75"/>
      <w:bookmarkEnd w:id="76"/>
      <w:r>
        <w:rPr>
          <w:rFonts w:hint="eastAsia" w:ascii="Arial" w:hAnsi="Arial" w:cs="Arial"/>
          <w:b/>
          <w:bCs/>
          <w:sz w:val="24"/>
          <w:szCs w:val="24"/>
          <w:lang w:val="zh-CN"/>
        </w:rPr>
        <w:t>中小企业</w:t>
      </w:r>
      <w:r>
        <w:rPr>
          <w:rFonts w:hint="eastAsia" w:ascii="Arial" w:hAnsi="Arial" w:cs="Arial"/>
          <w:b/>
          <w:bCs/>
          <w:sz w:val="24"/>
          <w:szCs w:val="24"/>
        </w:rPr>
        <w:t>声明函</w:t>
      </w:r>
      <w:r>
        <w:rPr>
          <w:rFonts w:hint="eastAsia" w:ascii="Arial" w:hAnsi="Arial" w:cs="Arial"/>
          <w:b/>
          <w:bCs/>
          <w:sz w:val="24"/>
          <w:szCs w:val="24"/>
          <w:lang w:val="zh-CN"/>
        </w:rPr>
        <w:t>。</w:t>
      </w:r>
      <w:bookmarkEnd w:id="77"/>
    </w:p>
    <w:p w14:paraId="5FC19215">
      <w:pPr>
        <w:autoSpaceDE w:val="0"/>
        <w:autoSpaceDN w:val="0"/>
        <w:adjustRightInd w:val="0"/>
        <w:snapToGrid w:val="0"/>
        <w:spacing w:line="400" w:lineRule="atLeast"/>
        <w:jc w:val="center"/>
        <w:rPr>
          <w:rFonts w:hint="eastAsia" w:ascii="宋体" w:hAnsi="宋体" w:cs="宋体"/>
          <w:color w:val="000000"/>
          <w:sz w:val="24"/>
          <w:szCs w:val="24"/>
        </w:rPr>
      </w:pPr>
      <w:r>
        <w:rPr>
          <w:rFonts w:hint="eastAsia" w:ascii="宋体" w:hAnsi="宋体" w:cs="宋体"/>
          <w:color w:val="000000"/>
          <w:sz w:val="24"/>
          <w:szCs w:val="24"/>
        </w:rPr>
        <w:t>1.</w:t>
      </w:r>
      <w:r>
        <w:rPr>
          <w:rFonts w:hint="eastAsia" w:ascii="宋体" w:hAnsi="宋体" w:cs="宋体"/>
          <w:sz w:val="24"/>
          <w:szCs w:val="24"/>
          <w:lang w:eastAsia="zh-CN"/>
        </w:rPr>
        <w:t>监狱</w:t>
      </w:r>
      <w:r>
        <w:rPr>
          <w:rFonts w:hint="eastAsia" w:ascii="宋体" w:hAnsi="宋体" w:cs="宋体"/>
          <w:color w:val="000000"/>
          <w:sz w:val="24"/>
          <w:szCs w:val="24"/>
        </w:rPr>
        <w:t>企业证明文件</w:t>
      </w:r>
    </w:p>
    <w:p w14:paraId="200E269E">
      <w:pPr>
        <w:adjustRightInd w:val="0"/>
        <w:snapToGrid w:val="0"/>
        <w:spacing w:line="400" w:lineRule="atLeast"/>
        <w:ind w:left="1680"/>
        <w:rPr>
          <w:rFonts w:hint="eastAsia" w:ascii="宋体" w:hAnsi="宋体" w:cs="宋体"/>
          <w:color w:val="000000"/>
          <w:sz w:val="24"/>
          <w:szCs w:val="24"/>
        </w:rPr>
      </w:pPr>
    </w:p>
    <w:p w14:paraId="59EC3FF5">
      <w:pPr>
        <w:adjustRightInd w:val="0"/>
        <w:snapToGrid w:val="0"/>
        <w:spacing w:line="400" w:lineRule="atLeast"/>
        <w:ind w:firstLine="480" w:firstLineChars="200"/>
        <w:jc w:val="center"/>
        <w:rPr>
          <w:rFonts w:hint="eastAsia" w:ascii="宋体" w:hAnsi="宋体" w:cs="宋体"/>
          <w:color w:val="000000"/>
          <w:sz w:val="24"/>
          <w:szCs w:val="24"/>
        </w:rPr>
      </w:pPr>
      <w:r>
        <w:rPr>
          <w:rFonts w:hint="eastAsia" w:ascii="宋体" w:hAnsi="宋体" w:cs="宋体"/>
          <w:color w:val="000000"/>
          <w:sz w:val="24"/>
          <w:szCs w:val="24"/>
        </w:rPr>
        <w:t>2.残疾人福利性单位声明函</w:t>
      </w:r>
    </w:p>
    <w:p w14:paraId="575E7B8F">
      <w:pPr>
        <w:adjustRightInd w:val="0"/>
        <w:snapToGrid w:val="0"/>
        <w:spacing w:line="400" w:lineRule="atLeast"/>
        <w:ind w:firstLine="480" w:firstLineChars="200"/>
        <w:jc w:val="left"/>
        <w:rPr>
          <w:rFonts w:hint="eastAsia" w:ascii="宋体" w:hAnsi="宋体" w:cs="宋体"/>
          <w:color w:val="000000"/>
          <w:sz w:val="24"/>
          <w:szCs w:val="24"/>
        </w:rPr>
      </w:pPr>
      <w:r>
        <w:rPr>
          <w:rFonts w:hint="eastAsia" w:ascii="宋体" w:hAnsi="宋体" w:cs="宋体"/>
          <w:color w:val="000000"/>
          <w:sz w:val="24"/>
          <w:szCs w:val="24"/>
        </w:rPr>
        <w:t>本公司郑重声明，根据《财政部 民政部 中国残疾人联合会关于促进残疾人就业政府采购政策的通知》（财库（2017）141号）的规定，本单位为符合条件的残疾人福利性单位，且本单位参加的</w:t>
      </w:r>
    </w:p>
    <w:p w14:paraId="5EB709D2">
      <w:pPr>
        <w:adjustRightInd w:val="0"/>
        <w:snapToGrid w:val="0"/>
        <w:spacing w:line="400" w:lineRule="atLeast"/>
        <w:ind w:firstLine="480" w:firstLineChars="200"/>
        <w:jc w:val="left"/>
        <w:rPr>
          <w:rFonts w:hint="eastAsia" w:ascii="宋体" w:hAnsi="宋体" w:cs="宋体"/>
          <w:color w:val="000000"/>
          <w:sz w:val="24"/>
          <w:szCs w:val="24"/>
        </w:rPr>
      </w:pPr>
      <w:r>
        <w:rPr>
          <w:rFonts w:hint="eastAsia" w:ascii="宋体" w:hAnsi="宋体" w:cs="宋体"/>
          <w:color w:val="000000"/>
          <w:sz w:val="24"/>
          <w:szCs w:val="24"/>
          <w:u w:val="single"/>
        </w:rPr>
        <w:t xml:space="preserve">                 单位的                        </w:t>
      </w:r>
      <w:r>
        <w:rPr>
          <w:rFonts w:hint="eastAsia" w:ascii="宋体" w:hAnsi="宋体" w:cs="宋体"/>
          <w:color w:val="000000"/>
          <w:sz w:val="24"/>
          <w:szCs w:val="24"/>
        </w:rPr>
        <w:t>项目采购活动提供本单位制造的货物（由本单位承担工程/提供服务），或者提供其他残疾人福利性单位制造的货物（不包括使用非残疾人福利性单位注册商标的货物）。</w:t>
      </w:r>
    </w:p>
    <w:p w14:paraId="2F009435">
      <w:pPr>
        <w:adjustRightInd w:val="0"/>
        <w:snapToGrid w:val="0"/>
        <w:spacing w:line="400" w:lineRule="atLeast"/>
        <w:ind w:firstLine="480" w:firstLineChars="200"/>
        <w:jc w:val="left"/>
        <w:rPr>
          <w:rFonts w:hint="eastAsia" w:ascii="宋体" w:hAnsi="宋体" w:cs="宋体"/>
          <w:color w:val="000000"/>
          <w:sz w:val="24"/>
          <w:szCs w:val="24"/>
        </w:rPr>
      </w:pPr>
      <w:r>
        <w:rPr>
          <w:rFonts w:hint="eastAsia" w:ascii="宋体" w:hAnsi="宋体" w:cs="宋体"/>
          <w:color w:val="000000"/>
          <w:sz w:val="24"/>
          <w:szCs w:val="24"/>
        </w:rPr>
        <w:t>本单位对上述声明的真实性负责，如有虚假，将依法承担相应责任。</w:t>
      </w:r>
    </w:p>
    <w:p w14:paraId="444283B4">
      <w:pPr>
        <w:adjustRightInd w:val="0"/>
        <w:snapToGrid w:val="0"/>
        <w:spacing w:line="400" w:lineRule="atLeast"/>
        <w:ind w:firstLine="480" w:firstLineChars="200"/>
        <w:jc w:val="center"/>
        <w:rPr>
          <w:rFonts w:hint="eastAsia" w:ascii="宋体" w:hAnsi="宋体" w:cs="宋体"/>
          <w:color w:val="000000"/>
          <w:sz w:val="24"/>
          <w:szCs w:val="24"/>
        </w:rPr>
      </w:pPr>
    </w:p>
    <w:p w14:paraId="46C3710C">
      <w:pPr>
        <w:adjustRightInd w:val="0"/>
        <w:snapToGrid w:val="0"/>
        <w:spacing w:line="400" w:lineRule="atLeast"/>
        <w:ind w:firstLine="7200" w:firstLineChars="3000"/>
        <w:rPr>
          <w:rFonts w:hint="eastAsia" w:ascii="宋体" w:hAnsi="宋体" w:cs="宋体"/>
          <w:color w:val="000000"/>
          <w:sz w:val="24"/>
          <w:szCs w:val="24"/>
        </w:rPr>
      </w:pPr>
      <w:r>
        <w:rPr>
          <w:rFonts w:hint="eastAsia" w:ascii="宋体" w:hAnsi="宋体" w:cs="宋体"/>
          <w:color w:val="000000"/>
          <w:sz w:val="24"/>
          <w:szCs w:val="24"/>
        </w:rPr>
        <w:t>企业名称（公章）：</w:t>
      </w:r>
    </w:p>
    <w:p w14:paraId="52D4BF56">
      <w:pPr>
        <w:adjustRightInd w:val="0"/>
        <w:snapToGrid w:val="0"/>
        <w:spacing w:line="400" w:lineRule="atLeast"/>
        <w:ind w:firstLine="480" w:firstLineChars="200"/>
        <w:rPr>
          <w:rFonts w:hint="eastAsia" w:ascii="宋体" w:hAnsi="宋体" w:cs="宋体"/>
          <w:color w:val="000000"/>
          <w:sz w:val="24"/>
          <w:szCs w:val="24"/>
        </w:rPr>
      </w:pPr>
      <w:r>
        <w:rPr>
          <w:rFonts w:hint="eastAsia" w:ascii="宋体" w:hAnsi="宋体" w:cs="宋体"/>
          <w:color w:val="000000"/>
          <w:sz w:val="24"/>
          <w:szCs w:val="24"/>
        </w:rPr>
        <w:t xml:space="preserve">                                                        日  期：</w:t>
      </w:r>
    </w:p>
    <w:p w14:paraId="46BD2840">
      <w:pPr>
        <w:adjustRightInd w:val="0"/>
        <w:snapToGrid w:val="0"/>
        <w:spacing w:line="400" w:lineRule="atLeast"/>
        <w:ind w:firstLine="480" w:firstLineChars="200"/>
        <w:jc w:val="center"/>
        <w:rPr>
          <w:rFonts w:hint="eastAsia" w:ascii="宋体" w:hAnsi="宋体" w:cs="宋体"/>
          <w:color w:val="000000"/>
          <w:sz w:val="24"/>
          <w:szCs w:val="24"/>
        </w:rPr>
      </w:pPr>
    </w:p>
    <w:p w14:paraId="61BDE934">
      <w:pPr>
        <w:adjustRightInd w:val="0"/>
        <w:snapToGrid w:val="0"/>
        <w:spacing w:line="400" w:lineRule="atLeast"/>
        <w:ind w:firstLine="480" w:firstLineChars="200"/>
        <w:jc w:val="center"/>
        <w:rPr>
          <w:rFonts w:hint="eastAsia" w:ascii="宋体" w:hAnsi="宋体" w:cs="宋体"/>
          <w:color w:val="000000"/>
          <w:sz w:val="24"/>
          <w:szCs w:val="24"/>
          <w:highlight w:val="cyan"/>
        </w:rPr>
      </w:pPr>
      <w:r>
        <w:rPr>
          <w:rFonts w:hint="eastAsia" w:ascii="宋体" w:hAnsi="宋体" w:cs="宋体"/>
          <w:color w:val="000000"/>
          <w:sz w:val="24"/>
          <w:szCs w:val="24"/>
        </w:rPr>
        <w:t>3.中小企业声明函</w:t>
      </w:r>
    </w:p>
    <w:p w14:paraId="4DA85472">
      <w:pPr>
        <w:widowControl/>
        <w:jc w:val="center"/>
        <w:rPr>
          <w:rFonts w:hint="eastAsia" w:ascii="宋体" w:hAnsi="宋体" w:cs="宋体"/>
          <w:sz w:val="24"/>
          <w:szCs w:val="24"/>
        </w:rPr>
      </w:pPr>
      <w:r>
        <w:rPr>
          <w:rFonts w:hint="eastAsia" w:ascii="宋体" w:hAnsi="宋体" w:cs="宋体"/>
          <w:color w:val="000000"/>
          <w:kern w:val="0"/>
          <w:sz w:val="24"/>
          <w:szCs w:val="24"/>
          <w:lang w:bidi="ar"/>
        </w:rPr>
        <w:t>中小企业声明函（货物）</w:t>
      </w:r>
    </w:p>
    <w:p w14:paraId="4DBC6A1C">
      <w:pPr>
        <w:widowControl/>
        <w:ind w:firstLine="480" w:firstLineChars="200"/>
        <w:jc w:val="left"/>
        <w:rPr>
          <w:rFonts w:hint="eastAsia" w:ascii="宋体" w:hAnsi="宋体" w:cs="宋体"/>
          <w:sz w:val="24"/>
          <w:szCs w:val="24"/>
        </w:rPr>
      </w:pPr>
      <w:r>
        <w:rPr>
          <w:rFonts w:hint="eastAsia" w:ascii="宋体" w:hAnsi="宋体" w:cs="宋体"/>
          <w:color w:val="000000"/>
          <w:kern w:val="0"/>
          <w:sz w:val="24"/>
          <w:szCs w:val="24"/>
          <w:lang w:bidi="ar"/>
        </w:rPr>
        <w:t>本公司（联合体）郑重声明，根据《政府采购促进中小企业发展管理办法》（财库﹝2020﹞46号）的规定，本公司（联合体）参加</w:t>
      </w:r>
      <w:r>
        <w:rPr>
          <w:rFonts w:hint="eastAsia" w:ascii="宋体" w:hAnsi="宋体" w:cs="宋体"/>
          <w:color w:val="000000"/>
          <w:kern w:val="0"/>
          <w:sz w:val="24"/>
          <w:szCs w:val="24"/>
          <w:u w:val="single"/>
          <w:lang w:bidi="ar"/>
        </w:rPr>
        <w:t>（单位名称）</w:t>
      </w:r>
      <w:r>
        <w:rPr>
          <w:rFonts w:hint="eastAsia" w:ascii="宋体" w:hAnsi="宋体" w:cs="宋体"/>
          <w:color w:val="000000"/>
          <w:kern w:val="0"/>
          <w:sz w:val="24"/>
          <w:szCs w:val="24"/>
          <w:lang w:bidi="ar"/>
        </w:rPr>
        <w:t>的</w:t>
      </w:r>
      <w:r>
        <w:rPr>
          <w:rFonts w:hint="eastAsia" w:ascii="宋体" w:hAnsi="宋体" w:cs="宋体"/>
          <w:color w:val="000000"/>
          <w:kern w:val="0"/>
          <w:sz w:val="24"/>
          <w:szCs w:val="24"/>
          <w:u w:val="single"/>
          <w:lang w:bidi="ar"/>
        </w:rPr>
        <w:t>（项目名称）</w:t>
      </w:r>
      <w:r>
        <w:rPr>
          <w:rFonts w:hint="eastAsia" w:ascii="宋体" w:hAnsi="宋体" w:cs="宋体"/>
          <w:color w:val="000000"/>
          <w:kern w:val="0"/>
          <w:sz w:val="24"/>
          <w:szCs w:val="24"/>
          <w:lang w:bidi="ar"/>
        </w:rPr>
        <w:t xml:space="preserve">采购活动，提供的货物全部由符合政策要求的中小企业制造。相关企业（含联合体中的中小企业、签订分包意向协议的中小企业）的具体情况如下： </w:t>
      </w:r>
    </w:p>
    <w:p w14:paraId="503FA610">
      <w:pPr>
        <w:widowControl/>
        <w:ind w:firstLine="480" w:firstLineChars="200"/>
        <w:jc w:val="left"/>
        <w:rPr>
          <w:rFonts w:hint="eastAsia" w:ascii="宋体" w:hAnsi="宋体" w:cs="宋体"/>
          <w:sz w:val="24"/>
          <w:szCs w:val="24"/>
        </w:rPr>
      </w:pPr>
      <w:r>
        <w:rPr>
          <w:rFonts w:hint="eastAsia" w:ascii="宋体" w:hAnsi="宋体" w:cs="宋体"/>
          <w:color w:val="000000"/>
          <w:kern w:val="0"/>
          <w:sz w:val="24"/>
          <w:szCs w:val="24"/>
          <w:lang w:bidi="ar"/>
        </w:rPr>
        <w:t xml:space="preserve">1. </w:t>
      </w:r>
      <w:r>
        <w:rPr>
          <w:rFonts w:hint="eastAsia" w:ascii="宋体" w:hAnsi="宋体" w:cs="宋体"/>
          <w:color w:val="000000"/>
          <w:kern w:val="0"/>
          <w:sz w:val="24"/>
          <w:szCs w:val="24"/>
          <w:u w:val="single"/>
          <w:lang w:bidi="ar"/>
        </w:rPr>
        <w:t>（标的名称）</w:t>
      </w:r>
      <w:r>
        <w:rPr>
          <w:rFonts w:hint="eastAsia" w:ascii="宋体" w:hAnsi="宋体" w:cs="宋体"/>
          <w:color w:val="000000"/>
          <w:kern w:val="0"/>
          <w:sz w:val="24"/>
          <w:szCs w:val="24"/>
          <w:lang w:bidi="ar"/>
        </w:rPr>
        <w:t xml:space="preserve"> ，属于</w:t>
      </w:r>
      <w:r>
        <w:rPr>
          <w:rFonts w:hint="eastAsia" w:ascii="宋体" w:hAnsi="宋体" w:cs="宋体"/>
          <w:color w:val="000000"/>
          <w:kern w:val="0"/>
          <w:sz w:val="24"/>
          <w:szCs w:val="24"/>
          <w:u w:val="single"/>
          <w:lang w:bidi="ar"/>
        </w:rPr>
        <w:t>（谈判文件中明确的所属行业）</w:t>
      </w:r>
      <w:r>
        <w:rPr>
          <w:rFonts w:hint="eastAsia" w:ascii="宋体" w:hAnsi="宋体" w:cs="宋体"/>
          <w:color w:val="000000"/>
          <w:kern w:val="0"/>
          <w:sz w:val="24"/>
          <w:szCs w:val="24"/>
          <w:lang w:bidi="ar"/>
        </w:rPr>
        <w:t>行业；制造商为（企业名称），从业人员</w:t>
      </w:r>
      <w:r>
        <w:rPr>
          <w:rFonts w:hint="eastAsia" w:ascii="宋体" w:hAnsi="宋体" w:cs="宋体"/>
          <w:color w:val="000000"/>
          <w:kern w:val="0"/>
          <w:sz w:val="24"/>
          <w:szCs w:val="24"/>
          <w:u w:val="single"/>
          <w:lang w:bidi="ar"/>
        </w:rPr>
        <w:t xml:space="preserve">    </w:t>
      </w:r>
      <w:r>
        <w:rPr>
          <w:rFonts w:hint="eastAsia" w:ascii="宋体" w:hAnsi="宋体" w:cs="宋体"/>
          <w:color w:val="000000"/>
          <w:kern w:val="0"/>
          <w:sz w:val="24"/>
          <w:szCs w:val="24"/>
          <w:lang w:bidi="ar"/>
        </w:rPr>
        <w:t>人，营业收入为</w:t>
      </w:r>
      <w:r>
        <w:rPr>
          <w:rFonts w:hint="eastAsia" w:ascii="宋体" w:hAnsi="宋体" w:cs="宋体"/>
          <w:color w:val="000000"/>
          <w:kern w:val="0"/>
          <w:sz w:val="24"/>
          <w:szCs w:val="24"/>
          <w:u w:val="single"/>
          <w:lang w:bidi="ar"/>
        </w:rPr>
        <w:t xml:space="preserve">    </w:t>
      </w:r>
      <w:r>
        <w:rPr>
          <w:rFonts w:hint="eastAsia" w:ascii="宋体" w:hAnsi="宋体" w:cs="宋体"/>
          <w:color w:val="000000"/>
          <w:kern w:val="0"/>
          <w:sz w:val="24"/>
          <w:szCs w:val="24"/>
          <w:lang w:bidi="ar"/>
        </w:rPr>
        <w:t>万元，资产总额为</w:t>
      </w:r>
      <w:r>
        <w:rPr>
          <w:rFonts w:hint="eastAsia" w:ascii="宋体" w:hAnsi="宋体" w:cs="宋体"/>
          <w:color w:val="000000"/>
          <w:kern w:val="0"/>
          <w:sz w:val="24"/>
          <w:szCs w:val="24"/>
          <w:u w:val="single"/>
          <w:lang w:bidi="ar"/>
        </w:rPr>
        <w:t xml:space="preserve">    </w:t>
      </w:r>
      <w:r>
        <w:rPr>
          <w:rFonts w:hint="eastAsia" w:ascii="宋体" w:hAnsi="宋体" w:cs="宋体"/>
          <w:color w:val="000000"/>
          <w:kern w:val="0"/>
          <w:sz w:val="24"/>
          <w:szCs w:val="24"/>
          <w:lang w:bidi="ar"/>
        </w:rPr>
        <w:t xml:space="preserve">万元，属于（中型企业、小型企业、微型企业）； </w:t>
      </w:r>
    </w:p>
    <w:p w14:paraId="34D29140">
      <w:pPr>
        <w:widowControl/>
        <w:ind w:firstLine="480" w:firstLineChars="200"/>
        <w:jc w:val="left"/>
        <w:rPr>
          <w:rFonts w:hint="eastAsia" w:ascii="宋体" w:hAnsi="宋体" w:cs="宋体"/>
          <w:sz w:val="24"/>
          <w:szCs w:val="24"/>
        </w:rPr>
      </w:pPr>
      <w:r>
        <w:rPr>
          <w:rFonts w:hint="eastAsia" w:ascii="宋体" w:hAnsi="宋体" w:cs="宋体"/>
          <w:color w:val="000000"/>
          <w:kern w:val="0"/>
          <w:sz w:val="24"/>
          <w:szCs w:val="24"/>
          <w:lang w:bidi="ar"/>
        </w:rPr>
        <w:t xml:space="preserve">2. </w:t>
      </w:r>
      <w:r>
        <w:rPr>
          <w:rFonts w:hint="eastAsia" w:ascii="宋体" w:hAnsi="宋体" w:cs="宋体"/>
          <w:color w:val="000000"/>
          <w:kern w:val="0"/>
          <w:sz w:val="24"/>
          <w:szCs w:val="24"/>
          <w:u w:val="single"/>
          <w:lang w:bidi="ar"/>
        </w:rPr>
        <w:t xml:space="preserve">（标的名称） </w:t>
      </w:r>
      <w:r>
        <w:rPr>
          <w:rFonts w:hint="eastAsia" w:ascii="宋体" w:hAnsi="宋体" w:cs="宋体"/>
          <w:color w:val="000000"/>
          <w:kern w:val="0"/>
          <w:sz w:val="24"/>
          <w:szCs w:val="24"/>
          <w:lang w:bidi="ar"/>
        </w:rPr>
        <w:t>，属于</w:t>
      </w:r>
      <w:r>
        <w:rPr>
          <w:rFonts w:hint="eastAsia" w:ascii="宋体" w:hAnsi="宋体" w:cs="宋体"/>
          <w:color w:val="000000"/>
          <w:kern w:val="0"/>
          <w:sz w:val="24"/>
          <w:szCs w:val="24"/>
          <w:u w:val="single"/>
          <w:lang w:bidi="ar"/>
        </w:rPr>
        <w:t>（谈判文件中明确的所属行业）</w:t>
      </w:r>
      <w:r>
        <w:rPr>
          <w:rFonts w:hint="eastAsia" w:ascii="宋体" w:hAnsi="宋体" w:cs="宋体"/>
          <w:color w:val="000000"/>
          <w:kern w:val="0"/>
          <w:sz w:val="24"/>
          <w:szCs w:val="24"/>
          <w:lang w:bidi="ar"/>
        </w:rPr>
        <w:t>行业；制造商为（企业名称），从业人员</w:t>
      </w:r>
      <w:r>
        <w:rPr>
          <w:rFonts w:hint="eastAsia" w:ascii="宋体" w:hAnsi="宋体" w:cs="宋体"/>
          <w:color w:val="000000"/>
          <w:kern w:val="0"/>
          <w:sz w:val="24"/>
          <w:szCs w:val="24"/>
          <w:u w:val="single"/>
          <w:lang w:bidi="ar"/>
        </w:rPr>
        <w:t xml:space="preserve">    </w:t>
      </w:r>
      <w:r>
        <w:rPr>
          <w:rFonts w:hint="eastAsia" w:ascii="宋体" w:hAnsi="宋体" w:cs="宋体"/>
          <w:color w:val="000000"/>
          <w:kern w:val="0"/>
          <w:sz w:val="24"/>
          <w:szCs w:val="24"/>
          <w:lang w:bidi="ar"/>
        </w:rPr>
        <w:t>人，营业收入为</w:t>
      </w:r>
      <w:r>
        <w:rPr>
          <w:rFonts w:hint="eastAsia" w:ascii="宋体" w:hAnsi="宋体" w:cs="宋体"/>
          <w:color w:val="000000"/>
          <w:kern w:val="0"/>
          <w:sz w:val="24"/>
          <w:szCs w:val="24"/>
          <w:u w:val="single"/>
          <w:lang w:bidi="ar"/>
        </w:rPr>
        <w:t xml:space="preserve">    </w:t>
      </w:r>
      <w:r>
        <w:rPr>
          <w:rFonts w:hint="eastAsia" w:ascii="宋体" w:hAnsi="宋体" w:cs="宋体"/>
          <w:color w:val="000000"/>
          <w:kern w:val="0"/>
          <w:sz w:val="24"/>
          <w:szCs w:val="24"/>
          <w:lang w:bidi="ar"/>
        </w:rPr>
        <w:t>万元，资产总额为</w:t>
      </w:r>
      <w:r>
        <w:rPr>
          <w:rFonts w:hint="eastAsia" w:ascii="宋体" w:hAnsi="宋体" w:cs="宋体"/>
          <w:color w:val="000000"/>
          <w:kern w:val="0"/>
          <w:sz w:val="24"/>
          <w:szCs w:val="24"/>
          <w:u w:val="single"/>
          <w:lang w:bidi="ar"/>
        </w:rPr>
        <w:t xml:space="preserve">    </w:t>
      </w:r>
      <w:r>
        <w:rPr>
          <w:rFonts w:hint="eastAsia" w:ascii="宋体" w:hAnsi="宋体" w:cs="宋体"/>
          <w:color w:val="000000"/>
          <w:kern w:val="0"/>
          <w:sz w:val="24"/>
          <w:szCs w:val="24"/>
          <w:lang w:bidi="ar"/>
        </w:rPr>
        <w:t xml:space="preserve">万元，属于（中型企业、小型企业、微型企业）； </w:t>
      </w:r>
    </w:p>
    <w:p w14:paraId="0D1B0B23">
      <w:pPr>
        <w:widowControl/>
        <w:jc w:val="left"/>
        <w:rPr>
          <w:rFonts w:hint="eastAsia" w:ascii="宋体" w:hAnsi="宋体" w:cs="宋体"/>
          <w:sz w:val="24"/>
          <w:szCs w:val="24"/>
        </w:rPr>
      </w:pPr>
      <w:r>
        <w:rPr>
          <w:rFonts w:hint="eastAsia" w:ascii="宋体" w:hAnsi="宋体" w:cs="宋体"/>
          <w:color w:val="000000"/>
          <w:kern w:val="0"/>
          <w:sz w:val="24"/>
          <w:szCs w:val="24"/>
          <w:lang w:bidi="ar"/>
        </w:rPr>
        <w:t>……</w:t>
      </w:r>
    </w:p>
    <w:p w14:paraId="6186EABF">
      <w:pPr>
        <w:widowControl/>
        <w:ind w:firstLine="480" w:firstLineChars="200"/>
        <w:jc w:val="left"/>
        <w:rPr>
          <w:rFonts w:hint="eastAsia" w:ascii="宋体" w:hAnsi="宋体" w:cs="宋体"/>
          <w:sz w:val="24"/>
          <w:szCs w:val="24"/>
        </w:rPr>
      </w:pPr>
      <w:r>
        <w:rPr>
          <w:rFonts w:hint="eastAsia" w:ascii="宋体" w:hAnsi="宋体" w:cs="宋体"/>
          <w:color w:val="000000"/>
          <w:kern w:val="0"/>
          <w:sz w:val="24"/>
          <w:szCs w:val="24"/>
          <w:lang w:bidi="ar"/>
        </w:rPr>
        <w:t>以上企业，不属于大企业的分支机构，不存在控股股东为大企业的情形，也不存在与大企业的负责人为同一人的情形。</w:t>
      </w:r>
    </w:p>
    <w:p w14:paraId="0FE88199">
      <w:pPr>
        <w:widowControl/>
        <w:ind w:firstLine="480" w:firstLineChars="200"/>
        <w:jc w:val="left"/>
        <w:rPr>
          <w:rFonts w:hint="eastAsia" w:ascii="宋体" w:hAnsi="宋体" w:cs="宋体"/>
          <w:sz w:val="24"/>
          <w:szCs w:val="24"/>
        </w:rPr>
      </w:pPr>
      <w:r>
        <w:rPr>
          <w:rFonts w:hint="eastAsia" w:ascii="宋体" w:hAnsi="宋体" w:cs="宋体"/>
          <w:color w:val="000000"/>
          <w:kern w:val="0"/>
          <w:sz w:val="24"/>
          <w:szCs w:val="24"/>
          <w:lang w:bidi="ar"/>
        </w:rPr>
        <w:t xml:space="preserve">本企业对上述声明内容的真实性负责。如有虚假，将依法承担相应责任。 </w:t>
      </w:r>
    </w:p>
    <w:p w14:paraId="65C086BF">
      <w:pPr>
        <w:widowControl/>
        <w:ind w:firstLine="5760" w:firstLineChars="2400"/>
        <w:jc w:val="left"/>
        <w:rPr>
          <w:rFonts w:hint="eastAsia" w:ascii="宋体" w:hAnsi="宋体" w:cs="宋体"/>
          <w:sz w:val="24"/>
          <w:szCs w:val="24"/>
        </w:rPr>
      </w:pPr>
      <w:r>
        <w:rPr>
          <w:rFonts w:hint="eastAsia" w:ascii="宋体" w:hAnsi="宋体" w:cs="宋体"/>
          <w:color w:val="000000"/>
          <w:kern w:val="0"/>
          <w:sz w:val="24"/>
          <w:szCs w:val="24"/>
          <w:lang w:bidi="ar"/>
        </w:rPr>
        <w:t xml:space="preserve">企业名称（盖章）： </w:t>
      </w:r>
    </w:p>
    <w:p w14:paraId="25FE481F">
      <w:pPr>
        <w:widowControl/>
        <w:ind w:firstLine="5760" w:firstLineChars="2400"/>
        <w:jc w:val="left"/>
        <w:rPr>
          <w:rFonts w:hint="eastAsia" w:ascii="宋体" w:hAnsi="宋体" w:cs="Arial"/>
          <w:color w:val="000000"/>
          <w:sz w:val="24"/>
        </w:rPr>
        <w:sectPr>
          <w:pgSz w:w="11906" w:h="16838"/>
          <w:pgMar w:top="1440" w:right="1080" w:bottom="1440" w:left="1080" w:header="851" w:footer="850" w:gutter="0"/>
          <w:cols w:space="720" w:num="1"/>
          <w:docGrid w:type="lines" w:linePitch="409" w:charSpace="0"/>
        </w:sectPr>
      </w:pPr>
      <w:r>
        <w:rPr>
          <w:rFonts w:hint="eastAsia" w:ascii="宋体" w:hAnsi="宋体" w:cs="宋体"/>
          <w:color w:val="000000"/>
          <w:kern w:val="0"/>
          <w:sz w:val="24"/>
          <w:szCs w:val="24"/>
          <w:lang w:bidi="ar"/>
        </w:rPr>
        <w:t>日 期：</w:t>
      </w:r>
    </w:p>
    <w:p w14:paraId="272194F8">
      <w:pPr>
        <w:jc w:val="center"/>
        <w:rPr>
          <w:rFonts w:hint="eastAsia" w:ascii="宋体" w:hAnsi="宋体"/>
          <w:sz w:val="28"/>
          <w:szCs w:val="28"/>
        </w:rPr>
      </w:pPr>
      <w:r>
        <w:rPr>
          <w:rFonts w:hint="eastAsia" w:ascii="宋体" w:hAnsi="宋体"/>
          <w:sz w:val="28"/>
          <w:szCs w:val="28"/>
        </w:rPr>
        <w:t>（4）本国产品的优惠政策</w:t>
      </w:r>
    </w:p>
    <w:p w14:paraId="4E5CC16A">
      <w:pPr>
        <w:rPr>
          <w:rFonts w:hint="eastAsia" w:ascii="宋体" w:hAnsi="宋体"/>
          <w:sz w:val="28"/>
          <w:szCs w:val="28"/>
        </w:rPr>
      </w:pPr>
      <w:r>
        <w:rPr>
          <w:rFonts w:hint="eastAsia" w:ascii="宋体" w:hAnsi="宋体"/>
          <w:sz w:val="28"/>
          <w:szCs w:val="28"/>
        </w:rPr>
        <w:t>附件1</w:t>
      </w:r>
    </w:p>
    <w:p w14:paraId="5774D8BF">
      <w:pPr>
        <w:jc w:val="center"/>
        <w:rPr>
          <w:rFonts w:hint="eastAsia" w:ascii="宋体" w:hAnsi="宋体"/>
          <w:sz w:val="28"/>
          <w:szCs w:val="28"/>
        </w:rPr>
      </w:pPr>
      <w:r>
        <w:rPr>
          <w:rFonts w:hint="eastAsia" w:ascii="宋体" w:hAnsi="宋体"/>
          <w:b/>
          <w:bCs/>
          <w:sz w:val="28"/>
          <w:szCs w:val="28"/>
        </w:rPr>
        <w:t>中国境内生产的组件成本核算基本规则</w:t>
      </w:r>
    </w:p>
    <w:p w14:paraId="38ABFE0A">
      <w:pPr>
        <w:ind w:firstLine="560" w:firstLineChars="200"/>
        <w:rPr>
          <w:rFonts w:hint="eastAsia" w:ascii="宋体" w:hAnsi="宋体"/>
          <w:sz w:val="28"/>
          <w:szCs w:val="28"/>
        </w:rPr>
      </w:pPr>
      <w:r>
        <w:rPr>
          <w:rFonts w:hint="eastAsia" w:ascii="宋体" w:hAnsi="宋体"/>
          <w:sz w:val="28"/>
          <w:szCs w:val="28"/>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393D99A1">
      <w:pPr>
        <w:ind w:firstLine="560" w:firstLineChars="200"/>
        <w:rPr>
          <w:rFonts w:hint="eastAsia" w:ascii="宋体" w:hAnsi="宋体"/>
          <w:sz w:val="28"/>
          <w:szCs w:val="28"/>
        </w:rPr>
      </w:pPr>
      <w:r>
        <w:rPr>
          <w:rFonts w:hint="eastAsia" w:ascii="宋体" w:hAnsi="宋体"/>
          <w:sz w:val="28"/>
          <w:szCs w:val="28"/>
        </w:rPr>
        <w:t>一、产品的一级组件是指直接组成产品的组件。产品的二级组件是指直接组成产品一级组件的组件。一级组件不可分解的，视同二级组件。</w:t>
      </w:r>
    </w:p>
    <w:p w14:paraId="0B3B80B8">
      <w:pPr>
        <w:ind w:firstLine="560" w:firstLineChars="200"/>
        <w:rPr>
          <w:rFonts w:hint="eastAsia" w:ascii="宋体" w:hAnsi="宋体"/>
          <w:sz w:val="28"/>
          <w:szCs w:val="28"/>
        </w:rPr>
      </w:pPr>
      <w:r>
        <w:rPr>
          <w:rFonts w:hint="eastAsia" w:ascii="宋体" w:hAnsi="宋体"/>
          <w:sz w:val="28"/>
          <w:szCs w:val="28"/>
        </w:rPr>
        <w:t>二、二级组件在中国境内生产的，其全部成本计入中国境内生产的组件成本；二级组件不在中国境内生产的，其成本不计入中国境内生产的组件成本。</w:t>
      </w:r>
    </w:p>
    <w:p w14:paraId="04C5D469">
      <w:pPr>
        <w:ind w:firstLine="560" w:firstLineChars="200"/>
        <w:rPr>
          <w:rFonts w:hint="eastAsia" w:ascii="宋体" w:hAnsi="宋体"/>
          <w:sz w:val="28"/>
          <w:szCs w:val="28"/>
        </w:rPr>
      </w:pPr>
      <w:r>
        <w:rPr>
          <w:rFonts w:hint="eastAsia" w:ascii="宋体" w:hAnsi="宋体"/>
          <w:sz w:val="28"/>
          <w:szCs w:val="28"/>
        </w:rPr>
        <w:t>三、产品总成本和组件成本以相关会计核算数据、采购合同、进货记录等为基础进行计算。</w:t>
      </w:r>
    </w:p>
    <w:p w14:paraId="34727126">
      <w:pPr>
        <w:ind w:firstLine="560" w:firstLineChars="200"/>
        <w:rPr>
          <w:rFonts w:hint="eastAsia" w:ascii="宋体" w:hAnsi="宋体"/>
          <w:sz w:val="28"/>
          <w:szCs w:val="28"/>
        </w:rPr>
      </w:pPr>
      <w:r>
        <w:rPr>
          <w:rFonts w:hint="eastAsia" w:ascii="宋体" w:hAnsi="宋体"/>
          <w:sz w:val="28"/>
          <w:szCs w:val="28"/>
        </w:rPr>
        <w:t>四、需要对成本核算规则予以进一步明确的其他有关事项，由财政部会同有关部门另行规定。</w:t>
      </w:r>
    </w:p>
    <w:p w14:paraId="256B90B4">
      <w:pPr>
        <w:rPr>
          <w:rFonts w:hint="eastAsia" w:ascii="宋体" w:hAnsi="宋体"/>
          <w:sz w:val="28"/>
          <w:szCs w:val="28"/>
        </w:rPr>
      </w:pPr>
      <w:r>
        <w:rPr>
          <w:rFonts w:hint="eastAsia" w:ascii="宋体" w:hAnsi="宋体"/>
          <w:sz w:val="28"/>
          <w:szCs w:val="28"/>
        </w:rPr>
        <w:br w:type="page"/>
      </w:r>
    </w:p>
    <w:p w14:paraId="2A9B1153">
      <w:pPr>
        <w:rPr>
          <w:rFonts w:hint="eastAsia" w:ascii="宋体" w:hAnsi="宋体"/>
          <w:sz w:val="28"/>
          <w:szCs w:val="28"/>
        </w:rPr>
      </w:pPr>
      <w:r>
        <w:rPr>
          <w:rFonts w:hint="eastAsia" w:ascii="宋体" w:hAnsi="宋体"/>
          <w:sz w:val="28"/>
          <w:szCs w:val="28"/>
        </w:rPr>
        <w:t>附件2</w:t>
      </w:r>
    </w:p>
    <w:p w14:paraId="19F45F04">
      <w:pPr>
        <w:jc w:val="center"/>
        <w:rPr>
          <w:rFonts w:hint="eastAsia" w:ascii="宋体" w:hAnsi="宋体"/>
          <w:sz w:val="28"/>
          <w:szCs w:val="28"/>
          <w:highlight w:val="cyan"/>
        </w:rPr>
      </w:pPr>
      <w:r>
        <w:rPr>
          <w:rFonts w:hint="eastAsia" w:ascii="宋体" w:hAnsi="宋体"/>
          <w:b/>
          <w:bCs/>
          <w:sz w:val="28"/>
          <w:szCs w:val="28"/>
          <w:highlight w:val="none"/>
        </w:rPr>
        <w:t>关于符合本国产品标准的声明函</w:t>
      </w:r>
    </w:p>
    <w:p w14:paraId="4EEDE954">
      <w:pPr>
        <w:rPr>
          <w:rFonts w:hint="eastAsia" w:ascii="宋体" w:hAnsi="宋体"/>
          <w:sz w:val="28"/>
          <w:szCs w:val="28"/>
        </w:rPr>
      </w:pPr>
      <w:r>
        <w:rPr>
          <w:rFonts w:hint="eastAsia" w:ascii="宋体" w:hAnsi="宋体"/>
          <w:sz w:val="28"/>
          <w:szCs w:val="28"/>
        </w:rPr>
        <w:t>本公司（单位）郑重声明，根据《国务院办公厅关于在政府采购中实施本国产品标准及相关政策的通知》（国办发〔2025〕34号）的规定，本公司（单位）提供的以下产品属于本国产品。具体情况如下：</w:t>
      </w:r>
    </w:p>
    <w:p w14:paraId="181D234B">
      <w:pPr>
        <w:rPr>
          <w:rFonts w:hint="eastAsia" w:ascii="宋体" w:hAnsi="宋体"/>
          <w:sz w:val="28"/>
          <w:szCs w:val="28"/>
        </w:rPr>
      </w:pPr>
      <w:r>
        <w:rPr>
          <w:rFonts w:hint="eastAsia" w:ascii="宋体" w:hAnsi="宋体"/>
          <w:sz w:val="28"/>
          <w:szCs w:val="28"/>
        </w:rPr>
        <w:t>1.（产品名称1）1，生产厂为（厂名）2，厂址为（生产厂址）。（产品名称1）的中国境内生产的组件成本占比≥（规定比例）3。（产品名称1）的（关键组件）4在中国境内生产。（产品名称1）的（关键工序）5在中国境内完成。</w:t>
      </w:r>
    </w:p>
    <w:p w14:paraId="30DFBDAD">
      <w:pPr>
        <w:rPr>
          <w:rFonts w:hint="eastAsia" w:ascii="宋体" w:hAnsi="宋体"/>
          <w:sz w:val="28"/>
          <w:szCs w:val="28"/>
        </w:rPr>
      </w:pPr>
      <w:r>
        <w:rPr>
          <w:rFonts w:hint="eastAsia" w:ascii="宋体" w:hAnsi="宋体"/>
          <w:sz w:val="28"/>
          <w:szCs w:val="28"/>
        </w:rPr>
        <w:t>2.（产品名称2），生产厂为（厂名），厂址为（生产厂址）。（产品名称2）的中国境内生产的组件成本占比≥（规定比例）。（产品名称2）的（关键组件）在中国境内生产。（产品名称2）的（关键工序）在中国境内完成。</w:t>
      </w:r>
    </w:p>
    <w:p w14:paraId="127C6FFD">
      <w:pPr>
        <w:rPr>
          <w:rFonts w:hint="eastAsia" w:ascii="宋体" w:hAnsi="宋体"/>
          <w:sz w:val="28"/>
          <w:szCs w:val="28"/>
        </w:rPr>
      </w:pPr>
      <w:r>
        <w:rPr>
          <w:rFonts w:hint="eastAsia" w:ascii="宋体" w:hAnsi="宋体"/>
          <w:sz w:val="28"/>
          <w:szCs w:val="28"/>
        </w:rPr>
        <w:t>……</w:t>
      </w:r>
    </w:p>
    <w:p w14:paraId="4AE10417">
      <w:pPr>
        <w:rPr>
          <w:rFonts w:hint="eastAsia" w:ascii="宋体" w:hAnsi="宋体"/>
          <w:sz w:val="28"/>
          <w:szCs w:val="28"/>
        </w:rPr>
      </w:pPr>
      <w:r>
        <w:rPr>
          <w:rFonts w:hint="eastAsia" w:ascii="宋体" w:hAnsi="宋体"/>
          <w:sz w:val="28"/>
          <w:szCs w:val="28"/>
        </w:rPr>
        <w:t>本公司（单位）对上述声明内容的真实性负责。如有虚假，愿承担相应法律责任。</w:t>
      </w:r>
    </w:p>
    <w:p w14:paraId="3566D5A0">
      <w:pPr>
        <w:rPr>
          <w:rFonts w:hint="eastAsia" w:ascii="宋体" w:hAnsi="宋体"/>
          <w:sz w:val="28"/>
          <w:szCs w:val="28"/>
        </w:rPr>
      </w:pPr>
      <w:r>
        <w:rPr>
          <w:rFonts w:hint="eastAsia" w:ascii="宋体" w:hAnsi="宋体"/>
          <w:sz w:val="28"/>
          <w:szCs w:val="28"/>
        </w:rPr>
        <w:t> </w:t>
      </w:r>
    </w:p>
    <w:p w14:paraId="451E2AD9">
      <w:pPr>
        <w:jc w:val="right"/>
        <w:rPr>
          <w:rFonts w:hint="eastAsia" w:ascii="宋体" w:hAnsi="宋体"/>
          <w:sz w:val="28"/>
          <w:szCs w:val="28"/>
        </w:rPr>
      </w:pPr>
      <w:r>
        <w:rPr>
          <w:rFonts w:hint="eastAsia" w:ascii="宋体" w:hAnsi="宋体"/>
          <w:sz w:val="28"/>
          <w:szCs w:val="28"/>
        </w:rPr>
        <w:t>公司（单位）名称（盖章）：　</w:t>
      </w:r>
    </w:p>
    <w:p w14:paraId="315EAADD">
      <w:pPr>
        <w:jc w:val="right"/>
        <w:rPr>
          <w:rFonts w:hint="eastAsia" w:ascii="宋体" w:hAnsi="宋体"/>
          <w:sz w:val="28"/>
          <w:szCs w:val="28"/>
        </w:rPr>
      </w:pPr>
      <w:r>
        <w:rPr>
          <w:rFonts w:hint="eastAsia" w:ascii="宋体" w:hAnsi="宋体"/>
          <w:sz w:val="28"/>
          <w:szCs w:val="28"/>
        </w:rPr>
        <w:t>日期：　 年　月　日</w:t>
      </w:r>
    </w:p>
    <w:p w14:paraId="17CDA692">
      <w:pPr>
        <w:rPr>
          <w:rFonts w:hint="eastAsia" w:ascii="宋体" w:hAnsi="宋体"/>
          <w:sz w:val="28"/>
          <w:szCs w:val="28"/>
        </w:rPr>
      </w:pPr>
      <w:r>
        <w:rPr>
          <w:rFonts w:hint="eastAsia" w:ascii="宋体" w:hAnsi="宋体"/>
          <w:sz w:val="28"/>
          <w:szCs w:val="28"/>
        </w:rPr>
        <w:t>1.产品如有型号，请在“产品名称”栏一并填写。</w:t>
      </w:r>
    </w:p>
    <w:p w14:paraId="477BF10D">
      <w:pPr>
        <w:rPr>
          <w:rFonts w:hint="eastAsia" w:ascii="宋体" w:hAnsi="宋体"/>
          <w:sz w:val="28"/>
          <w:szCs w:val="28"/>
        </w:rPr>
      </w:pPr>
      <w:r>
        <w:rPr>
          <w:rFonts w:hint="eastAsia" w:ascii="宋体" w:hAnsi="宋体"/>
          <w:sz w:val="28"/>
          <w:szCs w:val="28"/>
        </w:rPr>
        <w:t>2.生产厂名与厂址应与生产厂营业执照载明的相关信息保持一致。</w:t>
      </w:r>
    </w:p>
    <w:p w14:paraId="78DB5A88">
      <w:pPr>
        <w:rPr>
          <w:rFonts w:hint="eastAsia" w:ascii="宋体" w:hAnsi="宋体"/>
          <w:sz w:val="28"/>
          <w:szCs w:val="28"/>
        </w:rPr>
      </w:pPr>
      <w:r>
        <w:rPr>
          <w:rFonts w:hint="eastAsia" w:ascii="宋体" w:hAnsi="宋体"/>
          <w:sz w:val="28"/>
          <w:szCs w:val="28"/>
        </w:rPr>
        <w:t>3.该产品的中国境内生产的组件成本占比相关要求实施前，“规定比例”栏可不填，下同。</w:t>
      </w:r>
    </w:p>
    <w:p w14:paraId="122D194E">
      <w:pPr>
        <w:rPr>
          <w:rFonts w:hint="eastAsia" w:ascii="宋体" w:hAnsi="宋体"/>
          <w:sz w:val="28"/>
          <w:szCs w:val="28"/>
        </w:rPr>
      </w:pPr>
      <w:r>
        <w:rPr>
          <w:rFonts w:hint="eastAsia" w:ascii="宋体" w:hAnsi="宋体"/>
          <w:sz w:val="28"/>
          <w:szCs w:val="28"/>
        </w:rPr>
        <w:t>4.该产品的关键组件要求实施前，“关键组件”栏可不填，下同。</w:t>
      </w:r>
    </w:p>
    <w:p w14:paraId="67308F96">
      <w:pPr>
        <w:rPr>
          <w:b/>
          <w:sz w:val="32"/>
          <w:szCs w:val="32"/>
        </w:rPr>
      </w:pPr>
      <w:r>
        <w:rPr>
          <w:rFonts w:hint="eastAsia" w:ascii="宋体" w:hAnsi="宋体"/>
          <w:sz w:val="28"/>
          <w:szCs w:val="28"/>
        </w:rPr>
        <w:t>5.该产品的关键工序要求实施前，“关键工序”栏可不填，下同。</w:t>
      </w:r>
    </w:p>
    <w:p w14:paraId="4D016DEB">
      <w:pPr>
        <w:rPr>
          <w:b/>
          <w:sz w:val="32"/>
          <w:szCs w:val="32"/>
        </w:rPr>
      </w:pPr>
      <w:r>
        <w:rPr>
          <w:rFonts w:hint="eastAsia"/>
          <w:b/>
          <w:sz w:val="32"/>
          <w:szCs w:val="32"/>
        </w:rPr>
        <w:br w:type="page"/>
      </w:r>
    </w:p>
    <w:p w14:paraId="64C40133">
      <w:pPr>
        <w:rPr>
          <w:rFonts w:cs="Arial"/>
          <w:b/>
          <w:sz w:val="24"/>
          <w:szCs w:val="24"/>
        </w:rPr>
      </w:pPr>
      <w:r>
        <w:rPr>
          <w:rFonts w:hint="eastAsia"/>
          <w:b/>
          <w:sz w:val="32"/>
          <w:szCs w:val="32"/>
        </w:rPr>
        <w:t>附表：</w:t>
      </w:r>
      <w:r>
        <w:rPr>
          <w:b/>
          <w:sz w:val="32"/>
          <w:szCs w:val="32"/>
        </w:rPr>
        <w:t>退</w:t>
      </w:r>
      <w:r>
        <w:rPr>
          <w:rFonts w:hint="eastAsia"/>
          <w:b/>
          <w:sz w:val="32"/>
          <w:szCs w:val="32"/>
        </w:rPr>
        <w:t>谈判保证金</w:t>
      </w:r>
      <w:r>
        <w:rPr>
          <w:b/>
          <w:sz w:val="32"/>
          <w:szCs w:val="32"/>
        </w:rPr>
        <w:t>的函</w:t>
      </w:r>
    </w:p>
    <w:p w14:paraId="4E6EE362">
      <w:pPr>
        <w:rPr>
          <w:rFonts w:ascii="Arial" w:hAnsi="Arial" w:cs="Arial"/>
          <w:sz w:val="28"/>
          <w:szCs w:val="28"/>
        </w:rPr>
      </w:pPr>
    </w:p>
    <w:p w14:paraId="0F1608FC">
      <w:pPr>
        <w:adjustRightInd w:val="0"/>
        <w:snapToGrid w:val="0"/>
        <w:spacing w:line="400" w:lineRule="atLeast"/>
        <w:rPr>
          <w:rFonts w:hint="eastAsia" w:ascii="宋体" w:hAnsi="宋体" w:cs="宋体"/>
          <w:sz w:val="28"/>
          <w:szCs w:val="28"/>
        </w:rPr>
      </w:pPr>
      <w:r>
        <w:rPr>
          <w:rFonts w:hint="eastAsia" w:ascii="宋体" w:hAnsi="宋体" w:cs="宋体"/>
          <w:sz w:val="28"/>
          <w:szCs w:val="28"/>
          <w:u w:val="single"/>
        </w:rPr>
        <w:t>新疆招标有限公司阿克苏分公司</w:t>
      </w:r>
      <w:r>
        <w:rPr>
          <w:rFonts w:hint="eastAsia" w:ascii="宋体" w:hAnsi="宋体" w:cs="宋体"/>
          <w:sz w:val="28"/>
          <w:szCs w:val="28"/>
        </w:rPr>
        <w:t>（收）：</w:t>
      </w:r>
    </w:p>
    <w:p w14:paraId="5B6371FA">
      <w:pPr>
        <w:adjustRightInd w:val="0"/>
        <w:snapToGrid w:val="0"/>
        <w:spacing w:line="400" w:lineRule="atLeast"/>
        <w:rPr>
          <w:rFonts w:hint="eastAsia" w:ascii="宋体" w:hAnsi="宋体" w:cs="宋体"/>
          <w:sz w:val="28"/>
          <w:szCs w:val="28"/>
        </w:rPr>
      </w:pPr>
    </w:p>
    <w:p w14:paraId="11187A23">
      <w:pPr>
        <w:adjustRightInd w:val="0"/>
        <w:snapToGrid w:val="0"/>
        <w:spacing w:line="400" w:lineRule="atLeast"/>
        <w:rPr>
          <w:rFonts w:hint="eastAsia" w:ascii="宋体" w:hAnsi="宋体" w:cs="宋体"/>
          <w:sz w:val="28"/>
          <w:szCs w:val="28"/>
          <w:u w:val="single"/>
        </w:rPr>
      </w:pPr>
      <w:r>
        <w:rPr>
          <w:rFonts w:hint="eastAsia" w:ascii="宋体" w:hAnsi="宋体" w:cs="宋体"/>
          <w:sz w:val="28"/>
          <w:szCs w:val="28"/>
        </w:rPr>
        <w:t>公司名称：</w:t>
      </w:r>
      <w:r>
        <w:rPr>
          <w:rFonts w:hint="eastAsia" w:ascii="宋体" w:hAnsi="宋体" w:cs="宋体"/>
          <w:sz w:val="28"/>
          <w:szCs w:val="28"/>
          <w:u w:val="single"/>
        </w:rPr>
        <w:t xml:space="preserve">                                            </w:t>
      </w:r>
    </w:p>
    <w:p w14:paraId="73123CEB">
      <w:pPr>
        <w:adjustRightInd w:val="0"/>
        <w:snapToGrid w:val="0"/>
        <w:spacing w:line="400" w:lineRule="atLeast"/>
        <w:rPr>
          <w:rFonts w:hint="eastAsia" w:ascii="宋体" w:hAnsi="宋体" w:cs="宋体"/>
          <w:sz w:val="28"/>
          <w:szCs w:val="28"/>
          <w:u w:val="single"/>
        </w:rPr>
      </w:pPr>
      <w:r>
        <w:rPr>
          <w:rFonts w:hint="eastAsia" w:ascii="宋体" w:hAnsi="宋体" w:cs="宋体"/>
          <w:sz w:val="28"/>
          <w:szCs w:val="28"/>
        </w:rPr>
        <w:t>开户行名称：</w:t>
      </w:r>
      <w:r>
        <w:rPr>
          <w:rFonts w:hint="eastAsia" w:ascii="宋体" w:hAnsi="宋体" w:cs="宋体"/>
          <w:sz w:val="28"/>
          <w:szCs w:val="28"/>
          <w:u w:val="single"/>
        </w:rPr>
        <w:t xml:space="preserve">                                          </w:t>
      </w:r>
    </w:p>
    <w:p w14:paraId="1DB80A05">
      <w:pPr>
        <w:adjustRightInd w:val="0"/>
        <w:snapToGrid w:val="0"/>
        <w:spacing w:line="400" w:lineRule="atLeast"/>
        <w:rPr>
          <w:rFonts w:hint="eastAsia" w:ascii="宋体" w:hAnsi="宋体" w:cs="宋体"/>
          <w:sz w:val="28"/>
          <w:szCs w:val="28"/>
          <w:u w:val="single"/>
        </w:rPr>
      </w:pPr>
      <w:r>
        <w:rPr>
          <w:rFonts w:hint="eastAsia" w:ascii="宋体" w:hAnsi="宋体" w:cs="宋体"/>
          <w:sz w:val="28"/>
          <w:szCs w:val="28"/>
        </w:rPr>
        <w:t>账号（基本账户）：</w:t>
      </w:r>
      <w:r>
        <w:rPr>
          <w:rFonts w:hint="eastAsia" w:ascii="宋体" w:hAnsi="宋体" w:cs="宋体"/>
          <w:sz w:val="28"/>
          <w:szCs w:val="28"/>
          <w:u w:val="single"/>
        </w:rPr>
        <w:t xml:space="preserve">                                     </w:t>
      </w:r>
    </w:p>
    <w:p w14:paraId="38652507">
      <w:pPr>
        <w:adjustRightInd w:val="0"/>
        <w:snapToGrid w:val="0"/>
        <w:spacing w:line="400" w:lineRule="atLeast"/>
        <w:rPr>
          <w:rFonts w:hint="eastAsia" w:ascii="宋体" w:hAnsi="宋体" w:cs="宋体"/>
          <w:sz w:val="28"/>
          <w:szCs w:val="28"/>
        </w:rPr>
      </w:pPr>
      <w:r>
        <w:rPr>
          <w:rFonts w:hint="eastAsia" w:ascii="宋体" w:hAnsi="宋体" w:cs="宋体"/>
          <w:sz w:val="28"/>
          <w:szCs w:val="28"/>
        </w:rPr>
        <w:t>税      号：</w:t>
      </w:r>
      <w:r>
        <w:rPr>
          <w:rFonts w:hint="eastAsia" w:ascii="宋体" w:hAnsi="宋体" w:cs="宋体"/>
          <w:sz w:val="28"/>
          <w:szCs w:val="28"/>
          <w:u w:val="single"/>
        </w:rPr>
        <w:t xml:space="preserve">                                          </w:t>
      </w:r>
    </w:p>
    <w:p w14:paraId="1B4A54C3">
      <w:pPr>
        <w:adjustRightInd w:val="0"/>
        <w:snapToGrid w:val="0"/>
        <w:spacing w:line="400" w:lineRule="atLeast"/>
        <w:rPr>
          <w:rFonts w:hint="eastAsia" w:ascii="宋体" w:hAnsi="宋体" w:cs="宋体"/>
          <w:sz w:val="28"/>
          <w:szCs w:val="28"/>
          <w:u w:val="single"/>
        </w:rPr>
      </w:pPr>
      <w:r>
        <w:rPr>
          <w:rFonts w:hint="eastAsia" w:ascii="宋体" w:hAnsi="宋体" w:cs="宋体"/>
          <w:sz w:val="28"/>
          <w:szCs w:val="28"/>
        </w:rPr>
        <w:t>联系人姓名：</w:t>
      </w:r>
      <w:r>
        <w:rPr>
          <w:rFonts w:hint="eastAsia" w:ascii="宋体" w:hAnsi="宋体" w:cs="宋体"/>
          <w:sz w:val="28"/>
          <w:szCs w:val="28"/>
          <w:u w:val="single"/>
        </w:rPr>
        <w:t xml:space="preserve">                                          </w:t>
      </w:r>
    </w:p>
    <w:p w14:paraId="0DA280CE">
      <w:pPr>
        <w:adjustRightInd w:val="0"/>
        <w:snapToGrid w:val="0"/>
        <w:spacing w:line="400" w:lineRule="atLeast"/>
        <w:rPr>
          <w:rFonts w:hint="eastAsia" w:ascii="宋体" w:hAnsi="宋体" w:cs="宋体"/>
          <w:sz w:val="28"/>
          <w:szCs w:val="28"/>
          <w:u w:val="single"/>
        </w:rPr>
      </w:pPr>
      <w:r>
        <w:rPr>
          <w:rFonts w:hint="eastAsia" w:ascii="宋体" w:hAnsi="宋体" w:cs="宋体"/>
          <w:sz w:val="28"/>
          <w:szCs w:val="28"/>
        </w:rPr>
        <w:t>联系电话：</w:t>
      </w:r>
      <w:r>
        <w:rPr>
          <w:rFonts w:hint="eastAsia" w:ascii="宋体" w:hAnsi="宋体" w:cs="宋体"/>
          <w:sz w:val="28"/>
          <w:szCs w:val="28"/>
          <w:u w:val="single"/>
        </w:rPr>
        <w:t xml:space="preserve">                                            </w:t>
      </w:r>
    </w:p>
    <w:p w14:paraId="2E3408A6">
      <w:pPr>
        <w:adjustRightInd w:val="0"/>
        <w:snapToGrid w:val="0"/>
        <w:spacing w:line="400" w:lineRule="atLeast"/>
        <w:rPr>
          <w:rFonts w:hint="eastAsia" w:ascii="宋体" w:hAnsi="宋体" w:cs="宋体"/>
          <w:sz w:val="28"/>
          <w:szCs w:val="28"/>
          <w:u w:val="single"/>
        </w:rPr>
      </w:pPr>
      <w:r>
        <w:rPr>
          <w:rFonts w:hint="eastAsia" w:ascii="宋体" w:hAnsi="宋体" w:cs="宋体"/>
          <w:sz w:val="28"/>
          <w:szCs w:val="28"/>
        </w:rPr>
        <w:t>投标项目名称：</w:t>
      </w:r>
      <w:r>
        <w:rPr>
          <w:rFonts w:hint="eastAsia" w:ascii="宋体" w:hAnsi="宋体" w:cs="宋体"/>
          <w:sz w:val="28"/>
          <w:szCs w:val="28"/>
          <w:u w:val="single"/>
        </w:rPr>
        <w:t xml:space="preserve">                                        </w:t>
      </w:r>
    </w:p>
    <w:p w14:paraId="1D3C896B">
      <w:pPr>
        <w:adjustRightInd w:val="0"/>
        <w:snapToGrid w:val="0"/>
        <w:spacing w:line="400" w:lineRule="atLeast"/>
        <w:rPr>
          <w:rFonts w:hint="eastAsia" w:ascii="宋体" w:hAnsi="宋体" w:cs="宋体"/>
          <w:sz w:val="28"/>
          <w:szCs w:val="28"/>
          <w:u w:val="single"/>
        </w:rPr>
      </w:pPr>
      <w:r>
        <w:rPr>
          <w:rFonts w:hint="eastAsia" w:ascii="宋体" w:hAnsi="宋体" w:cs="宋体"/>
          <w:sz w:val="28"/>
          <w:szCs w:val="28"/>
        </w:rPr>
        <w:t>投标项目编号：</w:t>
      </w:r>
      <w:r>
        <w:rPr>
          <w:rFonts w:hint="eastAsia" w:ascii="宋体" w:hAnsi="宋体" w:cs="宋体"/>
          <w:sz w:val="28"/>
          <w:szCs w:val="28"/>
          <w:u w:val="single"/>
        </w:rPr>
        <w:t xml:space="preserve">                                        </w:t>
      </w:r>
    </w:p>
    <w:p w14:paraId="3670A1CB">
      <w:pPr>
        <w:adjustRightInd w:val="0"/>
        <w:snapToGrid w:val="0"/>
        <w:spacing w:line="400" w:lineRule="atLeast"/>
        <w:rPr>
          <w:rFonts w:hint="eastAsia" w:ascii="宋体" w:hAnsi="宋体" w:cs="宋体"/>
          <w:sz w:val="28"/>
          <w:szCs w:val="28"/>
          <w:u w:val="single"/>
        </w:rPr>
      </w:pPr>
      <w:r>
        <w:rPr>
          <w:rFonts w:hint="eastAsia" w:ascii="宋体" w:hAnsi="宋体" w:cs="宋体"/>
          <w:sz w:val="28"/>
          <w:szCs w:val="28"/>
        </w:rPr>
        <w:t>投标保证金的形式：</w:t>
      </w:r>
      <w:r>
        <w:rPr>
          <w:rFonts w:hint="eastAsia" w:ascii="宋体" w:hAnsi="宋体" w:cs="宋体"/>
          <w:sz w:val="28"/>
          <w:szCs w:val="28"/>
          <w:u w:val="single"/>
        </w:rPr>
        <w:t xml:space="preserve">              </w:t>
      </w:r>
      <w:r>
        <w:rPr>
          <w:rFonts w:hint="eastAsia" w:ascii="宋体" w:hAnsi="宋体" w:cs="宋体"/>
          <w:sz w:val="28"/>
          <w:szCs w:val="28"/>
        </w:rPr>
        <w:t>（形式）</w:t>
      </w:r>
    </w:p>
    <w:p w14:paraId="19FBAD02">
      <w:pPr>
        <w:adjustRightInd w:val="0"/>
        <w:snapToGrid w:val="0"/>
        <w:spacing w:line="400" w:lineRule="atLeast"/>
        <w:rPr>
          <w:rFonts w:hint="eastAsia" w:ascii="宋体" w:hAnsi="宋体" w:cs="宋体"/>
          <w:sz w:val="28"/>
          <w:szCs w:val="28"/>
          <w:u w:val="single"/>
        </w:rPr>
      </w:pPr>
      <w:r>
        <w:rPr>
          <w:rFonts w:hint="eastAsia" w:ascii="宋体" w:hAnsi="宋体" w:cs="宋体"/>
          <w:sz w:val="28"/>
          <w:szCs w:val="28"/>
        </w:rPr>
        <w:t>投标保证金的金额：</w:t>
      </w:r>
      <w:r>
        <w:rPr>
          <w:rFonts w:hint="eastAsia" w:ascii="宋体" w:hAnsi="宋体" w:cs="宋体"/>
          <w:sz w:val="28"/>
          <w:szCs w:val="28"/>
          <w:u w:val="single"/>
        </w:rPr>
        <w:t xml:space="preserve">                                    </w:t>
      </w:r>
    </w:p>
    <w:p w14:paraId="6728EB68">
      <w:pPr>
        <w:adjustRightInd w:val="0"/>
        <w:snapToGrid w:val="0"/>
        <w:spacing w:line="400" w:lineRule="atLeast"/>
        <w:rPr>
          <w:rFonts w:hint="eastAsia" w:ascii="宋体" w:hAnsi="宋体" w:cs="宋体"/>
          <w:sz w:val="28"/>
          <w:szCs w:val="28"/>
        </w:rPr>
      </w:pPr>
      <w:r>
        <w:rPr>
          <w:rFonts w:hint="eastAsia" w:ascii="宋体" w:hAnsi="宋体" w:cs="宋体"/>
          <w:sz w:val="28"/>
          <w:szCs w:val="28"/>
        </w:rPr>
        <w:t>（注：如果是个人姓名的汇款，请附汇款人的身份证复印件）</w:t>
      </w:r>
    </w:p>
    <w:p w14:paraId="27DBF223">
      <w:pPr>
        <w:adjustRightInd w:val="0"/>
        <w:snapToGrid w:val="0"/>
        <w:spacing w:line="400" w:lineRule="atLeast"/>
        <w:rPr>
          <w:rFonts w:hint="eastAsia" w:ascii="宋体" w:hAnsi="宋体" w:cs="宋体"/>
          <w:sz w:val="28"/>
          <w:szCs w:val="28"/>
        </w:rPr>
      </w:pPr>
      <w:r>
        <w:rPr>
          <w:rFonts w:hint="eastAsia" w:ascii="宋体" w:hAnsi="宋体" w:cs="宋体"/>
          <w:sz w:val="28"/>
          <w:szCs w:val="28"/>
        </w:rPr>
        <w:t xml:space="preserve">  </w:t>
      </w:r>
    </w:p>
    <w:p w14:paraId="3BE4FE22">
      <w:pPr>
        <w:adjustRightInd w:val="0"/>
        <w:snapToGrid w:val="0"/>
        <w:spacing w:line="400" w:lineRule="atLeast"/>
        <w:ind w:firstLine="840" w:firstLineChars="300"/>
        <w:rPr>
          <w:rFonts w:ascii="Arial" w:hAnsi="Arial" w:cs="Arial"/>
          <w:sz w:val="28"/>
          <w:szCs w:val="28"/>
        </w:rPr>
      </w:pPr>
      <w:r>
        <w:rPr>
          <w:rFonts w:hint="eastAsia" w:ascii="宋体" w:hAnsi="宋体" w:cs="宋体"/>
          <w:sz w:val="28"/>
          <w:szCs w:val="28"/>
        </w:rPr>
        <w:t>备注：中标</w:t>
      </w:r>
      <w:r>
        <w:rPr>
          <w:rFonts w:hint="eastAsia" w:ascii="宋体" w:hAnsi="宋体" w:cs="宋体"/>
          <w:sz w:val="28"/>
          <w:szCs w:val="28"/>
          <w:lang w:eastAsia="zh-CN"/>
        </w:rPr>
        <w:t>（</w:t>
      </w:r>
      <w:r>
        <w:rPr>
          <w:rFonts w:hint="eastAsia" w:ascii="宋体" w:hAnsi="宋体" w:cs="宋体"/>
          <w:sz w:val="28"/>
          <w:szCs w:val="28"/>
          <w:lang w:val="en-US" w:eastAsia="zh-CN"/>
        </w:rPr>
        <w:t>成交）</w:t>
      </w:r>
      <w:r>
        <w:rPr>
          <w:rFonts w:hint="eastAsia" w:ascii="宋体" w:hAnsi="宋体" w:cs="宋体"/>
          <w:sz w:val="28"/>
          <w:szCs w:val="28"/>
        </w:rPr>
        <w:t>结果公示期满后，请将以上退款信息加盖公章邮件至新疆招标有限公司阿克苏分公司，邮箱为</w:t>
      </w:r>
      <w:r>
        <w:rPr>
          <w:rFonts w:hint="eastAsia" w:ascii="宋体" w:hAnsi="宋体" w:cs="宋体"/>
          <w:sz w:val="24"/>
          <w:szCs w:val="24"/>
        </w:rPr>
        <w:t>784765720@qq.com</w:t>
      </w:r>
      <w:r>
        <w:rPr>
          <w:rFonts w:hint="eastAsia" w:ascii="宋体" w:hAnsi="宋体" w:cs="宋体"/>
          <w:sz w:val="28"/>
          <w:szCs w:val="28"/>
        </w:rPr>
        <w:t>。我公司收到退款信息后，在</w:t>
      </w:r>
      <w:r>
        <w:rPr>
          <w:rFonts w:hint="eastAsia" w:ascii="宋体" w:hAnsi="宋体" w:cs="宋体"/>
          <w:b/>
          <w:bCs/>
          <w:sz w:val="28"/>
          <w:szCs w:val="28"/>
        </w:rPr>
        <w:t>3～5</w:t>
      </w:r>
      <w:r>
        <w:rPr>
          <w:rFonts w:hint="eastAsia" w:ascii="宋体" w:hAnsi="宋体" w:cs="宋体"/>
          <w:sz w:val="28"/>
          <w:szCs w:val="28"/>
        </w:rPr>
        <w:t>个工作日内，将投标保证金余额电汇至供应商的基本账户。</w:t>
      </w:r>
      <w:r>
        <w:rPr>
          <w:rFonts w:hint="eastAsia" w:ascii="宋体" w:hAnsi="宋体" w:cs="宋体"/>
          <w:b/>
          <w:sz w:val="28"/>
          <w:szCs w:val="28"/>
        </w:rPr>
        <w:t>后附开户许可证扫描件或基本存款账户信息（加盖公章）扫描件。</w:t>
      </w:r>
    </w:p>
    <w:p w14:paraId="5AF63AE3">
      <w:pPr>
        <w:spacing w:line="400" w:lineRule="atLeast"/>
        <w:rPr>
          <w:rFonts w:ascii="Arial" w:hAnsi="Arial" w:cs="Arial"/>
          <w:sz w:val="24"/>
        </w:rPr>
      </w:pPr>
    </w:p>
    <w:p w14:paraId="333DFCD1">
      <w:pPr>
        <w:pStyle w:val="2"/>
        <w:rPr>
          <w:rFonts w:cs="Arial"/>
        </w:rPr>
      </w:pPr>
    </w:p>
    <w:p w14:paraId="6C18BC68">
      <w:pPr>
        <w:pStyle w:val="76"/>
        <w:ind w:firstLine="0" w:firstLineChars="0"/>
        <w:rPr>
          <w:rFonts w:ascii="Arial" w:hAnsi="Arial" w:cs="Arial"/>
          <w:sz w:val="24"/>
        </w:rPr>
      </w:pPr>
    </w:p>
    <w:p w14:paraId="0C00E3DC">
      <w:pPr>
        <w:pStyle w:val="76"/>
        <w:ind w:firstLine="0" w:firstLineChars="0"/>
        <w:rPr>
          <w:rFonts w:ascii="Arial" w:hAnsi="Arial" w:cs="Arial"/>
          <w:sz w:val="24"/>
        </w:rPr>
      </w:pPr>
    </w:p>
    <w:p w14:paraId="19322EFD">
      <w:pPr>
        <w:pStyle w:val="76"/>
        <w:ind w:firstLine="0" w:firstLineChars="0"/>
        <w:jc w:val="center"/>
      </w:pPr>
      <w:r>
        <w:rPr>
          <w:rFonts w:hint="eastAsia" w:ascii="宋体" w:hAnsi="宋体" w:cs="宋体"/>
          <w:b/>
          <w:sz w:val="28"/>
          <w:szCs w:val="28"/>
        </w:rPr>
        <w:t>开户许可证扫描件或基本存款账户信息（加盖公章）扫描件</w:t>
      </w:r>
      <w:r>
        <w:rPr>
          <w:rFonts w:hint="eastAsia"/>
        </w:rPr>
        <w:tab/>
      </w:r>
    </w:p>
    <w:sectPr>
      <w:pgSz w:w="11906" w:h="16838"/>
      <w:pgMar w:top="1440" w:right="1080" w:bottom="1440" w:left="1080" w:header="851" w:footer="992" w:gutter="0"/>
      <w:cols w:space="720" w:num="1"/>
      <w:docGrid w:type="lines" w:linePitch="40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7F" w:usb3="00000000" w:csb0="003F01FF" w:csb1="00000000"/>
  </w:font>
  <w:font w:name="华文楷体">
    <w:altName w:val="宋体"/>
    <w:panose1 w:val="02010600040101010101"/>
    <w:charset w:val="86"/>
    <w:family w:val="auto"/>
    <w:pitch w:val="default"/>
    <w:sig w:usb0="00000000" w:usb1="00000000" w:usb2="00000010" w:usb3="00000000" w:csb0="0004009F" w:csb1="00000000"/>
  </w:font>
  <w:font w:name="Cambria">
    <w:panose1 w:val="02040503050406030204"/>
    <w:charset w:val="00"/>
    <w:family w:val="roman"/>
    <w:pitch w:val="default"/>
    <w:sig w:usb0="E00006FF" w:usb1="420024FF" w:usb2="02000000" w:usb3="00000000" w:csb0="2000019F" w:csb1="00000000"/>
  </w:font>
  <w:font w:name="STSongStd-Light">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Georgia">
    <w:panose1 w:val="02040502050405020303"/>
    <w:charset w:val="00"/>
    <w:family w:val="roman"/>
    <w:pitch w:val="default"/>
    <w:sig w:usb0="00000287" w:usb1="00000000" w:usb2="00000000" w:usb3="00000000" w:csb0="2000009F" w:csb1="00000000"/>
  </w:font>
  <w:font w:name="仿宋_GB2312">
    <w:altName w:val="仿宋"/>
    <w:panose1 w:val="00000000000000000000"/>
    <w:charset w:val="00"/>
    <w:family w:val="auto"/>
    <w:pitch w:val="default"/>
    <w:sig w:usb0="00000000" w:usb1="00000000" w:usb2="00000000" w:usb3="00000000" w:csb0="00040001" w:csb1="00000000"/>
  </w:font>
  <w:font w:name="ˎ̥">
    <w:altName w:val="微软雅黑"/>
    <w:panose1 w:val="00000000000000000000"/>
    <w:charset w:val="00"/>
    <w:family w:val="moder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Noto Sans CJK JP Regular">
    <w:altName w:val="微软雅黑"/>
    <w:panose1 w:val="00000000000000000000"/>
    <w:charset w:val="00"/>
    <w:family w:val="swiss"/>
    <w:pitch w:val="default"/>
    <w:sig w:usb0="00000000" w:usb1="00000000" w:usb2="00000000" w:usb3="00000000" w:csb0="00040001" w:csb1="00000000"/>
  </w:font>
  <w:font w:name="方正姚体">
    <w:altName w:val="宋体"/>
    <w:panose1 w:val="02010601030101010101"/>
    <w:charset w:val="86"/>
    <w:family w:val="auto"/>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华文细黑">
    <w:altName w:val="微软雅黑"/>
    <w:panose1 w:val="02010600040101010101"/>
    <w:charset w:val="86"/>
    <w:family w:val="auto"/>
    <w:pitch w:val="default"/>
    <w:sig w:usb0="00000000" w:usb1="00000000" w:usb2="00000010" w:usb3="00000000" w:csb0="0004009F" w:csb1="00000000"/>
  </w:font>
  <w:font w:name="方正黑体_GBK">
    <w:altName w:val="微软雅黑"/>
    <w:panose1 w:val="00000000000000000000"/>
    <w:charset w:val="86"/>
    <w:family w:val="auto"/>
    <w:pitch w:val="default"/>
    <w:sig w:usb0="00000000" w:usb1="00000000" w:usb2="00000000" w:usb3="00000000" w:csb0="00040000" w:csb1="00000000"/>
  </w:font>
  <w:font w:name="System">
    <w:altName w:val="宋体"/>
    <w:panose1 w:val="00000000000000000000"/>
    <w:charset w:val="86"/>
    <w:family w:val="auto"/>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Microsoft YaHei UI">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C92F7">
    <w:pPr>
      <w:pStyle w:val="49"/>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B72404">
                          <w:pPr>
                            <w:pStyle w:val="49"/>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EB72404">
                    <w:pPr>
                      <w:pStyle w:val="49"/>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480B0">
    <w:pPr>
      <w:pStyle w:val="49"/>
      <w:jc w:val="center"/>
    </w:pPr>
    <w:r>
      <w:fldChar w:fldCharType="begin"/>
    </w:r>
    <w:r>
      <w:instrText xml:space="preserve">PAGE   \* MERGEFORMAT</w:instrText>
    </w:r>
    <w:r>
      <w:fldChar w:fldCharType="separate"/>
    </w:r>
    <w:r>
      <w:rPr>
        <w:lang w:val="zh-CN"/>
      </w:rPr>
      <w:t>2</w:t>
    </w:r>
    <w:r>
      <w:fldChar w:fldCharType="end"/>
    </w:r>
  </w:p>
  <w:p w14:paraId="3819A506">
    <w:pPr>
      <w:pStyle w:val="4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6F1E4">
    <w:pPr>
      <w:pStyle w:val="49"/>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1B4684">
                          <w:pPr>
                            <w:pStyle w:val="49"/>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F1B4684">
                    <w:pPr>
                      <w:pStyle w:val="49"/>
                    </w:pPr>
                    <w:r>
                      <w:fldChar w:fldCharType="begin"/>
                    </w:r>
                    <w:r>
                      <w:instrText xml:space="preserve"> PAGE  \* MERGEFORMAT </w:instrText>
                    </w:r>
                    <w:r>
                      <w:fldChar w:fldCharType="separate"/>
                    </w:r>
                    <w:r>
                      <w:t>26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305D7">
    <w:pPr>
      <w:pStyle w:val="50"/>
    </w:pPr>
    <w:r>
      <w:pict>
        <v:shape id="PowerPlusWaterMarkObject66907" o:spid="_x0000_s1027" o:spt="136" type="#_x0000_t136" style="position:absolute;left:0pt;height:85.85pt;width:603.2pt;mso-position-horizontal:center;mso-position-horizontal-relative:margin;mso-position-vertical:center;mso-position-vertical-relative:margin;rotation:-2949120f;z-index:-251657216;mso-width-relative:page;mso-height-relative:page;" fillcolor="#C0C0C0" filled="t" stroked="f" coordsize="21600,21600">
          <v:path/>
          <v:fill on="t" opacity="32768f" focussize="0,0"/>
          <v:stroke on="f"/>
          <v:imagedata o:title=""/>
          <o:lock v:ext="edit" aspectratio="t"/>
          <v:textpath on="t" fitshape="t" fitpath="t" trim="t" xscale="f" string="新疆招标有限公司" style="font-family:宋体;font-size:36pt;v-text-align:center;"/>
        </v:shape>
      </w:pict>
    </w:r>
    <w:r>
      <w:rPr>
        <w:rFonts w:hint="eastAsia"/>
      </w:rPr>
      <w:t>谈判文件                                                                                 新疆招标有限公司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7C169">
    <w:pPr>
      <w:pStyle w:val="50"/>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B01F3">
    <w:pPr>
      <w:pStyle w:val="50"/>
    </w:pPr>
    <w:r>
      <w:pict>
        <v:shape id="_x0000_s1030" o:spid="_x0000_s1030" o:spt="136" type="#_x0000_t136" style="position:absolute;left:0pt;margin-left:-61.95pt;margin-top:301.9pt;height:85.85pt;width:603.2pt;mso-position-horizontal-relative:margin;mso-position-vertical-relative:margin;rotation:-2949120f;z-index:-251655168;mso-width-relative:page;mso-height-relative:page;" fillcolor="#C0C0C0" filled="t" stroked="f" coordsize="21600,21600">
          <v:path/>
          <v:fill on="t" opacity="32768f" focussize="0,0"/>
          <v:stroke on="f"/>
          <v:imagedata o:title=""/>
          <o:lock v:ext="edit" aspectratio="t"/>
          <v:textpath on="t" fitshape="t" fitpath="t" trim="t" xscale="f" string="新疆招标有限公司" style="font-family:宋体;font-size:36pt;v-text-align:center;"/>
        </v:shape>
      </w:pict>
    </w:r>
    <w:r>
      <w:rPr>
        <w:rFonts w:hint="eastAsia"/>
      </w:rPr>
      <w:t>谈判文件                                                                                 新疆招标有限公司</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2DCA7">
    <w:pPr>
      <w:pStyle w:val="50"/>
      <w:rPr>
        <w:sz w:val="21"/>
      </w:rPr>
    </w:pPr>
    <w:r>
      <w:pict>
        <v:shape id="PowerPlusWaterMarkObject101829" o:spid="_x0000_s1028" o:spt="136" type="#_x0000_t136" style="position:absolute;left:0pt;height:85.85pt;width:603.2pt;mso-position-horizontal:center;mso-position-horizontal-relative:margin;mso-position-vertical:center;mso-position-vertical-relative:margin;rotation:-2949120f;z-index:-251656192;mso-width-relative:page;mso-height-relative:page;" fillcolor="#C0C0C0" filled="t" stroked="f" coordsize="21600,21600">
          <v:path/>
          <v:fill on="t" opacity="32768f" focussize="0,0"/>
          <v:stroke on="f"/>
          <v:imagedata o:title=""/>
          <o:lock v:ext="edit" aspectratio="t"/>
          <v:textpath on="t" fitshape="t" fitpath="t" trim="t" xscale="f" string="新疆招标有限公司" style="font-family:宋体;font-size:36pt;v-text-align:center;"/>
        </v:shape>
      </w:pict>
    </w:r>
    <w:r>
      <w:rPr>
        <w:rFonts w:hint="eastAsia"/>
      </w:rPr>
      <w:t>谈判文件                                                                                   新疆招标有限公司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E38D9E"/>
    <w:multiLevelType w:val="singleLevel"/>
    <w:tmpl w:val="0CE38D9E"/>
    <w:lvl w:ilvl="0" w:tentative="0">
      <w:start w:val="20"/>
      <w:numFmt w:val="decimal"/>
      <w:lvlText w:val="%1."/>
      <w:lvlJc w:val="left"/>
      <w:pPr>
        <w:tabs>
          <w:tab w:val="left" w:pos="312"/>
        </w:tabs>
      </w:pPr>
    </w:lvl>
  </w:abstractNum>
  <w:abstractNum w:abstractNumId="1">
    <w:nsid w:val="15812A10"/>
    <w:multiLevelType w:val="multilevel"/>
    <w:tmpl w:val="15812A10"/>
    <w:lvl w:ilvl="0" w:tentative="0">
      <w:start w:val="1"/>
      <w:numFmt w:val="upperLetter"/>
      <w:pStyle w:val="3"/>
      <w:lvlText w:val="%1、"/>
      <w:lvlJc w:val="left"/>
      <w:pPr>
        <w:tabs>
          <w:tab w:val="left" w:pos="360"/>
        </w:tabs>
        <w:ind w:left="360" w:hanging="36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38E72660"/>
    <w:multiLevelType w:val="multilevel"/>
    <w:tmpl w:val="38E72660"/>
    <w:lvl w:ilvl="0" w:tentative="0">
      <w:start w:val="1"/>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3">
    <w:nsid w:val="4049F403"/>
    <w:multiLevelType w:val="singleLevel"/>
    <w:tmpl w:val="4049F403"/>
    <w:lvl w:ilvl="0" w:tentative="0">
      <w:start w:val="1"/>
      <w:numFmt w:val="chineseCounting"/>
      <w:suff w:val="nothing"/>
      <w:lvlText w:val="%1、"/>
      <w:lvlJc w:val="left"/>
      <w:rPr>
        <w:rFonts w:hint="eastAsia"/>
      </w:rPr>
    </w:lvl>
  </w:abstractNum>
  <w:abstractNum w:abstractNumId="4">
    <w:nsid w:val="455B68EC"/>
    <w:multiLevelType w:val="multilevel"/>
    <w:tmpl w:val="455B68EC"/>
    <w:lvl w:ilvl="0" w:tentative="0">
      <w:start w:val="1"/>
      <w:numFmt w:val="upperLetter"/>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4E165550"/>
    <w:multiLevelType w:val="multilevel"/>
    <w:tmpl w:val="4E165550"/>
    <w:lvl w:ilvl="0" w:tentative="0">
      <w:start w:val="1"/>
      <w:numFmt w:val="japaneseCounting"/>
      <w:lvlText w:val="%1、"/>
      <w:lvlJc w:val="left"/>
      <w:pPr>
        <w:ind w:left="1770" w:hanging="1185"/>
      </w:pPr>
      <w:rPr>
        <w:rFonts w:hint="default"/>
      </w:rPr>
    </w:lvl>
    <w:lvl w:ilvl="1" w:tentative="0">
      <w:start w:val="1"/>
      <w:numFmt w:val="lowerLetter"/>
      <w:lvlText w:val="%2)"/>
      <w:lvlJc w:val="left"/>
      <w:pPr>
        <w:ind w:left="1425" w:hanging="420"/>
      </w:pPr>
    </w:lvl>
    <w:lvl w:ilvl="2" w:tentative="0">
      <w:start w:val="1"/>
      <w:numFmt w:val="lowerRoman"/>
      <w:lvlText w:val="%3."/>
      <w:lvlJc w:val="right"/>
      <w:pPr>
        <w:ind w:left="1845" w:hanging="420"/>
      </w:pPr>
    </w:lvl>
    <w:lvl w:ilvl="3" w:tentative="0">
      <w:start w:val="1"/>
      <w:numFmt w:val="decimal"/>
      <w:lvlText w:val="%4."/>
      <w:lvlJc w:val="left"/>
      <w:pPr>
        <w:ind w:left="2265" w:hanging="420"/>
      </w:pPr>
    </w:lvl>
    <w:lvl w:ilvl="4" w:tentative="0">
      <w:start w:val="1"/>
      <w:numFmt w:val="lowerLetter"/>
      <w:lvlText w:val="%5)"/>
      <w:lvlJc w:val="left"/>
      <w:pPr>
        <w:ind w:left="2685" w:hanging="420"/>
      </w:pPr>
    </w:lvl>
    <w:lvl w:ilvl="5" w:tentative="0">
      <w:start w:val="1"/>
      <w:numFmt w:val="lowerRoman"/>
      <w:lvlText w:val="%6."/>
      <w:lvlJc w:val="right"/>
      <w:pPr>
        <w:ind w:left="3105" w:hanging="420"/>
      </w:pPr>
    </w:lvl>
    <w:lvl w:ilvl="6" w:tentative="0">
      <w:start w:val="1"/>
      <w:numFmt w:val="decimal"/>
      <w:lvlText w:val="%7."/>
      <w:lvlJc w:val="left"/>
      <w:pPr>
        <w:ind w:left="3525" w:hanging="420"/>
      </w:pPr>
    </w:lvl>
    <w:lvl w:ilvl="7" w:tentative="0">
      <w:start w:val="1"/>
      <w:numFmt w:val="lowerLetter"/>
      <w:lvlText w:val="%8)"/>
      <w:lvlJc w:val="left"/>
      <w:pPr>
        <w:ind w:left="3945" w:hanging="420"/>
      </w:pPr>
    </w:lvl>
    <w:lvl w:ilvl="8" w:tentative="0">
      <w:start w:val="1"/>
      <w:numFmt w:val="lowerRoman"/>
      <w:lvlText w:val="%9."/>
      <w:lvlJc w:val="right"/>
      <w:pPr>
        <w:ind w:left="4365" w:hanging="420"/>
      </w:pPr>
    </w:lvl>
  </w:abstractNum>
  <w:num w:numId="1">
    <w:abstractNumId w:val="1"/>
  </w:num>
  <w:num w:numId="2">
    <w:abstractNumId w:val="4"/>
  </w:num>
  <w:num w:numId="3">
    <w:abstractNumId w:val="0"/>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NkYzRjMWFkMWVkNTBkMzBhNzgxNTFlODI1MjExOTEifQ=="/>
    <w:docVar w:name="KSO_WPS_MARK_KEY" w:val="ca92086a-feca-408e-bd14-f2a811b07529"/>
  </w:docVars>
  <w:rsids>
    <w:rsidRoot w:val="00172A27"/>
    <w:rsid w:val="00026644"/>
    <w:rsid w:val="00055A6E"/>
    <w:rsid w:val="000A002F"/>
    <w:rsid w:val="000C1F0D"/>
    <w:rsid w:val="000C7722"/>
    <w:rsid w:val="000E0ED7"/>
    <w:rsid w:val="00172A27"/>
    <w:rsid w:val="001A7DDA"/>
    <w:rsid w:val="001C2CF5"/>
    <w:rsid w:val="00287670"/>
    <w:rsid w:val="00306235"/>
    <w:rsid w:val="00307E61"/>
    <w:rsid w:val="00342594"/>
    <w:rsid w:val="00357933"/>
    <w:rsid w:val="00372380"/>
    <w:rsid w:val="003D0404"/>
    <w:rsid w:val="00461F74"/>
    <w:rsid w:val="00480E25"/>
    <w:rsid w:val="004A3836"/>
    <w:rsid w:val="004A7EE9"/>
    <w:rsid w:val="004C559D"/>
    <w:rsid w:val="004D2F31"/>
    <w:rsid w:val="00521428"/>
    <w:rsid w:val="00534FE6"/>
    <w:rsid w:val="00537485"/>
    <w:rsid w:val="005A0FB6"/>
    <w:rsid w:val="005A3597"/>
    <w:rsid w:val="005D635B"/>
    <w:rsid w:val="0061516F"/>
    <w:rsid w:val="00643677"/>
    <w:rsid w:val="0064429C"/>
    <w:rsid w:val="00654DE6"/>
    <w:rsid w:val="00667113"/>
    <w:rsid w:val="00675348"/>
    <w:rsid w:val="0067701B"/>
    <w:rsid w:val="006B29B4"/>
    <w:rsid w:val="006C0BA1"/>
    <w:rsid w:val="00745C64"/>
    <w:rsid w:val="00794F60"/>
    <w:rsid w:val="007E5791"/>
    <w:rsid w:val="00810842"/>
    <w:rsid w:val="00825154"/>
    <w:rsid w:val="008512DE"/>
    <w:rsid w:val="008D39A7"/>
    <w:rsid w:val="00993291"/>
    <w:rsid w:val="009E0271"/>
    <w:rsid w:val="009F6756"/>
    <w:rsid w:val="009F7554"/>
    <w:rsid w:val="00A11332"/>
    <w:rsid w:val="00A16C8E"/>
    <w:rsid w:val="00A20F42"/>
    <w:rsid w:val="00A4498C"/>
    <w:rsid w:val="00A575B4"/>
    <w:rsid w:val="00A6197F"/>
    <w:rsid w:val="00AF080E"/>
    <w:rsid w:val="00AF5A5C"/>
    <w:rsid w:val="00B111A7"/>
    <w:rsid w:val="00B1791A"/>
    <w:rsid w:val="00B50A16"/>
    <w:rsid w:val="00B85BE7"/>
    <w:rsid w:val="00B863D2"/>
    <w:rsid w:val="00BD5EA1"/>
    <w:rsid w:val="00BF1DEC"/>
    <w:rsid w:val="00BF3A7C"/>
    <w:rsid w:val="00C106F5"/>
    <w:rsid w:val="00C20697"/>
    <w:rsid w:val="00C926FD"/>
    <w:rsid w:val="00C92D97"/>
    <w:rsid w:val="00CB6804"/>
    <w:rsid w:val="00CC1CDB"/>
    <w:rsid w:val="00CC6117"/>
    <w:rsid w:val="00CE1577"/>
    <w:rsid w:val="00CF4B62"/>
    <w:rsid w:val="00D074CA"/>
    <w:rsid w:val="00DD1DFB"/>
    <w:rsid w:val="00DE3216"/>
    <w:rsid w:val="00E3195F"/>
    <w:rsid w:val="00F32E9E"/>
    <w:rsid w:val="00F33503"/>
    <w:rsid w:val="00F35DD0"/>
    <w:rsid w:val="00FA16CA"/>
    <w:rsid w:val="00FB4431"/>
    <w:rsid w:val="01390BCC"/>
    <w:rsid w:val="01635C49"/>
    <w:rsid w:val="018C1643"/>
    <w:rsid w:val="01AE0366"/>
    <w:rsid w:val="01D3338E"/>
    <w:rsid w:val="01D702F1"/>
    <w:rsid w:val="01EE5E5A"/>
    <w:rsid w:val="02162AB3"/>
    <w:rsid w:val="0227311A"/>
    <w:rsid w:val="02A56704"/>
    <w:rsid w:val="02CD1F13"/>
    <w:rsid w:val="02D768EE"/>
    <w:rsid w:val="02FE0C2D"/>
    <w:rsid w:val="030E6646"/>
    <w:rsid w:val="03433F84"/>
    <w:rsid w:val="035717DD"/>
    <w:rsid w:val="036C11D7"/>
    <w:rsid w:val="037203C5"/>
    <w:rsid w:val="0388663C"/>
    <w:rsid w:val="03B60BF9"/>
    <w:rsid w:val="03E55313"/>
    <w:rsid w:val="040556DD"/>
    <w:rsid w:val="043438CC"/>
    <w:rsid w:val="04373BCE"/>
    <w:rsid w:val="049D03CF"/>
    <w:rsid w:val="050B0AD1"/>
    <w:rsid w:val="05207670"/>
    <w:rsid w:val="056E4905"/>
    <w:rsid w:val="05A334B2"/>
    <w:rsid w:val="05BB6053"/>
    <w:rsid w:val="05CE5343"/>
    <w:rsid w:val="05E47022"/>
    <w:rsid w:val="05EE467B"/>
    <w:rsid w:val="05F40388"/>
    <w:rsid w:val="060317A8"/>
    <w:rsid w:val="0616772D"/>
    <w:rsid w:val="062C4511"/>
    <w:rsid w:val="063D7735"/>
    <w:rsid w:val="06475B39"/>
    <w:rsid w:val="0665067E"/>
    <w:rsid w:val="066D7CEE"/>
    <w:rsid w:val="067B3A34"/>
    <w:rsid w:val="06B07B82"/>
    <w:rsid w:val="06E93094"/>
    <w:rsid w:val="06EB2CA2"/>
    <w:rsid w:val="07135D29"/>
    <w:rsid w:val="0728596A"/>
    <w:rsid w:val="072B377A"/>
    <w:rsid w:val="07434552"/>
    <w:rsid w:val="076A5F83"/>
    <w:rsid w:val="07750484"/>
    <w:rsid w:val="078E05D8"/>
    <w:rsid w:val="07AD2313"/>
    <w:rsid w:val="08141278"/>
    <w:rsid w:val="081C72E0"/>
    <w:rsid w:val="082A3964"/>
    <w:rsid w:val="08391DD9"/>
    <w:rsid w:val="08601134"/>
    <w:rsid w:val="089341ED"/>
    <w:rsid w:val="08976FDC"/>
    <w:rsid w:val="089B610D"/>
    <w:rsid w:val="08C26A84"/>
    <w:rsid w:val="09183EFB"/>
    <w:rsid w:val="093F2850"/>
    <w:rsid w:val="094032D2"/>
    <w:rsid w:val="094523C3"/>
    <w:rsid w:val="09616F12"/>
    <w:rsid w:val="09954B45"/>
    <w:rsid w:val="099776C5"/>
    <w:rsid w:val="099B3A87"/>
    <w:rsid w:val="09C30BF6"/>
    <w:rsid w:val="09D0616C"/>
    <w:rsid w:val="09D122E9"/>
    <w:rsid w:val="0A261F09"/>
    <w:rsid w:val="0A2A19F9"/>
    <w:rsid w:val="0A85786E"/>
    <w:rsid w:val="0A9B46A5"/>
    <w:rsid w:val="0A9F23E7"/>
    <w:rsid w:val="0AB419B4"/>
    <w:rsid w:val="0AD35BED"/>
    <w:rsid w:val="0AF24B2C"/>
    <w:rsid w:val="0B161F7E"/>
    <w:rsid w:val="0B366593"/>
    <w:rsid w:val="0B521208"/>
    <w:rsid w:val="0B584B1B"/>
    <w:rsid w:val="0B593908"/>
    <w:rsid w:val="0BBC2B25"/>
    <w:rsid w:val="0BE62171"/>
    <w:rsid w:val="0BF04B2D"/>
    <w:rsid w:val="0C4F1BEB"/>
    <w:rsid w:val="0C917B0E"/>
    <w:rsid w:val="0C992DB4"/>
    <w:rsid w:val="0CAE6BD3"/>
    <w:rsid w:val="0CCA0F1D"/>
    <w:rsid w:val="0CCA3020"/>
    <w:rsid w:val="0CD07525"/>
    <w:rsid w:val="0CF87A5B"/>
    <w:rsid w:val="0D191655"/>
    <w:rsid w:val="0D1E2A5E"/>
    <w:rsid w:val="0DAE46EF"/>
    <w:rsid w:val="0DB66FD4"/>
    <w:rsid w:val="0E484A57"/>
    <w:rsid w:val="0E484B44"/>
    <w:rsid w:val="0E8822CA"/>
    <w:rsid w:val="0E8A6F0A"/>
    <w:rsid w:val="0E925DBF"/>
    <w:rsid w:val="0ECC7523"/>
    <w:rsid w:val="0F173D13"/>
    <w:rsid w:val="0F2072F1"/>
    <w:rsid w:val="0F2F65BF"/>
    <w:rsid w:val="0F397450"/>
    <w:rsid w:val="0F3D5516"/>
    <w:rsid w:val="0F48198A"/>
    <w:rsid w:val="0F56503F"/>
    <w:rsid w:val="0F5B1E97"/>
    <w:rsid w:val="0F61717E"/>
    <w:rsid w:val="0F790C96"/>
    <w:rsid w:val="0FAD3BA4"/>
    <w:rsid w:val="0FC24482"/>
    <w:rsid w:val="0FD30162"/>
    <w:rsid w:val="0FDE6E05"/>
    <w:rsid w:val="0FFD717C"/>
    <w:rsid w:val="100E0C17"/>
    <w:rsid w:val="101666E7"/>
    <w:rsid w:val="105E4F8B"/>
    <w:rsid w:val="106300D3"/>
    <w:rsid w:val="10665E17"/>
    <w:rsid w:val="108A31F2"/>
    <w:rsid w:val="108C6F6A"/>
    <w:rsid w:val="1090632E"/>
    <w:rsid w:val="10F01946"/>
    <w:rsid w:val="11017E3D"/>
    <w:rsid w:val="111807FE"/>
    <w:rsid w:val="113D3BAB"/>
    <w:rsid w:val="11651F8A"/>
    <w:rsid w:val="116F6CB9"/>
    <w:rsid w:val="117D2D56"/>
    <w:rsid w:val="11D8476B"/>
    <w:rsid w:val="1202500A"/>
    <w:rsid w:val="12111AA8"/>
    <w:rsid w:val="124F5E1C"/>
    <w:rsid w:val="12584AF5"/>
    <w:rsid w:val="125C0BBE"/>
    <w:rsid w:val="12621D96"/>
    <w:rsid w:val="127203E1"/>
    <w:rsid w:val="127622B5"/>
    <w:rsid w:val="128D0256"/>
    <w:rsid w:val="129B7938"/>
    <w:rsid w:val="12D9220E"/>
    <w:rsid w:val="12F40DF6"/>
    <w:rsid w:val="12FE7EC7"/>
    <w:rsid w:val="13074197"/>
    <w:rsid w:val="130F3E82"/>
    <w:rsid w:val="13103470"/>
    <w:rsid w:val="13174AE5"/>
    <w:rsid w:val="133A2492"/>
    <w:rsid w:val="133C038D"/>
    <w:rsid w:val="13657166"/>
    <w:rsid w:val="136715C8"/>
    <w:rsid w:val="13901EB6"/>
    <w:rsid w:val="13BB58F2"/>
    <w:rsid w:val="13C00C8F"/>
    <w:rsid w:val="13FD3CDB"/>
    <w:rsid w:val="14333BA0"/>
    <w:rsid w:val="143F2545"/>
    <w:rsid w:val="14484858"/>
    <w:rsid w:val="14A15D0C"/>
    <w:rsid w:val="14A800EA"/>
    <w:rsid w:val="14B7032D"/>
    <w:rsid w:val="14C50C9C"/>
    <w:rsid w:val="14EF3F6B"/>
    <w:rsid w:val="151B4D60"/>
    <w:rsid w:val="152027F9"/>
    <w:rsid w:val="15406575"/>
    <w:rsid w:val="15423EB4"/>
    <w:rsid w:val="155B4FE9"/>
    <w:rsid w:val="15EC60E2"/>
    <w:rsid w:val="160724FE"/>
    <w:rsid w:val="16534086"/>
    <w:rsid w:val="16921052"/>
    <w:rsid w:val="16965E04"/>
    <w:rsid w:val="16B11869"/>
    <w:rsid w:val="16DC051F"/>
    <w:rsid w:val="16F870F3"/>
    <w:rsid w:val="170B670F"/>
    <w:rsid w:val="171C4DC0"/>
    <w:rsid w:val="173E3593"/>
    <w:rsid w:val="17444F1B"/>
    <w:rsid w:val="174B2FAF"/>
    <w:rsid w:val="17622A6E"/>
    <w:rsid w:val="1776453A"/>
    <w:rsid w:val="178632FC"/>
    <w:rsid w:val="179B3F36"/>
    <w:rsid w:val="17B62B1E"/>
    <w:rsid w:val="17B65976"/>
    <w:rsid w:val="17CC6A19"/>
    <w:rsid w:val="18167A61"/>
    <w:rsid w:val="185903C9"/>
    <w:rsid w:val="185C3E44"/>
    <w:rsid w:val="18894E14"/>
    <w:rsid w:val="18916D99"/>
    <w:rsid w:val="18C337CC"/>
    <w:rsid w:val="18F52489"/>
    <w:rsid w:val="190D676E"/>
    <w:rsid w:val="19267FCC"/>
    <w:rsid w:val="198756C7"/>
    <w:rsid w:val="19C54D87"/>
    <w:rsid w:val="19D95A4D"/>
    <w:rsid w:val="19EC68E0"/>
    <w:rsid w:val="19F65041"/>
    <w:rsid w:val="19FF3FB9"/>
    <w:rsid w:val="1A402B73"/>
    <w:rsid w:val="1A9F789A"/>
    <w:rsid w:val="1AB62E35"/>
    <w:rsid w:val="1AB916BC"/>
    <w:rsid w:val="1AC202FB"/>
    <w:rsid w:val="1B1D634E"/>
    <w:rsid w:val="1B64470D"/>
    <w:rsid w:val="1B950B23"/>
    <w:rsid w:val="1B9844B3"/>
    <w:rsid w:val="1BFC3A8A"/>
    <w:rsid w:val="1C365FDC"/>
    <w:rsid w:val="1C5462FD"/>
    <w:rsid w:val="1CAC44F0"/>
    <w:rsid w:val="1CB6711D"/>
    <w:rsid w:val="1CED082B"/>
    <w:rsid w:val="1D37025D"/>
    <w:rsid w:val="1D3F3F3C"/>
    <w:rsid w:val="1D3F5364"/>
    <w:rsid w:val="1D774CE9"/>
    <w:rsid w:val="1D951428"/>
    <w:rsid w:val="1D9C6312"/>
    <w:rsid w:val="1DD92674"/>
    <w:rsid w:val="1DDE2E7F"/>
    <w:rsid w:val="1DEB1048"/>
    <w:rsid w:val="1E3E2869"/>
    <w:rsid w:val="1E4D029E"/>
    <w:rsid w:val="1E5310C7"/>
    <w:rsid w:val="1E5908B8"/>
    <w:rsid w:val="1E7316F8"/>
    <w:rsid w:val="1E7828DC"/>
    <w:rsid w:val="1EAC07D7"/>
    <w:rsid w:val="1EB43B91"/>
    <w:rsid w:val="1F172AD3"/>
    <w:rsid w:val="1F55512D"/>
    <w:rsid w:val="1F6A5C17"/>
    <w:rsid w:val="200023E2"/>
    <w:rsid w:val="2054725F"/>
    <w:rsid w:val="2060790C"/>
    <w:rsid w:val="209F2041"/>
    <w:rsid w:val="20D34AD9"/>
    <w:rsid w:val="20F6042F"/>
    <w:rsid w:val="20FF1092"/>
    <w:rsid w:val="21020B82"/>
    <w:rsid w:val="211A616C"/>
    <w:rsid w:val="215A1609"/>
    <w:rsid w:val="21766415"/>
    <w:rsid w:val="21777AFA"/>
    <w:rsid w:val="21817CF9"/>
    <w:rsid w:val="2185124D"/>
    <w:rsid w:val="218D482A"/>
    <w:rsid w:val="21D52682"/>
    <w:rsid w:val="21F20BF7"/>
    <w:rsid w:val="22435379"/>
    <w:rsid w:val="22745AB0"/>
    <w:rsid w:val="227B6E3E"/>
    <w:rsid w:val="22817D10"/>
    <w:rsid w:val="22A650E4"/>
    <w:rsid w:val="22C32593"/>
    <w:rsid w:val="22EC232D"/>
    <w:rsid w:val="2301752E"/>
    <w:rsid w:val="231D1CA3"/>
    <w:rsid w:val="231E77CA"/>
    <w:rsid w:val="233A0AA7"/>
    <w:rsid w:val="23765D77"/>
    <w:rsid w:val="24381AB6"/>
    <w:rsid w:val="244750BD"/>
    <w:rsid w:val="24572F93"/>
    <w:rsid w:val="246851A0"/>
    <w:rsid w:val="2484244C"/>
    <w:rsid w:val="24885842"/>
    <w:rsid w:val="24997018"/>
    <w:rsid w:val="24A73F1B"/>
    <w:rsid w:val="24FE4A9C"/>
    <w:rsid w:val="250B2D4D"/>
    <w:rsid w:val="251946ED"/>
    <w:rsid w:val="252B4B4C"/>
    <w:rsid w:val="25675458"/>
    <w:rsid w:val="258129BE"/>
    <w:rsid w:val="259D0E7A"/>
    <w:rsid w:val="25AD160A"/>
    <w:rsid w:val="25B222C3"/>
    <w:rsid w:val="25C263C9"/>
    <w:rsid w:val="260D5FFF"/>
    <w:rsid w:val="26437C73"/>
    <w:rsid w:val="264A1207"/>
    <w:rsid w:val="264F12C4"/>
    <w:rsid w:val="265006FF"/>
    <w:rsid w:val="2661634B"/>
    <w:rsid w:val="267F786F"/>
    <w:rsid w:val="26AD77E2"/>
    <w:rsid w:val="26BE72FA"/>
    <w:rsid w:val="26C47416"/>
    <w:rsid w:val="2722763A"/>
    <w:rsid w:val="27325720"/>
    <w:rsid w:val="2734580E"/>
    <w:rsid w:val="27423DF3"/>
    <w:rsid w:val="2749750B"/>
    <w:rsid w:val="27743E5C"/>
    <w:rsid w:val="2780766D"/>
    <w:rsid w:val="27906EE8"/>
    <w:rsid w:val="27912C60"/>
    <w:rsid w:val="27B0758A"/>
    <w:rsid w:val="27E72880"/>
    <w:rsid w:val="281A2C55"/>
    <w:rsid w:val="281E2746"/>
    <w:rsid w:val="282B648F"/>
    <w:rsid w:val="28357A8F"/>
    <w:rsid w:val="283A50A6"/>
    <w:rsid w:val="283C7070"/>
    <w:rsid w:val="288D78CB"/>
    <w:rsid w:val="28924EE2"/>
    <w:rsid w:val="28BE2AAF"/>
    <w:rsid w:val="28C064DB"/>
    <w:rsid w:val="28CD07A5"/>
    <w:rsid w:val="28D15A0A"/>
    <w:rsid w:val="28EA4406"/>
    <w:rsid w:val="29572952"/>
    <w:rsid w:val="297939AC"/>
    <w:rsid w:val="29A30F2E"/>
    <w:rsid w:val="29B017E5"/>
    <w:rsid w:val="29B03C50"/>
    <w:rsid w:val="29BD1AEA"/>
    <w:rsid w:val="29DA6B40"/>
    <w:rsid w:val="29F224B1"/>
    <w:rsid w:val="29F319B0"/>
    <w:rsid w:val="2A015CC3"/>
    <w:rsid w:val="2A284262"/>
    <w:rsid w:val="2A4D7EAF"/>
    <w:rsid w:val="2A5F2BA2"/>
    <w:rsid w:val="2A6308E4"/>
    <w:rsid w:val="2A6C52BE"/>
    <w:rsid w:val="2AAA0A3D"/>
    <w:rsid w:val="2AD73080"/>
    <w:rsid w:val="2B0D0850"/>
    <w:rsid w:val="2B1216DC"/>
    <w:rsid w:val="2B234315"/>
    <w:rsid w:val="2B374520"/>
    <w:rsid w:val="2B3A3ADD"/>
    <w:rsid w:val="2B4E3E18"/>
    <w:rsid w:val="2B634913"/>
    <w:rsid w:val="2B71265D"/>
    <w:rsid w:val="2B844FB6"/>
    <w:rsid w:val="2BA75936"/>
    <w:rsid w:val="2BBE1B4A"/>
    <w:rsid w:val="2BD43465"/>
    <w:rsid w:val="2C155C0E"/>
    <w:rsid w:val="2C1764C2"/>
    <w:rsid w:val="2C87238A"/>
    <w:rsid w:val="2CA413FD"/>
    <w:rsid w:val="2CA91E8E"/>
    <w:rsid w:val="2CB76CC5"/>
    <w:rsid w:val="2CC21BF8"/>
    <w:rsid w:val="2CCD2427"/>
    <w:rsid w:val="2CF50186"/>
    <w:rsid w:val="2CF8194C"/>
    <w:rsid w:val="2CFE1062"/>
    <w:rsid w:val="2D0237F7"/>
    <w:rsid w:val="2D06162C"/>
    <w:rsid w:val="2D1B36F8"/>
    <w:rsid w:val="2D216834"/>
    <w:rsid w:val="2D2325AC"/>
    <w:rsid w:val="2D344E89"/>
    <w:rsid w:val="2D4B2C12"/>
    <w:rsid w:val="2D5A127B"/>
    <w:rsid w:val="2D684463"/>
    <w:rsid w:val="2DC93BF6"/>
    <w:rsid w:val="2DFC3C86"/>
    <w:rsid w:val="2E04418C"/>
    <w:rsid w:val="2E2E1209"/>
    <w:rsid w:val="2E484CBF"/>
    <w:rsid w:val="2E5118B3"/>
    <w:rsid w:val="2E85043B"/>
    <w:rsid w:val="2E984EEC"/>
    <w:rsid w:val="2E9B6172"/>
    <w:rsid w:val="2EC67D1D"/>
    <w:rsid w:val="2EF15E9D"/>
    <w:rsid w:val="2EF15EC6"/>
    <w:rsid w:val="2F063ADD"/>
    <w:rsid w:val="2F0E4A59"/>
    <w:rsid w:val="2F1C004F"/>
    <w:rsid w:val="2F6824F8"/>
    <w:rsid w:val="2F8F5CD7"/>
    <w:rsid w:val="2FA32702"/>
    <w:rsid w:val="2FB27C17"/>
    <w:rsid w:val="2FB85728"/>
    <w:rsid w:val="300C7F98"/>
    <w:rsid w:val="30297D21"/>
    <w:rsid w:val="302A58DC"/>
    <w:rsid w:val="3086682A"/>
    <w:rsid w:val="30B17ECF"/>
    <w:rsid w:val="30EC74B4"/>
    <w:rsid w:val="30F6210B"/>
    <w:rsid w:val="30F73B34"/>
    <w:rsid w:val="3103697D"/>
    <w:rsid w:val="31434FCB"/>
    <w:rsid w:val="315E1E05"/>
    <w:rsid w:val="318C5DD7"/>
    <w:rsid w:val="319121DA"/>
    <w:rsid w:val="31EC2FD4"/>
    <w:rsid w:val="32033504"/>
    <w:rsid w:val="32055AD8"/>
    <w:rsid w:val="321D57E3"/>
    <w:rsid w:val="3229027F"/>
    <w:rsid w:val="324218CF"/>
    <w:rsid w:val="32512EB5"/>
    <w:rsid w:val="32621481"/>
    <w:rsid w:val="32787D08"/>
    <w:rsid w:val="32902492"/>
    <w:rsid w:val="32A41A99"/>
    <w:rsid w:val="32AC6BA0"/>
    <w:rsid w:val="32BD5483"/>
    <w:rsid w:val="32C30264"/>
    <w:rsid w:val="32CA7503"/>
    <w:rsid w:val="32E4458C"/>
    <w:rsid w:val="33101EB1"/>
    <w:rsid w:val="33192F4E"/>
    <w:rsid w:val="333723D2"/>
    <w:rsid w:val="334F4944"/>
    <w:rsid w:val="3369683F"/>
    <w:rsid w:val="337F7BD4"/>
    <w:rsid w:val="33960C1B"/>
    <w:rsid w:val="33CF0D98"/>
    <w:rsid w:val="33E374BD"/>
    <w:rsid w:val="33E75818"/>
    <w:rsid w:val="34104BEF"/>
    <w:rsid w:val="3411493D"/>
    <w:rsid w:val="34203BC5"/>
    <w:rsid w:val="344C1349"/>
    <w:rsid w:val="345E211C"/>
    <w:rsid w:val="348C374A"/>
    <w:rsid w:val="34926C1C"/>
    <w:rsid w:val="34E750E6"/>
    <w:rsid w:val="350E5C23"/>
    <w:rsid w:val="350F0F1C"/>
    <w:rsid w:val="353135B0"/>
    <w:rsid w:val="35352E7D"/>
    <w:rsid w:val="353E3789"/>
    <w:rsid w:val="35521C81"/>
    <w:rsid w:val="35887450"/>
    <w:rsid w:val="358B0CEF"/>
    <w:rsid w:val="35D97CAC"/>
    <w:rsid w:val="35E12AD8"/>
    <w:rsid w:val="35E246A2"/>
    <w:rsid w:val="35FF348B"/>
    <w:rsid w:val="36150687"/>
    <w:rsid w:val="361C403D"/>
    <w:rsid w:val="362311BF"/>
    <w:rsid w:val="367B5E16"/>
    <w:rsid w:val="36826A0F"/>
    <w:rsid w:val="368408E9"/>
    <w:rsid w:val="368F4EFF"/>
    <w:rsid w:val="36910587"/>
    <w:rsid w:val="36A06A1C"/>
    <w:rsid w:val="36BD137C"/>
    <w:rsid w:val="36CA1750"/>
    <w:rsid w:val="36CA54BD"/>
    <w:rsid w:val="36E605F6"/>
    <w:rsid w:val="370426FE"/>
    <w:rsid w:val="37050CF4"/>
    <w:rsid w:val="37350487"/>
    <w:rsid w:val="373B06D8"/>
    <w:rsid w:val="377B7D18"/>
    <w:rsid w:val="378679C0"/>
    <w:rsid w:val="37C87FD8"/>
    <w:rsid w:val="37E300CF"/>
    <w:rsid w:val="37E42938"/>
    <w:rsid w:val="37F52D97"/>
    <w:rsid w:val="37FC5ED4"/>
    <w:rsid w:val="380A307C"/>
    <w:rsid w:val="380F40CB"/>
    <w:rsid w:val="381D5F5E"/>
    <w:rsid w:val="381F2D22"/>
    <w:rsid w:val="384E0A2A"/>
    <w:rsid w:val="386F05F0"/>
    <w:rsid w:val="38AE3672"/>
    <w:rsid w:val="38B84F7E"/>
    <w:rsid w:val="38B8629F"/>
    <w:rsid w:val="38C4135D"/>
    <w:rsid w:val="392C0A3B"/>
    <w:rsid w:val="39AE6126"/>
    <w:rsid w:val="39B76556"/>
    <w:rsid w:val="39B86B48"/>
    <w:rsid w:val="39DD08FA"/>
    <w:rsid w:val="39FE23D7"/>
    <w:rsid w:val="3A045513"/>
    <w:rsid w:val="3A06258B"/>
    <w:rsid w:val="3A1E4827"/>
    <w:rsid w:val="3A292005"/>
    <w:rsid w:val="3A3706C8"/>
    <w:rsid w:val="3A395563"/>
    <w:rsid w:val="3A414072"/>
    <w:rsid w:val="3A736A70"/>
    <w:rsid w:val="3A82463A"/>
    <w:rsid w:val="3A98381F"/>
    <w:rsid w:val="3AA52853"/>
    <w:rsid w:val="3AC52EF5"/>
    <w:rsid w:val="3ACC7DDF"/>
    <w:rsid w:val="3AD44EE6"/>
    <w:rsid w:val="3AD6170C"/>
    <w:rsid w:val="3B0A550A"/>
    <w:rsid w:val="3B0C08EF"/>
    <w:rsid w:val="3B102C79"/>
    <w:rsid w:val="3B3061BC"/>
    <w:rsid w:val="3B5B6D10"/>
    <w:rsid w:val="3BAD136C"/>
    <w:rsid w:val="3BC431AC"/>
    <w:rsid w:val="3BD9032C"/>
    <w:rsid w:val="3BE12925"/>
    <w:rsid w:val="3C460CB6"/>
    <w:rsid w:val="3CC1149A"/>
    <w:rsid w:val="3CE67488"/>
    <w:rsid w:val="3CEA279F"/>
    <w:rsid w:val="3CF278A5"/>
    <w:rsid w:val="3D031AB2"/>
    <w:rsid w:val="3D4F2D5A"/>
    <w:rsid w:val="3D51281E"/>
    <w:rsid w:val="3D532A3A"/>
    <w:rsid w:val="3D736C38"/>
    <w:rsid w:val="3D802130"/>
    <w:rsid w:val="3DB47298"/>
    <w:rsid w:val="3DBC7969"/>
    <w:rsid w:val="3DED1ED8"/>
    <w:rsid w:val="3DED2D5A"/>
    <w:rsid w:val="3E157E27"/>
    <w:rsid w:val="3E35213F"/>
    <w:rsid w:val="3E3F2FBE"/>
    <w:rsid w:val="3E716FDE"/>
    <w:rsid w:val="3E7D623C"/>
    <w:rsid w:val="3E86665C"/>
    <w:rsid w:val="3EDB2F33"/>
    <w:rsid w:val="3F3146B5"/>
    <w:rsid w:val="3F5B7984"/>
    <w:rsid w:val="3F6921F6"/>
    <w:rsid w:val="3F9C30FC"/>
    <w:rsid w:val="3FB7520C"/>
    <w:rsid w:val="3FB90E32"/>
    <w:rsid w:val="3FBE7F13"/>
    <w:rsid w:val="3FC32955"/>
    <w:rsid w:val="3FD661FE"/>
    <w:rsid w:val="3FD85478"/>
    <w:rsid w:val="3FDA3ED5"/>
    <w:rsid w:val="3FEF0EFA"/>
    <w:rsid w:val="3FFD5F98"/>
    <w:rsid w:val="402E32EA"/>
    <w:rsid w:val="402E5098"/>
    <w:rsid w:val="40460634"/>
    <w:rsid w:val="40B41A41"/>
    <w:rsid w:val="40BE466E"/>
    <w:rsid w:val="41090912"/>
    <w:rsid w:val="410D1102"/>
    <w:rsid w:val="415A69D6"/>
    <w:rsid w:val="41605725"/>
    <w:rsid w:val="416B088F"/>
    <w:rsid w:val="4183663D"/>
    <w:rsid w:val="41CC3993"/>
    <w:rsid w:val="41CF6B06"/>
    <w:rsid w:val="41E73751"/>
    <w:rsid w:val="4214206C"/>
    <w:rsid w:val="425C5EED"/>
    <w:rsid w:val="425E0AD1"/>
    <w:rsid w:val="42752F6F"/>
    <w:rsid w:val="42B4772B"/>
    <w:rsid w:val="42B96D2C"/>
    <w:rsid w:val="42BB5FBC"/>
    <w:rsid w:val="42C86836"/>
    <w:rsid w:val="42E67EAC"/>
    <w:rsid w:val="43036368"/>
    <w:rsid w:val="433B77A1"/>
    <w:rsid w:val="434C0B60"/>
    <w:rsid w:val="43545F0C"/>
    <w:rsid w:val="438E2CAB"/>
    <w:rsid w:val="43943464"/>
    <w:rsid w:val="439B7B07"/>
    <w:rsid w:val="439E6E16"/>
    <w:rsid w:val="43BB3A2C"/>
    <w:rsid w:val="43C755E8"/>
    <w:rsid w:val="43CA52A7"/>
    <w:rsid w:val="43F959BD"/>
    <w:rsid w:val="43FB2CD2"/>
    <w:rsid w:val="44006D4C"/>
    <w:rsid w:val="442567B2"/>
    <w:rsid w:val="4427252A"/>
    <w:rsid w:val="4492209A"/>
    <w:rsid w:val="44954D00"/>
    <w:rsid w:val="44F9361D"/>
    <w:rsid w:val="450665E4"/>
    <w:rsid w:val="450D7972"/>
    <w:rsid w:val="452E7619"/>
    <w:rsid w:val="45563E88"/>
    <w:rsid w:val="45C73FC5"/>
    <w:rsid w:val="460F3276"/>
    <w:rsid w:val="462E4A80"/>
    <w:rsid w:val="46476EB4"/>
    <w:rsid w:val="46566503"/>
    <w:rsid w:val="46652B4D"/>
    <w:rsid w:val="46754DF4"/>
    <w:rsid w:val="4688374E"/>
    <w:rsid w:val="468F3DCD"/>
    <w:rsid w:val="46AA2F9F"/>
    <w:rsid w:val="46D41759"/>
    <w:rsid w:val="46E97F6B"/>
    <w:rsid w:val="4721555D"/>
    <w:rsid w:val="472745EF"/>
    <w:rsid w:val="47480144"/>
    <w:rsid w:val="474D7B61"/>
    <w:rsid w:val="47653A95"/>
    <w:rsid w:val="476B4E24"/>
    <w:rsid w:val="47767A51"/>
    <w:rsid w:val="47AD2D46"/>
    <w:rsid w:val="47BB751C"/>
    <w:rsid w:val="47CE5C82"/>
    <w:rsid w:val="47DC362C"/>
    <w:rsid w:val="47F308F3"/>
    <w:rsid w:val="48166B3E"/>
    <w:rsid w:val="481903DC"/>
    <w:rsid w:val="482A4C49"/>
    <w:rsid w:val="484B5CED"/>
    <w:rsid w:val="486A0584"/>
    <w:rsid w:val="4882061E"/>
    <w:rsid w:val="488241D3"/>
    <w:rsid w:val="48D50219"/>
    <w:rsid w:val="490B3DC5"/>
    <w:rsid w:val="490D6193"/>
    <w:rsid w:val="491034D6"/>
    <w:rsid w:val="492D37D0"/>
    <w:rsid w:val="49402A04"/>
    <w:rsid w:val="494924E9"/>
    <w:rsid w:val="49671354"/>
    <w:rsid w:val="496D09DF"/>
    <w:rsid w:val="49C9602C"/>
    <w:rsid w:val="4A0155CC"/>
    <w:rsid w:val="4A1D1CE5"/>
    <w:rsid w:val="4A505423"/>
    <w:rsid w:val="4A5961B8"/>
    <w:rsid w:val="4A76237D"/>
    <w:rsid w:val="4ABD7744"/>
    <w:rsid w:val="4AEB6714"/>
    <w:rsid w:val="4B4734B2"/>
    <w:rsid w:val="4B4C63A6"/>
    <w:rsid w:val="4BA946F3"/>
    <w:rsid w:val="4BB62E22"/>
    <w:rsid w:val="4C3103EA"/>
    <w:rsid w:val="4C415BD9"/>
    <w:rsid w:val="4C6175CA"/>
    <w:rsid w:val="4C6773CF"/>
    <w:rsid w:val="4C7D209D"/>
    <w:rsid w:val="4CAF2B20"/>
    <w:rsid w:val="4CB60487"/>
    <w:rsid w:val="4CCC0113"/>
    <w:rsid w:val="4CEF74AB"/>
    <w:rsid w:val="4D023B34"/>
    <w:rsid w:val="4D0B0C3B"/>
    <w:rsid w:val="4D586F55"/>
    <w:rsid w:val="4D6B071B"/>
    <w:rsid w:val="4DA4699A"/>
    <w:rsid w:val="4DAC584E"/>
    <w:rsid w:val="4DED276A"/>
    <w:rsid w:val="4DFA0FA3"/>
    <w:rsid w:val="4E092F93"/>
    <w:rsid w:val="4E1C29D4"/>
    <w:rsid w:val="4E4F2DA9"/>
    <w:rsid w:val="4E53061E"/>
    <w:rsid w:val="4EA03605"/>
    <w:rsid w:val="4EAE6662"/>
    <w:rsid w:val="4EBD70E1"/>
    <w:rsid w:val="4F0A57AC"/>
    <w:rsid w:val="4F1B2C8C"/>
    <w:rsid w:val="4F367AC5"/>
    <w:rsid w:val="4F493C9D"/>
    <w:rsid w:val="4F5730DA"/>
    <w:rsid w:val="4F7C7B9F"/>
    <w:rsid w:val="4F830FEF"/>
    <w:rsid w:val="4F986EB3"/>
    <w:rsid w:val="4FB23704"/>
    <w:rsid w:val="4FEC267D"/>
    <w:rsid w:val="500951DA"/>
    <w:rsid w:val="502C2E79"/>
    <w:rsid w:val="50447BFD"/>
    <w:rsid w:val="505521CD"/>
    <w:rsid w:val="508A00C9"/>
    <w:rsid w:val="5096796D"/>
    <w:rsid w:val="512651A9"/>
    <w:rsid w:val="51440692"/>
    <w:rsid w:val="51741B9B"/>
    <w:rsid w:val="51CD6C96"/>
    <w:rsid w:val="51CE2237"/>
    <w:rsid w:val="51E23E3F"/>
    <w:rsid w:val="52161077"/>
    <w:rsid w:val="52466271"/>
    <w:rsid w:val="529A036B"/>
    <w:rsid w:val="52B91E49"/>
    <w:rsid w:val="52F061DD"/>
    <w:rsid w:val="530E3233"/>
    <w:rsid w:val="5311062D"/>
    <w:rsid w:val="53315AE3"/>
    <w:rsid w:val="536015B5"/>
    <w:rsid w:val="537845DC"/>
    <w:rsid w:val="5379208F"/>
    <w:rsid w:val="53990EA4"/>
    <w:rsid w:val="53A65BF5"/>
    <w:rsid w:val="53AC46F8"/>
    <w:rsid w:val="53D54EBA"/>
    <w:rsid w:val="53E268C3"/>
    <w:rsid w:val="540957A8"/>
    <w:rsid w:val="542228C6"/>
    <w:rsid w:val="544762D1"/>
    <w:rsid w:val="544F7C8D"/>
    <w:rsid w:val="54576514"/>
    <w:rsid w:val="545D5D5F"/>
    <w:rsid w:val="54A42A94"/>
    <w:rsid w:val="54B35714"/>
    <w:rsid w:val="54CA155E"/>
    <w:rsid w:val="54DC2EBD"/>
    <w:rsid w:val="54EC4E0C"/>
    <w:rsid w:val="54FB4AFB"/>
    <w:rsid w:val="557A229B"/>
    <w:rsid w:val="55945546"/>
    <w:rsid w:val="55AA5538"/>
    <w:rsid w:val="55BB6F76"/>
    <w:rsid w:val="55DA73FC"/>
    <w:rsid w:val="561623FF"/>
    <w:rsid w:val="562008BE"/>
    <w:rsid w:val="562D7071"/>
    <w:rsid w:val="563F277C"/>
    <w:rsid w:val="56740099"/>
    <w:rsid w:val="5675239F"/>
    <w:rsid w:val="56811F6E"/>
    <w:rsid w:val="56CF5BAD"/>
    <w:rsid w:val="56EA1935"/>
    <w:rsid w:val="57120E18"/>
    <w:rsid w:val="573C440F"/>
    <w:rsid w:val="57610B38"/>
    <w:rsid w:val="576A357E"/>
    <w:rsid w:val="579F0B0E"/>
    <w:rsid w:val="57B233AD"/>
    <w:rsid w:val="58144E4D"/>
    <w:rsid w:val="58252141"/>
    <w:rsid w:val="58433EFC"/>
    <w:rsid w:val="589075B2"/>
    <w:rsid w:val="58AE4B70"/>
    <w:rsid w:val="58C07CD8"/>
    <w:rsid w:val="58CA3CA0"/>
    <w:rsid w:val="58CF5213"/>
    <w:rsid w:val="58D8399B"/>
    <w:rsid w:val="58FB1ADD"/>
    <w:rsid w:val="59153B5D"/>
    <w:rsid w:val="592D3CE7"/>
    <w:rsid w:val="594D4389"/>
    <w:rsid w:val="59657925"/>
    <w:rsid w:val="597D4C6F"/>
    <w:rsid w:val="59A809A7"/>
    <w:rsid w:val="5A191BFC"/>
    <w:rsid w:val="5A236E98"/>
    <w:rsid w:val="5A2B2AA1"/>
    <w:rsid w:val="5A80766E"/>
    <w:rsid w:val="5A8E4C59"/>
    <w:rsid w:val="5AA955EF"/>
    <w:rsid w:val="5AD140C2"/>
    <w:rsid w:val="5ADF54B5"/>
    <w:rsid w:val="5B0129D2"/>
    <w:rsid w:val="5B1F58B2"/>
    <w:rsid w:val="5B2051F8"/>
    <w:rsid w:val="5B2C1B04"/>
    <w:rsid w:val="5B411CCC"/>
    <w:rsid w:val="5B4672E2"/>
    <w:rsid w:val="5B607711"/>
    <w:rsid w:val="5B7B0C8C"/>
    <w:rsid w:val="5B9004A9"/>
    <w:rsid w:val="5BB26726"/>
    <w:rsid w:val="5BCC3C8B"/>
    <w:rsid w:val="5BD87E1A"/>
    <w:rsid w:val="5BDB3ECE"/>
    <w:rsid w:val="5C2C297C"/>
    <w:rsid w:val="5C2E5E2B"/>
    <w:rsid w:val="5C317F92"/>
    <w:rsid w:val="5C3D76F7"/>
    <w:rsid w:val="5C4E644E"/>
    <w:rsid w:val="5C50666A"/>
    <w:rsid w:val="5C741C2D"/>
    <w:rsid w:val="5CD54DC2"/>
    <w:rsid w:val="5D0E3988"/>
    <w:rsid w:val="5D4639E9"/>
    <w:rsid w:val="5DCF4CE6"/>
    <w:rsid w:val="5E3372CA"/>
    <w:rsid w:val="5E385608"/>
    <w:rsid w:val="5E3D49CC"/>
    <w:rsid w:val="5E6329AA"/>
    <w:rsid w:val="5EB033F3"/>
    <w:rsid w:val="5ECE1A9D"/>
    <w:rsid w:val="5F2E7821"/>
    <w:rsid w:val="5F5A36E6"/>
    <w:rsid w:val="5F5B5BBD"/>
    <w:rsid w:val="5F7F1015"/>
    <w:rsid w:val="5F8E1411"/>
    <w:rsid w:val="5FE2109B"/>
    <w:rsid w:val="5FE33352"/>
    <w:rsid w:val="5FF612D7"/>
    <w:rsid w:val="601259E5"/>
    <w:rsid w:val="602F4FB1"/>
    <w:rsid w:val="60401D7E"/>
    <w:rsid w:val="605B55DE"/>
    <w:rsid w:val="606A21EF"/>
    <w:rsid w:val="60967EFD"/>
    <w:rsid w:val="60FE6547"/>
    <w:rsid w:val="611A0FF5"/>
    <w:rsid w:val="611A74F8"/>
    <w:rsid w:val="618B3CA1"/>
    <w:rsid w:val="61D416EB"/>
    <w:rsid w:val="61EE5FDE"/>
    <w:rsid w:val="621243C2"/>
    <w:rsid w:val="622B3CC8"/>
    <w:rsid w:val="624D53FA"/>
    <w:rsid w:val="625B345C"/>
    <w:rsid w:val="62607F89"/>
    <w:rsid w:val="62742E05"/>
    <w:rsid w:val="62797CCB"/>
    <w:rsid w:val="62C03E1E"/>
    <w:rsid w:val="62C55BF8"/>
    <w:rsid w:val="62D00233"/>
    <w:rsid w:val="62E0007D"/>
    <w:rsid w:val="630261E5"/>
    <w:rsid w:val="63207519"/>
    <w:rsid w:val="633E5D0E"/>
    <w:rsid w:val="633F075C"/>
    <w:rsid w:val="636104DF"/>
    <w:rsid w:val="63672556"/>
    <w:rsid w:val="63BE65AF"/>
    <w:rsid w:val="63CD05A1"/>
    <w:rsid w:val="63F91396"/>
    <w:rsid w:val="64462101"/>
    <w:rsid w:val="64580F39"/>
    <w:rsid w:val="64714549"/>
    <w:rsid w:val="64925346"/>
    <w:rsid w:val="64BE7686"/>
    <w:rsid w:val="64E75692"/>
    <w:rsid w:val="65292ADA"/>
    <w:rsid w:val="65411462"/>
    <w:rsid w:val="6562740E"/>
    <w:rsid w:val="657F1D6E"/>
    <w:rsid w:val="65807F11"/>
    <w:rsid w:val="65A83860"/>
    <w:rsid w:val="65E73470"/>
    <w:rsid w:val="65FF5256"/>
    <w:rsid w:val="660003DF"/>
    <w:rsid w:val="66163F22"/>
    <w:rsid w:val="661A3845"/>
    <w:rsid w:val="661F6BCE"/>
    <w:rsid w:val="662326FA"/>
    <w:rsid w:val="664B19F6"/>
    <w:rsid w:val="669632FD"/>
    <w:rsid w:val="66990C0E"/>
    <w:rsid w:val="66A001EE"/>
    <w:rsid w:val="66AD46B9"/>
    <w:rsid w:val="66AD6467"/>
    <w:rsid w:val="66D81CBE"/>
    <w:rsid w:val="67095D94"/>
    <w:rsid w:val="67097259"/>
    <w:rsid w:val="674B1DDA"/>
    <w:rsid w:val="67575D48"/>
    <w:rsid w:val="67857A77"/>
    <w:rsid w:val="678E732F"/>
    <w:rsid w:val="67C223E6"/>
    <w:rsid w:val="67FB5CA7"/>
    <w:rsid w:val="68386205"/>
    <w:rsid w:val="68B97345"/>
    <w:rsid w:val="68C53F3C"/>
    <w:rsid w:val="68C8319A"/>
    <w:rsid w:val="68DA7501"/>
    <w:rsid w:val="68EC770F"/>
    <w:rsid w:val="68F61C37"/>
    <w:rsid w:val="69374DA8"/>
    <w:rsid w:val="696C43B8"/>
    <w:rsid w:val="697019C4"/>
    <w:rsid w:val="69B33D95"/>
    <w:rsid w:val="6A135B72"/>
    <w:rsid w:val="6A1C5DDE"/>
    <w:rsid w:val="6A4315BC"/>
    <w:rsid w:val="6A5B7A15"/>
    <w:rsid w:val="6A611A43"/>
    <w:rsid w:val="6A801564"/>
    <w:rsid w:val="6AA933EA"/>
    <w:rsid w:val="6AB204F0"/>
    <w:rsid w:val="6AB44268"/>
    <w:rsid w:val="6ACD532A"/>
    <w:rsid w:val="6ADA17F5"/>
    <w:rsid w:val="6AF428B7"/>
    <w:rsid w:val="6AF61B39"/>
    <w:rsid w:val="6B3C54D1"/>
    <w:rsid w:val="6B661DCF"/>
    <w:rsid w:val="6B685053"/>
    <w:rsid w:val="6B6A0DCB"/>
    <w:rsid w:val="6B97507E"/>
    <w:rsid w:val="6B9D486E"/>
    <w:rsid w:val="6BE41585"/>
    <w:rsid w:val="6BE448DA"/>
    <w:rsid w:val="6C313FB6"/>
    <w:rsid w:val="6C353187"/>
    <w:rsid w:val="6C4F5FC2"/>
    <w:rsid w:val="6C5758FC"/>
    <w:rsid w:val="6C6D2047"/>
    <w:rsid w:val="6C890001"/>
    <w:rsid w:val="6CA6638E"/>
    <w:rsid w:val="6CF748E0"/>
    <w:rsid w:val="6D0112BB"/>
    <w:rsid w:val="6D1B2991"/>
    <w:rsid w:val="6D326C36"/>
    <w:rsid w:val="6D417EF8"/>
    <w:rsid w:val="6D743E47"/>
    <w:rsid w:val="6D9143ED"/>
    <w:rsid w:val="6DDF784E"/>
    <w:rsid w:val="6E121CF8"/>
    <w:rsid w:val="6E4246FC"/>
    <w:rsid w:val="6E4D0FEC"/>
    <w:rsid w:val="6E5D26E3"/>
    <w:rsid w:val="6E646E21"/>
    <w:rsid w:val="6E686D5E"/>
    <w:rsid w:val="6E6A744D"/>
    <w:rsid w:val="6E6B63FE"/>
    <w:rsid w:val="6EB83BFB"/>
    <w:rsid w:val="6EDF23F9"/>
    <w:rsid w:val="6EF15C03"/>
    <w:rsid w:val="6EFC61DE"/>
    <w:rsid w:val="6F0D3F9D"/>
    <w:rsid w:val="6F317299"/>
    <w:rsid w:val="6F4F7F03"/>
    <w:rsid w:val="6F7264A0"/>
    <w:rsid w:val="6FBD3BBF"/>
    <w:rsid w:val="6FC00346"/>
    <w:rsid w:val="6FC565D0"/>
    <w:rsid w:val="6FD16457"/>
    <w:rsid w:val="6FFB46E7"/>
    <w:rsid w:val="70272E83"/>
    <w:rsid w:val="70366D4F"/>
    <w:rsid w:val="70460C27"/>
    <w:rsid w:val="705D4A5A"/>
    <w:rsid w:val="706B0D2A"/>
    <w:rsid w:val="706C28D8"/>
    <w:rsid w:val="70950698"/>
    <w:rsid w:val="70A002BE"/>
    <w:rsid w:val="70C60851"/>
    <w:rsid w:val="7134411F"/>
    <w:rsid w:val="71436346"/>
    <w:rsid w:val="716D50B9"/>
    <w:rsid w:val="71D50610"/>
    <w:rsid w:val="71DB4DD5"/>
    <w:rsid w:val="71FF0C1C"/>
    <w:rsid w:val="72192C03"/>
    <w:rsid w:val="723808C3"/>
    <w:rsid w:val="726F4F19"/>
    <w:rsid w:val="727036C5"/>
    <w:rsid w:val="72760FCE"/>
    <w:rsid w:val="72821D7D"/>
    <w:rsid w:val="729237CF"/>
    <w:rsid w:val="72964253"/>
    <w:rsid w:val="731955B0"/>
    <w:rsid w:val="73257994"/>
    <w:rsid w:val="733C304D"/>
    <w:rsid w:val="734A0266"/>
    <w:rsid w:val="735C724B"/>
    <w:rsid w:val="737C5B3F"/>
    <w:rsid w:val="738D38A8"/>
    <w:rsid w:val="73A81128"/>
    <w:rsid w:val="73D75CD0"/>
    <w:rsid w:val="73E42448"/>
    <w:rsid w:val="73ED552F"/>
    <w:rsid w:val="73F964F1"/>
    <w:rsid w:val="74123DAE"/>
    <w:rsid w:val="7441186B"/>
    <w:rsid w:val="745574FA"/>
    <w:rsid w:val="747334F4"/>
    <w:rsid w:val="747D391D"/>
    <w:rsid w:val="74A0243F"/>
    <w:rsid w:val="74B16EE4"/>
    <w:rsid w:val="74B33703"/>
    <w:rsid w:val="74C432FA"/>
    <w:rsid w:val="74D07C29"/>
    <w:rsid w:val="74E92D60"/>
    <w:rsid w:val="74EC504D"/>
    <w:rsid w:val="74F160B9"/>
    <w:rsid w:val="74F34F80"/>
    <w:rsid w:val="750F3630"/>
    <w:rsid w:val="752C0E9F"/>
    <w:rsid w:val="753D1A4A"/>
    <w:rsid w:val="754507E8"/>
    <w:rsid w:val="757F7487"/>
    <w:rsid w:val="75814D02"/>
    <w:rsid w:val="75875A12"/>
    <w:rsid w:val="759676DE"/>
    <w:rsid w:val="75AF3FAA"/>
    <w:rsid w:val="75B33775"/>
    <w:rsid w:val="760D0C18"/>
    <w:rsid w:val="764B64E0"/>
    <w:rsid w:val="764F12E9"/>
    <w:rsid w:val="767C7C9A"/>
    <w:rsid w:val="76905FEA"/>
    <w:rsid w:val="769737D5"/>
    <w:rsid w:val="76A01B45"/>
    <w:rsid w:val="76A05772"/>
    <w:rsid w:val="771E6864"/>
    <w:rsid w:val="774C0100"/>
    <w:rsid w:val="774C5829"/>
    <w:rsid w:val="77AF017F"/>
    <w:rsid w:val="77D9530E"/>
    <w:rsid w:val="77D96A44"/>
    <w:rsid w:val="781B5927"/>
    <w:rsid w:val="78666D4A"/>
    <w:rsid w:val="787C3F24"/>
    <w:rsid w:val="78B35B5F"/>
    <w:rsid w:val="78D22081"/>
    <w:rsid w:val="78D85EC6"/>
    <w:rsid w:val="78EA70A7"/>
    <w:rsid w:val="79165265"/>
    <w:rsid w:val="794A45BF"/>
    <w:rsid w:val="79825532"/>
    <w:rsid w:val="79C8388C"/>
    <w:rsid w:val="79D57D57"/>
    <w:rsid w:val="79EF82A1"/>
    <w:rsid w:val="79F3642F"/>
    <w:rsid w:val="79FC785E"/>
    <w:rsid w:val="7A0B126C"/>
    <w:rsid w:val="7A21277F"/>
    <w:rsid w:val="7A561344"/>
    <w:rsid w:val="7A57076C"/>
    <w:rsid w:val="7A6E5A47"/>
    <w:rsid w:val="7A8B7078"/>
    <w:rsid w:val="7AA65250"/>
    <w:rsid w:val="7ABA1ED0"/>
    <w:rsid w:val="7ABD7B02"/>
    <w:rsid w:val="7B2205F6"/>
    <w:rsid w:val="7B310FBD"/>
    <w:rsid w:val="7B51340D"/>
    <w:rsid w:val="7B6E3FBF"/>
    <w:rsid w:val="7B7956DC"/>
    <w:rsid w:val="7B907916"/>
    <w:rsid w:val="7BC571F4"/>
    <w:rsid w:val="7C02295A"/>
    <w:rsid w:val="7C0E7550"/>
    <w:rsid w:val="7C570EF7"/>
    <w:rsid w:val="7C6B6751"/>
    <w:rsid w:val="7C961A20"/>
    <w:rsid w:val="7CC320E9"/>
    <w:rsid w:val="7CE54755"/>
    <w:rsid w:val="7CF229CE"/>
    <w:rsid w:val="7CF624BE"/>
    <w:rsid w:val="7CF71650"/>
    <w:rsid w:val="7D227DEE"/>
    <w:rsid w:val="7D3C4CF8"/>
    <w:rsid w:val="7D5C1013"/>
    <w:rsid w:val="7D780043"/>
    <w:rsid w:val="7D99109C"/>
    <w:rsid w:val="7DB12710"/>
    <w:rsid w:val="7DCB1FD7"/>
    <w:rsid w:val="7DDE2EB7"/>
    <w:rsid w:val="7DF85F4F"/>
    <w:rsid w:val="7E4C7008"/>
    <w:rsid w:val="7E525835"/>
    <w:rsid w:val="7E595F45"/>
    <w:rsid w:val="7ECD5A97"/>
    <w:rsid w:val="7F3202B3"/>
    <w:rsid w:val="7F535BE3"/>
    <w:rsid w:val="7F6058DD"/>
    <w:rsid w:val="7F6F0306"/>
    <w:rsid w:val="7FD15DD6"/>
    <w:rsid w:val="7FDF723A"/>
    <w:rsid w:val="7FF01447"/>
    <w:rsid w:val="BDCE2E2D"/>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qFormat="1"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qFormat="1" w:unhideWhenUsed="0" w:uiPriority="99" w:semiHidden="0" w:name="toa heading"/>
    <w:lsdException w:qFormat="1"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99"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qFormat="1"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qFormat="1" w:unhideWhenUsed="0" w:uiPriority="0" w:semiHidden="0" w:name="Table List 8"/>
    <w:lsdException w:qFormat="1" w:unhideWhenUsed="0" w:uiPriority="0" w:semiHidden="0" w:name="Table 3D effects 1"/>
    <w:lsdException w:qFormat="1" w:unhideWhenUsed="0" w:uiPriority="0" w:semiHidden="0" w:name="Table 3D effects 2"/>
    <w:lsdException w:qFormat="1" w:unhideWhenUsed="0" w:uiPriority="0" w:semiHidden="0"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qFormat="1" w:unhideWhenUsed="0" w:uiPriority="0" w:semiHidden="0" w:name="Table Web 2"/>
    <w:lsdException w:qFormat="1"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223"/>
    <w:qFormat/>
    <w:uiPriority w:val="0"/>
    <w:pPr>
      <w:keepNext/>
      <w:numPr>
        <w:ilvl w:val="0"/>
        <w:numId w:val="1"/>
      </w:numPr>
      <w:jc w:val="center"/>
      <w:outlineLvl w:val="0"/>
    </w:pPr>
    <w:rPr>
      <w:b/>
      <w:sz w:val="24"/>
    </w:rPr>
  </w:style>
  <w:style w:type="paragraph" w:styleId="4">
    <w:name w:val="heading 2"/>
    <w:basedOn w:val="1"/>
    <w:next w:val="1"/>
    <w:link w:val="227"/>
    <w:qFormat/>
    <w:uiPriority w:val="0"/>
    <w:pPr>
      <w:keepNext/>
      <w:keepLines/>
      <w:spacing w:before="260" w:after="260" w:line="416" w:lineRule="auto"/>
      <w:jc w:val="center"/>
      <w:outlineLvl w:val="1"/>
    </w:pPr>
    <w:rPr>
      <w:rFonts w:ascii="Arial" w:hAnsi="Arial" w:eastAsia="黑体"/>
      <w:b/>
      <w:sz w:val="32"/>
    </w:rPr>
  </w:style>
  <w:style w:type="paragraph" w:styleId="5">
    <w:name w:val="heading 3"/>
    <w:basedOn w:val="1"/>
    <w:next w:val="1"/>
    <w:qFormat/>
    <w:uiPriority w:val="0"/>
    <w:pPr>
      <w:keepNext/>
      <w:keepLines/>
      <w:spacing w:before="260" w:after="260" w:line="416" w:lineRule="auto"/>
      <w:outlineLvl w:val="2"/>
    </w:pPr>
    <w:rPr>
      <w:b/>
      <w:bCs/>
      <w:sz w:val="32"/>
      <w:szCs w:val="32"/>
    </w:rPr>
  </w:style>
  <w:style w:type="paragraph" w:styleId="6">
    <w:name w:val="heading 4"/>
    <w:basedOn w:val="1"/>
    <w:next w:val="1"/>
    <w:link w:val="240"/>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219"/>
    <w:qFormat/>
    <w:uiPriority w:val="0"/>
    <w:pPr>
      <w:keepNext/>
      <w:keepLines/>
      <w:tabs>
        <w:tab w:val="left" w:pos="1440"/>
      </w:tabs>
      <w:spacing w:before="280" w:after="290" w:line="372" w:lineRule="auto"/>
      <w:ind w:left="1440" w:hanging="900"/>
      <w:outlineLvl w:val="4"/>
    </w:pPr>
    <w:rPr>
      <w:b/>
      <w:sz w:val="28"/>
    </w:rPr>
  </w:style>
  <w:style w:type="paragraph" w:styleId="8">
    <w:name w:val="heading 6"/>
    <w:basedOn w:val="1"/>
    <w:next w:val="1"/>
    <w:link w:val="218"/>
    <w:qFormat/>
    <w:uiPriority w:val="0"/>
    <w:pPr>
      <w:keepNext/>
      <w:keepLines/>
      <w:tabs>
        <w:tab w:val="left" w:pos="1440"/>
      </w:tabs>
      <w:spacing w:before="240" w:after="64" w:line="317" w:lineRule="auto"/>
      <w:ind w:left="1440" w:hanging="900"/>
      <w:outlineLvl w:val="5"/>
    </w:pPr>
    <w:rPr>
      <w:rFonts w:ascii="Arial" w:hAnsi="Arial" w:eastAsia="黑体"/>
      <w:b/>
      <w:sz w:val="24"/>
    </w:rPr>
  </w:style>
  <w:style w:type="paragraph" w:styleId="9">
    <w:name w:val="heading 7"/>
    <w:basedOn w:val="1"/>
    <w:next w:val="1"/>
    <w:link w:val="217"/>
    <w:qFormat/>
    <w:uiPriority w:val="0"/>
    <w:pPr>
      <w:keepNext/>
      <w:keepLines/>
      <w:tabs>
        <w:tab w:val="left" w:pos="1440"/>
      </w:tabs>
      <w:spacing w:before="240" w:after="64" w:line="317" w:lineRule="auto"/>
      <w:ind w:left="1440" w:hanging="900"/>
      <w:outlineLvl w:val="6"/>
    </w:pPr>
    <w:rPr>
      <w:b/>
      <w:sz w:val="24"/>
    </w:rPr>
  </w:style>
  <w:style w:type="paragraph" w:styleId="10">
    <w:name w:val="heading 8"/>
    <w:basedOn w:val="1"/>
    <w:next w:val="1"/>
    <w:link w:val="216"/>
    <w:qFormat/>
    <w:uiPriority w:val="0"/>
    <w:pPr>
      <w:keepNext/>
      <w:keepLines/>
      <w:tabs>
        <w:tab w:val="left" w:pos="1440"/>
      </w:tabs>
      <w:spacing w:before="240" w:after="64" w:line="317" w:lineRule="auto"/>
      <w:ind w:left="1440" w:hanging="900"/>
      <w:outlineLvl w:val="7"/>
    </w:pPr>
    <w:rPr>
      <w:rFonts w:ascii="Arial" w:hAnsi="Arial" w:eastAsia="黑体"/>
      <w:sz w:val="24"/>
    </w:rPr>
  </w:style>
  <w:style w:type="paragraph" w:styleId="11">
    <w:name w:val="heading 9"/>
    <w:basedOn w:val="1"/>
    <w:next w:val="1"/>
    <w:link w:val="215"/>
    <w:qFormat/>
    <w:uiPriority w:val="0"/>
    <w:pPr>
      <w:keepNext/>
      <w:keepLines/>
      <w:tabs>
        <w:tab w:val="left" w:pos="1440"/>
      </w:tabs>
      <w:spacing w:before="240" w:after="64" w:line="317" w:lineRule="auto"/>
      <w:ind w:left="1440" w:hanging="900"/>
      <w:outlineLvl w:val="8"/>
    </w:pPr>
    <w:rPr>
      <w:rFonts w:ascii="Arial" w:hAnsi="Arial" w:eastAsia="黑体"/>
    </w:rPr>
  </w:style>
  <w:style w:type="character" w:default="1" w:styleId="123">
    <w:name w:val="Default Paragraph Font"/>
    <w:semiHidden/>
    <w:unhideWhenUsed/>
    <w:qFormat/>
    <w:uiPriority w:val="1"/>
  </w:style>
  <w:style w:type="table" w:default="1" w:styleId="7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210"/>
    <w:qFormat/>
    <w:uiPriority w:val="0"/>
    <w:rPr>
      <w:rFonts w:ascii="Arial" w:hAnsi="Arial"/>
      <w:sz w:val="24"/>
    </w:rPr>
  </w:style>
  <w:style w:type="paragraph" w:styleId="12">
    <w:name w:val="List 3"/>
    <w:basedOn w:val="1"/>
    <w:qFormat/>
    <w:uiPriority w:val="0"/>
    <w:pPr>
      <w:adjustRightInd w:val="0"/>
      <w:spacing w:line="360" w:lineRule="auto"/>
      <w:ind w:left="100" w:leftChars="400" w:hanging="200" w:hangingChars="200"/>
      <w:textAlignment w:val="baseline"/>
    </w:pPr>
    <w:rPr>
      <w:rFonts w:ascii="宋体" w:eastAsia="仿宋"/>
      <w:kern w:val="0"/>
      <w:sz w:val="28"/>
      <w:szCs w:val="21"/>
    </w:rPr>
  </w:style>
  <w:style w:type="paragraph" w:styleId="13">
    <w:name w:val="toc 7"/>
    <w:basedOn w:val="1"/>
    <w:next w:val="1"/>
    <w:qFormat/>
    <w:uiPriority w:val="0"/>
    <w:pPr>
      <w:adjustRightInd w:val="0"/>
      <w:spacing w:line="360" w:lineRule="auto"/>
      <w:ind w:left="1440"/>
      <w:jc w:val="left"/>
      <w:textAlignment w:val="baseline"/>
    </w:pPr>
    <w:rPr>
      <w:rFonts w:ascii="Calibri" w:hAnsi="Calibri" w:eastAsia="仿宋"/>
      <w:kern w:val="0"/>
      <w:sz w:val="18"/>
      <w:szCs w:val="18"/>
    </w:rPr>
  </w:style>
  <w:style w:type="paragraph" w:styleId="14">
    <w:name w:val="List Number 2"/>
    <w:basedOn w:val="1"/>
    <w:qFormat/>
    <w:uiPriority w:val="0"/>
    <w:pPr>
      <w:tabs>
        <w:tab w:val="left" w:pos="780"/>
      </w:tabs>
      <w:adjustRightInd w:val="0"/>
      <w:spacing w:line="360" w:lineRule="auto"/>
      <w:ind w:left="780" w:hanging="360"/>
      <w:textAlignment w:val="baseline"/>
    </w:pPr>
    <w:rPr>
      <w:rFonts w:ascii="宋体" w:eastAsia="仿宋"/>
      <w:kern w:val="0"/>
      <w:sz w:val="28"/>
      <w:szCs w:val="21"/>
    </w:rPr>
  </w:style>
  <w:style w:type="paragraph" w:styleId="15">
    <w:name w:val="Note Heading"/>
    <w:basedOn w:val="1"/>
    <w:next w:val="1"/>
    <w:link w:val="214"/>
    <w:qFormat/>
    <w:uiPriority w:val="0"/>
    <w:pPr>
      <w:adjustRightInd w:val="0"/>
      <w:spacing w:line="360" w:lineRule="auto"/>
      <w:jc w:val="center"/>
      <w:textAlignment w:val="baseline"/>
    </w:pPr>
    <w:rPr>
      <w:rFonts w:ascii="宋体" w:eastAsia="仿宋"/>
      <w:kern w:val="0"/>
      <w:sz w:val="28"/>
      <w:szCs w:val="21"/>
    </w:rPr>
  </w:style>
  <w:style w:type="paragraph" w:styleId="16">
    <w:name w:val="List Bullet 4"/>
    <w:basedOn w:val="1"/>
    <w:qFormat/>
    <w:uiPriority w:val="0"/>
    <w:pPr>
      <w:tabs>
        <w:tab w:val="left" w:pos="1620"/>
      </w:tabs>
      <w:adjustRightInd w:val="0"/>
      <w:spacing w:line="360" w:lineRule="auto"/>
      <w:ind w:left="1620" w:hanging="360"/>
      <w:textAlignment w:val="baseline"/>
    </w:pPr>
    <w:rPr>
      <w:rFonts w:ascii="宋体" w:eastAsia="仿宋"/>
      <w:kern w:val="0"/>
      <w:sz w:val="28"/>
      <w:szCs w:val="21"/>
    </w:rPr>
  </w:style>
  <w:style w:type="paragraph" w:styleId="17">
    <w:name w:val="E-mail Signature"/>
    <w:basedOn w:val="1"/>
    <w:link w:val="242"/>
    <w:qFormat/>
    <w:uiPriority w:val="0"/>
    <w:pPr>
      <w:adjustRightInd w:val="0"/>
      <w:spacing w:line="360" w:lineRule="auto"/>
      <w:textAlignment w:val="baseline"/>
    </w:pPr>
    <w:rPr>
      <w:rFonts w:ascii="宋体" w:eastAsia="仿宋"/>
      <w:kern w:val="0"/>
      <w:sz w:val="28"/>
      <w:szCs w:val="21"/>
    </w:rPr>
  </w:style>
  <w:style w:type="paragraph" w:styleId="18">
    <w:name w:val="List Number"/>
    <w:basedOn w:val="1"/>
    <w:qFormat/>
    <w:uiPriority w:val="0"/>
    <w:pPr>
      <w:tabs>
        <w:tab w:val="left" w:pos="360"/>
      </w:tabs>
      <w:adjustRightInd w:val="0"/>
      <w:spacing w:line="360" w:lineRule="auto"/>
      <w:ind w:left="360" w:hanging="360"/>
      <w:textAlignment w:val="baseline"/>
    </w:pPr>
    <w:rPr>
      <w:rFonts w:ascii="宋体" w:eastAsia="仿宋"/>
      <w:kern w:val="0"/>
      <w:sz w:val="28"/>
      <w:szCs w:val="21"/>
    </w:rPr>
  </w:style>
  <w:style w:type="paragraph" w:styleId="19">
    <w:name w:val="Normal Indent"/>
    <w:basedOn w:val="1"/>
    <w:link w:val="220"/>
    <w:qFormat/>
    <w:uiPriority w:val="0"/>
    <w:pPr>
      <w:ind w:firstLine="420" w:firstLineChars="200"/>
    </w:pPr>
    <w:rPr>
      <w:szCs w:val="24"/>
    </w:rPr>
  </w:style>
  <w:style w:type="paragraph" w:styleId="20">
    <w:name w:val="List Bullet"/>
    <w:basedOn w:val="1"/>
    <w:qFormat/>
    <w:uiPriority w:val="0"/>
    <w:pPr>
      <w:tabs>
        <w:tab w:val="left" w:pos="360"/>
      </w:tabs>
      <w:adjustRightInd w:val="0"/>
      <w:spacing w:line="360" w:lineRule="auto"/>
      <w:ind w:left="360" w:hanging="360"/>
      <w:textAlignment w:val="baseline"/>
    </w:pPr>
    <w:rPr>
      <w:rFonts w:ascii="宋体" w:eastAsia="仿宋"/>
      <w:kern w:val="0"/>
      <w:sz w:val="28"/>
      <w:szCs w:val="21"/>
    </w:rPr>
  </w:style>
  <w:style w:type="paragraph" w:styleId="21">
    <w:name w:val="envelope address"/>
    <w:basedOn w:val="1"/>
    <w:qFormat/>
    <w:uiPriority w:val="0"/>
    <w:pPr>
      <w:framePr w:w="7920" w:h="1980" w:hRule="exact" w:hSpace="180" w:wrap="around" w:vAnchor="margin" w:hAnchor="page" w:xAlign="center" w:yAlign="bottom"/>
      <w:adjustRightInd w:val="0"/>
      <w:snapToGrid w:val="0"/>
      <w:spacing w:line="360" w:lineRule="auto"/>
      <w:ind w:left="100" w:leftChars="1400"/>
      <w:textAlignment w:val="baseline"/>
    </w:pPr>
    <w:rPr>
      <w:rFonts w:ascii="Arial" w:hAnsi="Arial" w:eastAsia="仿宋" w:cs="Arial"/>
      <w:kern w:val="0"/>
      <w:sz w:val="28"/>
      <w:szCs w:val="24"/>
    </w:rPr>
  </w:style>
  <w:style w:type="paragraph" w:styleId="22">
    <w:name w:val="Document Map"/>
    <w:basedOn w:val="1"/>
    <w:link w:val="213"/>
    <w:qFormat/>
    <w:uiPriority w:val="0"/>
    <w:pPr>
      <w:shd w:val="clear" w:color="auto" w:fill="000080"/>
    </w:pPr>
  </w:style>
  <w:style w:type="paragraph" w:styleId="23">
    <w:name w:val="toa heading"/>
    <w:basedOn w:val="1"/>
    <w:next w:val="1"/>
    <w:qFormat/>
    <w:uiPriority w:val="99"/>
    <w:pPr>
      <w:spacing w:before="120"/>
    </w:pPr>
    <w:rPr>
      <w:rFonts w:ascii="Arial" w:hAnsi="Arial" w:eastAsia="仿宋"/>
      <w:sz w:val="24"/>
    </w:rPr>
  </w:style>
  <w:style w:type="paragraph" w:styleId="24">
    <w:name w:val="annotation text"/>
    <w:basedOn w:val="1"/>
    <w:link w:val="262"/>
    <w:qFormat/>
    <w:uiPriority w:val="0"/>
    <w:pPr>
      <w:jc w:val="left"/>
    </w:pPr>
  </w:style>
  <w:style w:type="paragraph" w:styleId="25">
    <w:name w:val="Salutation"/>
    <w:basedOn w:val="1"/>
    <w:next w:val="1"/>
    <w:link w:val="212"/>
    <w:qFormat/>
    <w:uiPriority w:val="0"/>
    <w:rPr>
      <w:rFonts w:ascii="宋体"/>
      <w:b/>
      <w:sz w:val="28"/>
    </w:rPr>
  </w:style>
  <w:style w:type="paragraph" w:styleId="26">
    <w:name w:val="Body Text 3"/>
    <w:basedOn w:val="1"/>
    <w:link w:val="261"/>
    <w:qFormat/>
    <w:uiPriority w:val="0"/>
    <w:pPr>
      <w:adjustRightInd w:val="0"/>
      <w:spacing w:after="120" w:line="360" w:lineRule="auto"/>
      <w:textAlignment w:val="baseline"/>
    </w:pPr>
    <w:rPr>
      <w:rFonts w:ascii="宋体" w:eastAsia="仿宋"/>
      <w:kern w:val="0"/>
      <w:sz w:val="16"/>
      <w:szCs w:val="16"/>
    </w:rPr>
  </w:style>
  <w:style w:type="paragraph" w:styleId="27">
    <w:name w:val="Closing"/>
    <w:basedOn w:val="1"/>
    <w:link w:val="211"/>
    <w:qFormat/>
    <w:uiPriority w:val="0"/>
    <w:pPr>
      <w:adjustRightInd w:val="0"/>
      <w:spacing w:line="360" w:lineRule="auto"/>
      <w:ind w:left="100" w:leftChars="2100"/>
      <w:textAlignment w:val="baseline"/>
    </w:pPr>
    <w:rPr>
      <w:rFonts w:ascii="宋体" w:eastAsia="仿宋"/>
      <w:kern w:val="0"/>
      <w:sz w:val="28"/>
      <w:szCs w:val="21"/>
    </w:rPr>
  </w:style>
  <w:style w:type="paragraph" w:styleId="28">
    <w:name w:val="List Bullet 3"/>
    <w:basedOn w:val="1"/>
    <w:qFormat/>
    <w:uiPriority w:val="0"/>
    <w:pPr>
      <w:tabs>
        <w:tab w:val="left" w:pos="1200"/>
      </w:tabs>
      <w:adjustRightInd w:val="0"/>
      <w:spacing w:line="360" w:lineRule="auto"/>
      <w:ind w:left="1200" w:hanging="360"/>
      <w:textAlignment w:val="baseline"/>
    </w:pPr>
    <w:rPr>
      <w:rFonts w:ascii="宋体" w:eastAsia="仿宋"/>
      <w:kern w:val="0"/>
      <w:sz w:val="28"/>
      <w:szCs w:val="21"/>
    </w:rPr>
  </w:style>
  <w:style w:type="paragraph" w:styleId="29">
    <w:name w:val="Body Text Indent"/>
    <w:basedOn w:val="1"/>
    <w:next w:val="30"/>
    <w:link w:val="249"/>
    <w:qFormat/>
    <w:uiPriority w:val="0"/>
    <w:pPr>
      <w:ind w:firstLine="480"/>
    </w:pPr>
    <w:rPr>
      <w:rFonts w:ascii="宋体" w:hAnsi="宋体"/>
      <w:sz w:val="24"/>
    </w:rPr>
  </w:style>
  <w:style w:type="paragraph" w:styleId="30">
    <w:name w:val="envelope return"/>
    <w:basedOn w:val="1"/>
    <w:qFormat/>
    <w:uiPriority w:val="0"/>
    <w:pPr>
      <w:adjustRightInd w:val="0"/>
      <w:snapToGrid w:val="0"/>
      <w:spacing w:line="360" w:lineRule="auto"/>
      <w:textAlignment w:val="baseline"/>
    </w:pPr>
    <w:rPr>
      <w:rFonts w:ascii="Arial" w:hAnsi="Arial" w:eastAsia="仿宋" w:cs="Arial"/>
      <w:kern w:val="0"/>
      <w:sz w:val="28"/>
      <w:szCs w:val="21"/>
    </w:rPr>
  </w:style>
  <w:style w:type="paragraph" w:styleId="31">
    <w:name w:val="List Number 3"/>
    <w:basedOn w:val="1"/>
    <w:qFormat/>
    <w:uiPriority w:val="0"/>
    <w:pPr>
      <w:tabs>
        <w:tab w:val="left" w:pos="1200"/>
      </w:tabs>
      <w:adjustRightInd w:val="0"/>
      <w:spacing w:line="360" w:lineRule="auto"/>
      <w:ind w:left="1200" w:hanging="360"/>
      <w:textAlignment w:val="baseline"/>
    </w:pPr>
    <w:rPr>
      <w:rFonts w:ascii="宋体" w:eastAsia="仿宋"/>
      <w:kern w:val="0"/>
      <w:sz w:val="28"/>
      <w:szCs w:val="21"/>
    </w:rPr>
  </w:style>
  <w:style w:type="paragraph" w:styleId="32">
    <w:name w:val="List 2"/>
    <w:basedOn w:val="1"/>
    <w:qFormat/>
    <w:uiPriority w:val="0"/>
    <w:pPr>
      <w:adjustRightInd w:val="0"/>
      <w:spacing w:line="360" w:lineRule="auto"/>
      <w:ind w:left="100" w:leftChars="200" w:hanging="200" w:hangingChars="200"/>
      <w:textAlignment w:val="baseline"/>
    </w:pPr>
    <w:rPr>
      <w:rFonts w:ascii="宋体" w:eastAsia="仿宋"/>
      <w:kern w:val="0"/>
      <w:sz w:val="28"/>
      <w:szCs w:val="21"/>
    </w:rPr>
  </w:style>
  <w:style w:type="paragraph" w:styleId="33">
    <w:name w:val="List Continue"/>
    <w:basedOn w:val="1"/>
    <w:qFormat/>
    <w:uiPriority w:val="0"/>
    <w:pPr>
      <w:adjustRightInd w:val="0"/>
      <w:spacing w:after="120" w:line="360" w:lineRule="auto"/>
      <w:ind w:left="420" w:leftChars="200"/>
      <w:textAlignment w:val="baseline"/>
    </w:pPr>
    <w:rPr>
      <w:rFonts w:ascii="宋体" w:eastAsia="仿宋"/>
      <w:kern w:val="0"/>
      <w:sz w:val="28"/>
      <w:szCs w:val="21"/>
    </w:rPr>
  </w:style>
  <w:style w:type="paragraph" w:styleId="34">
    <w:name w:val="Block Text"/>
    <w:basedOn w:val="1"/>
    <w:qFormat/>
    <w:uiPriority w:val="0"/>
    <w:pPr>
      <w:adjustRightInd w:val="0"/>
      <w:spacing w:after="120" w:line="360" w:lineRule="auto"/>
      <w:ind w:left="1440" w:leftChars="700" w:right="1440" w:rightChars="700"/>
      <w:textAlignment w:val="baseline"/>
    </w:pPr>
    <w:rPr>
      <w:rFonts w:ascii="宋体" w:eastAsia="仿宋"/>
      <w:kern w:val="0"/>
      <w:sz w:val="28"/>
      <w:szCs w:val="21"/>
    </w:rPr>
  </w:style>
  <w:style w:type="paragraph" w:styleId="35">
    <w:name w:val="List Bullet 2"/>
    <w:basedOn w:val="1"/>
    <w:qFormat/>
    <w:uiPriority w:val="0"/>
    <w:pPr>
      <w:tabs>
        <w:tab w:val="left" w:pos="780"/>
      </w:tabs>
      <w:adjustRightInd w:val="0"/>
      <w:spacing w:line="360" w:lineRule="auto"/>
      <w:ind w:left="780" w:hanging="360"/>
      <w:textAlignment w:val="baseline"/>
    </w:pPr>
    <w:rPr>
      <w:rFonts w:ascii="宋体" w:eastAsia="仿宋"/>
      <w:kern w:val="0"/>
      <w:sz w:val="28"/>
      <w:szCs w:val="21"/>
    </w:rPr>
  </w:style>
  <w:style w:type="paragraph" w:styleId="36">
    <w:name w:val="HTML Address"/>
    <w:basedOn w:val="1"/>
    <w:link w:val="209"/>
    <w:qFormat/>
    <w:uiPriority w:val="0"/>
    <w:pPr>
      <w:adjustRightInd w:val="0"/>
      <w:spacing w:line="360" w:lineRule="auto"/>
      <w:textAlignment w:val="baseline"/>
    </w:pPr>
    <w:rPr>
      <w:rFonts w:ascii="宋体" w:eastAsia="仿宋"/>
      <w:i/>
      <w:iCs/>
      <w:kern w:val="0"/>
      <w:sz w:val="28"/>
      <w:szCs w:val="21"/>
    </w:rPr>
  </w:style>
  <w:style w:type="paragraph" w:styleId="37">
    <w:name w:val="toc 5"/>
    <w:basedOn w:val="1"/>
    <w:next w:val="1"/>
    <w:qFormat/>
    <w:uiPriority w:val="0"/>
    <w:pPr>
      <w:adjustRightInd w:val="0"/>
      <w:spacing w:line="360" w:lineRule="auto"/>
      <w:ind w:left="960"/>
      <w:jc w:val="left"/>
      <w:textAlignment w:val="baseline"/>
    </w:pPr>
    <w:rPr>
      <w:rFonts w:ascii="Calibri" w:hAnsi="Calibri" w:eastAsia="仿宋"/>
      <w:kern w:val="0"/>
      <w:sz w:val="18"/>
      <w:szCs w:val="18"/>
    </w:rPr>
  </w:style>
  <w:style w:type="paragraph" w:styleId="38">
    <w:name w:val="toc 3"/>
    <w:basedOn w:val="1"/>
    <w:next w:val="1"/>
    <w:qFormat/>
    <w:uiPriority w:val="39"/>
    <w:pPr>
      <w:ind w:left="840" w:leftChars="400"/>
    </w:pPr>
  </w:style>
  <w:style w:type="paragraph" w:styleId="39">
    <w:name w:val="Plain Text"/>
    <w:basedOn w:val="1"/>
    <w:link w:val="208"/>
    <w:qFormat/>
    <w:uiPriority w:val="0"/>
    <w:rPr>
      <w:rFonts w:ascii="宋体" w:hAnsi="Courier New"/>
    </w:rPr>
  </w:style>
  <w:style w:type="paragraph" w:styleId="40">
    <w:name w:val="List Bullet 5"/>
    <w:basedOn w:val="1"/>
    <w:qFormat/>
    <w:uiPriority w:val="0"/>
    <w:pPr>
      <w:tabs>
        <w:tab w:val="left" w:pos="2040"/>
      </w:tabs>
      <w:adjustRightInd w:val="0"/>
      <w:spacing w:line="360" w:lineRule="auto"/>
      <w:ind w:left="2040" w:hanging="360"/>
      <w:textAlignment w:val="baseline"/>
    </w:pPr>
    <w:rPr>
      <w:rFonts w:ascii="宋体" w:eastAsia="仿宋"/>
      <w:kern w:val="0"/>
      <w:sz w:val="28"/>
      <w:szCs w:val="21"/>
    </w:rPr>
  </w:style>
  <w:style w:type="paragraph" w:styleId="41">
    <w:name w:val="List Number 4"/>
    <w:basedOn w:val="1"/>
    <w:qFormat/>
    <w:uiPriority w:val="0"/>
    <w:pPr>
      <w:tabs>
        <w:tab w:val="left" w:pos="1620"/>
      </w:tabs>
      <w:adjustRightInd w:val="0"/>
      <w:spacing w:line="360" w:lineRule="auto"/>
      <w:ind w:left="1620" w:hanging="360"/>
      <w:textAlignment w:val="baseline"/>
    </w:pPr>
    <w:rPr>
      <w:rFonts w:ascii="宋体" w:eastAsia="仿宋"/>
      <w:kern w:val="0"/>
      <w:sz w:val="28"/>
      <w:szCs w:val="21"/>
    </w:rPr>
  </w:style>
  <w:style w:type="paragraph" w:styleId="42">
    <w:name w:val="toc 8"/>
    <w:basedOn w:val="1"/>
    <w:next w:val="1"/>
    <w:qFormat/>
    <w:uiPriority w:val="0"/>
    <w:pPr>
      <w:adjustRightInd w:val="0"/>
      <w:spacing w:line="360" w:lineRule="auto"/>
      <w:ind w:left="1680"/>
      <w:jc w:val="left"/>
      <w:textAlignment w:val="baseline"/>
    </w:pPr>
    <w:rPr>
      <w:rFonts w:ascii="Calibri" w:hAnsi="Calibri" w:eastAsia="仿宋"/>
      <w:kern w:val="0"/>
      <w:sz w:val="18"/>
      <w:szCs w:val="18"/>
    </w:rPr>
  </w:style>
  <w:style w:type="paragraph" w:styleId="43">
    <w:name w:val="index 3"/>
    <w:basedOn w:val="1"/>
    <w:next w:val="1"/>
    <w:qFormat/>
    <w:uiPriority w:val="0"/>
    <w:pPr>
      <w:ind w:left="840"/>
    </w:pPr>
  </w:style>
  <w:style w:type="paragraph" w:styleId="44">
    <w:name w:val="Date"/>
    <w:basedOn w:val="1"/>
    <w:next w:val="1"/>
    <w:link w:val="232"/>
    <w:qFormat/>
    <w:uiPriority w:val="0"/>
    <w:pPr>
      <w:ind w:left="100"/>
    </w:pPr>
    <w:rPr>
      <w:sz w:val="24"/>
    </w:rPr>
  </w:style>
  <w:style w:type="paragraph" w:styleId="45">
    <w:name w:val="Body Text Indent 2"/>
    <w:basedOn w:val="1"/>
    <w:link w:val="255"/>
    <w:qFormat/>
    <w:uiPriority w:val="0"/>
    <w:pPr>
      <w:ind w:firstLine="435"/>
    </w:pPr>
    <w:rPr>
      <w:rFonts w:ascii="宋体" w:hAnsi="宋体"/>
      <w:sz w:val="24"/>
    </w:rPr>
  </w:style>
  <w:style w:type="paragraph" w:styleId="46">
    <w:name w:val="endnote text"/>
    <w:basedOn w:val="1"/>
    <w:link w:val="207"/>
    <w:qFormat/>
    <w:uiPriority w:val="0"/>
    <w:pPr>
      <w:adjustRightInd w:val="0"/>
      <w:snapToGrid w:val="0"/>
      <w:spacing w:line="360" w:lineRule="auto"/>
      <w:jc w:val="left"/>
      <w:textAlignment w:val="baseline"/>
    </w:pPr>
    <w:rPr>
      <w:rFonts w:ascii="宋体" w:eastAsia="仿宋"/>
      <w:kern w:val="0"/>
      <w:sz w:val="28"/>
      <w:szCs w:val="21"/>
    </w:rPr>
  </w:style>
  <w:style w:type="paragraph" w:styleId="47">
    <w:name w:val="List Continue 5"/>
    <w:basedOn w:val="1"/>
    <w:qFormat/>
    <w:uiPriority w:val="0"/>
    <w:pPr>
      <w:adjustRightInd w:val="0"/>
      <w:spacing w:after="120" w:line="360" w:lineRule="auto"/>
      <w:ind w:left="2100" w:leftChars="1000"/>
      <w:textAlignment w:val="baseline"/>
    </w:pPr>
    <w:rPr>
      <w:rFonts w:ascii="宋体" w:eastAsia="仿宋"/>
      <w:kern w:val="0"/>
      <w:sz w:val="28"/>
      <w:szCs w:val="21"/>
    </w:rPr>
  </w:style>
  <w:style w:type="paragraph" w:styleId="48">
    <w:name w:val="Balloon Text"/>
    <w:basedOn w:val="1"/>
    <w:link w:val="206"/>
    <w:qFormat/>
    <w:uiPriority w:val="0"/>
    <w:rPr>
      <w:sz w:val="18"/>
      <w:szCs w:val="18"/>
    </w:rPr>
  </w:style>
  <w:style w:type="paragraph" w:styleId="49">
    <w:name w:val="footer"/>
    <w:basedOn w:val="1"/>
    <w:link w:val="205"/>
    <w:qFormat/>
    <w:uiPriority w:val="0"/>
    <w:pPr>
      <w:tabs>
        <w:tab w:val="center" w:pos="4153"/>
        <w:tab w:val="right" w:pos="8306"/>
      </w:tabs>
      <w:snapToGrid w:val="0"/>
      <w:jc w:val="left"/>
    </w:pPr>
    <w:rPr>
      <w:sz w:val="18"/>
    </w:rPr>
  </w:style>
  <w:style w:type="paragraph" w:styleId="50">
    <w:name w:val="header"/>
    <w:basedOn w:val="1"/>
    <w:link w:val="203"/>
    <w:qFormat/>
    <w:uiPriority w:val="0"/>
    <w:pPr>
      <w:pBdr>
        <w:bottom w:val="single" w:color="auto" w:sz="6" w:space="1"/>
      </w:pBdr>
      <w:tabs>
        <w:tab w:val="center" w:pos="4153"/>
        <w:tab w:val="right" w:pos="8306"/>
      </w:tabs>
      <w:snapToGrid w:val="0"/>
      <w:jc w:val="center"/>
    </w:pPr>
    <w:rPr>
      <w:sz w:val="18"/>
    </w:rPr>
  </w:style>
  <w:style w:type="paragraph" w:styleId="51">
    <w:name w:val="Signature"/>
    <w:basedOn w:val="1"/>
    <w:link w:val="202"/>
    <w:qFormat/>
    <w:uiPriority w:val="0"/>
    <w:pPr>
      <w:adjustRightInd w:val="0"/>
      <w:spacing w:line="360" w:lineRule="auto"/>
      <w:ind w:left="100" w:leftChars="2100"/>
      <w:textAlignment w:val="baseline"/>
    </w:pPr>
    <w:rPr>
      <w:rFonts w:ascii="宋体" w:eastAsia="仿宋"/>
      <w:kern w:val="0"/>
      <w:sz w:val="24"/>
      <w:szCs w:val="21"/>
    </w:rPr>
  </w:style>
  <w:style w:type="paragraph" w:styleId="52">
    <w:name w:val="toc 1"/>
    <w:basedOn w:val="1"/>
    <w:next w:val="1"/>
    <w:qFormat/>
    <w:uiPriority w:val="39"/>
  </w:style>
  <w:style w:type="paragraph" w:styleId="53">
    <w:name w:val="List Continue 4"/>
    <w:basedOn w:val="1"/>
    <w:qFormat/>
    <w:uiPriority w:val="0"/>
    <w:pPr>
      <w:adjustRightInd w:val="0"/>
      <w:spacing w:after="120" w:line="360" w:lineRule="auto"/>
      <w:ind w:left="1680" w:leftChars="800"/>
      <w:textAlignment w:val="baseline"/>
    </w:pPr>
    <w:rPr>
      <w:rFonts w:ascii="宋体" w:eastAsia="仿宋"/>
      <w:kern w:val="0"/>
      <w:sz w:val="28"/>
      <w:szCs w:val="21"/>
    </w:rPr>
  </w:style>
  <w:style w:type="paragraph" w:styleId="54">
    <w:name w:val="toc 4"/>
    <w:basedOn w:val="1"/>
    <w:next w:val="1"/>
    <w:qFormat/>
    <w:uiPriority w:val="0"/>
    <w:pPr>
      <w:adjustRightInd w:val="0"/>
      <w:spacing w:line="360" w:lineRule="auto"/>
      <w:ind w:left="720"/>
      <w:jc w:val="left"/>
      <w:textAlignment w:val="baseline"/>
    </w:pPr>
    <w:rPr>
      <w:rFonts w:ascii="Calibri" w:hAnsi="Calibri" w:eastAsia="仿宋"/>
      <w:kern w:val="0"/>
      <w:sz w:val="18"/>
      <w:szCs w:val="18"/>
    </w:rPr>
  </w:style>
  <w:style w:type="paragraph" w:styleId="55">
    <w:name w:val="index heading"/>
    <w:basedOn w:val="1"/>
    <w:next w:val="56"/>
    <w:qFormat/>
    <w:uiPriority w:val="0"/>
  </w:style>
  <w:style w:type="paragraph" w:styleId="56">
    <w:name w:val="index 1"/>
    <w:basedOn w:val="1"/>
    <w:next w:val="1"/>
    <w:qFormat/>
    <w:uiPriority w:val="0"/>
  </w:style>
  <w:style w:type="paragraph" w:styleId="57">
    <w:name w:val="Subtitle"/>
    <w:basedOn w:val="1"/>
    <w:next w:val="1"/>
    <w:link w:val="201"/>
    <w:qFormat/>
    <w:uiPriority w:val="0"/>
    <w:pPr>
      <w:adjustRightInd w:val="0"/>
      <w:spacing w:before="240" w:after="60" w:line="312" w:lineRule="auto"/>
      <w:jc w:val="center"/>
      <w:textAlignment w:val="baseline"/>
      <w:outlineLvl w:val="1"/>
    </w:pPr>
    <w:rPr>
      <w:rFonts w:ascii="Arial" w:hAnsi="Arial" w:eastAsia="仿宋"/>
      <w:b/>
      <w:bCs/>
      <w:kern w:val="28"/>
      <w:sz w:val="32"/>
      <w:szCs w:val="32"/>
    </w:rPr>
  </w:style>
  <w:style w:type="paragraph" w:styleId="58">
    <w:name w:val="List Number 5"/>
    <w:basedOn w:val="1"/>
    <w:qFormat/>
    <w:uiPriority w:val="0"/>
    <w:pPr>
      <w:tabs>
        <w:tab w:val="left" w:pos="2040"/>
      </w:tabs>
      <w:adjustRightInd w:val="0"/>
      <w:spacing w:line="360" w:lineRule="auto"/>
      <w:ind w:left="2040" w:hanging="360"/>
      <w:textAlignment w:val="baseline"/>
    </w:pPr>
    <w:rPr>
      <w:rFonts w:ascii="宋体" w:eastAsia="仿宋"/>
      <w:kern w:val="0"/>
      <w:sz w:val="28"/>
      <w:szCs w:val="21"/>
    </w:rPr>
  </w:style>
  <w:style w:type="paragraph" w:styleId="59">
    <w:name w:val="List"/>
    <w:basedOn w:val="1"/>
    <w:unhideWhenUsed/>
    <w:qFormat/>
    <w:uiPriority w:val="0"/>
    <w:pPr>
      <w:jc w:val="left"/>
    </w:pPr>
    <w:rPr>
      <w:rFonts w:ascii="宋体" w:hAnsi="宋体"/>
      <w:kern w:val="12"/>
      <w:szCs w:val="21"/>
    </w:rPr>
  </w:style>
  <w:style w:type="paragraph" w:styleId="60">
    <w:name w:val="footnote text"/>
    <w:basedOn w:val="1"/>
    <w:link w:val="229"/>
    <w:qFormat/>
    <w:uiPriority w:val="0"/>
    <w:pPr>
      <w:adjustRightInd w:val="0"/>
      <w:snapToGrid w:val="0"/>
      <w:spacing w:line="360" w:lineRule="auto"/>
      <w:jc w:val="left"/>
      <w:textAlignment w:val="baseline"/>
    </w:pPr>
    <w:rPr>
      <w:rFonts w:ascii="宋体" w:eastAsia="仿宋"/>
      <w:kern w:val="0"/>
      <w:sz w:val="18"/>
      <w:szCs w:val="18"/>
    </w:rPr>
  </w:style>
  <w:style w:type="paragraph" w:styleId="61">
    <w:name w:val="toc 6"/>
    <w:basedOn w:val="1"/>
    <w:next w:val="1"/>
    <w:qFormat/>
    <w:uiPriority w:val="0"/>
    <w:pPr>
      <w:adjustRightInd w:val="0"/>
      <w:spacing w:line="360" w:lineRule="auto"/>
      <w:ind w:left="1200"/>
      <w:jc w:val="left"/>
      <w:textAlignment w:val="baseline"/>
    </w:pPr>
    <w:rPr>
      <w:rFonts w:ascii="Calibri" w:hAnsi="Calibri" w:eastAsia="仿宋"/>
      <w:kern w:val="0"/>
      <w:sz w:val="18"/>
      <w:szCs w:val="18"/>
    </w:rPr>
  </w:style>
  <w:style w:type="paragraph" w:styleId="62">
    <w:name w:val="List 5"/>
    <w:basedOn w:val="1"/>
    <w:qFormat/>
    <w:uiPriority w:val="0"/>
    <w:pPr>
      <w:adjustRightInd w:val="0"/>
      <w:spacing w:line="360" w:lineRule="auto"/>
      <w:ind w:left="100" w:leftChars="800" w:hanging="200" w:hangingChars="200"/>
      <w:textAlignment w:val="baseline"/>
    </w:pPr>
    <w:rPr>
      <w:rFonts w:ascii="宋体" w:eastAsia="仿宋"/>
      <w:kern w:val="0"/>
      <w:sz w:val="28"/>
      <w:szCs w:val="21"/>
    </w:rPr>
  </w:style>
  <w:style w:type="paragraph" w:styleId="63">
    <w:name w:val="Body Text Indent 3"/>
    <w:basedOn w:val="1"/>
    <w:link w:val="200"/>
    <w:qFormat/>
    <w:uiPriority w:val="0"/>
    <w:pPr>
      <w:ind w:left="471" w:hanging="471" w:hangingChars="200"/>
    </w:pPr>
    <w:rPr>
      <w:rFonts w:ascii="Arial" w:hAnsi="Arial"/>
      <w:b/>
      <w:bCs/>
      <w:sz w:val="24"/>
    </w:rPr>
  </w:style>
  <w:style w:type="paragraph" w:styleId="64">
    <w:name w:val="table of figures"/>
    <w:basedOn w:val="1"/>
    <w:next w:val="1"/>
    <w:qFormat/>
    <w:uiPriority w:val="0"/>
    <w:pPr>
      <w:ind w:left="840" w:hanging="420"/>
    </w:pPr>
    <w:rPr>
      <w:szCs w:val="21"/>
    </w:rPr>
  </w:style>
  <w:style w:type="paragraph" w:styleId="65">
    <w:name w:val="toc 2"/>
    <w:basedOn w:val="52"/>
    <w:next w:val="1"/>
    <w:qFormat/>
    <w:uiPriority w:val="39"/>
    <w:pPr>
      <w:tabs>
        <w:tab w:val="right" w:leader="dot" w:pos="9746"/>
      </w:tabs>
    </w:pPr>
    <w:rPr>
      <w:rFonts w:ascii="Arial" w:hAnsi="Arial" w:cs="Arial"/>
      <w:sz w:val="28"/>
      <w:szCs w:val="28"/>
    </w:rPr>
  </w:style>
  <w:style w:type="paragraph" w:styleId="66">
    <w:name w:val="toc 9"/>
    <w:basedOn w:val="1"/>
    <w:next w:val="1"/>
    <w:qFormat/>
    <w:uiPriority w:val="0"/>
    <w:pPr>
      <w:adjustRightInd w:val="0"/>
      <w:spacing w:line="360" w:lineRule="auto"/>
      <w:ind w:left="1920"/>
      <w:jc w:val="left"/>
      <w:textAlignment w:val="baseline"/>
    </w:pPr>
    <w:rPr>
      <w:rFonts w:ascii="Calibri" w:hAnsi="Calibri" w:eastAsia="仿宋"/>
      <w:kern w:val="0"/>
      <w:sz w:val="18"/>
      <w:szCs w:val="18"/>
    </w:rPr>
  </w:style>
  <w:style w:type="paragraph" w:styleId="67">
    <w:name w:val="Body Text 2"/>
    <w:basedOn w:val="1"/>
    <w:qFormat/>
    <w:uiPriority w:val="0"/>
    <w:pPr>
      <w:spacing w:line="360" w:lineRule="auto"/>
    </w:pPr>
    <w:rPr>
      <w:b/>
      <w:sz w:val="28"/>
      <w:szCs w:val="21"/>
    </w:rPr>
  </w:style>
  <w:style w:type="paragraph" w:styleId="68">
    <w:name w:val="List 4"/>
    <w:basedOn w:val="1"/>
    <w:qFormat/>
    <w:uiPriority w:val="0"/>
    <w:pPr>
      <w:adjustRightInd w:val="0"/>
      <w:spacing w:line="360" w:lineRule="auto"/>
      <w:ind w:left="100" w:leftChars="600" w:hanging="200" w:hangingChars="200"/>
      <w:textAlignment w:val="baseline"/>
    </w:pPr>
    <w:rPr>
      <w:rFonts w:ascii="宋体" w:eastAsia="仿宋"/>
      <w:kern w:val="0"/>
      <w:sz w:val="28"/>
      <w:szCs w:val="21"/>
    </w:rPr>
  </w:style>
  <w:style w:type="paragraph" w:styleId="69">
    <w:name w:val="List Continue 2"/>
    <w:basedOn w:val="1"/>
    <w:qFormat/>
    <w:uiPriority w:val="0"/>
    <w:pPr>
      <w:adjustRightInd w:val="0"/>
      <w:spacing w:after="120" w:line="360" w:lineRule="auto"/>
      <w:ind w:left="840" w:leftChars="400"/>
      <w:textAlignment w:val="baseline"/>
    </w:pPr>
    <w:rPr>
      <w:rFonts w:ascii="宋体" w:eastAsia="仿宋"/>
      <w:kern w:val="0"/>
      <w:sz w:val="28"/>
      <w:szCs w:val="21"/>
    </w:rPr>
  </w:style>
  <w:style w:type="paragraph" w:styleId="70">
    <w:name w:val="Message Header"/>
    <w:basedOn w:val="1"/>
    <w:link w:val="199"/>
    <w:qFormat/>
    <w:uiPriority w:val="0"/>
    <w:pPr>
      <w:pBdr>
        <w:top w:val="single" w:color="auto" w:sz="6" w:space="1"/>
        <w:left w:val="single" w:color="auto" w:sz="6" w:space="1"/>
        <w:bottom w:val="single" w:color="auto" w:sz="6" w:space="1"/>
        <w:right w:val="single" w:color="auto" w:sz="6" w:space="1"/>
      </w:pBdr>
      <w:shd w:val="pct20" w:color="auto" w:fill="auto"/>
      <w:adjustRightInd w:val="0"/>
      <w:spacing w:line="360" w:lineRule="auto"/>
      <w:ind w:left="1080" w:leftChars="500" w:hanging="1080" w:hangingChars="500"/>
      <w:textAlignment w:val="baseline"/>
    </w:pPr>
    <w:rPr>
      <w:rFonts w:ascii="Arial" w:hAnsi="Arial" w:eastAsia="仿宋"/>
      <w:kern w:val="0"/>
      <w:sz w:val="28"/>
      <w:szCs w:val="24"/>
    </w:rPr>
  </w:style>
  <w:style w:type="paragraph" w:styleId="71">
    <w:name w:val="HTML Preformatted"/>
    <w:basedOn w:val="1"/>
    <w:link w:val="198"/>
    <w:qFormat/>
    <w:uiPriority w:val="0"/>
    <w:pPr>
      <w:adjustRightInd w:val="0"/>
      <w:spacing w:line="360" w:lineRule="auto"/>
      <w:textAlignment w:val="baseline"/>
    </w:pPr>
    <w:rPr>
      <w:rFonts w:ascii="Courier New" w:hAnsi="Courier New" w:eastAsia="仿宋"/>
      <w:kern w:val="0"/>
      <w:sz w:val="20"/>
    </w:rPr>
  </w:style>
  <w:style w:type="paragraph" w:styleId="72">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szCs w:val="24"/>
    </w:rPr>
  </w:style>
  <w:style w:type="paragraph" w:styleId="73">
    <w:name w:val="List Continue 3"/>
    <w:basedOn w:val="1"/>
    <w:qFormat/>
    <w:uiPriority w:val="0"/>
    <w:pPr>
      <w:adjustRightInd w:val="0"/>
      <w:spacing w:after="120" w:line="360" w:lineRule="auto"/>
      <w:ind w:left="1260" w:leftChars="600"/>
      <w:textAlignment w:val="baseline"/>
    </w:pPr>
    <w:rPr>
      <w:rFonts w:ascii="宋体" w:eastAsia="仿宋"/>
      <w:kern w:val="0"/>
      <w:sz w:val="28"/>
      <w:szCs w:val="21"/>
    </w:rPr>
  </w:style>
  <w:style w:type="paragraph" w:styleId="74">
    <w:name w:val="Title"/>
    <w:basedOn w:val="1"/>
    <w:link w:val="265"/>
    <w:qFormat/>
    <w:uiPriority w:val="0"/>
    <w:pPr>
      <w:adjustRightInd w:val="0"/>
      <w:spacing w:before="240" w:after="60" w:line="360" w:lineRule="auto"/>
      <w:jc w:val="center"/>
      <w:textAlignment w:val="baseline"/>
      <w:outlineLvl w:val="0"/>
    </w:pPr>
    <w:rPr>
      <w:rFonts w:ascii="Arial" w:hAnsi="Arial" w:eastAsia="仿宋"/>
      <w:b/>
      <w:bCs/>
      <w:kern w:val="0"/>
      <w:sz w:val="32"/>
      <w:szCs w:val="32"/>
    </w:rPr>
  </w:style>
  <w:style w:type="paragraph" w:styleId="75">
    <w:name w:val="annotation subject"/>
    <w:basedOn w:val="24"/>
    <w:next w:val="24"/>
    <w:link w:val="197"/>
    <w:qFormat/>
    <w:uiPriority w:val="0"/>
    <w:rPr>
      <w:b/>
      <w:bCs/>
      <w:szCs w:val="21"/>
    </w:rPr>
  </w:style>
  <w:style w:type="paragraph" w:styleId="76">
    <w:name w:val="Body Text First Indent"/>
    <w:basedOn w:val="2"/>
    <w:next w:val="1"/>
    <w:link w:val="196"/>
    <w:qFormat/>
    <w:uiPriority w:val="0"/>
    <w:pPr>
      <w:spacing w:after="120"/>
      <w:ind w:firstLine="420" w:firstLineChars="100"/>
    </w:pPr>
    <w:rPr>
      <w:rFonts w:ascii="Times New Roman" w:hAnsi="Times New Roman"/>
      <w:sz w:val="21"/>
    </w:rPr>
  </w:style>
  <w:style w:type="paragraph" w:styleId="77">
    <w:name w:val="Body Text First Indent 2"/>
    <w:basedOn w:val="29"/>
    <w:link w:val="193"/>
    <w:qFormat/>
    <w:uiPriority w:val="0"/>
    <w:pPr>
      <w:adjustRightInd w:val="0"/>
      <w:spacing w:after="120" w:line="360" w:lineRule="auto"/>
      <w:ind w:left="420" w:leftChars="200" w:firstLine="420" w:firstLineChars="200"/>
      <w:textAlignment w:val="baseline"/>
    </w:pPr>
    <w:rPr>
      <w:rFonts w:hAnsi="Times New Roman" w:eastAsia="仿宋"/>
      <w:kern w:val="0"/>
      <w:szCs w:val="21"/>
    </w:rPr>
  </w:style>
  <w:style w:type="table" w:styleId="79">
    <w:name w:val="Table Grid"/>
    <w:basedOn w:val="7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80">
    <w:name w:val="Table Theme"/>
    <w:basedOn w:val="78"/>
    <w:qFormat/>
    <w:uiPriority w:val="0"/>
    <w:pPr>
      <w:widowControl w:val="0"/>
      <w:adjustRightInd w:val="0"/>
      <w:spacing w:line="360" w:lineRule="auto"/>
      <w:jc w:val="both"/>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81">
    <w:name w:val="Table Colorful 1"/>
    <w:basedOn w:val="78"/>
    <w:qFormat/>
    <w:uiPriority w:val="0"/>
    <w:pPr>
      <w:widowControl w:val="0"/>
      <w:adjustRightInd w:val="0"/>
      <w:spacing w:line="360" w:lineRule="auto"/>
      <w:jc w:val="both"/>
      <w:textAlignment w:val="baseline"/>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82">
    <w:name w:val="Table Colorful 2"/>
    <w:basedOn w:val="78"/>
    <w:qFormat/>
    <w:uiPriority w:val="0"/>
    <w:pPr>
      <w:widowControl w:val="0"/>
      <w:adjustRightInd w:val="0"/>
      <w:spacing w:line="360" w:lineRule="auto"/>
      <w:jc w:val="both"/>
      <w:textAlignment w:val="baseline"/>
    </w:pPr>
    <w:tblPr>
      <w:tblBorders>
        <w:bottom w:val="single" w:color="000000" w:sz="12" w:space="0"/>
      </w:tblBorders>
    </w:tblPr>
    <w:tcPr>
      <w:shd w:val="pct20" w:color="FFFF00" w:fill="FFFFFF"/>
    </w:tcPr>
    <w:tblStylePr w:type="firstRow">
      <w:rPr>
        <w:b/>
        <w:bCs/>
        <w:i/>
        <w:iCs/>
        <w:color w:val="FFFFFF"/>
      </w:rPr>
      <w:tblPr/>
      <w:tcPr>
        <w:tcBorders>
          <w:top w:val="nil"/>
          <w:left w:val="single" w:color="000000" w:sz="12" w:space="0"/>
          <w:bottom w:val="nil"/>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83">
    <w:name w:val="Table Colorful 3"/>
    <w:basedOn w:val="78"/>
    <w:qFormat/>
    <w:uiPriority w:val="0"/>
    <w:pPr>
      <w:widowControl w:val="0"/>
      <w:adjustRightInd w:val="0"/>
      <w:spacing w:line="360" w:lineRule="auto"/>
      <w:jc w:val="both"/>
      <w:textAlignment w:val="baseline"/>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top w:val="nil"/>
          <w:left w:val="single" w:color="000000" w:sz="6" w:space="0"/>
          <w:bottom w:val="nil"/>
          <w:right w:val="nil"/>
          <w:insideH w:val="nil"/>
          <w:insideV w:val="nil"/>
          <w:tl2br w:val="nil"/>
          <w:tr2bl w:val="nil"/>
        </w:tcBorders>
        <w:shd w:val="solid" w:color="008080" w:fill="FFFFFF"/>
      </w:tcPr>
    </w:tblStylePr>
    <w:tblStylePr w:type="firstCol">
      <w:tblPr/>
      <w:tcPr>
        <w:tcBorders>
          <w:top w:val="nil"/>
          <w:left w:val="nil"/>
          <w:bottom w:val="single" w:color="000000" w:sz="36" w:space="0"/>
          <w:right w:val="single" w:color="000000" w:sz="6" w:space="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84">
    <w:name w:val="Table Elegant"/>
    <w:basedOn w:val="78"/>
    <w:qFormat/>
    <w:uiPriority w:val="0"/>
    <w:pPr>
      <w:widowControl w:val="0"/>
      <w:adjustRightInd w:val="0"/>
      <w:spacing w:line="360" w:lineRule="auto"/>
      <w:jc w:val="both"/>
      <w:textAlignment w:val="baseline"/>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85">
    <w:name w:val="Table Classic 1"/>
    <w:basedOn w:val="78"/>
    <w:qFormat/>
    <w:uiPriority w:val="0"/>
    <w:pPr>
      <w:widowControl w:val="0"/>
      <w:adjustRightInd w:val="0"/>
      <w:spacing w:line="360" w:lineRule="auto"/>
      <w:jc w:val="both"/>
      <w:textAlignment w:val="baseline"/>
    </w:pPr>
    <w:tblPr>
      <w:tblBorders>
        <w:top w:val="single" w:color="000000" w:sz="12" w:space="0"/>
        <w:bottom w:val="single" w:color="000000" w:sz="12" w:space="0"/>
      </w:tblBorders>
    </w:tblPr>
    <w:tcPr>
      <w:shd w:val="clear" w:color="auto" w:fill="auto"/>
    </w:tcPr>
    <w:tblStylePr w:type="firstRow">
      <w:rPr>
        <w:i/>
        <w:iCs/>
      </w:rPr>
      <w:tblPr/>
      <w:tcPr>
        <w:tcBorders>
          <w:top w:val="nil"/>
          <w:left w:val="single" w:color="000000" w:sz="6" w:space="0"/>
          <w:bottom w:val="nil"/>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86">
    <w:name w:val="Table Classic 2"/>
    <w:basedOn w:val="78"/>
    <w:qFormat/>
    <w:uiPriority w:val="0"/>
    <w:pPr>
      <w:widowControl w:val="0"/>
      <w:adjustRightInd w:val="0"/>
      <w:spacing w:line="312" w:lineRule="atLeast"/>
      <w:jc w:val="both"/>
      <w:textAlignment w:val="baseline"/>
    </w:pPr>
    <w:tblPr>
      <w:tblBorders>
        <w:top w:val="single" w:color="000000" w:sz="12" w:space="0"/>
        <w:bottom w:val="single" w:color="000000" w:sz="12" w:space="0"/>
      </w:tblBorders>
    </w:tblPr>
    <w:tcPr>
      <w:shd w:val="clear" w:color="auto" w:fill="auto"/>
    </w:tcPr>
    <w:tblStylePr w:type="firstRow">
      <w:rPr>
        <w:color w:val="FFFFFF"/>
      </w:rPr>
      <w:tblPr/>
      <w:tcPr>
        <w:tcBorders>
          <w:top w:val="nil"/>
          <w:left w:val="single" w:color="000000" w:sz="6" w:space="0"/>
          <w:bottom w:val="nil"/>
          <w:right w:val="nil"/>
          <w:insideH w:val="nil"/>
          <w:insideV w:val="nil"/>
          <w:tl2br w:val="nil"/>
          <w:tr2bl w:val="nil"/>
        </w:tcBorders>
        <w:shd w:val="solid" w:color="800080" w:fill="FFFFFF"/>
      </w:tcPr>
    </w:tblStylePr>
    <w:tblStylePr w:type="lastRow">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87">
    <w:name w:val="Table Classic 3"/>
    <w:basedOn w:val="78"/>
    <w:qFormat/>
    <w:uiPriority w:val="0"/>
    <w:pPr>
      <w:widowControl w:val="0"/>
      <w:adjustRightInd w:val="0"/>
      <w:spacing w:line="360" w:lineRule="auto"/>
      <w:jc w:val="both"/>
      <w:textAlignment w:val="baseline"/>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top w:val="nil"/>
          <w:left w:val="single" w:color="000000" w:sz="6" w:space="0"/>
          <w:bottom w:val="nil"/>
          <w:right w:val="nil"/>
          <w:insideH w:val="nil"/>
          <w:insideV w:val="nil"/>
          <w:tl2br w:val="nil"/>
          <w:tr2bl w:val="nil"/>
        </w:tcBorders>
        <w:shd w:val="solid" w:color="000080" w:fill="FFFFFF"/>
      </w:tcPr>
    </w:tblStylePr>
    <w:tblStylePr w:type="lastRow">
      <w:rPr>
        <w:color w:val="000080"/>
      </w:rPr>
      <w:tblPr/>
      <w:tcPr>
        <w:tcBorders>
          <w:top w:val="single" w:color="000000" w:sz="12" w:space="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88">
    <w:name w:val="Table Classic 4"/>
    <w:basedOn w:val="78"/>
    <w:qFormat/>
    <w:uiPriority w:val="0"/>
    <w:pPr>
      <w:widowControl w:val="0"/>
      <w:adjustRightInd w:val="0"/>
      <w:spacing w:line="360" w:lineRule="auto"/>
      <w:jc w:val="both"/>
      <w:textAlignment w:val="baseline"/>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top w:val="nil"/>
          <w:left w:val="single" w:color="000000" w:sz="6" w:space="0"/>
          <w:bottom w:val="nil"/>
          <w:right w:val="nil"/>
          <w:insideH w:val="nil"/>
          <w:insideV w:val="nil"/>
          <w:tl2br w:val="nil"/>
          <w:tr2bl w:val="nil"/>
        </w:tcBorders>
        <w:shd w:val="pct50" w:color="000080" w:fill="FFFFFF"/>
      </w:tcPr>
    </w:tblStylePr>
    <w:tblStylePr w:type="lastRow">
      <w:rPr>
        <w:color w:val="000080"/>
      </w:rPr>
      <w:tblPr/>
      <w:tcPr>
        <w:tcBorders>
          <w:top w:val="nil"/>
          <w:left w:val="single" w:color="000000" w:sz="6" w:space="0"/>
          <w:bottom w:val="nil"/>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89">
    <w:name w:val="Table Simple 1"/>
    <w:basedOn w:val="78"/>
    <w:qFormat/>
    <w:uiPriority w:val="0"/>
    <w:pPr>
      <w:widowControl w:val="0"/>
      <w:adjustRightInd w:val="0"/>
      <w:spacing w:line="360" w:lineRule="auto"/>
      <w:jc w:val="both"/>
      <w:textAlignment w:val="baseline"/>
    </w:pPr>
    <w:tblPr>
      <w:tblBorders>
        <w:top w:val="single" w:color="008000" w:sz="12" w:space="0"/>
        <w:bottom w:val="single" w:color="008000" w:sz="12" w:space="0"/>
      </w:tblBorders>
    </w:tblPr>
    <w:tcPr>
      <w:shd w:val="clear" w:color="auto" w:fill="auto"/>
    </w:tcPr>
    <w:tblStylePr w:type="firstRow">
      <w:tblPr/>
      <w:tcPr>
        <w:tcBorders>
          <w:top w:val="nil"/>
          <w:left w:val="single" w:color="008000" w:sz="6" w:space="0"/>
          <w:bottom w:val="nil"/>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90">
    <w:name w:val="Table Simple 2"/>
    <w:basedOn w:val="78"/>
    <w:qFormat/>
    <w:uiPriority w:val="0"/>
    <w:pPr>
      <w:widowControl w:val="0"/>
      <w:adjustRightInd w:val="0"/>
      <w:spacing w:line="360" w:lineRule="auto"/>
      <w:jc w:val="both"/>
      <w:textAlignment w:val="baseline"/>
    </w:pPr>
    <w:tblPr/>
    <w:tblStylePr w:type="firstRow">
      <w:rPr>
        <w:b/>
        <w:bCs/>
      </w:rPr>
      <w:tblPr/>
      <w:tcPr>
        <w:tcBorders>
          <w:top w:val="nil"/>
          <w:left w:val="single" w:color="000000" w:sz="12" w:space="0"/>
          <w:bottom w:val="nil"/>
          <w:right w:val="nil"/>
          <w:insideH w:val="nil"/>
          <w:insideV w:val="nil"/>
          <w:tl2br w:val="nil"/>
          <w:tr2bl w:val="nil"/>
        </w:tcBorders>
      </w:tcPr>
    </w:tblStylePr>
    <w:tblStylePr w:type="lastRow">
      <w:rPr>
        <w:b/>
        <w:bCs/>
        <w:color w:val="auto"/>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single" w:color="000000" w:sz="12" w:space="0"/>
          <w:insideH w:val="nil"/>
          <w:insideV w:val="nil"/>
          <w:tl2br w:val="nil"/>
          <w:tr2bl w:val="nil"/>
        </w:tcBorders>
      </w:tcPr>
    </w:tblStylePr>
    <w:tblStylePr w:type="lastCol">
      <w:rPr>
        <w:b/>
        <w:bCs/>
      </w:rPr>
      <w:tblPr/>
      <w:tcPr>
        <w:tcBorders>
          <w:top w:val="nil"/>
          <w:left w:val="nil"/>
          <w:bottom w:val="single" w:color="000000" w:sz="6" w:space="0"/>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1">
    <w:name w:val="Table Simple 3"/>
    <w:basedOn w:val="78"/>
    <w:qFormat/>
    <w:uiPriority w:val="0"/>
    <w:pPr>
      <w:widowControl w:val="0"/>
      <w:adjustRightInd w:val="0"/>
      <w:spacing w:line="360" w:lineRule="auto"/>
      <w:jc w:val="both"/>
      <w:textAlignment w:val="baseline"/>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92">
    <w:name w:val="Table Subtle 1"/>
    <w:basedOn w:val="78"/>
    <w:qFormat/>
    <w:uiPriority w:val="0"/>
    <w:pPr>
      <w:widowControl w:val="0"/>
      <w:adjustRightInd w:val="0"/>
      <w:spacing w:line="360" w:lineRule="auto"/>
      <w:jc w:val="both"/>
      <w:textAlignment w:val="baseline"/>
    </w:pPr>
    <w:tblPr>
      <w:tblStyleRowBandSize w:val="1"/>
    </w:tblPr>
    <w:tblStylePr w:type="firstRow">
      <w:tblPr/>
      <w:tcPr>
        <w:tcBorders>
          <w:top w:val="single" w:color="000000" w:sz="6" w:space="0"/>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color="000000" w:sz="12" w:space="0"/>
          <w:insideH w:val="nil"/>
          <w:insideV w:val="nil"/>
          <w:tl2br w:val="nil"/>
          <w:tr2bl w:val="nil"/>
        </w:tcBorders>
      </w:tcPr>
    </w:tblStylePr>
    <w:tblStylePr w:type="lastCol">
      <w:tblPr/>
      <w:tcPr>
        <w:tcBorders>
          <w:top w:val="nil"/>
          <w:left w:val="nil"/>
          <w:bottom w:val="single" w:color="000000" w:sz="12" w:space="0"/>
          <w:right w:val="nil"/>
          <w:insideH w:val="nil"/>
          <w:insideV w:val="nil"/>
          <w:tl2br w:val="nil"/>
          <w:tr2bl w:val="nil"/>
        </w:tcBorders>
      </w:tcPr>
    </w:tblStylePr>
    <w:tblStylePr w:type="band1Horz">
      <w:tblPr/>
      <w:tcPr>
        <w:tcBorders>
          <w:top w:val="nil"/>
          <w:left w:val="single" w:color="000000" w:sz="6" w:space="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3">
    <w:name w:val="Table Subtle 2"/>
    <w:basedOn w:val="78"/>
    <w:qFormat/>
    <w:uiPriority w:val="0"/>
    <w:pPr>
      <w:widowControl w:val="0"/>
      <w:adjustRightInd w:val="0"/>
      <w:spacing w:line="360" w:lineRule="auto"/>
      <w:jc w:val="both"/>
      <w:textAlignment w:val="baseline"/>
    </w:pPr>
    <w:tblPr>
      <w:tblBorders>
        <w:left w:val="single" w:color="000000" w:sz="6" w:space="0"/>
        <w:right w:val="single" w:color="000000" w:sz="6" w:space="0"/>
      </w:tblBorders>
    </w:tblPr>
    <w:tblStylePr w:type="firstRow">
      <w:tblPr/>
      <w:tcPr>
        <w:tcBorders>
          <w:top w:val="nil"/>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firstCol">
      <w:tblPr/>
      <w:tcPr>
        <w:tcBorders>
          <w:top w:val="nil"/>
          <w:left w:val="nil"/>
          <w:bottom w:val="nil"/>
          <w:right w:val="single" w:color="000000" w:sz="12" w:space="0"/>
          <w:insideH w:val="nil"/>
          <w:insideV w:val="nil"/>
          <w:tl2br w:val="nil"/>
          <w:tr2bl w:val="nil"/>
        </w:tcBorders>
        <w:shd w:val="pct25" w:color="008000" w:fill="FFFFFF"/>
      </w:tcPr>
    </w:tblStylePr>
    <w:tblStylePr w:type="lastCol">
      <w:tblPr/>
      <w:tcPr>
        <w:tcBorders>
          <w:top w:val="nil"/>
          <w:left w:val="nil"/>
          <w:bottom w:val="single" w:color="000000" w:sz="12" w:space="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4">
    <w:name w:val="Table 3D effects 1"/>
    <w:basedOn w:val="78"/>
    <w:qFormat/>
    <w:uiPriority w:val="0"/>
    <w:pPr>
      <w:widowControl w:val="0"/>
      <w:adjustRightInd w:val="0"/>
      <w:spacing w:line="360" w:lineRule="auto"/>
      <w:jc w:val="both"/>
      <w:textAlignment w:val="baseline"/>
    </w:pPr>
    <w:tblPr/>
    <w:tcPr>
      <w:shd w:val="solid" w:color="C0C0C0" w:fill="FFFFFF"/>
    </w:tcPr>
    <w:tblStylePr w:type="firstRow">
      <w:rPr>
        <w:b/>
        <w:bCs/>
        <w:color w:val="800080"/>
      </w:rPr>
      <w:tblPr/>
      <w:tcPr>
        <w:tcBorders>
          <w:top w:val="nil"/>
          <w:left w:val="single" w:color="808080" w:sz="6" w:space="0"/>
          <w:bottom w:val="nil"/>
          <w:right w:val="nil"/>
          <w:insideH w:val="nil"/>
          <w:insideV w:val="nil"/>
          <w:tl2br w:val="nil"/>
          <w:tr2bl w:val="nil"/>
        </w:tcBorders>
      </w:tcPr>
    </w:tblStylePr>
    <w:tblStylePr w:type="lastRow">
      <w:tblPr/>
      <w:tcPr>
        <w:tcBorders>
          <w:top w:val="single" w:color="FFFFFF" w:sz="6" w:space="0"/>
          <w:left w:val="nil"/>
          <w:bottom w:val="nil"/>
          <w:right w:val="nil"/>
          <w:insideH w:val="nil"/>
          <w:insideV w:val="nil"/>
          <w:tl2br w:val="nil"/>
          <w:tr2bl w:val="nil"/>
        </w:tcBorders>
      </w:tcPr>
    </w:tblStylePr>
    <w:tblStylePr w:type="firstCol">
      <w:rPr>
        <w:b/>
        <w:bCs/>
      </w:rPr>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single" w:color="FFFFFF" w:sz="6" w:space="0"/>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95">
    <w:name w:val="Table 3D effects 2"/>
    <w:basedOn w:val="78"/>
    <w:qFormat/>
    <w:uiPriority w:val="0"/>
    <w:pPr>
      <w:widowControl w:val="0"/>
      <w:adjustRightInd w:val="0"/>
      <w:spacing w:line="312" w:lineRule="atLeast"/>
      <w:jc w:val="both"/>
      <w:textAlignment w:val="baseline"/>
    </w:pPr>
    <w:tblPr>
      <w:tblStyleRowBandSize w:val="1"/>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nil"/>
          <w:right w:val="single" w:color="FFFFFF" w:sz="6" w:space="0"/>
          <w:insideH w:val="nil"/>
          <w:insideV w:val="nil"/>
          <w:tl2br w:val="nil"/>
          <w:tr2bl w:val="nil"/>
        </w:tcBorders>
      </w:tcPr>
    </w:tblStylePr>
    <w:tblStylePr w:type="band1Horz">
      <w:tblPr/>
      <w:tcPr>
        <w:tcBorders>
          <w:top w:val="single" w:color="808080" w:sz="6" w:space="0"/>
          <w:left w:val="single" w:color="FFFFFF" w:sz="6" w:space="0"/>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6">
    <w:name w:val="Table 3D effects 3"/>
    <w:basedOn w:val="78"/>
    <w:qFormat/>
    <w:uiPriority w:val="0"/>
    <w:pPr>
      <w:widowControl w:val="0"/>
      <w:adjustRightInd w:val="0"/>
      <w:spacing w:line="360" w:lineRule="auto"/>
      <w:jc w:val="both"/>
      <w:textAlignment w:val="baseline"/>
    </w:p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nil"/>
          <w:right w:val="single" w:color="FFFFFF" w:sz="6" w:space="0"/>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7">
    <w:name w:val="Table List 1"/>
    <w:basedOn w:val="78"/>
    <w:qFormat/>
    <w:uiPriority w:val="0"/>
    <w:pPr>
      <w:widowControl w:val="0"/>
      <w:adjustRightInd w:val="0"/>
      <w:spacing w:line="360" w:lineRule="auto"/>
      <w:jc w:val="both"/>
      <w:textAlignment w:val="baseline"/>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top w:val="nil"/>
          <w:left w:val="single" w:color="000000" w:sz="6" w:space="0"/>
          <w:bottom w:val="nil"/>
          <w:right w:val="nil"/>
          <w:insideH w:val="nil"/>
          <w:insideV w:val="nil"/>
          <w:tl2br w:val="nil"/>
          <w:tr2bl w:val="nil"/>
        </w:tcBorders>
        <w:shd w:val="solid" w:color="C0C0C0" w:fill="FFFFFF"/>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8">
    <w:name w:val="Table List 2"/>
    <w:basedOn w:val="78"/>
    <w:qFormat/>
    <w:uiPriority w:val="0"/>
    <w:pPr>
      <w:widowControl w:val="0"/>
      <w:adjustRightInd w:val="0"/>
      <w:spacing w:line="360" w:lineRule="auto"/>
      <w:jc w:val="both"/>
      <w:textAlignment w:val="baseline"/>
    </w:pPr>
    <w:tblPr>
      <w:tblBorders>
        <w:bottom w:val="single" w:color="808080" w:sz="12" w:space="0"/>
      </w:tblBorders>
    </w:tblPr>
    <w:tblStylePr w:type="firstRow">
      <w:rPr>
        <w:b/>
        <w:bCs/>
        <w:color w:val="FFFFFF"/>
      </w:rPr>
      <w:tblPr/>
      <w:tcPr>
        <w:tcBorders>
          <w:top w:val="nil"/>
          <w:left w:val="single" w:color="000000" w:sz="6" w:space="0"/>
          <w:bottom w:val="nil"/>
          <w:right w:val="nil"/>
          <w:insideH w:val="nil"/>
          <w:insideV w:val="nil"/>
          <w:tl2br w:val="nil"/>
          <w:tr2bl w:val="nil"/>
        </w:tcBorders>
        <w:shd w:val="pct75" w:color="008080" w:fill="008000"/>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9">
    <w:name w:val="Table List 3"/>
    <w:basedOn w:val="78"/>
    <w:qFormat/>
    <w:uiPriority w:val="0"/>
    <w:pPr>
      <w:widowControl w:val="0"/>
      <w:adjustRightInd w:val="0"/>
      <w:spacing w:line="360" w:lineRule="auto"/>
      <w:jc w:val="both"/>
      <w:textAlignment w:val="baseline"/>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top w:val="nil"/>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100">
    <w:name w:val="Table List 4"/>
    <w:basedOn w:val="78"/>
    <w:qFormat/>
    <w:uiPriority w:val="0"/>
    <w:pPr>
      <w:widowControl w:val="0"/>
      <w:adjustRightInd w:val="0"/>
      <w:spacing w:line="360" w:lineRule="auto"/>
      <w:jc w:val="both"/>
      <w:textAlignment w:val="baseline"/>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top w:val="nil"/>
          <w:left w:val="single" w:color="000000" w:sz="12" w:space="0"/>
          <w:bottom w:val="nil"/>
          <w:right w:val="nil"/>
          <w:insideH w:val="nil"/>
          <w:insideV w:val="nil"/>
          <w:tl2br w:val="nil"/>
          <w:tr2bl w:val="nil"/>
        </w:tcBorders>
        <w:shd w:val="solid" w:color="808080" w:fill="FFFFFF"/>
      </w:tcPr>
    </w:tblStylePr>
  </w:style>
  <w:style w:type="table" w:styleId="101">
    <w:name w:val="Table List 5"/>
    <w:basedOn w:val="78"/>
    <w:qFormat/>
    <w:uiPriority w:val="0"/>
    <w:pPr>
      <w:widowControl w:val="0"/>
      <w:adjustRightInd w:val="0"/>
      <w:spacing w:line="360" w:lineRule="auto"/>
      <w:jc w:val="both"/>
      <w:textAlignment w:val="baseline"/>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top w:val="nil"/>
          <w:left w:val="single" w:color="000000" w:sz="12" w:space="0"/>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102">
    <w:name w:val="Table List 6"/>
    <w:basedOn w:val="78"/>
    <w:qFormat/>
    <w:uiPriority w:val="0"/>
    <w:pPr>
      <w:widowControl w:val="0"/>
      <w:adjustRightInd w:val="0"/>
      <w:spacing w:line="360" w:lineRule="auto"/>
      <w:jc w:val="both"/>
      <w:textAlignment w:val="baseline"/>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top w:val="nil"/>
          <w:left w:val="single" w:color="000000" w:sz="12" w:space="0"/>
          <w:bottom w:val="nil"/>
          <w:right w:val="nil"/>
          <w:insideH w:val="nil"/>
          <w:insideV w:val="nil"/>
          <w:tl2br w:val="nil"/>
          <w:tr2bl w:val="nil"/>
        </w:tcBorders>
      </w:tcPr>
    </w:tblStylePr>
    <w:tblStylePr w:type="firstCol">
      <w:rPr>
        <w:b/>
        <w:bCs/>
      </w:rPr>
      <w:tblPr/>
      <w:tcPr>
        <w:tcBorders>
          <w:top w:val="nil"/>
          <w:left w:val="nil"/>
          <w:bottom w:val="nil"/>
          <w:right w:val="single" w:color="000000" w:sz="12" w:space="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03">
    <w:name w:val="Table List 7"/>
    <w:basedOn w:val="78"/>
    <w:qFormat/>
    <w:uiPriority w:val="0"/>
    <w:pPr>
      <w:widowControl w:val="0"/>
      <w:adjustRightInd w:val="0"/>
      <w:spacing w:line="360" w:lineRule="auto"/>
      <w:jc w:val="both"/>
      <w:textAlignment w:val="baseline"/>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top w:val="nil"/>
          <w:left w:val="single" w:color="008000" w:sz="12" w:space="0"/>
          <w:bottom w:val="nil"/>
          <w:right w:val="nil"/>
          <w:insideH w:val="nil"/>
          <w:insideV w:val="nil"/>
          <w:tl2br w:val="nil"/>
          <w:tr2bl w:val="nil"/>
        </w:tcBorders>
        <w:shd w:val="solid" w:color="C0C0C0" w:fill="FFFFFF"/>
      </w:tcPr>
    </w:tblStylePr>
    <w:tblStylePr w:type="lastRow">
      <w:rPr>
        <w:b/>
        <w:bCs/>
      </w:rPr>
      <w:tblPr/>
      <w:tcPr>
        <w:tcBorders>
          <w:top w:val="single" w:color="008000" w:sz="12"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104">
    <w:name w:val="Table List 8"/>
    <w:basedOn w:val="78"/>
    <w:qFormat/>
    <w:uiPriority w:val="0"/>
    <w:pPr>
      <w:widowControl w:val="0"/>
      <w:adjustRightInd w:val="0"/>
      <w:spacing w:line="360" w:lineRule="auto"/>
      <w:jc w:val="both"/>
      <w:textAlignment w:val="baseline"/>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top w:val="nil"/>
          <w:left w:val="single" w:color="000000" w:sz="6" w:space="0"/>
          <w:bottom w:val="nil"/>
          <w:right w:val="nil"/>
          <w:insideH w:val="nil"/>
          <w:insideV w:val="nil"/>
          <w:tl2br w:val="nil"/>
          <w:tr2bl w:val="nil"/>
        </w:tcBorders>
        <w:shd w:val="solid" w:color="FFFF00" w:fill="FFFFFF"/>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color="auto" w:sz="6" w:space="0"/>
          <w:tr2bl w:val="nil"/>
        </w:tcBorders>
      </w:tcPr>
    </w:tblStylePr>
  </w:style>
  <w:style w:type="table" w:styleId="105">
    <w:name w:val="Table Contemporary"/>
    <w:basedOn w:val="78"/>
    <w:qFormat/>
    <w:uiPriority w:val="0"/>
    <w:pPr>
      <w:widowControl w:val="0"/>
      <w:adjustRightInd w:val="0"/>
      <w:spacing w:line="360" w:lineRule="auto"/>
      <w:jc w:val="both"/>
      <w:textAlignment w:val="baseline"/>
    </w:pPr>
    <w:tblPr>
      <w:tblBorders>
        <w:insideH w:val="single" w:color="FFFFFF" w:sz="18" w:space="0"/>
        <w:insideV w:val="single" w:color="FFFFFF" w:sz="18" w:space="0"/>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106">
    <w:name w:val="Table Columns 1"/>
    <w:basedOn w:val="78"/>
    <w:qFormat/>
    <w:uiPriority w:val="0"/>
    <w:pPr>
      <w:widowControl w:val="0"/>
      <w:adjustRightInd w:val="0"/>
      <w:spacing w:line="360" w:lineRule="auto"/>
      <w:jc w:val="both"/>
      <w:textAlignment w:val="baseline"/>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top w:val="nil"/>
          <w:left w:val="double" w:color="000000" w:sz="6" w:space="0"/>
          <w:bottom w:val="nil"/>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7">
    <w:name w:val="Table Columns 2"/>
    <w:basedOn w:val="78"/>
    <w:qFormat/>
    <w:uiPriority w:val="0"/>
    <w:pPr>
      <w:widowControl w:val="0"/>
      <w:adjustRightInd w:val="0"/>
      <w:spacing w:line="360" w:lineRule="auto"/>
      <w:jc w:val="both"/>
      <w:textAlignment w:val="baseline"/>
    </w:pPr>
    <w:rPr>
      <w:b/>
      <w:bCs/>
    </w:rPr>
    <w:tblPr>
      <w:tblStyleColBandSize w:val="1"/>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8">
    <w:name w:val="Table Columns 3"/>
    <w:basedOn w:val="78"/>
    <w:qFormat/>
    <w:uiPriority w:val="0"/>
    <w:pPr>
      <w:widowControl w:val="0"/>
      <w:adjustRightInd w:val="0"/>
      <w:spacing w:line="360" w:lineRule="auto"/>
      <w:jc w:val="both"/>
      <w:textAlignment w:val="baseline"/>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color="00008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styleId="109">
    <w:name w:val="Table Columns 4"/>
    <w:basedOn w:val="78"/>
    <w:qFormat/>
    <w:uiPriority w:val="0"/>
    <w:pPr>
      <w:widowControl w:val="0"/>
      <w:adjustRightInd w:val="0"/>
      <w:spacing w:line="360" w:lineRule="auto"/>
      <w:jc w:val="both"/>
      <w:textAlignment w:val="baseline"/>
    </w:pPr>
    <w:tblPr>
      <w:tblStyleColBandSize w:val="1"/>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10">
    <w:name w:val="Table Columns 5"/>
    <w:basedOn w:val="78"/>
    <w:qFormat/>
    <w:uiPriority w:val="0"/>
    <w:pPr>
      <w:widowControl w:val="0"/>
      <w:adjustRightInd w:val="0"/>
      <w:spacing w:line="360" w:lineRule="auto"/>
      <w:jc w:val="both"/>
      <w:textAlignment w:val="baseline"/>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top w:val="nil"/>
          <w:left w:val="single" w:color="808080" w:sz="6" w:space="0"/>
          <w:bottom w:val="nil"/>
          <w:right w:val="nil"/>
          <w:insideH w:val="nil"/>
          <w:insideV w:val="nil"/>
          <w:tl2br w:val="nil"/>
          <w:tr2bl w:val="nil"/>
        </w:tcBorders>
      </w:tcPr>
    </w:tblStylePr>
    <w:tblStylePr w:type="lastRow">
      <w:rPr>
        <w:b/>
        <w:bCs/>
      </w:rPr>
      <w:tblPr/>
      <w:tcPr>
        <w:tcBorders>
          <w:top w:val="single" w:color="80808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11">
    <w:name w:val="Table Grid 1"/>
    <w:basedOn w:val="78"/>
    <w:qFormat/>
    <w:uiPriority w:val="0"/>
    <w:pPr>
      <w:widowControl w:val="0"/>
      <w:adjustRightInd w:val="0"/>
      <w:spacing w:line="360" w:lineRule="auto"/>
      <w:jc w:val="both"/>
      <w:textAlignment w:val="baseline"/>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2">
    <w:name w:val="Table Grid 2"/>
    <w:basedOn w:val="78"/>
    <w:qFormat/>
    <w:uiPriority w:val="0"/>
    <w:pPr>
      <w:widowControl w:val="0"/>
      <w:adjustRightInd w:val="0"/>
      <w:spacing w:line="360" w:lineRule="auto"/>
      <w:jc w:val="both"/>
      <w:textAlignment w:val="baseline"/>
    </w:pPr>
    <w:tblPr>
      <w:tblBorders>
        <w:insideH w:val="single" w:color="000000" w:sz="6" w:space="0"/>
        <w:insideV w:val="single" w:color="000000" w:sz="6" w:space="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113">
    <w:name w:val="Table Grid 3"/>
    <w:basedOn w:val="78"/>
    <w:qFormat/>
    <w:uiPriority w:val="0"/>
    <w:pPr>
      <w:widowControl w:val="0"/>
      <w:adjustRightInd w:val="0"/>
      <w:spacing w:line="360" w:lineRule="auto"/>
      <w:jc w:val="both"/>
      <w:textAlignment w:val="baseline"/>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top w:val="nil"/>
          <w:left w:val="single" w:color="000000" w:sz="6" w:space="0"/>
          <w:bottom w:val="nil"/>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4">
    <w:name w:val="Table Grid 4"/>
    <w:basedOn w:val="78"/>
    <w:qFormat/>
    <w:uiPriority w:val="0"/>
    <w:pPr>
      <w:widowControl w:val="0"/>
      <w:adjustRightInd w:val="0"/>
      <w:spacing w:line="360" w:lineRule="auto"/>
      <w:jc w:val="both"/>
      <w:textAlignment w:val="baseline"/>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top w:val="nil"/>
          <w:left w:val="single" w:color="000000" w:sz="6" w:space="0"/>
          <w:bottom w:val="nil"/>
          <w:right w:val="nil"/>
          <w:insideH w:val="nil"/>
          <w:insideV w:val="nil"/>
          <w:tl2br w:val="nil"/>
          <w:tr2bl w:val="nil"/>
        </w:tcBorders>
        <w:shd w:val="pct30" w:color="FFFF00" w:fill="FFFFFF"/>
      </w:tcPr>
    </w:tblStylePr>
    <w:tblStylePr w:type="lastRow">
      <w:rPr>
        <w:b/>
        <w:bCs/>
        <w:color w:val="auto"/>
      </w:rPr>
      <w:tblPr/>
      <w:tcPr>
        <w:tcBorders>
          <w:top w:val="single" w:color="000000" w:sz="6" w:space="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15">
    <w:name w:val="Table Grid 5"/>
    <w:basedOn w:val="78"/>
    <w:qFormat/>
    <w:uiPriority w:val="0"/>
    <w:pPr>
      <w:widowControl w:val="0"/>
      <w:adjustRightInd w:val="0"/>
      <w:spacing w:line="360" w:lineRule="auto"/>
      <w:jc w:val="both"/>
      <w:textAlignment w:val="baseline"/>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top w:val="nil"/>
          <w:left w:val="single" w:color="000000" w:sz="12" w:space="0"/>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6">
    <w:name w:val="Table Grid 6"/>
    <w:basedOn w:val="78"/>
    <w:qFormat/>
    <w:uiPriority w:val="0"/>
    <w:pPr>
      <w:widowControl w:val="0"/>
      <w:adjustRightInd w:val="0"/>
      <w:spacing w:line="360" w:lineRule="auto"/>
      <w:jc w:val="both"/>
      <w:textAlignment w:val="baseline"/>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top w:val="nil"/>
          <w:left w:val="single" w:color="000000" w:sz="6" w:space="0"/>
          <w:bottom w:val="nil"/>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7">
    <w:name w:val="Table Grid 7"/>
    <w:basedOn w:val="78"/>
    <w:qFormat/>
    <w:uiPriority w:val="0"/>
    <w:pPr>
      <w:widowControl w:val="0"/>
      <w:adjustRightInd w:val="0"/>
      <w:spacing w:line="360" w:lineRule="auto"/>
      <w:jc w:val="both"/>
      <w:textAlignment w:val="baseline"/>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top w:val="nil"/>
          <w:left w:val="single" w:color="000000" w:sz="12" w:space="0"/>
          <w:bottom w:val="nil"/>
          <w:right w:val="nil"/>
          <w:insideH w:val="nil"/>
          <w:insideV w:val="nil"/>
          <w:tl2br w:val="nil"/>
          <w:tr2bl w:val="nil"/>
        </w:tcBorders>
      </w:tcPr>
    </w:tblStylePr>
    <w:tblStylePr w:type="lastRow">
      <w:rPr>
        <w:b w:val="0"/>
        <w:bCs w:val="0"/>
      </w:rPr>
      <w:tblPr/>
      <w:tcPr>
        <w:tcBorders>
          <w:top w:val="single" w:color="00000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8">
    <w:name w:val="Table Grid 8"/>
    <w:basedOn w:val="78"/>
    <w:qFormat/>
    <w:uiPriority w:val="0"/>
    <w:pPr>
      <w:widowControl w:val="0"/>
      <w:adjustRightInd w:val="0"/>
      <w:spacing w:line="360" w:lineRule="auto"/>
      <w:jc w:val="both"/>
      <w:textAlignment w:val="baseline"/>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19">
    <w:name w:val="Table Web 1"/>
    <w:basedOn w:val="78"/>
    <w:qFormat/>
    <w:uiPriority w:val="0"/>
    <w:pPr>
      <w:widowControl w:val="0"/>
      <w:adjustRightInd w:val="0"/>
      <w:spacing w:line="360" w:lineRule="auto"/>
      <w:jc w:val="both"/>
      <w:textAlignment w:val="baseline"/>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20">
    <w:name w:val="Table Web 2"/>
    <w:basedOn w:val="78"/>
    <w:qFormat/>
    <w:uiPriority w:val="0"/>
    <w:pPr>
      <w:widowControl w:val="0"/>
      <w:adjustRightInd w:val="0"/>
      <w:spacing w:line="360" w:lineRule="auto"/>
      <w:jc w:val="both"/>
      <w:textAlignment w:val="baseline"/>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21">
    <w:name w:val="Table Web 3"/>
    <w:basedOn w:val="78"/>
    <w:qFormat/>
    <w:uiPriority w:val="0"/>
    <w:pPr>
      <w:widowControl w:val="0"/>
      <w:adjustRightInd w:val="0"/>
      <w:spacing w:line="360" w:lineRule="auto"/>
      <w:jc w:val="both"/>
      <w:textAlignment w:val="baseline"/>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22">
    <w:name w:val="Table Professional"/>
    <w:basedOn w:val="78"/>
    <w:qFormat/>
    <w:uiPriority w:val="0"/>
    <w:pPr>
      <w:widowControl w:val="0"/>
      <w:adjustRightInd w:val="0"/>
      <w:spacing w:line="312" w:lineRule="atLeast"/>
      <w:jc w:val="both"/>
      <w:textAlignment w:val="baseline"/>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124">
    <w:name w:val="Strong"/>
    <w:qFormat/>
    <w:uiPriority w:val="0"/>
    <w:rPr>
      <w:b/>
      <w:bCs/>
    </w:rPr>
  </w:style>
  <w:style w:type="character" w:styleId="125">
    <w:name w:val="endnote reference"/>
    <w:qFormat/>
    <w:uiPriority w:val="0"/>
    <w:rPr>
      <w:vertAlign w:val="superscript"/>
    </w:rPr>
  </w:style>
  <w:style w:type="character" w:styleId="126">
    <w:name w:val="page number"/>
    <w:qFormat/>
    <w:uiPriority w:val="0"/>
  </w:style>
  <w:style w:type="character" w:styleId="127">
    <w:name w:val="FollowedHyperlink"/>
    <w:qFormat/>
    <w:uiPriority w:val="99"/>
    <w:rPr>
      <w:color w:val="800080"/>
      <w:u w:val="single"/>
    </w:rPr>
  </w:style>
  <w:style w:type="character" w:styleId="128">
    <w:name w:val="Emphasis"/>
    <w:qFormat/>
    <w:uiPriority w:val="0"/>
    <w:rPr>
      <w:color w:val="CC0033"/>
    </w:rPr>
  </w:style>
  <w:style w:type="character" w:styleId="129">
    <w:name w:val="line number"/>
    <w:qFormat/>
    <w:uiPriority w:val="0"/>
  </w:style>
  <w:style w:type="character" w:styleId="130">
    <w:name w:val="HTML Definition"/>
    <w:qFormat/>
    <w:uiPriority w:val="0"/>
    <w:rPr>
      <w:i/>
      <w:iCs/>
    </w:rPr>
  </w:style>
  <w:style w:type="character" w:styleId="131">
    <w:name w:val="HTML Typewriter"/>
    <w:qFormat/>
    <w:uiPriority w:val="99"/>
    <w:rPr>
      <w:rFonts w:ascii="Courier New" w:hAnsi="Courier New" w:cs="Courier New"/>
      <w:sz w:val="20"/>
      <w:szCs w:val="20"/>
    </w:rPr>
  </w:style>
  <w:style w:type="character" w:styleId="132">
    <w:name w:val="HTML Acronym"/>
    <w:qFormat/>
    <w:uiPriority w:val="0"/>
  </w:style>
  <w:style w:type="character" w:styleId="133">
    <w:name w:val="HTML Variable"/>
    <w:qFormat/>
    <w:uiPriority w:val="0"/>
    <w:rPr>
      <w:i/>
      <w:iCs/>
    </w:rPr>
  </w:style>
  <w:style w:type="character" w:styleId="134">
    <w:name w:val="Hyperlink"/>
    <w:qFormat/>
    <w:uiPriority w:val="99"/>
    <w:rPr>
      <w:color w:val="0000FF"/>
      <w:u w:val="single"/>
    </w:rPr>
  </w:style>
  <w:style w:type="character" w:styleId="135">
    <w:name w:val="HTML Code"/>
    <w:qFormat/>
    <w:uiPriority w:val="0"/>
    <w:rPr>
      <w:rFonts w:ascii="Courier New" w:hAnsi="Courier New" w:cs="Courier New"/>
      <w:sz w:val="20"/>
      <w:szCs w:val="20"/>
    </w:rPr>
  </w:style>
  <w:style w:type="character" w:styleId="136">
    <w:name w:val="annotation reference"/>
    <w:basedOn w:val="123"/>
    <w:qFormat/>
    <w:uiPriority w:val="0"/>
    <w:rPr>
      <w:sz w:val="21"/>
      <w:szCs w:val="21"/>
    </w:rPr>
  </w:style>
  <w:style w:type="character" w:styleId="137">
    <w:name w:val="HTML Cite"/>
    <w:qFormat/>
    <w:uiPriority w:val="0"/>
    <w:rPr>
      <w:i/>
      <w:iCs/>
    </w:rPr>
  </w:style>
  <w:style w:type="character" w:styleId="138">
    <w:name w:val="footnote reference"/>
    <w:qFormat/>
    <w:uiPriority w:val="0"/>
    <w:rPr>
      <w:vertAlign w:val="superscript"/>
    </w:rPr>
  </w:style>
  <w:style w:type="character" w:styleId="139">
    <w:name w:val="HTML Keyboard"/>
    <w:qFormat/>
    <w:uiPriority w:val="0"/>
    <w:rPr>
      <w:rFonts w:ascii="Courier New" w:hAnsi="Courier New" w:cs="Courier New"/>
      <w:sz w:val="20"/>
      <w:szCs w:val="20"/>
    </w:rPr>
  </w:style>
  <w:style w:type="character" w:styleId="140">
    <w:name w:val="HTML Sample"/>
    <w:qFormat/>
    <w:uiPriority w:val="0"/>
    <w:rPr>
      <w:rFonts w:ascii="Courier New" w:hAnsi="Courier New" w:cs="Courier New"/>
    </w:rPr>
  </w:style>
  <w:style w:type="paragraph" w:customStyle="1" w:styleId="141">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142">
    <w:name w:val="style4"/>
    <w:basedOn w:val="1"/>
    <w:next w:val="143"/>
    <w:qFormat/>
    <w:uiPriority w:val="0"/>
    <w:pPr>
      <w:widowControl/>
      <w:spacing w:before="280" w:after="280"/>
    </w:pPr>
    <w:rPr>
      <w:rFonts w:ascii="宋体"/>
      <w:sz w:val="18"/>
    </w:rPr>
  </w:style>
  <w:style w:type="paragraph" w:customStyle="1" w:styleId="143">
    <w:name w:val="2"/>
    <w:next w:val="1"/>
    <w:qFormat/>
    <w:uiPriority w:val="0"/>
    <w:pPr>
      <w:widowControl w:val="0"/>
      <w:jc w:val="both"/>
    </w:pPr>
    <w:rPr>
      <w:rFonts w:ascii="Calibri" w:hAnsi="Calibri" w:eastAsia="宋体" w:cs="Times New Roman"/>
      <w:sz w:val="21"/>
      <w:szCs w:val="22"/>
      <w:lang w:val="en-US" w:eastAsia="zh-CN" w:bidi="ar-SA"/>
    </w:rPr>
  </w:style>
  <w:style w:type="paragraph" w:customStyle="1" w:styleId="144">
    <w:name w:val="样式1"/>
    <w:basedOn w:val="1"/>
    <w:qFormat/>
    <w:uiPriority w:val="0"/>
    <w:pPr>
      <w:tabs>
        <w:tab w:val="left" w:pos="709"/>
      </w:tabs>
      <w:adjustRightInd w:val="0"/>
      <w:ind w:left="709" w:hanging="709"/>
      <w:textAlignment w:val="baseline"/>
    </w:pPr>
    <w:rPr>
      <w:rFonts w:ascii="宋体" w:hAnsi="宋体"/>
      <w:kern w:val="0"/>
      <w:szCs w:val="21"/>
    </w:rPr>
  </w:style>
  <w:style w:type="paragraph" w:customStyle="1" w:styleId="145">
    <w:name w:val="样式2"/>
    <w:basedOn w:val="4"/>
    <w:qFormat/>
    <w:uiPriority w:val="0"/>
    <w:pPr>
      <w:tabs>
        <w:tab w:val="left" w:pos="567"/>
        <w:tab w:val="left" w:pos="1440"/>
      </w:tabs>
      <w:spacing w:before="120" w:after="120" w:line="360" w:lineRule="auto"/>
      <w:ind w:left="1440" w:hanging="900"/>
    </w:pPr>
    <w:rPr>
      <w:rFonts w:ascii="Cambria" w:hAnsi="Cambria" w:eastAsia="宋体"/>
      <w:bCs/>
      <w:szCs w:val="32"/>
    </w:rPr>
  </w:style>
  <w:style w:type="character" w:customStyle="1" w:styleId="146">
    <w:name w:val="2nd level Char"/>
    <w:qFormat/>
    <w:uiPriority w:val="0"/>
    <w:rPr>
      <w:rFonts w:ascii="Arial" w:hAnsi="Arial" w:eastAsia="黑体"/>
      <w:b/>
      <w:bCs/>
      <w:kern w:val="2"/>
      <w:sz w:val="32"/>
      <w:szCs w:val="32"/>
      <w:lang w:val="en-US" w:eastAsia="zh-CN" w:bidi="ar-SA"/>
    </w:rPr>
  </w:style>
  <w:style w:type="character" w:customStyle="1" w:styleId="147">
    <w:name w:val="HTML 预设格式 Char1"/>
    <w:qFormat/>
    <w:uiPriority w:val="0"/>
    <w:rPr>
      <w:rFonts w:ascii="Courier New" w:hAnsi="Courier New" w:cs="Courier New"/>
      <w:kern w:val="2"/>
    </w:rPr>
  </w:style>
  <w:style w:type="character" w:customStyle="1" w:styleId="148">
    <w:name w:val="oblog_text"/>
    <w:qFormat/>
    <w:uiPriority w:val="0"/>
  </w:style>
  <w:style w:type="character" w:customStyle="1" w:styleId="149">
    <w:name w:val="Char Char2"/>
    <w:qFormat/>
    <w:uiPriority w:val="0"/>
    <w:rPr>
      <w:rFonts w:ascii="宋体" w:hAnsi="Courier New" w:eastAsia="宋体"/>
      <w:kern w:val="2"/>
      <w:sz w:val="21"/>
      <w:szCs w:val="21"/>
      <w:lang w:val="en-US" w:eastAsia="zh-CN" w:bidi="ar-SA"/>
    </w:rPr>
  </w:style>
  <w:style w:type="character" w:customStyle="1" w:styleId="150">
    <w:name w:val="批注文字 Char"/>
    <w:qFormat/>
    <w:uiPriority w:val="0"/>
    <w:rPr>
      <w:kern w:val="2"/>
      <w:sz w:val="21"/>
      <w:szCs w:val="21"/>
    </w:rPr>
  </w:style>
  <w:style w:type="character" w:customStyle="1" w:styleId="151">
    <w:name w:val="style31"/>
    <w:qFormat/>
    <w:uiPriority w:val="0"/>
    <w:rPr>
      <w:rFonts w:cs="Times New Roman"/>
      <w:b/>
      <w:bCs/>
      <w:color w:val="auto"/>
    </w:rPr>
  </w:style>
  <w:style w:type="character" w:customStyle="1" w:styleId="152">
    <w:name w:val="页眉 Char1"/>
    <w:qFormat/>
    <w:uiPriority w:val="0"/>
    <w:rPr>
      <w:kern w:val="2"/>
      <w:sz w:val="18"/>
      <w:szCs w:val="18"/>
    </w:rPr>
  </w:style>
  <w:style w:type="character" w:customStyle="1" w:styleId="153">
    <w:name w:val="content_lineheight1"/>
    <w:qFormat/>
    <w:uiPriority w:val="0"/>
  </w:style>
  <w:style w:type="character" w:customStyle="1" w:styleId="154">
    <w:name w:val="font71"/>
    <w:qFormat/>
    <w:uiPriority w:val="0"/>
    <w:rPr>
      <w:rFonts w:hint="eastAsia" w:ascii="宋体" w:hAnsi="宋体" w:eastAsia="宋体" w:cs="宋体"/>
      <w:color w:val="000000"/>
      <w:sz w:val="20"/>
      <w:szCs w:val="20"/>
      <w:u w:val="none"/>
    </w:rPr>
  </w:style>
  <w:style w:type="character" w:customStyle="1" w:styleId="155">
    <w:name w:val="3zw"/>
    <w:qFormat/>
    <w:uiPriority w:val="0"/>
  </w:style>
  <w:style w:type="character" w:customStyle="1" w:styleId="156">
    <w:name w:val="css21"/>
    <w:qFormat/>
    <w:uiPriority w:val="0"/>
    <w:rPr>
      <w:sz w:val="18"/>
      <w:szCs w:val="18"/>
    </w:rPr>
  </w:style>
  <w:style w:type="character" w:customStyle="1" w:styleId="157">
    <w:name w:val="t_tag"/>
    <w:qFormat/>
    <w:uiPriority w:val="0"/>
  </w:style>
  <w:style w:type="character" w:customStyle="1" w:styleId="158">
    <w:name w:val="unnamed1"/>
    <w:qFormat/>
    <w:uiPriority w:val="0"/>
  </w:style>
  <w:style w:type="character" w:customStyle="1" w:styleId="159">
    <w:name w:val="纯文本 Char Char Char Char Char Char"/>
    <w:qFormat/>
    <w:locked/>
    <w:uiPriority w:val="0"/>
    <w:rPr>
      <w:rFonts w:ascii="宋体" w:hAnsi="Courier New" w:eastAsia="宋体"/>
      <w:kern w:val="2"/>
      <w:sz w:val="21"/>
      <w:lang w:val="en-US" w:eastAsia="zh-CN" w:bidi="ar-SA"/>
    </w:rPr>
  </w:style>
  <w:style w:type="character" w:customStyle="1" w:styleId="160">
    <w:name w:val="小四 段落 宋体 Char1"/>
    <w:qFormat/>
    <w:uiPriority w:val="0"/>
    <w:rPr>
      <w:rFonts w:eastAsia="宋体"/>
      <w:kern w:val="2"/>
      <w:sz w:val="24"/>
      <w:szCs w:val="24"/>
      <w:lang w:val="en-US" w:eastAsia="zh-CN" w:bidi="ar-SA"/>
    </w:rPr>
  </w:style>
  <w:style w:type="character" w:customStyle="1" w:styleId="161">
    <w:name w:val="style131"/>
    <w:qFormat/>
    <w:uiPriority w:val="0"/>
    <w:rPr>
      <w:rFonts w:cs="Times New Roman"/>
      <w:sz w:val="18"/>
      <w:szCs w:val="18"/>
    </w:rPr>
  </w:style>
  <w:style w:type="character" w:customStyle="1" w:styleId="162">
    <w:name w:val="FA正文 Char"/>
    <w:link w:val="163"/>
    <w:qFormat/>
    <w:uiPriority w:val="0"/>
    <w:rPr>
      <w:rFonts w:ascii="宋体" w:hAnsi="宋体"/>
      <w:spacing w:val="10"/>
      <w:kern w:val="2"/>
      <w:sz w:val="21"/>
      <w:szCs w:val="21"/>
    </w:rPr>
  </w:style>
  <w:style w:type="paragraph" w:customStyle="1" w:styleId="163">
    <w:name w:val="FA正文"/>
    <w:basedOn w:val="1"/>
    <w:link w:val="162"/>
    <w:qFormat/>
    <w:uiPriority w:val="0"/>
    <w:pPr>
      <w:tabs>
        <w:tab w:val="left" w:pos="426"/>
      </w:tabs>
      <w:spacing w:line="360" w:lineRule="auto"/>
      <w:ind w:left="420" w:firstLine="6"/>
    </w:pPr>
    <w:rPr>
      <w:rFonts w:ascii="宋体" w:hAnsi="宋体"/>
      <w:spacing w:val="10"/>
      <w:szCs w:val="21"/>
    </w:rPr>
  </w:style>
  <w:style w:type="character" w:customStyle="1" w:styleId="164">
    <w:name w:val="font111"/>
    <w:qFormat/>
    <w:uiPriority w:val="0"/>
    <w:rPr>
      <w:rFonts w:hint="eastAsia" w:ascii="宋体" w:hAnsi="宋体" w:eastAsia="宋体" w:cs="宋体"/>
      <w:b/>
      <w:color w:val="0000FF"/>
      <w:sz w:val="24"/>
      <w:szCs w:val="24"/>
      <w:u w:val="none"/>
    </w:rPr>
  </w:style>
  <w:style w:type="character" w:customStyle="1" w:styleId="165">
    <w:name w:val="标题 Char1"/>
    <w:qFormat/>
    <w:uiPriority w:val="0"/>
    <w:rPr>
      <w:rFonts w:ascii="Cambria" w:hAnsi="Cambria" w:cs="Times New Roman"/>
      <w:b/>
      <w:bCs/>
      <w:kern w:val="2"/>
      <w:sz w:val="32"/>
      <w:szCs w:val="32"/>
    </w:rPr>
  </w:style>
  <w:style w:type="character" w:customStyle="1" w:styleId="166">
    <w:name w:val="批注主题 Char1"/>
    <w:qFormat/>
    <w:uiPriority w:val="0"/>
    <w:rPr>
      <w:b/>
      <w:bCs/>
      <w:kern w:val="2"/>
      <w:sz w:val="21"/>
    </w:rPr>
  </w:style>
  <w:style w:type="character" w:customStyle="1" w:styleId="167">
    <w:name w:val="样式 标题 2h2sect 1.2H2UNDERRUBRIK 1-2hhHeading TwoProphead 2... Char Char"/>
    <w:link w:val="168"/>
    <w:qFormat/>
    <w:uiPriority w:val="0"/>
    <w:rPr>
      <w:rFonts w:ascii="黑体" w:hAnsi="黑体" w:eastAsia="黑体"/>
      <w:b/>
      <w:bCs/>
      <w:kern w:val="2"/>
      <w:sz w:val="32"/>
      <w:szCs w:val="32"/>
    </w:rPr>
  </w:style>
  <w:style w:type="paragraph" w:customStyle="1" w:styleId="168">
    <w:name w:val="样式 标题 2h2sect 1.2H2UNDERRUBRIK 1-2hhHeading TwoProphead 2..."/>
    <w:basedOn w:val="4"/>
    <w:link w:val="167"/>
    <w:qFormat/>
    <w:uiPriority w:val="0"/>
    <w:pPr>
      <w:keepNext w:val="0"/>
      <w:tabs>
        <w:tab w:val="left" w:pos="720"/>
        <w:tab w:val="left" w:pos="1681"/>
      </w:tabs>
      <w:spacing w:beforeLines="100" w:after="0" w:line="360" w:lineRule="auto"/>
      <w:ind w:left="1681" w:hanging="420"/>
      <w:jc w:val="left"/>
    </w:pPr>
    <w:rPr>
      <w:rFonts w:ascii="黑体" w:hAnsi="黑体"/>
      <w:bCs/>
      <w:szCs w:val="32"/>
    </w:rPr>
  </w:style>
  <w:style w:type="character" w:customStyle="1" w:styleId="169">
    <w:name w:val="标题 3 Char"/>
    <w:qFormat/>
    <w:uiPriority w:val="0"/>
    <w:rPr>
      <w:rFonts w:eastAsia="宋体"/>
      <w:b/>
      <w:bCs/>
      <w:kern w:val="2"/>
      <w:sz w:val="32"/>
      <w:szCs w:val="32"/>
      <w:lang w:val="en-US" w:eastAsia="zh-CN" w:bidi="ar-SA"/>
    </w:rPr>
  </w:style>
  <w:style w:type="character" w:customStyle="1" w:styleId="170">
    <w:name w:val="Default Text Char"/>
    <w:link w:val="171"/>
    <w:qFormat/>
    <w:locked/>
    <w:uiPriority w:val="0"/>
    <w:rPr>
      <w:rFonts w:ascii="宋体" w:hAnsi="宋体"/>
      <w:sz w:val="24"/>
    </w:rPr>
  </w:style>
  <w:style w:type="paragraph" w:customStyle="1" w:styleId="171">
    <w:name w:val="Default Text"/>
    <w:basedOn w:val="1"/>
    <w:link w:val="170"/>
    <w:qFormat/>
    <w:uiPriority w:val="0"/>
    <w:pPr>
      <w:widowControl/>
      <w:overflowPunct w:val="0"/>
      <w:autoSpaceDE w:val="0"/>
      <w:autoSpaceDN w:val="0"/>
      <w:adjustRightInd w:val="0"/>
      <w:jc w:val="left"/>
    </w:pPr>
    <w:rPr>
      <w:rFonts w:ascii="宋体" w:hAnsi="宋体"/>
      <w:kern w:val="0"/>
      <w:sz w:val="24"/>
    </w:rPr>
  </w:style>
  <w:style w:type="character" w:customStyle="1" w:styleId="172">
    <w:name w:val="grame"/>
    <w:qFormat/>
    <w:uiPriority w:val="0"/>
  </w:style>
  <w:style w:type="character" w:customStyle="1" w:styleId="173">
    <w:name w:val="标题 3 Char Char Char Char Char Char Char Char Char Char Char Char Char Char Char Char Char Char Char Char Char Char Char Char Char Char Char Char Char Char Char Char Char Char Char Char Char Char Char Char Char Char Char Char Char Char Char Char Cha Char"/>
    <w:qFormat/>
    <w:uiPriority w:val="0"/>
    <w:rPr>
      <w:rFonts w:eastAsia="宋体"/>
      <w:b/>
      <w:bCs/>
      <w:kern w:val="2"/>
      <w:sz w:val="32"/>
      <w:szCs w:val="32"/>
      <w:lang w:val="en-US" w:eastAsia="zh-CN" w:bidi="ar-SA"/>
    </w:rPr>
  </w:style>
  <w:style w:type="character" w:customStyle="1" w:styleId="174">
    <w:name w:val="明显参考1"/>
    <w:qFormat/>
    <w:uiPriority w:val="0"/>
    <w:rPr>
      <w:b/>
      <w:bCs/>
      <w:smallCaps/>
      <w:color w:val="C0504D"/>
      <w:spacing w:val="5"/>
      <w:u w:val="single"/>
    </w:rPr>
  </w:style>
  <w:style w:type="character" w:customStyle="1" w:styleId="175">
    <w:name w:val="hps alt-edited"/>
    <w:qFormat/>
    <w:uiPriority w:val="0"/>
  </w:style>
  <w:style w:type="character" w:customStyle="1" w:styleId="176">
    <w:name w:val="正文 第五章 中间"/>
    <w:qFormat/>
    <w:uiPriority w:val="0"/>
    <w:rPr>
      <w:b/>
      <w:bCs/>
      <w:color w:val="000000"/>
      <w:sz w:val="32"/>
    </w:rPr>
  </w:style>
  <w:style w:type="character" w:customStyle="1" w:styleId="177">
    <w:name w:val="访问过的超链接1"/>
    <w:qFormat/>
    <w:uiPriority w:val="0"/>
    <w:rPr>
      <w:color w:val="800080"/>
      <w:u w:val="single"/>
    </w:rPr>
  </w:style>
  <w:style w:type="character" w:customStyle="1" w:styleId="178">
    <w:name w:val="Default Text Char Char"/>
    <w:qFormat/>
    <w:uiPriority w:val="0"/>
    <w:rPr>
      <w:color w:val="000000"/>
      <w:sz w:val="24"/>
      <w:szCs w:val="24"/>
      <w:lang w:val="en-US" w:eastAsia="zh-CN" w:bidi="ar-SA"/>
    </w:rPr>
  </w:style>
  <w:style w:type="character" w:customStyle="1" w:styleId="179">
    <w:name w:val="样式 宋体 小四"/>
    <w:qFormat/>
    <w:uiPriority w:val="0"/>
    <w:rPr>
      <w:rFonts w:ascii="宋体" w:hAnsi="宋体"/>
      <w:sz w:val="24"/>
    </w:rPr>
  </w:style>
  <w:style w:type="character" w:customStyle="1" w:styleId="180">
    <w:name w:val="小四 段落 宋体 Char Char Char Char1"/>
    <w:qFormat/>
    <w:uiPriority w:val="0"/>
    <w:rPr>
      <w:rFonts w:eastAsia="宋体"/>
      <w:kern w:val="2"/>
      <w:sz w:val="24"/>
      <w:szCs w:val="24"/>
      <w:lang w:val="en-US" w:eastAsia="zh-CN" w:bidi="ar-SA"/>
    </w:rPr>
  </w:style>
  <w:style w:type="character" w:customStyle="1" w:styleId="181">
    <w:name w:val="样式 正文缩进 + 首行缩进:  2 字符 Char"/>
    <w:link w:val="182"/>
    <w:qFormat/>
    <w:uiPriority w:val="0"/>
    <w:rPr>
      <w:sz w:val="24"/>
    </w:rPr>
  </w:style>
  <w:style w:type="paragraph" w:customStyle="1" w:styleId="182">
    <w:name w:val="样式 正文缩进 + 首行缩进:  2 字符"/>
    <w:basedOn w:val="19"/>
    <w:link w:val="181"/>
    <w:qFormat/>
    <w:uiPriority w:val="0"/>
    <w:pPr>
      <w:spacing w:line="360" w:lineRule="auto"/>
      <w:ind w:firstLine="200"/>
    </w:pPr>
    <w:rPr>
      <w:kern w:val="0"/>
      <w:sz w:val="24"/>
      <w:szCs w:val="20"/>
    </w:rPr>
  </w:style>
  <w:style w:type="character" w:customStyle="1" w:styleId="183">
    <w:name w:val="font121"/>
    <w:qFormat/>
    <w:uiPriority w:val="0"/>
    <w:rPr>
      <w:rFonts w:hint="eastAsia" w:ascii="宋体" w:hAnsi="宋体" w:eastAsia="宋体" w:cs="宋体"/>
      <w:color w:val="000000"/>
      <w:sz w:val="20"/>
      <w:szCs w:val="20"/>
      <w:u w:val="none"/>
    </w:rPr>
  </w:style>
  <w:style w:type="character" w:customStyle="1" w:styleId="184">
    <w:name w:val="脚注文本 Char1"/>
    <w:qFormat/>
    <w:uiPriority w:val="0"/>
    <w:rPr>
      <w:kern w:val="2"/>
      <w:sz w:val="18"/>
      <w:szCs w:val="18"/>
    </w:rPr>
  </w:style>
  <w:style w:type="character" w:customStyle="1" w:styleId="185">
    <w:name w:val="CharAttribute1"/>
    <w:qFormat/>
    <w:uiPriority w:val="0"/>
    <w:rPr>
      <w:rFonts w:ascii="STSongStd-Light" w:hAnsi="STSongStd-Light" w:eastAsia="Times New Roman"/>
      <w:sz w:val="45"/>
    </w:rPr>
  </w:style>
  <w:style w:type="character" w:customStyle="1" w:styleId="186">
    <w:name w:val="textcontents"/>
    <w:qFormat/>
    <w:uiPriority w:val="0"/>
  </w:style>
  <w:style w:type="character" w:customStyle="1" w:styleId="187">
    <w:name w:val="Title1 Char"/>
    <w:qFormat/>
    <w:uiPriority w:val="0"/>
    <w:rPr>
      <w:rFonts w:eastAsia="宋体"/>
      <w:b/>
      <w:bCs/>
      <w:kern w:val="44"/>
      <w:sz w:val="44"/>
      <w:szCs w:val="44"/>
      <w:lang w:val="en-US" w:eastAsia="zh-CN" w:bidi="ar-SA"/>
    </w:rPr>
  </w:style>
  <w:style w:type="character" w:customStyle="1" w:styleId="188">
    <w:name w:val="签名 Char1"/>
    <w:qFormat/>
    <w:uiPriority w:val="0"/>
    <w:rPr>
      <w:kern w:val="2"/>
      <w:sz w:val="21"/>
    </w:rPr>
  </w:style>
  <w:style w:type="character" w:customStyle="1" w:styleId="189">
    <w:name w:val="_Style 184"/>
    <w:unhideWhenUsed/>
    <w:qFormat/>
    <w:uiPriority w:val="99"/>
    <w:rPr>
      <w:color w:val="605E5C"/>
      <w:shd w:val="clear" w:color="auto" w:fill="E1DFDD"/>
    </w:rPr>
  </w:style>
  <w:style w:type="character" w:customStyle="1" w:styleId="190">
    <w:name w:val="小四 段落 宋体 Char Char Char Char Char"/>
    <w:qFormat/>
    <w:uiPriority w:val="0"/>
    <w:rPr>
      <w:rFonts w:eastAsia="宋体"/>
      <w:kern w:val="2"/>
      <w:sz w:val="24"/>
      <w:szCs w:val="24"/>
      <w:lang w:val="en-US" w:eastAsia="zh-CN" w:bidi="ar-SA"/>
    </w:rPr>
  </w:style>
  <w:style w:type="character" w:customStyle="1" w:styleId="191">
    <w:name w:val="font61"/>
    <w:qFormat/>
    <w:uiPriority w:val="0"/>
    <w:rPr>
      <w:rFonts w:hint="default" w:ascii="Times New Roman" w:hAnsi="Times New Roman" w:cs="Times New Roman"/>
      <w:color w:val="000000"/>
      <w:sz w:val="20"/>
      <w:szCs w:val="20"/>
      <w:u w:val="none"/>
    </w:rPr>
  </w:style>
  <w:style w:type="character" w:customStyle="1" w:styleId="192">
    <w:name w:val="subtitle1"/>
    <w:qFormat/>
    <w:uiPriority w:val="0"/>
    <w:rPr>
      <w:rFonts w:hint="default" w:ascii="Georgia" w:hAnsi="Georgia"/>
      <w:b/>
      <w:bCs/>
      <w:color w:val="666666"/>
      <w:sz w:val="18"/>
      <w:szCs w:val="18"/>
    </w:rPr>
  </w:style>
  <w:style w:type="character" w:customStyle="1" w:styleId="193">
    <w:name w:val="正文文本首行缩进 2 字符"/>
    <w:link w:val="77"/>
    <w:qFormat/>
    <w:uiPriority w:val="0"/>
  </w:style>
  <w:style w:type="character" w:customStyle="1" w:styleId="194">
    <w:name w:val="列出段落 Char"/>
    <w:link w:val="195"/>
    <w:qFormat/>
    <w:locked/>
    <w:uiPriority w:val="34"/>
    <w:rPr>
      <w:sz w:val="24"/>
      <w:szCs w:val="24"/>
    </w:rPr>
  </w:style>
  <w:style w:type="paragraph" w:customStyle="1" w:styleId="195">
    <w:name w:val="List Paragraph1"/>
    <w:basedOn w:val="1"/>
    <w:link w:val="194"/>
    <w:qFormat/>
    <w:uiPriority w:val="34"/>
    <w:pPr>
      <w:spacing w:line="360" w:lineRule="auto"/>
      <w:ind w:firstLine="420" w:firstLineChars="200"/>
    </w:pPr>
    <w:rPr>
      <w:kern w:val="0"/>
      <w:sz w:val="24"/>
      <w:szCs w:val="24"/>
    </w:rPr>
  </w:style>
  <w:style w:type="character" w:customStyle="1" w:styleId="196">
    <w:name w:val="正文文本首行缩进 字符"/>
    <w:link w:val="76"/>
    <w:qFormat/>
    <w:uiPriority w:val="0"/>
  </w:style>
  <w:style w:type="character" w:customStyle="1" w:styleId="197">
    <w:name w:val="批注主题 字符"/>
    <w:link w:val="75"/>
    <w:qFormat/>
    <w:uiPriority w:val="0"/>
    <w:rPr>
      <w:b/>
      <w:bCs/>
      <w:kern w:val="2"/>
      <w:sz w:val="21"/>
      <w:szCs w:val="21"/>
    </w:rPr>
  </w:style>
  <w:style w:type="character" w:customStyle="1" w:styleId="198">
    <w:name w:val="HTML 预设格式 字符"/>
    <w:link w:val="71"/>
    <w:qFormat/>
    <w:uiPriority w:val="0"/>
    <w:rPr>
      <w:rFonts w:ascii="Courier New" w:hAnsi="Courier New" w:eastAsia="仿宋" w:cs="Courier New"/>
    </w:rPr>
  </w:style>
  <w:style w:type="character" w:customStyle="1" w:styleId="199">
    <w:name w:val="信息标题 字符"/>
    <w:link w:val="70"/>
    <w:qFormat/>
    <w:uiPriority w:val="0"/>
    <w:rPr>
      <w:rFonts w:ascii="Arial" w:hAnsi="Arial" w:eastAsia="仿宋" w:cs="Arial"/>
      <w:sz w:val="28"/>
      <w:szCs w:val="24"/>
      <w:shd w:val="pct20" w:color="auto" w:fill="auto"/>
    </w:rPr>
  </w:style>
  <w:style w:type="character" w:customStyle="1" w:styleId="200">
    <w:name w:val="正文文本缩进 3 字符"/>
    <w:link w:val="63"/>
    <w:qFormat/>
    <w:uiPriority w:val="0"/>
    <w:rPr>
      <w:rFonts w:ascii="Arial" w:hAnsi="Arial" w:cs="Arial"/>
      <w:b/>
      <w:bCs/>
      <w:kern w:val="2"/>
      <w:sz w:val="24"/>
    </w:rPr>
  </w:style>
  <w:style w:type="character" w:customStyle="1" w:styleId="201">
    <w:name w:val="副标题 字符"/>
    <w:link w:val="57"/>
    <w:qFormat/>
    <w:uiPriority w:val="0"/>
    <w:rPr>
      <w:rFonts w:ascii="Arial" w:hAnsi="Arial" w:eastAsia="仿宋" w:cs="Arial"/>
      <w:b/>
      <w:bCs/>
      <w:kern w:val="28"/>
      <w:sz w:val="32"/>
      <w:szCs w:val="32"/>
    </w:rPr>
  </w:style>
  <w:style w:type="character" w:customStyle="1" w:styleId="202">
    <w:name w:val="签名 字符"/>
    <w:link w:val="51"/>
    <w:qFormat/>
    <w:uiPriority w:val="0"/>
    <w:rPr>
      <w:rFonts w:ascii="宋体" w:eastAsia="仿宋"/>
      <w:sz w:val="24"/>
      <w:szCs w:val="21"/>
    </w:rPr>
  </w:style>
  <w:style w:type="character" w:customStyle="1" w:styleId="203">
    <w:name w:val="页眉 字符"/>
    <w:link w:val="50"/>
    <w:qFormat/>
    <w:uiPriority w:val="0"/>
    <w:rPr>
      <w:kern w:val="2"/>
      <w:sz w:val="18"/>
    </w:rPr>
  </w:style>
  <w:style w:type="character" w:customStyle="1" w:styleId="204">
    <w:name w:val="Char Char8"/>
    <w:qFormat/>
    <w:uiPriority w:val="0"/>
    <w:rPr>
      <w:b/>
      <w:bCs/>
      <w:kern w:val="44"/>
      <w:sz w:val="44"/>
      <w:szCs w:val="44"/>
    </w:rPr>
  </w:style>
  <w:style w:type="character" w:customStyle="1" w:styleId="205">
    <w:name w:val="页脚 字符"/>
    <w:link w:val="49"/>
    <w:qFormat/>
    <w:uiPriority w:val="0"/>
    <w:rPr>
      <w:kern w:val="2"/>
      <w:sz w:val="18"/>
    </w:rPr>
  </w:style>
  <w:style w:type="character" w:customStyle="1" w:styleId="206">
    <w:name w:val="批注框文本 字符"/>
    <w:link w:val="48"/>
    <w:qFormat/>
    <w:uiPriority w:val="0"/>
    <w:rPr>
      <w:kern w:val="2"/>
      <w:sz w:val="18"/>
      <w:szCs w:val="18"/>
    </w:rPr>
  </w:style>
  <w:style w:type="character" w:customStyle="1" w:styleId="207">
    <w:name w:val="尾注文本 字符"/>
    <w:link w:val="46"/>
    <w:qFormat/>
    <w:uiPriority w:val="0"/>
    <w:rPr>
      <w:rFonts w:ascii="宋体" w:eastAsia="仿宋"/>
      <w:sz w:val="28"/>
      <w:szCs w:val="21"/>
    </w:rPr>
  </w:style>
  <w:style w:type="character" w:customStyle="1" w:styleId="208">
    <w:name w:val="纯文本 字符"/>
    <w:link w:val="39"/>
    <w:qFormat/>
    <w:uiPriority w:val="0"/>
    <w:rPr>
      <w:rFonts w:ascii="宋体" w:hAnsi="Courier New" w:eastAsia="宋体"/>
      <w:kern w:val="2"/>
      <w:sz w:val="21"/>
      <w:lang w:val="en-US" w:eastAsia="zh-CN" w:bidi="ar-SA"/>
    </w:rPr>
  </w:style>
  <w:style w:type="character" w:customStyle="1" w:styleId="209">
    <w:name w:val="HTML 地址 字符"/>
    <w:link w:val="36"/>
    <w:qFormat/>
    <w:uiPriority w:val="0"/>
    <w:rPr>
      <w:rFonts w:ascii="宋体" w:eastAsia="仿宋"/>
      <w:i/>
      <w:iCs/>
      <w:sz w:val="28"/>
      <w:szCs w:val="21"/>
    </w:rPr>
  </w:style>
  <w:style w:type="character" w:customStyle="1" w:styleId="210">
    <w:name w:val="正文文本 字符"/>
    <w:link w:val="2"/>
    <w:qFormat/>
    <w:uiPriority w:val="0"/>
    <w:rPr>
      <w:rFonts w:ascii="Arial" w:hAnsi="Arial" w:cs="Arial"/>
      <w:kern w:val="2"/>
      <w:sz w:val="24"/>
    </w:rPr>
  </w:style>
  <w:style w:type="character" w:customStyle="1" w:styleId="211">
    <w:name w:val="结束语 字符"/>
    <w:link w:val="27"/>
    <w:qFormat/>
    <w:uiPriority w:val="0"/>
    <w:rPr>
      <w:rFonts w:ascii="宋体" w:eastAsia="仿宋"/>
      <w:sz w:val="28"/>
      <w:szCs w:val="21"/>
    </w:rPr>
  </w:style>
  <w:style w:type="character" w:customStyle="1" w:styleId="212">
    <w:name w:val="称呼 字符"/>
    <w:link w:val="25"/>
    <w:qFormat/>
    <w:uiPriority w:val="0"/>
    <w:rPr>
      <w:rFonts w:ascii="宋体"/>
      <w:b/>
      <w:kern w:val="2"/>
      <w:sz w:val="28"/>
    </w:rPr>
  </w:style>
  <w:style w:type="character" w:customStyle="1" w:styleId="213">
    <w:name w:val="文档结构图 字符"/>
    <w:link w:val="22"/>
    <w:qFormat/>
    <w:uiPriority w:val="0"/>
    <w:rPr>
      <w:kern w:val="2"/>
      <w:sz w:val="21"/>
      <w:shd w:val="clear" w:color="auto" w:fill="000080"/>
    </w:rPr>
  </w:style>
  <w:style w:type="character" w:customStyle="1" w:styleId="214">
    <w:name w:val="注释标题 字符"/>
    <w:link w:val="15"/>
    <w:qFormat/>
    <w:uiPriority w:val="0"/>
    <w:rPr>
      <w:rFonts w:ascii="宋体" w:eastAsia="仿宋"/>
      <w:sz w:val="28"/>
      <w:szCs w:val="21"/>
    </w:rPr>
  </w:style>
  <w:style w:type="character" w:customStyle="1" w:styleId="215">
    <w:name w:val="标题 9 字符"/>
    <w:link w:val="11"/>
    <w:qFormat/>
    <w:uiPriority w:val="0"/>
    <w:rPr>
      <w:rFonts w:ascii="Arial" w:hAnsi="Arial" w:eastAsia="黑体"/>
      <w:kern w:val="2"/>
      <w:sz w:val="21"/>
    </w:rPr>
  </w:style>
  <w:style w:type="character" w:customStyle="1" w:styleId="216">
    <w:name w:val="标题 8 字符"/>
    <w:link w:val="10"/>
    <w:qFormat/>
    <w:uiPriority w:val="0"/>
    <w:rPr>
      <w:rFonts w:ascii="Arial" w:hAnsi="Arial" w:eastAsia="黑体"/>
      <w:kern w:val="2"/>
      <w:sz w:val="24"/>
    </w:rPr>
  </w:style>
  <w:style w:type="character" w:customStyle="1" w:styleId="217">
    <w:name w:val="标题 7 字符"/>
    <w:link w:val="9"/>
    <w:qFormat/>
    <w:uiPriority w:val="0"/>
    <w:rPr>
      <w:b/>
      <w:kern w:val="2"/>
      <w:sz w:val="24"/>
    </w:rPr>
  </w:style>
  <w:style w:type="character" w:customStyle="1" w:styleId="218">
    <w:name w:val="标题 6 字符"/>
    <w:link w:val="8"/>
    <w:qFormat/>
    <w:uiPriority w:val="0"/>
    <w:rPr>
      <w:rFonts w:ascii="Arial" w:hAnsi="Arial" w:eastAsia="黑体"/>
      <w:b/>
      <w:kern w:val="2"/>
      <w:sz w:val="24"/>
    </w:rPr>
  </w:style>
  <w:style w:type="character" w:customStyle="1" w:styleId="219">
    <w:name w:val="标题 5 字符"/>
    <w:link w:val="7"/>
    <w:qFormat/>
    <w:uiPriority w:val="0"/>
    <w:rPr>
      <w:b/>
      <w:kern w:val="2"/>
      <w:sz w:val="28"/>
    </w:rPr>
  </w:style>
  <w:style w:type="character" w:customStyle="1" w:styleId="220">
    <w:name w:val="正文缩进 字符"/>
    <w:link w:val="19"/>
    <w:qFormat/>
    <w:uiPriority w:val="0"/>
    <w:rPr>
      <w:kern w:val="2"/>
      <w:sz w:val="21"/>
      <w:szCs w:val="24"/>
    </w:rPr>
  </w:style>
  <w:style w:type="character" w:customStyle="1" w:styleId="221">
    <w:name w:val="font5 Char"/>
    <w:qFormat/>
    <w:uiPriority w:val="0"/>
    <w:rPr>
      <w:rFonts w:ascii="宋体" w:hAnsi="宋体" w:eastAsia="宋体"/>
      <w:sz w:val="28"/>
      <w:szCs w:val="28"/>
      <w:lang w:val="en-US" w:eastAsia="zh-CN" w:bidi="ar-SA"/>
    </w:rPr>
  </w:style>
  <w:style w:type="character" w:customStyle="1" w:styleId="222">
    <w:name w:val="标题 2 字符1"/>
    <w:qFormat/>
    <w:uiPriority w:val="0"/>
    <w:rPr>
      <w:rFonts w:ascii="Arial" w:hAnsi="Arial" w:eastAsia="黑体"/>
      <w:b/>
      <w:kern w:val="2"/>
      <w:sz w:val="32"/>
    </w:rPr>
  </w:style>
  <w:style w:type="character" w:customStyle="1" w:styleId="223">
    <w:name w:val="标题 1 字符"/>
    <w:link w:val="3"/>
    <w:qFormat/>
    <w:uiPriority w:val="0"/>
    <w:rPr>
      <w:rFonts w:ascii="Times New Roman" w:hAnsi="Times New Roman" w:eastAsia="宋体"/>
      <w:b/>
      <w:kern w:val="2"/>
      <w:sz w:val="24"/>
    </w:rPr>
  </w:style>
  <w:style w:type="character" w:customStyle="1" w:styleId="224">
    <w:name w:val="标准小四 Char"/>
    <w:qFormat/>
    <w:uiPriority w:val="0"/>
    <w:rPr>
      <w:rFonts w:ascii="Arial" w:hAnsi="Arial" w:eastAsia="宋体"/>
      <w:kern w:val="2"/>
      <w:sz w:val="24"/>
      <w:szCs w:val="21"/>
      <w:lang w:val="en-US" w:eastAsia="zh-CN" w:bidi="ar-SA"/>
    </w:rPr>
  </w:style>
  <w:style w:type="character" w:customStyle="1" w:styleId="225">
    <w:name w:val="正文文字 Char1"/>
    <w:link w:val="226"/>
    <w:qFormat/>
    <w:uiPriority w:val="0"/>
    <w:rPr>
      <w:rFonts w:ascii="宋体" w:eastAsia="宋体"/>
      <w:color w:val="000000"/>
      <w:sz w:val="28"/>
      <w:u w:val="none" w:color="000000"/>
      <w:lang w:val="en-US" w:eastAsia="zh-CN" w:bidi="ar-SA"/>
    </w:rPr>
  </w:style>
  <w:style w:type="paragraph" w:customStyle="1" w:styleId="226">
    <w:name w:val="正文文字"/>
    <w:basedOn w:val="1"/>
    <w:link w:val="225"/>
    <w:qFormat/>
    <w:uiPriority w:val="0"/>
    <w:pPr>
      <w:widowControl/>
      <w:spacing w:line="2375" w:lineRule="atLeast"/>
      <w:ind w:firstLine="419"/>
      <w:textAlignment w:val="baseline"/>
    </w:pPr>
    <w:rPr>
      <w:rFonts w:ascii="宋体"/>
      <w:color w:val="000000"/>
      <w:kern w:val="0"/>
      <w:sz w:val="28"/>
      <w:u w:color="000000"/>
    </w:rPr>
  </w:style>
  <w:style w:type="character" w:customStyle="1" w:styleId="227">
    <w:name w:val="标题 2 字符2"/>
    <w:link w:val="4"/>
    <w:qFormat/>
    <w:uiPriority w:val="0"/>
    <w:rPr>
      <w:rFonts w:ascii="Arial" w:hAnsi="Arial" w:eastAsia="黑体"/>
      <w:b/>
      <w:bCs/>
      <w:sz w:val="32"/>
      <w:szCs w:val="32"/>
    </w:rPr>
  </w:style>
  <w:style w:type="character" w:customStyle="1" w:styleId="228">
    <w:name w:val="正文文本缩进 Char"/>
    <w:qFormat/>
    <w:uiPriority w:val="0"/>
    <w:rPr>
      <w:rFonts w:ascii="宋体" w:eastAsia="仿宋"/>
      <w:sz w:val="24"/>
      <w:szCs w:val="21"/>
    </w:rPr>
  </w:style>
  <w:style w:type="character" w:customStyle="1" w:styleId="229">
    <w:name w:val="脚注文本 字符"/>
    <w:link w:val="60"/>
    <w:qFormat/>
    <w:uiPriority w:val="0"/>
    <w:rPr>
      <w:rFonts w:ascii="宋体" w:eastAsia="仿宋"/>
      <w:sz w:val="18"/>
      <w:szCs w:val="18"/>
    </w:rPr>
  </w:style>
  <w:style w:type="character" w:customStyle="1" w:styleId="230">
    <w:name w:val="font51"/>
    <w:basedOn w:val="123"/>
    <w:qFormat/>
    <w:uiPriority w:val="0"/>
    <w:rPr>
      <w:rFonts w:hint="default" w:ascii="Times New Roman" w:hAnsi="Times New Roman" w:cs="Times New Roman"/>
      <w:color w:val="000000"/>
      <w:sz w:val="20"/>
      <w:szCs w:val="20"/>
      <w:u w:val="none"/>
    </w:rPr>
  </w:style>
  <w:style w:type="character" w:customStyle="1" w:styleId="231">
    <w:name w:val="ih151"/>
    <w:qFormat/>
    <w:uiPriority w:val="0"/>
    <w:rPr>
      <w:color w:val="666666"/>
      <w:sz w:val="18"/>
      <w:szCs w:val="18"/>
      <w:u w:val="none"/>
    </w:rPr>
  </w:style>
  <w:style w:type="character" w:customStyle="1" w:styleId="232">
    <w:name w:val="日期 字符"/>
    <w:link w:val="44"/>
    <w:qFormat/>
    <w:uiPriority w:val="0"/>
    <w:rPr>
      <w:kern w:val="2"/>
      <w:sz w:val="24"/>
    </w:rPr>
  </w:style>
  <w:style w:type="character" w:customStyle="1" w:styleId="233">
    <w:name w:val="文档正文 Char"/>
    <w:link w:val="234"/>
    <w:qFormat/>
    <w:uiPriority w:val="0"/>
    <w:rPr>
      <w:rFonts w:ascii="宋体" w:hAnsi="宋体"/>
      <w:kern w:val="2"/>
      <w:sz w:val="24"/>
      <w:szCs w:val="24"/>
    </w:rPr>
  </w:style>
  <w:style w:type="paragraph" w:customStyle="1" w:styleId="234">
    <w:name w:val="文档正文"/>
    <w:basedOn w:val="1"/>
    <w:link w:val="233"/>
    <w:qFormat/>
    <w:uiPriority w:val="0"/>
    <w:pPr>
      <w:ind w:firstLine="480" w:firstLineChars="200"/>
    </w:pPr>
    <w:rPr>
      <w:rFonts w:ascii="宋体" w:hAnsi="宋体"/>
      <w:sz w:val="24"/>
      <w:szCs w:val="24"/>
    </w:rPr>
  </w:style>
  <w:style w:type="character" w:customStyle="1" w:styleId="235">
    <w:name w:val="apple-style-span"/>
    <w:qFormat/>
    <w:uiPriority w:val="0"/>
  </w:style>
  <w:style w:type="character" w:customStyle="1" w:styleId="236">
    <w:name w:val="apple-converted-space"/>
    <w:qFormat/>
    <w:uiPriority w:val="0"/>
  </w:style>
  <w:style w:type="character" w:customStyle="1" w:styleId="237">
    <w:name w:val="第四级 Char"/>
    <w:link w:val="238"/>
    <w:qFormat/>
    <w:uiPriority w:val="0"/>
    <w:rPr>
      <w:rFonts w:ascii="宋体" w:hAnsi="宋体" w:eastAsia="仿宋"/>
      <w:sz w:val="28"/>
      <w:szCs w:val="21"/>
    </w:rPr>
  </w:style>
  <w:style w:type="paragraph" w:customStyle="1" w:styleId="238">
    <w:name w:val="第四级"/>
    <w:basedOn w:val="1"/>
    <w:next w:val="239"/>
    <w:link w:val="237"/>
    <w:qFormat/>
    <w:uiPriority w:val="0"/>
    <w:pPr>
      <w:tabs>
        <w:tab w:val="left" w:pos="1134"/>
      </w:tabs>
      <w:adjustRightInd w:val="0"/>
      <w:spacing w:line="360" w:lineRule="auto"/>
      <w:textAlignment w:val="baseline"/>
    </w:pPr>
    <w:rPr>
      <w:rFonts w:ascii="宋体" w:hAnsi="宋体" w:eastAsia="仿宋"/>
      <w:kern w:val="0"/>
      <w:sz w:val="28"/>
      <w:szCs w:val="21"/>
    </w:rPr>
  </w:style>
  <w:style w:type="paragraph" w:customStyle="1" w:styleId="239">
    <w:name w:val="正文空2格  1."/>
    <w:basedOn w:val="1"/>
    <w:qFormat/>
    <w:uiPriority w:val="0"/>
    <w:pPr>
      <w:adjustRightInd w:val="0"/>
      <w:spacing w:line="360" w:lineRule="auto"/>
      <w:ind w:firstLine="480" w:firstLineChars="200"/>
      <w:textAlignment w:val="baseline"/>
    </w:pPr>
    <w:rPr>
      <w:rFonts w:ascii="宋体" w:eastAsia="仿宋" w:cs="宋体"/>
      <w:kern w:val="0"/>
      <w:sz w:val="28"/>
    </w:rPr>
  </w:style>
  <w:style w:type="character" w:customStyle="1" w:styleId="240">
    <w:name w:val="标题 4 字符"/>
    <w:link w:val="6"/>
    <w:qFormat/>
    <w:uiPriority w:val="0"/>
    <w:rPr>
      <w:rFonts w:ascii="Arial" w:hAnsi="Arial" w:eastAsia="黑体"/>
      <w:b/>
      <w:bCs/>
      <w:kern w:val="2"/>
      <w:sz w:val="28"/>
      <w:szCs w:val="28"/>
    </w:rPr>
  </w:style>
  <w:style w:type="character" w:customStyle="1" w:styleId="241">
    <w:name w:val="标准文本 Char"/>
    <w:qFormat/>
    <w:uiPriority w:val="0"/>
    <w:rPr>
      <w:rFonts w:eastAsia="宋体" w:cs="宋体"/>
      <w:kern w:val="2"/>
      <w:sz w:val="24"/>
      <w:szCs w:val="24"/>
      <w:lang w:val="en-US" w:eastAsia="zh-CN" w:bidi="ar-SA"/>
    </w:rPr>
  </w:style>
  <w:style w:type="character" w:customStyle="1" w:styleId="242">
    <w:name w:val="电子邮件签名 字符"/>
    <w:link w:val="17"/>
    <w:qFormat/>
    <w:uiPriority w:val="0"/>
    <w:rPr>
      <w:rFonts w:ascii="宋体" w:eastAsia="仿宋"/>
      <w:sz w:val="28"/>
      <w:szCs w:val="21"/>
    </w:rPr>
  </w:style>
  <w:style w:type="character" w:customStyle="1" w:styleId="243">
    <w:name w:val="正文缩进2格 Char"/>
    <w:link w:val="244"/>
    <w:qFormat/>
    <w:locked/>
    <w:uiPriority w:val="0"/>
    <w:rPr>
      <w:rFonts w:ascii="仿宋_GB2312" w:hAnsi="宋体" w:eastAsia="仿宋_GB2312"/>
      <w:kern w:val="2"/>
      <w:sz w:val="31"/>
      <w:szCs w:val="28"/>
    </w:rPr>
  </w:style>
  <w:style w:type="paragraph" w:customStyle="1" w:styleId="244">
    <w:name w:val="正文缩进2格"/>
    <w:basedOn w:val="1"/>
    <w:link w:val="243"/>
    <w:qFormat/>
    <w:uiPriority w:val="0"/>
    <w:pPr>
      <w:spacing w:line="600" w:lineRule="exact"/>
      <w:ind w:firstLine="639" w:firstLineChars="206"/>
    </w:pPr>
    <w:rPr>
      <w:rFonts w:ascii="仿宋_GB2312" w:hAnsi="宋体" w:eastAsia="仿宋_GB2312"/>
      <w:sz w:val="31"/>
      <w:szCs w:val="28"/>
    </w:rPr>
  </w:style>
  <w:style w:type="character" w:customStyle="1" w:styleId="245">
    <w:name w:val="正文文字 Char"/>
    <w:qFormat/>
    <w:uiPriority w:val="0"/>
    <w:rPr>
      <w:rFonts w:ascii="Arial" w:hAnsi="Arial" w:eastAsia="宋体" w:cs="Arial"/>
      <w:kern w:val="2"/>
      <w:sz w:val="24"/>
      <w:lang w:val="en-US" w:eastAsia="zh-CN" w:bidi="ar-SA"/>
    </w:rPr>
  </w:style>
  <w:style w:type="character" w:customStyle="1" w:styleId="246">
    <w:name w:val="Char Char7"/>
    <w:qFormat/>
    <w:uiPriority w:val="0"/>
    <w:rPr>
      <w:b/>
      <w:bCs/>
      <w:kern w:val="44"/>
      <w:sz w:val="44"/>
      <w:szCs w:val="44"/>
    </w:rPr>
  </w:style>
  <w:style w:type="character" w:customStyle="1" w:styleId="247">
    <w:name w:val="p21"/>
    <w:qFormat/>
    <w:uiPriority w:val="0"/>
    <w:rPr>
      <w:rFonts w:hint="default" w:ascii="Arial" w:hAnsi="Arial" w:cs="Arial"/>
      <w:color w:val="333333"/>
      <w:sz w:val="18"/>
      <w:szCs w:val="18"/>
      <w:u w:val="none"/>
    </w:rPr>
  </w:style>
  <w:style w:type="character" w:customStyle="1" w:styleId="248">
    <w:name w:val="书籍标题1"/>
    <w:qFormat/>
    <w:uiPriority w:val="0"/>
    <w:rPr>
      <w:b/>
      <w:bCs/>
      <w:smallCaps/>
      <w:spacing w:val="5"/>
    </w:rPr>
  </w:style>
  <w:style w:type="character" w:customStyle="1" w:styleId="249">
    <w:name w:val="正文文本缩进 字符"/>
    <w:link w:val="29"/>
    <w:qFormat/>
    <w:uiPriority w:val="0"/>
    <w:rPr>
      <w:rFonts w:ascii="宋体" w:hAnsi="宋体"/>
      <w:kern w:val="2"/>
      <w:sz w:val="24"/>
    </w:rPr>
  </w:style>
  <w:style w:type="character" w:customStyle="1" w:styleId="250">
    <w:name w:val="小四 段落 宋体 Char Char Char1"/>
    <w:qFormat/>
    <w:uiPriority w:val="0"/>
    <w:rPr>
      <w:rFonts w:ascii="宋体" w:hAnsi="宋体" w:eastAsia="宋体"/>
      <w:kern w:val="2"/>
      <w:sz w:val="24"/>
      <w:szCs w:val="24"/>
      <w:lang w:val="en-US" w:eastAsia="zh-CN" w:bidi="ar-SA"/>
    </w:rPr>
  </w:style>
  <w:style w:type="character" w:customStyle="1" w:styleId="251">
    <w:name w:val="纯文本 Char1"/>
    <w:qFormat/>
    <w:locked/>
    <w:uiPriority w:val="0"/>
    <w:rPr>
      <w:rFonts w:ascii="宋体" w:hAnsi="Courier New" w:eastAsia="宋体" w:cs="Courier New"/>
      <w:sz w:val="21"/>
      <w:szCs w:val="21"/>
      <w:lang w:val="en-US" w:eastAsia="zh-CN" w:bidi="ar-SA"/>
    </w:rPr>
  </w:style>
  <w:style w:type="character" w:customStyle="1" w:styleId="252">
    <w:name w:val="标题 2 字符"/>
    <w:qFormat/>
    <w:uiPriority w:val="9"/>
    <w:rPr>
      <w:rFonts w:ascii="Arial" w:hAnsi="Arial" w:eastAsia="黑体"/>
      <w:b/>
      <w:kern w:val="2"/>
      <w:sz w:val="32"/>
    </w:rPr>
  </w:style>
  <w:style w:type="character" w:customStyle="1" w:styleId="253">
    <w:name w:val="hps"/>
    <w:qFormat/>
    <w:uiPriority w:val="0"/>
  </w:style>
  <w:style w:type="character" w:customStyle="1" w:styleId="254">
    <w:name w:val="normalfont1"/>
    <w:qFormat/>
    <w:uiPriority w:val="0"/>
    <w:rPr>
      <w:rFonts w:hint="default" w:ascii="ˎ̥" w:hAnsi="ˎ̥"/>
      <w:sz w:val="18"/>
      <w:szCs w:val="18"/>
      <w:u w:val="none"/>
    </w:rPr>
  </w:style>
  <w:style w:type="character" w:customStyle="1" w:styleId="255">
    <w:name w:val="正文文本缩进 2 字符"/>
    <w:link w:val="45"/>
    <w:qFormat/>
    <w:uiPriority w:val="0"/>
    <w:rPr>
      <w:rFonts w:ascii="宋体" w:hAnsi="宋体"/>
      <w:kern w:val="2"/>
      <w:sz w:val="24"/>
    </w:rPr>
  </w:style>
  <w:style w:type="character" w:customStyle="1" w:styleId="256">
    <w:name w:val="Char Char5"/>
    <w:qFormat/>
    <w:uiPriority w:val="0"/>
    <w:rPr>
      <w:sz w:val="18"/>
      <w:szCs w:val="18"/>
    </w:rPr>
  </w:style>
  <w:style w:type="character" w:customStyle="1" w:styleId="257">
    <w:name w:val="marklong"/>
    <w:qFormat/>
    <w:uiPriority w:val="0"/>
  </w:style>
  <w:style w:type="character" w:customStyle="1" w:styleId="258">
    <w:name w:val="wenhua"/>
    <w:qFormat/>
    <w:uiPriority w:val="0"/>
    <w:rPr>
      <w:rFonts w:cs="Times New Roman"/>
    </w:rPr>
  </w:style>
  <w:style w:type="character" w:customStyle="1" w:styleId="259">
    <w:name w:val="text1 Char Char"/>
    <w:link w:val="260"/>
    <w:qFormat/>
    <w:uiPriority w:val="0"/>
    <w:rPr>
      <w:sz w:val="24"/>
      <w:szCs w:val="24"/>
    </w:rPr>
  </w:style>
  <w:style w:type="paragraph" w:customStyle="1" w:styleId="260">
    <w:name w:val="text1"/>
    <w:basedOn w:val="1"/>
    <w:link w:val="259"/>
    <w:qFormat/>
    <w:uiPriority w:val="0"/>
    <w:pPr>
      <w:spacing w:line="360" w:lineRule="auto"/>
      <w:ind w:firstLine="480" w:firstLineChars="200"/>
    </w:pPr>
    <w:rPr>
      <w:kern w:val="0"/>
      <w:sz w:val="24"/>
      <w:szCs w:val="24"/>
    </w:rPr>
  </w:style>
  <w:style w:type="character" w:customStyle="1" w:styleId="261">
    <w:name w:val="正文文本 3 字符"/>
    <w:link w:val="26"/>
    <w:qFormat/>
    <w:uiPriority w:val="0"/>
    <w:rPr>
      <w:rFonts w:ascii="宋体" w:eastAsia="仿宋"/>
      <w:sz w:val="16"/>
      <w:szCs w:val="16"/>
    </w:rPr>
  </w:style>
  <w:style w:type="character" w:customStyle="1" w:styleId="262">
    <w:name w:val="批注文字 字符"/>
    <w:link w:val="24"/>
    <w:qFormat/>
    <w:uiPriority w:val="0"/>
    <w:rPr>
      <w:kern w:val="2"/>
      <w:sz w:val="21"/>
    </w:rPr>
  </w:style>
  <w:style w:type="character" w:customStyle="1" w:styleId="263">
    <w:name w:val="Indent Normal Char"/>
    <w:link w:val="264"/>
    <w:qFormat/>
    <w:uiPriority w:val="0"/>
    <w:rPr>
      <w:kern w:val="2"/>
      <w:sz w:val="24"/>
      <w:szCs w:val="24"/>
    </w:rPr>
  </w:style>
  <w:style w:type="paragraph" w:customStyle="1" w:styleId="264">
    <w:name w:val="Indent Normal"/>
    <w:basedOn w:val="1"/>
    <w:link w:val="263"/>
    <w:qFormat/>
    <w:uiPriority w:val="0"/>
    <w:pPr>
      <w:ind w:firstLine="150" w:firstLineChars="150"/>
    </w:pPr>
    <w:rPr>
      <w:sz w:val="24"/>
      <w:szCs w:val="24"/>
    </w:rPr>
  </w:style>
  <w:style w:type="character" w:customStyle="1" w:styleId="265">
    <w:name w:val="标题 字符"/>
    <w:link w:val="74"/>
    <w:qFormat/>
    <w:uiPriority w:val="0"/>
    <w:rPr>
      <w:rFonts w:ascii="Arial" w:hAnsi="Arial" w:eastAsia="仿宋" w:cs="Arial"/>
      <w:b/>
      <w:bCs/>
      <w:sz w:val="32"/>
      <w:szCs w:val="32"/>
    </w:rPr>
  </w:style>
  <w:style w:type="character" w:customStyle="1" w:styleId="266">
    <w:name w:val="华宇段落1 Char Char"/>
    <w:qFormat/>
    <w:uiPriority w:val="0"/>
    <w:rPr>
      <w:rFonts w:eastAsia="宋体"/>
      <w:bCs/>
      <w:kern w:val="2"/>
      <w:sz w:val="24"/>
      <w:szCs w:val="24"/>
      <w:lang w:val="en-US" w:eastAsia="zh-CN" w:bidi="ar-SA"/>
    </w:rPr>
  </w:style>
  <w:style w:type="paragraph" w:customStyle="1" w:styleId="267">
    <w:name w:val="Char2"/>
    <w:basedOn w:val="1"/>
    <w:qFormat/>
    <w:uiPriority w:val="0"/>
    <w:pPr>
      <w:spacing w:afterLines="50" w:line="360" w:lineRule="auto"/>
    </w:pPr>
    <w:rPr>
      <w:rFonts w:ascii="Tahoma" w:hAnsi="Tahoma"/>
      <w:sz w:val="28"/>
    </w:rPr>
  </w:style>
  <w:style w:type="paragraph" w:customStyle="1" w:styleId="268">
    <w:name w:val="丁华标题2"/>
    <w:basedOn w:val="4"/>
    <w:next w:val="269"/>
    <w:qFormat/>
    <w:uiPriority w:val="0"/>
    <w:pPr>
      <w:tabs>
        <w:tab w:val="left" w:pos="567"/>
        <w:tab w:val="left" w:pos="720"/>
      </w:tabs>
      <w:autoSpaceDE w:val="0"/>
      <w:autoSpaceDN w:val="0"/>
      <w:adjustRightInd w:val="0"/>
      <w:spacing w:before="120" w:after="120" w:line="413" w:lineRule="auto"/>
      <w:ind w:left="567" w:hanging="567"/>
      <w:jc w:val="left"/>
    </w:pPr>
    <w:rPr>
      <w:bCs/>
      <w:color w:val="000000"/>
      <w:sz w:val="28"/>
    </w:rPr>
  </w:style>
  <w:style w:type="paragraph" w:customStyle="1" w:styleId="269">
    <w:name w:val="丁华正文"/>
    <w:basedOn w:val="63"/>
    <w:qFormat/>
    <w:uiPriority w:val="0"/>
    <w:pPr>
      <w:autoSpaceDE w:val="0"/>
      <w:autoSpaceDN w:val="0"/>
      <w:adjustRightInd w:val="0"/>
      <w:snapToGrid w:val="0"/>
      <w:spacing w:line="360" w:lineRule="auto"/>
      <w:ind w:left="0" w:firstLine="510" w:firstLineChars="0"/>
    </w:pPr>
    <w:rPr>
      <w:rFonts w:ascii="宋体"/>
      <w:bCs w:val="0"/>
      <w:color w:val="000000"/>
      <w:szCs w:val="16"/>
    </w:rPr>
  </w:style>
  <w:style w:type="paragraph" w:customStyle="1" w:styleId="270">
    <w:name w:val="_Style 265"/>
    <w:semiHidden/>
    <w:qFormat/>
    <w:uiPriority w:val="99"/>
    <w:rPr>
      <w:rFonts w:ascii="华文楷体" w:hAnsi="华文楷体" w:eastAsia="华文楷体" w:cs="Times New Roman"/>
      <w:snapToGrid w:val="0"/>
      <w:sz w:val="21"/>
      <w:lang w:val="en-US" w:eastAsia="zh-CN" w:bidi="ar-SA"/>
    </w:rPr>
  </w:style>
  <w:style w:type="paragraph" w:customStyle="1" w:styleId="271">
    <w:name w:val="样式 标题 3H3sect1.2.3BOD 0Heading 3 - oldh3l3CTLevel 3 Head..."/>
    <w:basedOn w:val="5"/>
    <w:qFormat/>
    <w:uiPriority w:val="0"/>
    <w:pPr>
      <w:tabs>
        <w:tab w:val="left" w:pos="720"/>
      </w:tabs>
      <w:spacing w:beforeLines="50" w:afterLines="50" w:line="240" w:lineRule="auto"/>
      <w:jc w:val="left"/>
    </w:pPr>
    <w:rPr>
      <w:rFonts w:cs="宋体"/>
      <w:sz w:val="30"/>
      <w:szCs w:val="20"/>
    </w:rPr>
  </w:style>
  <w:style w:type="paragraph" w:customStyle="1" w:styleId="272">
    <w:name w:val="表蕊"/>
    <w:basedOn w:val="1"/>
    <w:qFormat/>
    <w:uiPriority w:val="0"/>
    <w:pPr>
      <w:adjustRightInd w:val="0"/>
      <w:spacing w:line="320" w:lineRule="atLeast"/>
      <w:jc w:val="left"/>
      <w:textAlignment w:val="baseline"/>
    </w:pPr>
    <w:rPr>
      <w:rFonts w:eastAsia="楷体_GB2312"/>
      <w:spacing w:val="-10"/>
      <w:kern w:val="0"/>
    </w:rPr>
  </w:style>
  <w:style w:type="paragraph" w:customStyle="1" w:styleId="273">
    <w:name w:val="Char Char Char Char Char"/>
    <w:basedOn w:val="1"/>
    <w:qFormat/>
    <w:uiPriority w:val="0"/>
    <w:rPr>
      <w:rFonts w:ascii="Tahoma" w:hAnsi="Tahoma"/>
      <w:sz w:val="28"/>
    </w:rPr>
  </w:style>
  <w:style w:type="paragraph" w:customStyle="1" w:styleId="274">
    <w:name w:val="项目符号，一级"/>
    <w:basedOn w:val="275"/>
    <w:next w:val="275"/>
    <w:qFormat/>
    <w:uiPriority w:val="0"/>
    <w:pPr>
      <w:tabs>
        <w:tab w:val="left" w:pos="1320"/>
      </w:tabs>
      <w:spacing w:line="240" w:lineRule="atLeast"/>
      <w:ind w:left="376" w:leftChars="179" w:firstLine="0"/>
    </w:pPr>
    <w:rPr>
      <w:bCs w:val="0"/>
      <w:color w:val="000000"/>
      <w:szCs w:val="24"/>
    </w:rPr>
  </w:style>
  <w:style w:type="paragraph" w:customStyle="1" w:styleId="275">
    <w:name w:val="正文格式"/>
    <w:basedOn w:val="1"/>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76">
    <w:name w:val="正文字缩2字"/>
    <w:basedOn w:val="1"/>
    <w:qFormat/>
    <w:uiPriority w:val="0"/>
    <w:pPr>
      <w:spacing w:before="60" w:after="60" w:line="360" w:lineRule="auto"/>
      <w:ind w:left="200" w:leftChars="200" w:firstLine="200" w:firstLineChars="200"/>
    </w:pPr>
    <w:rPr>
      <w:sz w:val="28"/>
      <w:szCs w:val="24"/>
    </w:rPr>
  </w:style>
  <w:style w:type="paragraph" w:customStyle="1" w:styleId="277">
    <w:name w:val="xl89"/>
    <w:basedOn w:val="1"/>
    <w:qFormat/>
    <w:uiPriority w:val="0"/>
    <w:pPr>
      <w:widowControl/>
      <w:pBdr>
        <w:top w:val="single" w:color="000000" w:sz="4" w:space="0"/>
        <w:left w:val="single" w:color="000000" w:sz="4" w:space="0"/>
        <w:bottom w:val="single" w:color="auto" w:sz="4" w:space="0"/>
        <w:right w:val="single" w:color="000000" w:sz="4" w:space="0"/>
      </w:pBdr>
      <w:spacing w:before="100" w:beforeAutospacing="1" w:after="100" w:afterAutospacing="1"/>
      <w:jc w:val="center"/>
      <w:textAlignment w:val="center"/>
    </w:pPr>
    <w:rPr>
      <w:rFonts w:ascii="宋体" w:hAnsi="宋体" w:cs="宋体"/>
      <w:color w:val="000000"/>
      <w:kern w:val="0"/>
      <w:sz w:val="20"/>
    </w:rPr>
  </w:style>
  <w:style w:type="paragraph" w:customStyle="1" w:styleId="278">
    <w:name w:val="段落"/>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279">
    <w:name w:val="小四 段落 宋体"/>
    <w:basedOn w:val="18"/>
    <w:qFormat/>
    <w:uiPriority w:val="0"/>
    <w:pPr>
      <w:adjustRightInd/>
      <w:ind w:left="113" w:right="113" w:firstLine="425"/>
      <w:jc w:val="left"/>
      <w:textAlignment w:val="auto"/>
    </w:pPr>
    <w:rPr>
      <w:rFonts w:ascii="Times New Roman" w:eastAsia="宋体"/>
      <w:kern w:val="2"/>
      <w:szCs w:val="24"/>
    </w:rPr>
  </w:style>
  <w:style w:type="paragraph" w:customStyle="1" w:styleId="280">
    <w:name w:val="二级标题"/>
    <w:basedOn w:val="4"/>
    <w:qFormat/>
    <w:uiPriority w:val="0"/>
    <w:pPr>
      <w:tabs>
        <w:tab w:val="left" w:pos="567"/>
        <w:tab w:val="left" w:pos="720"/>
      </w:tabs>
      <w:adjustRightInd w:val="0"/>
      <w:snapToGrid w:val="0"/>
      <w:spacing w:before="0" w:after="0" w:line="300" w:lineRule="auto"/>
      <w:ind w:left="567" w:hanging="567"/>
      <w:textAlignment w:val="baseline"/>
    </w:pPr>
    <w:rPr>
      <w:rFonts w:ascii="仿宋_GB2312" w:hAnsi="Times New Roman" w:eastAsia="仿宋_GB2312"/>
      <w:kern w:val="0"/>
      <w:szCs w:val="32"/>
    </w:rPr>
  </w:style>
  <w:style w:type="paragraph" w:customStyle="1" w:styleId="281">
    <w:name w:val="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282">
    <w:name w:val="方案正文"/>
    <w:basedOn w:val="1"/>
    <w:qFormat/>
    <w:uiPriority w:val="0"/>
    <w:pPr>
      <w:spacing w:before="156" w:line="360" w:lineRule="auto"/>
      <w:ind w:firstLine="359" w:firstLineChars="171"/>
      <w:jc w:val="left"/>
    </w:pPr>
    <w:rPr>
      <w:rFonts w:ascii="Arial" w:hAnsi="Arial" w:cs="宋体"/>
      <w:sz w:val="28"/>
      <w:szCs w:val="21"/>
    </w:rPr>
  </w:style>
  <w:style w:type="paragraph" w:customStyle="1" w:styleId="283">
    <w:name w:val="无间隔1"/>
    <w:basedOn w:val="1"/>
    <w:qFormat/>
    <w:uiPriority w:val="1"/>
    <w:rPr>
      <w:rFonts w:ascii="Calibri" w:hAnsi="Calibri" w:eastAsia="仿宋"/>
      <w:sz w:val="32"/>
      <w:szCs w:val="24"/>
    </w:rPr>
  </w:style>
  <w:style w:type="paragraph" w:customStyle="1" w:styleId="284">
    <w:name w:val="Table Paragraph"/>
    <w:basedOn w:val="1"/>
    <w:qFormat/>
    <w:uiPriority w:val="1"/>
    <w:pPr>
      <w:autoSpaceDE w:val="0"/>
      <w:autoSpaceDN w:val="0"/>
      <w:jc w:val="left"/>
    </w:pPr>
    <w:rPr>
      <w:rFonts w:ascii="Noto Sans CJK JP Regular" w:hAnsi="Noto Sans CJK JP Regular" w:eastAsia="Noto Sans CJK JP Regular" w:cs="Noto Sans CJK JP Regular"/>
      <w:kern w:val="0"/>
      <w:sz w:val="22"/>
      <w:szCs w:val="22"/>
      <w:lang w:eastAsia="en-US"/>
    </w:rPr>
  </w:style>
  <w:style w:type="paragraph" w:customStyle="1" w:styleId="285">
    <w:name w:val="正文首行缩进2字符"/>
    <w:basedOn w:val="1"/>
    <w:semiHidden/>
    <w:qFormat/>
    <w:uiPriority w:val="0"/>
    <w:pPr>
      <w:adjustRightInd w:val="0"/>
      <w:spacing w:line="360" w:lineRule="auto"/>
      <w:ind w:left="200" w:leftChars="200"/>
      <w:textAlignment w:val="baseline"/>
    </w:pPr>
    <w:rPr>
      <w:rFonts w:ascii="宋体" w:eastAsia="仿宋"/>
      <w:kern w:val="0"/>
      <w:sz w:val="28"/>
      <w:szCs w:val="21"/>
    </w:rPr>
  </w:style>
  <w:style w:type="paragraph" w:customStyle="1" w:styleId="286">
    <w:name w:val="小四 段落 宋体 Char Char"/>
    <w:basedOn w:val="1"/>
    <w:qFormat/>
    <w:uiPriority w:val="0"/>
    <w:pPr>
      <w:spacing w:line="360" w:lineRule="auto"/>
      <w:ind w:firstLine="480" w:firstLineChars="200"/>
    </w:pPr>
    <w:rPr>
      <w:rFonts w:ascii="宋体" w:hAnsi="宋体"/>
      <w:sz w:val="28"/>
      <w:szCs w:val="24"/>
    </w:rPr>
  </w:style>
  <w:style w:type="paragraph" w:customStyle="1" w:styleId="287">
    <w:name w:val="纯文本1"/>
    <w:basedOn w:val="1"/>
    <w:qFormat/>
    <w:uiPriority w:val="0"/>
    <w:pPr>
      <w:adjustRightInd w:val="0"/>
      <w:textAlignment w:val="baseline"/>
    </w:pPr>
    <w:rPr>
      <w:rFonts w:ascii="宋体" w:hAnsi="Courier New" w:eastAsia="楷体_GB2312"/>
      <w:sz w:val="28"/>
    </w:rPr>
  </w:style>
  <w:style w:type="paragraph" w:customStyle="1" w:styleId="288">
    <w:name w:val="样式 样式 标题 3H3sect1.2.3BOD 0Heading 3 - oldh3l3CTLevel 3 Head... +..."/>
    <w:basedOn w:val="1"/>
    <w:qFormat/>
    <w:uiPriority w:val="0"/>
    <w:pPr>
      <w:keepNext/>
      <w:keepLines/>
      <w:spacing w:beforeLines="50" w:afterLines="50"/>
      <w:jc w:val="left"/>
      <w:outlineLvl w:val="2"/>
    </w:pPr>
    <w:rPr>
      <w:rFonts w:cs="宋体"/>
      <w:b/>
      <w:bCs/>
      <w:sz w:val="28"/>
    </w:rPr>
  </w:style>
  <w:style w:type="paragraph" w:customStyle="1" w:styleId="289">
    <w:name w:val="xl8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color w:val="000000"/>
      <w:kern w:val="0"/>
      <w:sz w:val="20"/>
    </w:rPr>
  </w:style>
  <w:style w:type="paragraph" w:customStyle="1" w:styleId="290">
    <w:name w:val="WPS Plain"/>
    <w:basedOn w:val="1"/>
    <w:qFormat/>
    <w:uiPriority w:val="0"/>
    <w:pPr>
      <w:widowControl/>
      <w:jc w:val="left"/>
    </w:pPr>
    <w:rPr>
      <w:kern w:val="0"/>
      <w:sz w:val="24"/>
      <w:szCs w:val="24"/>
    </w:rPr>
  </w:style>
  <w:style w:type="paragraph" w:customStyle="1" w:styleId="291">
    <w:name w:val="_Style 286"/>
    <w:basedOn w:val="3"/>
    <w:next w:val="1"/>
    <w:qFormat/>
    <w:uiPriority w:val="39"/>
    <w:pPr>
      <w:keepLines/>
      <w:widowControl/>
      <w:numPr>
        <w:numId w:val="0"/>
      </w:numPr>
      <w:spacing w:before="480" w:line="276" w:lineRule="auto"/>
      <w:jc w:val="left"/>
      <w:outlineLvl w:val="9"/>
    </w:pPr>
    <w:rPr>
      <w:rFonts w:ascii="Cambria" w:hAnsi="Cambria"/>
      <w:bCs/>
      <w:color w:val="365F91"/>
      <w:kern w:val="0"/>
      <w:sz w:val="28"/>
      <w:szCs w:val="28"/>
    </w:rPr>
  </w:style>
  <w:style w:type="paragraph" w:customStyle="1" w:styleId="292">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rPr>
  </w:style>
  <w:style w:type="paragraph" w:customStyle="1" w:styleId="293">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294">
    <w:name w:val="标题 4宋体"/>
    <w:basedOn w:val="6"/>
    <w:qFormat/>
    <w:uiPriority w:val="0"/>
    <w:pPr>
      <w:keepLines w:val="0"/>
      <w:tabs>
        <w:tab w:val="left" w:pos="864"/>
      </w:tabs>
      <w:autoSpaceDE w:val="0"/>
      <w:autoSpaceDN w:val="0"/>
      <w:adjustRightInd w:val="0"/>
      <w:spacing w:before="0" w:after="0" w:line="360" w:lineRule="auto"/>
      <w:jc w:val="left"/>
    </w:pPr>
    <w:rPr>
      <w:rFonts w:ascii="宋体" w:hAnsi="宋体" w:eastAsia="宋体"/>
      <w:color w:val="000000"/>
      <w:kern w:val="0"/>
      <w:sz w:val="24"/>
      <w:szCs w:val="20"/>
    </w:rPr>
  </w:style>
  <w:style w:type="paragraph" w:customStyle="1" w:styleId="295">
    <w:name w:val="Char3"/>
    <w:basedOn w:val="22"/>
    <w:qFormat/>
    <w:uiPriority w:val="0"/>
    <w:rPr>
      <w:rFonts w:ascii="Tahoma" w:hAnsi="Tahoma"/>
      <w:sz w:val="24"/>
      <w:szCs w:val="24"/>
    </w:rPr>
  </w:style>
  <w:style w:type="paragraph" w:customStyle="1" w:styleId="296">
    <w:name w:val="大标题"/>
    <w:basedOn w:val="1"/>
    <w:next w:val="1"/>
    <w:qFormat/>
    <w:uiPriority w:val="0"/>
    <w:pPr>
      <w:pageBreakBefore/>
      <w:adjustRightInd w:val="0"/>
      <w:spacing w:line="720" w:lineRule="auto"/>
      <w:jc w:val="center"/>
      <w:textAlignment w:val="baseline"/>
      <w:outlineLvl w:val="0"/>
    </w:pPr>
    <w:rPr>
      <w:rFonts w:ascii="黑体" w:eastAsia="黑体"/>
      <w:kern w:val="0"/>
      <w:sz w:val="32"/>
      <w:szCs w:val="30"/>
    </w:rPr>
  </w:style>
  <w:style w:type="paragraph" w:customStyle="1" w:styleId="297">
    <w:name w:val="页眉1"/>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298">
    <w:name w:val="样式 【自定义】正文缩进2字符 + 底端: (单实线 自动设置  1.5 磅 行宽)"/>
    <w:basedOn w:val="239"/>
    <w:qFormat/>
    <w:uiPriority w:val="0"/>
    <w:pPr>
      <w:pBdr>
        <w:bottom w:val="single" w:color="auto" w:sz="12" w:space="1"/>
      </w:pBdr>
    </w:pPr>
  </w:style>
  <w:style w:type="paragraph" w:customStyle="1" w:styleId="299">
    <w:name w:val="标书正文"/>
    <w:basedOn w:val="1"/>
    <w:qFormat/>
    <w:uiPriority w:val="0"/>
    <w:pPr>
      <w:spacing w:line="560" w:lineRule="exact"/>
      <w:ind w:firstLine="723" w:firstLineChars="200"/>
      <w:jc w:val="center"/>
    </w:pPr>
    <w:rPr>
      <w:rFonts w:ascii="仿宋_GB2312" w:eastAsia="仿宋_GB2312"/>
      <w:b/>
      <w:bCs/>
      <w:sz w:val="36"/>
      <w:szCs w:val="24"/>
    </w:rPr>
  </w:style>
  <w:style w:type="paragraph" w:customStyle="1" w:styleId="300">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8"/>
      <w:szCs w:val="24"/>
    </w:rPr>
  </w:style>
  <w:style w:type="paragraph" w:customStyle="1" w:styleId="301">
    <w:name w:val="table_1stline"/>
    <w:basedOn w:val="1"/>
    <w:qFormat/>
    <w:uiPriority w:val="0"/>
    <w:pPr>
      <w:widowControl/>
      <w:spacing w:before="120"/>
      <w:jc w:val="left"/>
    </w:pPr>
    <w:rPr>
      <w:bCs/>
      <w:kern w:val="0"/>
      <w:sz w:val="20"/>
      <w:lang w:val="de-DE" w:eastAsia="de-DE"/>
    </w:rPr>
  </w:style>
  <w:style w:type="paragraph" w:customStyle="1" w:styleId="302">
    <w:name w:val="样式 正文缩进2字符 + 五号"/>
    <w:basedOn w:val="239"/>
    <w:qFormat/>
    <w:uiPriority w:val="0"/>
    <w:pPr>
      <w:spacing w:line="240" w:lineRule="auto"/>
      <w:ind w:firstLine="0" w:firstLineChars="0"/>
    </w:pPr>
    <w:rPr>
      <w:sz w:val="21"/>
    </w:rPr>
  </w:style>
  <w:style w:type="paragraph" w:customStyle="1" w:styleId="303">
    <w:name w:val="项目符号：一级"/>
    <w:basedOn w:val="275"/>
    <w:next w:val="275"/>
    <w:qFormat/>
    <w:uiPriority w:val="0"/>
    <w:pPr>
      <w:ind w:right="-134" w:rightChars="-64"/>
    </w:pPr>
    <w:rPr>
      <w:bCs w:val="0"/>
    </w:rPr>
  </w:style>
  <w:style w:type="paragraph" w:customStyle="1" w:styleId="304">
    <w:name w:val="正文文本 21"/>
    <w:basedOn w:val="1"/>
    <w:qFormat/>
    <w:uiPriority w:val="0"/>
    <w:pPr>
      <w:widowControl/>
      <w:overflowPunct w:val="0"/>
      <w:autoSpaceDE w:val="0"/>
      <w:autoSpaceDN w:val="0"/>
      <w:adjustRightInd w:val="0"/>
      <w:ind w:left="720" w:hanging="720"/>
      <w:textAlignment w:val="baseline"/>
    </w:pPr>
    <w:rPr>
      <w:kern w:val="0"/>
      <w:sz w:val="28"/>
      <w:lang w:val="en-GB"/>
    </w:rPr>
  </w:style>
  <w:style w:type="paragraph" w:customStyle="1" w:styleId="305">
    <w:name w:val="zw"/>
    <w:basedOn w:val="1"/>
    <w:qFormat/>
    <w:uiPriority w:val="0"/>
    <w:pPr>
      <w:widowControl/>
      <w:spacing w:line="360" w:lineRule="auto"/>
      <w:ind w:firstLine="480" w:firstLineChars="200"/>
      <w:jc w:val="left"/>
    </w:pPr>
    <w:rPr>
      <w:rFonts w:ascii="宋体" w:hAnsi="宋体"/>
      <w:bCs/>
      <w:kern w:val="0"/>
      <w:sz w:val="28"/>
    </w:rPr>
  </w:style>
  <w:style w:type="paragraph" w:customStyle="1" w:styleId="306">
    <w:name w:val="部分1"/>
    <w:basedOn w:val="1"/>
    <w:qFormat/>
    <w:uiPriority w:val="0"/>
    <w:pPr>
      <w:keepNext/>
      <w:pageBreakBefore/>
      <w:tabs>
        <w:tab w:val="left" w:pos="360"/>
      </w:tabs>
      <w:spacing w:line="360" w:lineRule="auto"/>
      <w:jc w:val="center"/>
      <w:outlineLvl w:val="0"/>
    </w:pPr>
    <w:rPr>
      <w:rFonts w:eastAsia="黑体"/>
      <w:b/>
      <w:kern w:val="44"/>
      <w:sz w:val="36"/>
    </w:rPr>
  </w:style>
  <w:style w:type="paragraph" w:customStyle="1" w:styleId="307">
    <w:name w:val="条目3"/>
    <w:basedOn w:val="39"/>
    <w:qFormat/>
    <w:uiPriority w:val="0"/>
    <w:pPr>
      <w:tabs>
        <w:tab w:val="left" w:pos="960"/>
        <w:tab w:val="left" w:pos="2940"/>
      </w:tabs>
      <w:spacing w:line="360" w:lineRule="auto"/>
      <w:ind w:left="2940" w:hanging="420"/>
    </w:pPr>
    <w:rPr>
      <w:color w:val="000000"/>
      <w:sz w:val="30"/>
    </w:rPr>
  </w:style>
  <w:style w:type="paragraph" w:customStyle="1" w:styleId="308">
    <w:name w:val="列出段落1"/>
    <w:basedOn w:val="1"/>
    <w:qFormat/>
    <w:uiPriority w:val="0"/>
    <w:pPr>
      <w:ind w:firstLine="420" w:firstLineChars="200"/>
    </w:pPr>
    <w:rPr>
      <w:szCs w:val="24"/>
    </w:rPr>
  </w:style>
  <w:style w:type="paragraph" w:customStyle="1" w:styleId="309">
    <w:name w:val="缺省文本"/>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10">
    <w:name w:val="Char1 Char Char Char"/>
    <w:basedOn w:val="1"/>
    <w:qFormat/>
    <w:uiPriority w:val="0"/>
    <w:rPr>
      <w:rFonts w:ascii="Tahoma" w:hAnsi="Tahoma"/>
      <w:sz w:val="28"/>
    </w:rPr>
  </w:style>
  <w:style w:type="paragraph" w:customStyle="1" w:styleId="311">
    <w:name w:val="Char Char Char Char2"/>
    <w:basedOn w:val="22"/>
    <w:qFormat/>
    <w:uiPriority w:val="0"/>
    <w:pPr>
      <w:adjustRightInd w:val="0"/>
      <w:snapToGrid w:val="0"/>
      <w:spacing w:line="360" w:lineRule="auto"/>
    </w:pPr>
    <w:rPr>
      <w:rFonts w:ascii="Tahoma" w:hAnsi="Tahoma"/>
      <w:sz w:val="24"/>
      <w:szCs w:val="24"/>
    </w:rPr>
  </w:style>
  <w:style w:type="paragraph" w:customStyle="1" w:styleId="312">
    <w:name w:val="tgt2"/>
    <w:basedOn w:val="1"/>
    <w:qFormat/>
    <w:uiPriority w:val="0"/>
    <w:pPr>
      <w:widowControl/>
      <w:spacing w:after="150" w:line="360" w:lineRule="auto"/>
      <w:jc w:val="left"/>
    </w:pPr>
    <w:rPr>
      <w:rFonts w:ascii="宋体" w:hAnsi="宋体" w:eastAsia="仿宋" w:cs="宋体"/>
      <w:b/>
      <w:bCs/>
      <w:kern w:val="0"/>
      <w:sz w:val="36"/>
      <w:szCs w:val="36"/>
    </w:rPr>
  </w:style>
  <w:style w:type="paragraph" w:customStyle="1" w:styleId="313">
    <w:name w:val="正文lzq"/>
    <w:basedOn w:val="1"/>
    <w:qFormat/>
    <w:uiPriority w:val="0"/>
    <w:pPr>
      <w:adjustRightInd w:val="0"/>
      <w:spacing w:line="360" w:lineRule="auto"/>
      <w:ind w:firstLine="480"/>
      <w:textAlignment w:val="baseline"/>
    </w:pPr>
    <w:rPr>
      <w:kern w:val="0"/>
      <w:sz w:val="28"/>
    </w:rPr>
  </w:style>
  <w:style w:type="paragraph" w:customStyle="1" w:styleId="314">
    <w:name w:val="Char Char Char"/>
    <w:basedOn w:val="1"/>
    <w:qFormat/>
    <w:uiPriority w:val="0"/>
    <w:rPr>
      <w:rFonts w:ascii="Tahoma" w:hAnsi="Tahoma"/>
      <w:sz w:val="28"/>
    </w:rPr>
  </w:style>
  <w:style w:type="paragraph" w:customStyle="1" w:styleId="315">
    <w:name w:val="font6"/>
    <w:basedOn w:val="1"/>
    <w:qFormat/>
    <w:uiPriority w:val="0"/>
    <w:pPr>
      <w:widowControl/>
      <w:spacing w:before="100" w:beforeAutospacing="1" w:after="100" w:afterAutospacing="1"/>
      <w:jc w:val="left"/>
    </w:pPr>
    <w:rPr>
      <w:rFonts w:hint="eastAsia" w:ascii="宋体" w:hAnsi="宋体"/>
      <w:kern w:val="0"/>
      <w:sz w:val="28"/>
      <w:szCs w:val="28"/>
      <w:u w:val="single"/>
    </w:rPr>
  </w:style>
  <w:style w:type="paragraph" w:customStyle="1" w:styleId="316">
    <w:name w:val="样式 标题 1 + 四号 居中 段前: 12 磅 段后: 12 磅 行距: 单倍行距"/>
    <w:basedOn w:val="3"/>
    <w:qFormat/>
    <w:uiPriority w:val="0"/>
    <w:pPr>
      <w:keepLines/>
      <w:numPr>
        <w:numId w:val="0"/>
      </w:numPr>
      <w:tabs>
        <w:tab w:val="left" w:pos="851"/>
      </w:tabs>
      <w:adjustRightInd w:val="0"/>
      <w:spacing w:before="240" w:after="240"/>
      <w:textAlignment w:val="baseline"/>
    </w:pPr>
    <w:rPr>
      <w:rFonts w:cs="宋体"/>
      <w:bCs/>
      <w:kern w:val="44"/>
      <w:sz w:val="28"/>
    </w:rPr>
  </w:style>
  <w:style w:type="paragraph" w:customStyle="1" w:styleId="317">
    <w:name w:val="正文1"/>
    <w:basedOn w:val="1"/>
    <w:next w:val="1"/>
    <w:qFormat/>
    <w:uiPriority w:val="0"/>
    <w:pPr>
      <w:spacing w:before="156" w:line="360" w:lineRule="auto"/>
      <w:ind w:firstLine="510" w:firstLineChars="200"/>
    </w:pPr>
    <w:rPr>
      <w:sz w:val="28"/>
    </w:rPr>
  </w:style>
  <w:style w:type="paragraph" w:customStyle="1" w:styleId="318">
    <w:name w:val="表格内文字"/>
    <w:basedOn w:val="1"/>
    <w:qFormat/>
    <w:uiPriority w:val="0"/>
    <w:pPr>
      <w:spacing w:line="300" w:lineRule="atLeast"/>
    </w:pPr>
    <w:rPr>
      <w:sz w:val="18"/>
      <w:szCs w:val="24"/>
    </w:rPr>
  </w:style>
  <w:style w:type="paragraph" w:customStyle="1" w:styleId="319">
    <w:name w:val="正文表标题"/>
    <w:next w:val="320"/>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320">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21">
    <w:name w:val="7"/>
    <w:basedOn w:val="1"/>
    <w:next w:val="72"/>
    <w:qFormat/>
    <w:uiPriority w:val="0"/>
    <w:pPr>
      <w:widowControl/>
      <w:spacing w:before="100" w:beforeAutospacing="1" w:after="100" w:afterAutospacing="1"/>
      <w:jc w:val="left"/>
    </w:pPr>
    <w:rPr>
      <w:rFonts w:ascii="宋体" w:hAnsi="宋体"/>
      <w:kern w:val="0"/>
      <w:sz w:val="28"/>
    </w:rPr>
  </w:style>
  <w:style w:type="paragraph" w:customStyle="1" w:styleId="322">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8"/>
      <w:szCs w:val="24"/>
    </w:rPr>
  </w:style>
  <w:style w:type="paragraph" w:customStyle="1" w:styleId="323">
    <w:name w:val="tableau"/>
    <w:basedOn w:val="1"/>
    <w:qFormat/>
    <w:uiPriority w:val="0"/>
    <w:pPr>
      <w:widowControl/>
      <w:spacing w:before="20" w:after="20"/>
      <w:jc w:val="center"/>
    </w:pPr>
    <w:rPr>
      <w:rFonts w:ascii="Arial" w:hAnsi="Arial"/>
      <w:kern w:val="0"/>
      <w:sz w:val="16"/>
      <w:lang w:val="en-GB" w:eastAsia="en-US"/>
    </w:rPr>
  </w:style>
  <w:style w:type="paragraph" w:customStyle="1" w:styleId="324">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25">
    <w:name w:val="List Paragraph2"/>
    <w:basedOn w:val="1"/>
    <w:qFormat/>
    <w:uiPriority w:val="0"/>
    <w:pPr>
      <w:ind w:firstLine="420" w:firstLineChars="200"/>
    </w:pPr>
  </w:style>
  <w:style w:type="paragraph" w:customStyle="1" w:styleId="326">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rPr>
  </w:style>
  <w:style w:type="paragraph" w:customStyle="1" w:styleId="327">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28">
    <w:name w:val="Char Char"/>
    <w:basedOn w:val="1"/>
    <w:qFormat/>
    <w:uiPriority w:val="0"/>
    <w:rPr>
      <w:rFonts w:ascii="Tahoma" w:hAnsi="Tahoma"/>
      <w:sz w:val="28"/>
    </w:rPr>
  </w:style>
  <w:style w:type="paragraph" w:customStyle="1" w:styleId="329">
    <w:name w:val="默认段落字体 Para Char Char Char Char Char Char Char Char Char1 Char Char Char Char Char Char Char"/>
    <w:basedOn w:val="22"/>
    <w:qFormat/>
    <w:uiPriority w:val="0"/>
  </w:style>
  <w:style w:type="paragraph" w:customStyle="1" w:styleId="330">
    <w:name w:val="样式 样式 首行缩进:  2 字符 + 行距: 1.5 倍行距"/>
    <w:basedOn w:val="1"/>
    <w:qFormat/>
    <w:uiPriority w:val="0"/>
    <w:pPr>
      <w:spacing w:line="360" w:lineRule="auto"/>
      <w:ind w:firstLine="470" w:firstLineChars="196"/>
    </w:pPr>
    <w:rPr>
      <w:sz w:val="28"/>
    </w:rPr>
  </w:style>
  <w:style w:type="paragraph" w:customStyle="1" w:styleId="331">
    <w:name w:val="样式3"/>
    <w:basedOn w:val="5"/>
    <w:qFormat/>
    <w:uiPriority w:val="0"/>
    <w:pPr>
      <w:tabs>
        <w:tab w:val="left" w:pos="1440"/>
      </w:tabs>
      <w:spacing w:before="120" w:after="120" w:line="360" w:lineRule="auto"/>
      <w:ind w:left="1440" w:firstLine="482"/>
    </w:pPr>
    <w:rPr>
      <w:sz w:val="24"/>
    </w:rPr>
  </w:style>
  <w:style w:type="paragraph" w:customStyle="1" w:styleId="332">
    <w:name w:val="Table Text--F10"/>
    <w:qFormat/>
    <w:uiPriority w:val="0"/>
    <w:pPr>
      <w:snapToGrid w:val="0"/>
      <w:spacing w:before="80" w:after="80"/>
    </w:pPr>
    <w:rPr>
      <w:rFonts w:ascii="Arial" w:hAnsi="Arial" w:eastAsia="宋体" w:cs="Times New Roman"/>
      <w:sz w:val="18"/>
      <w:lang w:val="en-US" w:eastAsia="zh-CN" w:bidi="ar-SA"/>
    </w:rPr>
  </w:style>
  <w:style w:type="paragraph" w:customStyle="1" w:styleId="333">
    <w:name w:val="_Style 1"/>
    <w:basedOn w:val="1"/>
    <w:qFormat/>
    <w:uiPriority w:val="0"/>
    <w:pPr>
      <w:adjustRightInd w:val="0"/>
      <w:spacing w:line="360" w:lineRule="auto"/>
      <w:ind w:firstLine="420" w:firstLineChars="200"/>
      <w:textAlignment w:val="baseline"/>
    </w:pPr>
    <w:rPr>
      <w:rFonts w:ascii="Calibri" w:hAnsi="Calibri" w:eastAsia="仿宋" w:cs="Arial"/>
      <w:kern w:val="0"/>
      <w:sz w:val="28"/>
      <w:szCs w:val="22"/>
    </w:rPr>
  </w:style>
  <w:style w:type="paragraph" w:customStyle="1" w:styleId="334">
    <w:name w:val="参考文献"/>
    <w:basedOn w:val="1"/>
    <w:qFormat/>
    <w:uiPriority w:val="0"/>
    <w:pPr>
      <w:tabs>
        <w:tab w:val="left" w:pos="567"/>
      </w:tabs>
      <w:adjustRightInd w:val="0"/>
      <w:spacing w:line="360" w:lineRule="auto"/>
      <w:ind w:left="567" w:hanging="567"/>
      <w:textAlignment w:val="baseline"/>
    </w:pPr>
    <w:rPr>
      <w:rFonts w:ascii="宋体" w:eastAsia="仿宋"/>
      <w:kern w:val="0"/>
      <w:sz w:val="24"/>
      <w:szCs w:val="21"/>
    </w:rPr>
  </w:style>
  <w:style w:type="paragraph" w:customStyle="1" w:styleId="335">
    <w:name w:val="样式 正文缩进2字符 + 五号 居中"/>
    <w:basedOn w:val="239"/>
    <w:qFormat/>
    <w:uiPriority w:val="0"/>
    <w:pPr>
      <w:spacing w:line="100" w:lineRule="atLeast"/>
      <w:ind w:firstLine="0" w:firstLineChars="0"/>
      <w:jc w:val="center"/>
    </w:pPr>
    <w:rPr>
      <w:sz w:val="21"/>
    </w:rPr>
  </w:style>
  <w:style w:type="paragraph" w:customStyle="1" w:styleId="336">
    <w:name w:val="Char Char Char Char Char Char Char"/>
    <w:basedOn w:val="1"/>
    <w:qFormat/>
    <w:uiPriority w:val="0"/>
    <w:pPr>
      <w:jc w:val="left"/>
    </w:pPr>
    <w:rPr>
      <w:rFonts w:ascii="Tahoma" w:hAnsi="Tahoma"/>
      <w:sz w:val="28"/>
    </w:rPr>
  </w:style>
  <w:style w:type="paragraph" w:customStyle="1" w:styleId="337">
    <w:name w:val="附录1"/>
    <w:qFormat/>
    <w:uiPriority w:val="0"/>
    <w:pPr>
      <w:tabs>
        <w:tab w:val="left" w:pos="907"/>
      </w:tabs>
      <w:snapToGrid w:val="0"/>
      <w:spacing w:before="240" w:line="600" w:lineRule="atLeast"/>
      <w:ind w:left="907" w:hanging="907"/>
    </w:pPr>
    <w:rPr>
      <w:rFonts w:ascii="Times New Roman" w:hAnsi="Times New Roman" w:eastAsia="宋体" w:cs="Times New Roman"/>
      <w:b/>
      <w:i/>
      <w:sz w:val="28"/>
      <w:lang w:val="en-US" w:eastAsia="zh-CN" w:bidi="ar-SA"/>
    </w:rPr>
  </w:style>
  <w:style w:type="paragraph" w:customStyle="1" w:styleId="338">
    <w:name w:val="xl71"/>
    <w:basedOn w:val="1"/>
    <w:qFormat/>
    <w:uiPriority w:val="0"/>
    <w:pPr>
      <w:widowControl/>
      <w:spacing w:before="100" w:beforeAutospacing="1" w:after="100" w:afterAutospacing="1"/>
      <w:jc w:val="left"/>
    </w:pPr>
    <w:rPr>
      <w:rFonts w:ascii="宋体" w:hAnsi="宋体" w:cs="宋体"/>
      <w:color w:val="000000"/>
      <w:kern w:val="0"/>
      <w:sz w:val="28"/>
      <w:szCs w:val="24"/>
    </w:rPr>
  </w:style>
  <w:style w:type="paragraph" w:customStyle="1" w:styleId="339">
    <w:name w:val="样式 加点正文 + 段前: 0.5 行 段后: 0.5 行1"/>
    <w:basedOn w:val="1"/>
    <w:qFormat/>
    <w:uiPriority w:val="0"/>
    <w:pPr>
      <w:tabs>
        <w:tab w:val="left" w:pos="1050"/>
        <w:tab w:val="left" w:pos="1268"/>
      </w:tabs>
      <w:spacing w:beforeLines="50" w:afterLines="50" w:line="300" w:lineRule="auto"/>
      <w:ind w:left="1268" w:hanging="720"/>
    </w:pPr>
    <w:rPr>
      <w:sz w:val="28"/>
    </w:rPr>
  </w:style>
  <w:style w:type="paragraph" w:customStyle="1" w:styleId="340">
    <w:name w:val="Char Char1"/>
    <w:basedOn w:val="1"/>
    <w:qFormat/>
    <w:uiPriority w:val="0"/>
    <w:rPr>
      <w:rFonts w:ascii="Tahoma" w:hAnsi="Tahoma"/>
      <w:sz w:val="28"/>
    </w:rPr>
  </w:style>
  <w:style w:type="paragraph" w:customStyle="1" w:styleId="341">
    <w:name w:val="样式4 Char"/>
    <w:basedOn w:val="1"/>
    <w:qFormat/>
    <w:uiPriority w:val="0"/>
    <w:pPr>
      <w:widowControl/>
      <w:spacing w:line="360" w:lineRule="auto"/>
      <w:ind w:firstLine="480"/>
      <w:jc w:val="left"/>
    </w:pPr>
    <w:rPr>
      <w:rFonts w:cs="宋体"/>
      <w:color w:val="000000"/>
      <w:kern w:val="0"/>
      <w:sz w:val="28"/>
      <w:szCs w:val="24"/>
    </w:rPr>
  </w:style>
  <w:style w:type="paragraph" w:customStyle="1" w:styleId="342">
    <w:name w:val="样式 黑体 四号 左 左侧:  0.99 厘米"/>
    <w:basedOn w:val="1"/>
    <w:qFormat/>
    <w:uiPriority w:val="0"/>
    <w:pPr>
      <w:adjustRightInd w:val="0"/>
      <w:spacing w:line="360" w:lineRule="auto"/>
      <w:jc w:val="left"/>
      <w:textAlignment w:val="baseline"/>
    </w:pPr>
    <w:rPr>
      <w:rFonts w:ascii="黑体" w:hAnsi="黑体" w:eastAsia="黑体" w:cs="宋体"/>
      <w:kern w:val="0"/>
      <w:sz w:val="28"/>
    </w:rPr>
  </w:style>
  <w:style w:type="paragraph" w:customStyle="1" w:styleId="343">
    <w:name w:val="纯文本2"/>
    <w:basedOn w:val="1"/>
    <w:qFormat/>
    <w:uiPriority w:val="0"/>
    <w:pPr>
      <w:adjustRightInd w:val="0"/>
      <w:textAlignment w:val="baseline"/>
    </w:pPr>
    <w:rPr>
      <w:rFonts w:ascii="宋体" w:hAnsi="Courier New" w:eastAsia="楷体_GB2312"/>
      <w:sz w:val="28"/>
    </w:rPr>
  </w:style>
  <w:style w:type="paragraph" w:customStyle="1" w:styleId="344">
    <w:name w:val="Char Char Char Char Char Char Char Char1"/>
    <w:basedOn w:val="1"/>
    <w:qFormat/>
    <w:uiPriority w:val="0"/>
    <w:rPr>
      <w:rFonts w:ascii="Tahoma" w:hAnsi="Tahoma"/>
      <w:sz w:val="28"/>
    </w:rPr>
  </w:style>
  <w:style w:type="paragraph" w:customStyle="1" w:styleId="345">
    <w:name w:val="Char Char Char Char Char Char Char Char Char Char Char"/>
    <w:basedOn w:val="1"/>
    <w:qFormat/>
    <w:uiPriority w:val="0"/>
    <w:rPr>
      <w:rFonts w:ascii="Tahoma" w:hAnsi="Tahoma"/>
      <w:sz w:val="28"/>
    </w:rPr>
  </w:style>
  <w:style w:type="paragraph" w:customStyle="1" w:styleId="346">
    <w:name w:val="（一）"/>
    <w:basedOn w:val="347"/>
    <w:qFormat/>
    <w:uiPriority w:val="0"/>
    <w:pPr>
      <w:tabs>
        <w:tab w:val="left" w:pos="360"/>
      </w:tabs>
      <w:ind w:left="350" w:leftChars="200" w:hanging="150" w:hangingChars="150"/>
    </w:pPr>
    <w:rPr>
      <w:rFonts w:ascii="宋体" w:hAnsi="宋体" w:eastAsia="仿宋"/>
      <w:sz w:val="28"/>
      <w:szCs w:val="28"/>
    </w:rPr>
  </w:style>
  <w:style w:type="paragraph" w:customStyle="1" w:styleId="347">
    <w:name w:val="列出段落2"/>
    <w:basedOn w:val="1"/>
    <w:qFormat/>
    <w:uiPriority w:val="99"/>
    <w:pPr>
      <w:ind w:firstLine="420" w:firstLineChars="200"/>
    </w:pPr>
    <w:rPr>
      <w:rFonts w:ascii="Calibri" w:hAnsi="Calibri"/>
      <w:szCs w:val="22"/>
    </w:rPr>
  </w:style>
  <w:style w:type="paragraph" w:customStyle="1" w:styleId="348">
    <w:name w:val="小四 段落 宋体 Char Char Char"/>
    <w:basedOn w:val="18"/>
    <w:qFormat/>
    <w:uiPriority w:val="0"/>
    <w:pPr>
      <w:adjustRightInd/>
      <w:ind w:left="0" w:right="-33" w:firstLine="545" w:firstLineChars="227"/>
      <w:jc w:val="left"/>
      <w:textAlignment w:val="auto"/>
    </w:pPr>
    <w:rPr>
      <w:rFonts w:ascii="Times New Roman" w:eastAsia="宋体"/>
      <w:kern w:val="2"/>
      <w:szCs w:val="24"/>
    </w:rPr>
  </w:style>
  <w:style w:type="paragraph" w:customStyle="1" w:styleId="349">
    <w:name w:val="封面"/>
    <w:basedOn w:val="350"/>
    <w:qFormat/>
    <w:uiPriority w:val="0"/>
    <w:pPr>
      <w:spacing w:line="480" w:lineRule="auto"/>
    </w:pPr>
    <w:rPr>
      <w:rFonts w:eastAsia="楷体"/>
      <w:bCs/>
    </w:rPr>
  </w:style>
  <w:style w:type="paragraph" w:customStyle="1" w:styleId="350">
    <w:name w:val="封面大字"/>
    <w:basedOn w:val="351"/>
    <w:qFormat/>
    <w:uiPriority w:val="0"/>
    <w:pPr>
      <w:jc w:val="center"/>
    </w:pPr>
    <w:rPr>
      <w:rFonts w:eastAsia="方正姚体"/>
      <w:b/>
      <w:sz w:val="52"/>
    </w:rPr>
  </w:style>
  <w:style w:type="paragraph" w:customStyle="1" w:styleId="351">
    <w:name w:val="封面打字"/>
    <w:basedOn w:val="1"/>
    <w:qFormat/>
    <w:uiPriority w:val="0"/>
    <w:pPr>
      <w:adjustRightInd w:val="0"/>
      <w:spacing w:line="360" w:lineRule="auto"/>
      <w:jc w:val="left"/>
      <w:textAlignment w:val="baseline"/>
    </w:pPr>
    <w:rPr>
      <w:rFonts w:ascii="黑体" w:hAnsi="黑体" w:eastAsia="黑体" w:cs="宋体"/>
      <w:kern w:val="0"/>
      <w:sz w:val="48"/>
    </w:rPr>
  </w:style>
  <w:style w:type="paragraph" w:customStyle="1" w:styleId="352">
    <w:name w:val="Char Char Char Char Char Char Char1"/>
    <w:basedOn w:val="1"/>
    <w:qFormat/>
    <w:uiPriority w:val="0"/>
    <w:rPr>
      <w:rFonts w:ascii="Tahoma" w:hAnsi="Tahoma"/>
      <w:sz w:val="28"/>
    </w:rPr>
  </w:style>
  <w:style w:type="paragraph" w:customStyle="1" w:styleId="353">
    <w:name w:val="马刚标题4"/>
    <w:basedOn w:val="354"/>
    <w:next w:val="1"/>
    <w:qFormat/>
    <w:uiPriority w:val="0"/>
    <w:pPr>
      <w:tabs>
        <w:tab w:val="left" w:pos="567"/>
        <w:tab w:val="left" w:pos="735"/>
        <w:tab w:val="left" w:pos="1050"/>
      </w:tabs>
      <w:spacing w:before="100" w:after="40"/>
      <w:outlineLvl w:val="3"/>
    </w:pPr>
    <w:rPr>
      <w:b w:val="0"/>
    </w:rPr>
  </w:style>
  <w:style w:type="paragraph" w:customStyle="1" w:styleId="354">
    <w:name w:val="马刚标题3"/>
    <w:basedOn w:val="1"/>
    <w:next w:val="1"/>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8"/>
    </w:rPr>
  </w:style>
  <w:style w:type="paragraph" w:customStyle="1" w:styleId="355">
    <w:name w:val="7.10表格"/>
    <w:basedOn w:val="1"/>
    <w:qFormat/>
    <w:uiPriority w:val="0"/>
    <w:pPr>
      <w:adjustRightInd w:val="0"/>
      <w:jc w:val="center"/>
      <w:textAlignment w:val="baseline"/>
    </w:pPr>
    <w:rPr>
      <w:rFonts w:ascii="宋体" w:hAnsi="宋体" w:eastAsia="仿宋" w:cs="宋体"/>
      <w:kern w:val="0"/>
      <w:sz w:val="28"/>
    </w:rPr>
  </w:style>
  <w:style w:type="paragraph" w:customStyle="1" w:styleId="356">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rPr>
  </w:style>
  <w:style w:type="paragraph" w:customStyle="1" w:styleId="357">
    <w:name w:val="Char Char Char Char"/>
    <w:basedOn w:val="22"/>
    <w:qFormat/>
    <w:uiPriority w:val="0"/>
    <w:pPr>
      <w:adjustRightInd w:val="0"/>
      <w:snapToGrid w:val="0"/>
      <w:spacing w:line="360" w:lineRule="auto"/>
    </w:pPr>
    <w:rPr>
      <w:rFonts w:ascii="Tahoma" w:hAnsi="Tahoma"/>
      <w:sz w:val="24"/>
      <w:szCs w:val="24"/>
    </w:rPr>
  </w:style>
  <w:style w:type="paragraph" w:customStyle="1" w:styleId="358">
    <w:name w:val="符号与编号"/>
    <w:basedOn w:val="1"/>
    <w:qFormat/>
    <w:uiPriority w:val="0"/>
    <w:pPr>
      <w:tabs>
        <w:tab w:val="left" w:pos="900"/>
      </w:tabs>
      <w:spacing w:afterLines="50" w:line="400" w:lineRule="atLeast"/>
      <w:ind w:left="900" w:hanging="420"/>
    </w:pPr>
    <w:rPr>
      <w:sz w:val="28"/>
      <w:szCs w:val="24"/>
    </w:rPr>
  </w:style>
  <w:style w:type="paragraph" w:customStyle="1" w:styleId="359">
    <w:name w:val="图标"/>
    <w:basedOn w:val="1"/>
    <w:next w:val="1"/>
    <w:qFormat/>
    <w:uiPriority w:val="0"/>
    <w:pPr>
      <w:tabs>
        <w:tab w:val="left" w:pos="567"/>
        <w:tab w:val="left" w:pos="840"/>
      </w:tabs>
      <w:autoSpaceDE w:val="0"/>
      <w:autoSpaceDN w:val="0"/>
      <w:adjustRightInd w:val="0"/>
      <w:snapToGrid w:val="0"/>
      <w:spacing w:before="120" w:after="120" w:line="320" w:lineRule="atLeast"/>
      <w:ind w:left="840" w:hanging="420"/>
      <w:jc w:val="center"/>
      <w:textAlignment w:val="baseline"/>
    </w:pPr>
    <w:rPr>
      <w:rFonts w:eastAsia="仿宋_GB2312"/>
      <w:kern w:val="0"/>
      <w:sz w:val="28"/>
    </w:rPr>
  </w:style>
  <w:style w:type="paragraph" w:customStyle="1" w:styleId="360">
    <w:name w:val="Char Char Char Char Char Char Char Char Char1 Char"/>
    <w:basedOn w:val="22"/>
    <w:qFormat/>
    <w:uiPriority w:val="0"/>
    <w:pPr>
      <w:adjustRightInd w:val="0"/>
      <w:snapToGrid w:val="0"/>
      <w:spacing w:line="360" w:lineRule="auto"/>
    </w:pPr>
    <w:rPr>
      <w:rFonts w:eastAsia="楷体_GB2312"/>
      <w:sz w:val="28"/>
    </w:rPr>
  </w:style>
  <w:style w:type="paragraph" w:customStyle="1" w:styleId="361">
    <w:name w:val="_Style 40"/>
    <w:basedOn w:val="1"/>
    <w:qFormat/>
    <w:uiPriority w:val="0"/>
  </w:style>
  <w:style w:type="paragraph" w:customStyle="1" w:styleId="362">
    <w:name w:val="标题1"/>
    <w:basedOn w:val="1"/>
    <w:next w:val="1"/>
    <w:qFormat/>
    <w:uiPriority w:val="0"/>
    <w:pPr>
      <w:tabs>
        <w:tab w:val="left" w:pos="9193"/>
        <w:tab w:val="left" w:pos="9827"/>
      </w:tabs>
      <w:autoSpaceDE w:val="0"/>
      <w:autoSpaceDN w:val="0"/>
      <w:snapToGrid w:val="0"/>
      <w:spacing w:line="700" w:lineRule="atLeast"/>
      <w:jc w:val="center"/>
    </w:pPr>
    <w:rPr>
      <w:rFonts w:ascii="方正小标宋_GBK" w:eastAsia="方正小标宋_GBK"/>
      <w:snapToGrid w:val="0"/>
      <w:kern w:val="0"/>
      <w:sz w:val="44"/>
    </w:rPr>
  </w:style>
  <w:style w:type="paragraph" w:customStyle="1" w:styleId="363">
    <w:name w:val="符号与编号 Char"/>
    <w:basedOn w:val="1"/>
    <w:qFormat/>
    <w:uiPriority w:val="0"/>
    <w:pPr>
      <w:tabs>
        <w:tab w:val="left" w:pos="720"/>
      </w:tabs>
      <w:spacing w:afterLines="50" w:line="400" w:lineRule="atLeast"/>
      <w:ind w:left="720"/>
    </w:pPr>
    <w:rPr>
      <w:sz w:val="28"/>
      <w:szCs w:val="24"/>
    </w:rPr>
  </w:style>
  <w:style w:type="paragraph" w:customStyle="1" w:styleId="364">
    <w:name w:val="仿宋五号"/>
    <w:basedOn w:val="1"/>
    <w:qFormat/>
    <w:uiPriority w:val="0"/>
    <w:pPr>
      <w:adjustRightInd w:val="0"/>
      <w:spacing w:line="360" w:lineRule="auto"/>
      <w:jc w:val="center"/>
      <w:textAlignment w:val="baseline"/>
    </w:pPr>
    <w:rPr>
      <w:rFonts w:ascii="宋体" w:hAnsi="宋体" w:eastAsia="仿宋" w:cs="宋体"/>
      <w:kern w:val="0"/>
    </w:rPr>
  </w:style>
  <w:style w:type="paragraph" w:customStyle="1" w:styleId="365">
    <w:name w:val="普通 (Web)"/>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366">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8"/>
      <w:szCs w:val="24"/>
    </w:rPr>
  </w:style>
  <w:style w:type="paragraph" w:customStyle="1" w:styleId="367">
    <w:name w:val="摘要"/>
    <w:basedOn w:val="1"/>
    <w:qFormat/>
    <w:uiPriority w:val="0"/>
    <w:pPr>
      <w:adjustRightInd w:val="0"/>
      <w:spacing w:line="360" w:lineRule="auto"/>
      <w:jc w:val="center"/>
      <w:textAlignment w:val="baseline"/>
    </w:pPr>
    <w:rPr>
      <w:rFonts w:ascii="黑体" w:eastAsia="黑体" w:cs="宋体"/>
      <w:kern w:val="0"/>
      <w:sz w:val="30"/>
    </w:rPr>
  </w:style>
  <w:style w:type="paragraph" w:customStyle="1" w:styleId="368">
    <w:name w:val="_Style 4"/>
    <w:basedOn w:val="1"/>
    <w:qFormat/>
    <w:uiPriority w:val="0"/>
    <w:pPr>
      <w:ind w:firstLine="420" w:firstLineChars="200"/>
    </w:pPr>
    <w:rPr>
      <w:szCs w:val="24"/>
    </w:rPr>
  </w:style>
  <w:style w:type="paragraph" w:customStyle="1" w:styleId="369">
    <w:name w:val="1 Char Char Char Char"/>
    <w:basedOn w:val="1"/>
    <w:qFormat/>
    <w:uiPriority w:val="0"/>
    <w:rPr>
      <w:rFonts w:ascii="Tahoma" w:hAnsi="Tahoma"/>
      <w:sz w:val="24"/>
    </w:rPr>
  </w:style>
  <w:style w:type="paragraph" w:customStyle="1" w:styleId="370">
    <w:name w:val="仿宋"/>
    <w:basedOn w:val="1"/>
    <w:qFormat/>
    <w:uiPriority w:val="0"/>
    <w:pPr>
      <w:adjustRightInd w:val="0"/>
      <w:spacing w:line="360" w:lineRule="auto"/>
      <w:jc w:val="center"/>
      <w:textAlignment w:val="baseline"/>
    </w:pPr>
    <w:rPr>
      <w:rFonts w:ascii="宋体" w:hAnsi="宋体" w:eastAsia="仿宋" w:cs="宋体"/>
      <w:kern w:val="0"/>
    </w:rPr>
  </w:style>
  <w:style w:type="paragraph" w:customStyle="1" w:styleId="371">
    <w:name w:val="ParaAttribute12"/>
    <w:qFormat/>
    <w:uiPriority w:val="0"/>
    <w:pPr>
      <w:widowControl w:val="0"/>
      <w:wordWrap w:val="0"/>
      <w:spacing w:line="576" w:lineRule="exact"/>
    </w:pPr>
    <w:rPr>
      <w:rFonts w:ascii="Times New Roman" w:hAnsi="Times New Roman" w:eastAsia="宋体" w:cs="Times New Roman"/>
      <w:lang w:val="en-US" w:eastAsia="zh-CN" w:bidi="ar-SA"/>
    </w:rPr>
  </w:style>
  <w:style w:type="paragraph" w:customStyle="1" w:styleId="372">
    <w:name w:val="Char1"/>
    <w:basedOn w:val="1"/>
    <w:qFormat/>
    <w:uiPriority w:val="0"/>
    <w:rPr>
      <w:rFonts w:ascii="仿宋_GB2312" w:eastAsia="仿宋_GB2312"/>
      <w:b/>
      <w:sz w:val="32"/>
      <w:szCs w:val="32"/>
    </w:rPr>
  </w:style>
  <w:style w:type="paragraph" w:customStyle="1" w:styleId="373">
    <w:name w:val="content_lineheight"/>
    <w:basedOn w:val="1"/>
    <w:qFormat/>
    <w:uiPriority w:val="0"/>
    <w:pPr>
      <w:widowControl/>
      <w:spacing w:before="100" w:beforeAutospacing="1" w:after="100" w:afterAutospacing="1"/>
      <w:jc w:val="left"/>
    </w:pPr>
    <w:rPr>
      <w:rFonts w:ascii="宋体" w:hAnsi="宋体"/>
      <w:kern w:val="0"/>
      <w:sz w:val="28"/>
      <w:szCs w:val="24"/>
    </w:rPr>
  </w:style>
  <w:style w:type="paragraph" w:customStyle="1" w:styleId="374">
    <w:name w:val="表格内容"/>
    <w:basedOn w:val="1"/>
    <w:qFormat/>
    <w:uiPriority w:val="0"/>
    <w:pPr>
      <w:adjustRightInd w:val="0"/>
      <w:jc w:val="center"/>
      <w:textAlignment w:val="baseline"/>
    </w:pPr>
    <w:rPr>
      <w:rFonts w:ascii="宋体" w:eastAsia="仿宋"/>
      <w:kern w:val="0"/>
      <w:szCs w:val="21"/>
    </w:rPr>
  </w:style>
  <w:style w:type="paragraph" w:customStyle="1" w:styleId="375">
    <w:name w:val="正文空4格  1）"/>
    <w:basedOn w:val="1"/>
    <w:qFormat/>
    <w:uiPriority w:val="0"/>
    <w:pPr>
      <w:adjustRightInd w:val="0"/>
      <w:spacing w:line="360" w:lineRule="auto"/>
      <w:ind w:firstLine="1120" w:firstLineChars="400"/>
      <w:textAlignment w:val="baseline"/>
    </w:pPr>
    <w:rPr>
      <w:rFonts w:ascii="宋体" w:eastAsia="仿宋" w:cs="宋体"/>
      <w:kern w:val="0"/>
      <w:sz w:val="28"/>
    </w:rPr>
  </w:style>
  <w:style w:type="paragraph" w:customStyle="1" w:styleId="376">
    <w:name w:val="Char Char Char Char Char Char Char Char Char"/>
    <w:basedOn w:val="1"/>
    <w:qFormat/>
    <w:uiPriority w:val="0"/>
    <w:pPr>
      <w:tabs>
        <w:tab w:val="left" w:pos="360"/>
      </w:tabs>
      <w:ind w:left="360" w:hanging="360" w:hangingChars="200"/>
    </w:pPr>
    <w:rPr>
      <w:sz w:val="28"/>
      <w:szCs w:val="24"/>
    </w:rPr>
  </w:style>
  <w:style w:type="paragraph" w:customStyle="1" w:styleId="377">
    <w:name w:val="xl104"/>
    <w:basedOn w:val="1"/>
    <w:qFormat/>
    <w:uiPriority w:val="0"/>
    <w:pPr>
      <w:widowControl/>
      <w:pBdr>
        <w:bottom w:val="single" w:color="auto" w:sz="4" w:space="0"/>
      </w:pBdr>
      <w:spacing w:before="100" w:beforeAutospacing="1" w:after="100" w:afterAutospacing="1"/>
      <w:jc w:val="center"/>
      <w:textAlignment w:val="center"/>
    </w:pPr>
    <w:rPr>
      <w:rFonts w:ascii="宋体" w:hAnsi="宋体" w:cs="宋体"/>
      <w:b/>
      <w:bCs/>
      <w:kern w:val="0"/>
      <w:sz w:val="32"/>
      <w:szCs w:val="32"/>
    </w:rPr>
  </w:style>
  <w:style w:type="paragraph" w:customStyle="1" w:styleId="378">
    <w:name w:val="标题5，章节第五层"/>
    <w:basedOn w:val="1"/>
    <w:next w:val="1"/>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379">
    <w:name w:val="xl9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0"/>
    </w:rPr>
  </w:style>
  <w:style w:type="paragraph" w:customStyle="1" w:styleId="380">
    <w:name w:val="font5"/>
    <w:basedOn w:val="1"/>
    <w:qFormat/>
    <w:uiPriority w:val="0"/>
    <w:pPr>
      <w:widowControl/>
      <w:spacing w:before="100" w:beforeAutospacing="1" w:after="100" w:afterAutospacing="1"/>
      <w:jc w:val="left"/>
    </w:pPr>
    <w:rPr>
      <w:rFonts w:hint="eastAsia" w:ascii="宋体" w:hAnsi="宋体"/>
      <w:kern w:val="0"/>
      <w:sz w:val="28"/>
      <w:szCs w:val="28"/>
    </w:rPr>
  </w:style>
  <w:style w:type="paragraph" w:customStyle="1" w:styleId="381">
    <w:name w:val="flType"/>
    <w:basedOn w:val="382"/>
    <w:qFormat/>
    <w:uiPriority w:val="0"/>
    <w:pPr>
      <w:spacing w:after="284"/>
    </w:pPr>
    <w:rPr>
      <w:rFonts w:eastAsia="宋体"/>
      <w:b w:val="0"/>
    </w:rPr>
  </w:style>
  <w:style w:type="paragraph" w:customStyle="1" w:styleId="382">
    <w:name w:val="flName"/>
    <w:basedOn w:val="383"/>
    <w:qFormat/>
    <w:uiPriority w:val="0"/>
    <w:pPr>
      <w:spacing w:before="0" w:line="113" w:lineRule="atLeast"/>
    </w:pPr>
  </w:style>
  <w:style w:type="paragraph" w:customStyle="1" w:styleId="383">
    <w:name w:val="flNote"/>
    <w:basedOn w:val="1"/>
    <w:qFormat/>
    <w:uiPriority w:val="0"/>
    <w:pPr>
      <w:adjustRightInd w:val="0"/>
      <w:spacing w:before="567" w:line="360" w:lineRule="atLeast"/>
      <w:jc w:val="center"/>
      <w:textAlignment w:val="baseline"/>
    </w:pPr>
    <w:rPr>
      <w:rFonts w:eastAsia="黑体"/>
      <w:b/>
      <w:kern w:val="0"/>
      <w:sz w:val="28"/>
    </w:rPr>
  </w:style>
  <w:style w:type="paragraph" w:customStyle="1" w:styleId="384">
    <w:name w:val="标题4，章节第四层"/>
    <w:basedOn w:val="1"/>
    <w:next w:val="1"/>
    <w:qFormat/>
    <w:uiPriority w:val="0"/>
    <w:pPr>
      <w:tabs>
        <w:tab w:val="left" w:pos="0"/>
      </w:tabs>
      <w:spacing w:line="360" w:lineRule="auto"/>
      <w:outlineLvl w:val="3"/>
    </w:pPr>
    <w:rPr>
      <w:rFonts w:ascii="宋体" w:hAnsi="宋体"/>
      <w:b/>
      <w:sz w:val="28"/>
      <w:szCs w:val="24"/>
    </w:rPr>
  </w:style>
  <w:style w:type="paragraph" w:customStyle="1" w:styleId="385">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86">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87">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388">
    <w:name w:val="插图"/>
    <w:basedOn w:val="1"/>
    <w:qFormat/>
    <w:uiPriority w:val="0"/>
    <w:pPr>
      <w:tabs>
        <w:tab w:val="left" w:pos="1620"/>
      </w:tabs>
      <w:adjustRightInd w:val="0"/>
      <w:jc w:val="center"/>
    </w:pPr>
    <w:rPr>
      <w:bCs/>
      <w:color w:val="000000"/>
      <w:szCs w:val="22"/>
    </w:rPr>
  </w:style>
  <w:style w:type="paragraph" w:customStyle="1" w:styleId="389">
    <w:name w:val="Char Char Char Char Char Char Char Char Char Char"/>
    <w:basedOn w:val="1"/>
    <w:qFormat/>
    <w:uiPriority w:val="0"/>
    <w:pPr>
      <w:adjustRightInd w:val="0"/>
      <w:spacing w:line="360" w:lineRule="auto"/>
    </w:pPr>
    <w:rPr>
      <w:kern w:val="0"/>
      <w:sz w:val="28"/>
    </w:rPr>
  </w:style>
  <w:style w:type="paragraph" w:customStyle="1" w:styleId="390">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91">
    <w:name w:val="正文斜下划线"/>
    <w:basedOn w:val="239"/>
    <w:qFormat/>
    <w:uiPriority w:val="0"/>
    <w:pPr>
      <w:ind w:firstLine="560"/>
    </w:pPr>
    <w:rPr>
      <w:i/>
      <w:iCs/>
      <w:u w:val="single"/>
    </w:rPr>
  </w:style>
  <w:style w:type="paragraph" w:customStyle="1" w:styleId="392">
    <w:name w:val="小四 段落 宋体 Char"/>
    <w:basedOn w:val="18"/>
    <w:qFormat/>
    <w:uiPriority w:val="0"/>
    <w:pPr>
      <w:adjustRightInd/>
      <w:spacing w:line="240" w:lineRule="auto"/>
      <w:ind w:left="0" w:right="-33" w:firstLine="600" w:firstLineChars="200"/>
      <w:jc w:val="left"/>
      <w:textAlignment w:val="auto"/>
    </w:pPr>
    <w:rPr>
      <w:rFonts w:ascii="仿宋_GB2312" w:eastAsia="仿宋_GB2312"/>
      <w:kern w:val="2"/>
      <w:sz w:val="30"/>
      <w:szCs w:val="30"/>
    </w:rPr>
  </w:style>
  <w:style w:type="paragraph" w:customStyle="1" w:styleId="393">
    <w:name w:val="表头_5"/>
    <w:basedOn w:val="1"/>
    <w:qFormat/>
    <w:uiPriority w:val="0"/>
    <w:pPr>
      <w:adjustRightInd w:val="0"/>
      <w:spacing w:line="360" w:lineRule="auto"/>
      <w:textAlignment w:val="baseline"/>
    </w:pPr>
    <w:rPr>
      <w:b/>
      <w:bCs/>
      <w:sz w:val="28"/>
      <w:szCs w:val="21"/>
    </w:rPr>
  </w:style>
  <w:style w:type="paragraph" w:customStyle="1" w:styleId="394">
    <w:name w:val="font7"/>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395">
    <w:name w:val="样式5"/>
    <w:basedOn w:val="396"/>
    <w:qFormat/>
    <w:uiPriority w:val="0"/>
    <w:pPr>
      <w:ind w:firstLine="485"/>
    </w:pPr>
  </w:style>
  <w:style w:type="paragraph" w:customStyle="1" w:styleId="396">
    <w:name w:val="样式 正文文本缩进 2 + 左  0 字符 首行缩进:  2.02 字符"/>
    <w:basedOn w:val="45"/>
    <w:qFormat/>
    <w:uiPriority w:val="0"/>
    <w:pPr>
      <w:spacing w:line="360" w:lineRule="auto"/>
      <w:ind w:firstLine="424" w:firstLineChars="202"/>
    </w:pPr>
    <w:rPr>
      <w:rFonts w:ascii="Times New Roman" w:hAnsi="Times New Roman" w:cs="宋体"/>
    </w:rPr>
  </w:style>
  <w:style w:type="paragraph" w:customStyle="1" w:styleId="397">
    <w:name w:val="标题2"/>
    <w:basedOn w:val="4"/>
    <w:qFormat/>
    <w:uiPriority w:val="0"/>
    <w:pPr>
      <w:keepNext w:val="0"/>
      <w:keepLines w:val="0"/>
      <w:tabs>
        <w:tab w:val="left" w:pos="0"/>
        <w:tab w:val="left" w:pos="720"/>
      </w:tabs>
      <w:spacing w:before="0" w:after="0" w:line="360" w:lineRule="auto"/>
    </w:pPr>
    <w:rPr>
      <w:rFonts w:eastAsia="仿宋_GB2312"/>
      <w:b w:val="0"/>
      <w:bCs/>
      <w:sz w:val="30"/>
      <w:szCs w:val="32"/>
    </w:rPr>
  </w:style>
  <w:style w:type="paragraph" w:customStyle="1" w:styleId="39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9">
    <w:name w:val="列出段落21"/>
    <w:basedOn w:val="1"/>
    <w:qFormat/>
    <w:uiPriority w:val="0"/>
    <w:pPr>
      <w:widowControl/>
      <w:ind w:left="720"/>
      <w:contextualSpacing/>
      <w:jc w:val="left"/>
    </w:pPr>
    <w:rPr>
      <w:rFonts w:ascii="Arial" w:hAnsi="Arial" w:eastAsia="黑体"/>
      <w:kern w:val="0"/>
      <w:sz w:val="28"/>
      <w:szCs w:val="24"/>
      <w:lang w:eastAsia="en-US"/>
    </w:rPr>
  </w:style>
  <w:style w:type="paragraph" w:customStyle="1" w:styleId="400">
    <w:name w:val="retrait3"/>
    <w:basedOn w:val="1"/>
    <w:qFormat/>
    <w:uiPriority w:val="0"/>
    <w:pPr>
      <w:widowControl/>
      <w:spacing w:before="20" w:after="20"/>
      <w:ind w:left="851"/>
      <w:jc w:val="left"/>
    </w:pPr>
    <w:rPr>
      <w:rFonts w:ascii="Arial" w:hAnsi="Arial"/>
      <w:kern w:val="0"/>
      <w:sz w:val="28"/>
      <w:lang w:val="en-GB"/>
    </w:rPr>
  </w:style>
  <w:style w:type="paragraph" w:customStyle="1" w:styleId="401">
    <w:name w:val="Char Char Char Char Char Char Char Char2"/>
    <w:basedOn w:val="1"/>
    <w:qFormat/>
    <w:uiPriority w:val="0"/>
    <w:pPr>
      <w:widowControl/>
      <w:spacing w:after="160" w:line="240" w:lineRule="exact"/>
      <w:jc w:val="left"/>
    </w:pPr>
    <w:rPr>
      <w:rFonts w:ascii="Verdana" w:hAnsi="Verdana"/>
      <w:kern w:val="0"/>
      <w:sz w:val="20"/>
      <w:lang w:eastAsia="en-US"/>
    </w:rPr>
  </w:style>
  <w:style w:type="paragraph" w:customStyle="1" w:styleId="402">
    <w:name w:val="标准小四"/>
    <w:basedOn w:val="1"/>
    <w:qFormat/>
    <w:uiPriority w:val="0"/>
    <w:pPr>
      <w:spacing w:line="360" w:lineRule="auto"/>
      <w:ind w:firstLine="480" w:firstLineChars="200"/>
    </w:pPr>
    <w:rPr>
      <w:rFonts w:ascii="Arial" w:hAnsi="Arial"/>
      <w:sz w:val="28"/>
      <w:szCs w:val="21"/>
    </w:rPr>
  </w:style>
  <w:style w:type="paragraph" w:customStyle="1" w:styleId="403">
    <w:name w:val="标准文本"/>
    <w:basedOn w:val="1"/>
    <w:qFormat/>
    <w:uiPriority w:val="0"/>
    <w:pPr>
      <w:spacing w:line="360" w:lineRule="auto"/>
      <w:ind w:firstLine="480" w:firstLineChars="200"/>
    </w:pPr>
    <w:rPr>
      <w:rFonts w:cs="宋体"/>
      <w:sz w:val="28"/>
      <w:szCs w:val="24"/>
    </w:rPr>
  </w:style>
  <w:style w:type="paragraph" w:customStyle="1" w:styleId="404">
    <w:name w:val="三级标题"/>
    <w:basedOn w:val="1"/>
    <w:qFormat/>
    <w:uiPriority w:val="0"/>
    <w:pPr>
      <w:keepNext/>
      <w:keepLines/>
      <w:tabs>
        <w:tab w:val="left" w:pos="420"/>
        <w:tab w:val="left" w:pos="1304"/>
      </w:tabs>
      <w:adjustRightInd w:val="0"/>
      <w:snapToGrid w:val="0"/>
      <w:spacing w:line="300" w:lineRule="auto"/>
      <w:textAlignment w:val="baseline"/>
      <w:outlineLvl w:val="2"/>
    </w:pPr>
    <w:rPr>
      <w:rFonts w:ascii="仿宋_GB2312" w:hAnsi="Arial" w:eastAsia="仿宋_GB2312"/>
      <w:b/>
      <w:bCs/>
      <w:kern w:val="0"/>
      <w:sz w:val="28"/>
      <w:szCs w:val="28"/>
    </w:rPr>
  </w:style>
  <w:style w:type="paragraph" w:customStyle="1" w:styleId="405">
    <w:name w:val="正文缩进1"/>
    <w:basedOn w:val="1"/>
    <w:qFormat/>
    <w:uiPriority w:val="0"/>
    <w:pPr>
      <w:ind w:firstLine="420" w:firstLineChars="200"/>
    </w:pPr>
    <w:rPr>
      <w:rFonts w:ascii="Calibri" w:hAnsi="Calibri"/>
    </w:rPr>
  </w:style>
  <w:style w:type="paragraph" w:customStyle="1" w:styleId="406">
    <w:name w:val="样式 正文缩进2字符 + 五号 居中1"/>
    <w:basedOn w:val="239"/>
    <w:qFormat/>
    <w:uiPriority w:val="0"/>
    <w:pPr>
      <w:spacing w:line="240" w:lineRule="auto"/>
      <w:ind w:firstLine="0" w:firstLineChars="0"/>
      <w:jc w:val="center"/>
    </w:pPr>
    <w:rPr>
      <w:sz w:val="21"/>
    </w:rPr>
  </w:style>
  <w:style w:type="paragraph" w:customStyle="1" w:styleId="407">
    <w:name w:val="正文2"/>
    <w:basedOn w:val="1"/>
    <w:qFormat/>
    <w:uiPriority w:val="0"/>
    <w:pPr>
      <w:spacing w:before="156" w:line="360" w:lineRule="auto"/>
      <w:ind w:firstLine="510" w:firstLineChars="200"/>
    </w:pPr>
    <w:rPr>
      <w:sz w:val="28"/>
    </w:rPr>
  </w:style>
  <w:style w:type="paragraph" w:customStyle="1" w:styleId="408">
    <w:name w:val="4"/>
    <w:basedOn w:val="1"/>
    <w:next w:val="63"/>
    <w:qFormat/>
    <w:uiPriority w:val="0"/>
    <w:pPr>
      <w:spacing w:line="360" w:lineRule="auto"/>
      <w:ind w:firstLine="420"/>
    </w:pPr>
    <w:rPr>
      <w:color w:val="FF0000"/>
      <w:sz w:val="28"/>
      <w:szCs w:val="24"/>
    </w:rPr>
  </w:style>
  <w:style w:type="paragraph" w:customStyle="1" w:styleId="409">
    <w:name w:val="表格内行距"/>
    <w:basedOn w:val="302"/>
    <w:qFormat/>
    <w:uiPriority w:val="0"/>
    <w:pPr>
      <w:jc w:val="center"/>
    </w:pPr>
    <w:rPr>
      <w:rFonts w:ascii="Verdana" w:hAnsi="宋体"/>
    </w:rPr>
  </w:style>
  <w:style w:type="paragraph" w:customStyle="1" w:styleId="410">
    <w:name w:val="xl2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8"/>
      <w:szCs w:val="24"/>
    </w:rPr>
  </w:style>
  <w:style w:type="paragraph" w:customStyle="1" w:styleId="411">
    <w:name w:val="正文缩进2格 New"/>
    <w:basedOn w:val="412"/>
    <w:qFormat/>
    <w:uiPriority w:val="0"/>
    <w:pPr>
      <w:spacing w:line="600" w:lineRule="exact"/>
      <w:ind w:firstLine="639" w:firstLineChars="206"/>
    </w:pPr>
    <w:rPr>
      <w:rFonts w:ascii="仿宋_GB2312" w:hAnsi="宋体" w:eastAsia="仿宋_GB2312"/>
      <w:sz w:val="31"/>
      <w:szCs w:val="28"/>
    </w:rPr>
  </w:style>
  <w:style w:type="paragraph" w:customStyle="1" w:styleId="412">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3">
    <w:name w:val="项目符号，二级"/>
    <w:basedOn w:val="275"/>
    <w:next w:val="275"/>
    <w:qFormat/>
    <w:uiPriority w:val="0"/>
    <w:pPr>
      <w:tabs>
        <w:tab w:val="left" w:pos="1211"/>
        <w:tab w:val="left" w:pos="1337"/>
      </w:tabs>
      <w:ind w:left="1337" w:right="-27" w:firstLine="480"/>
    </w:pPr>
    <w:rPr>
      <w:bCs w:val="0"/>
      <w:color w:val="000000"/>
      <w:sz w:val="24"/>
      <w:szCs w:val="24"/>
    </w:rPr>
  </w:style>
  <w:style w:type="paragraph" w:customStyle="1" w:styleId="414">
    <w:name w:val="xl2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8"/>
      <w:szCs w:val="24"/>
    </w:rPr>
  </w:style>
  <w:style w:type="paragraph" w:customStyle="1" w:styleId="415">
    <w:name w:val="列出段落3"/>
    <w:basedOn w:val="1"/>
    <w:qFormat/>
    <w:uiPriority w:val="0"/>
    <w:pPr>
      <w:widowControl/>
      <w:ind w:left="720"/>
      <w:contextualSpacing/>
      <w:jc w:val="left"/>
    </w:pPr>
    <w:rPr>
      <w:rFonts w:ascii="Arial" w:hAnsi="Arial" w:eastAsia="黑体"/>
      <w:kern w:val="0"/>
      <w:sz w:val="28"/>
      <w:szCs w:val="24"/>
      <w:lang w:eastAsia="en-US"/>
    </w:rPr>
  </w:style>
  <w:style w:type="paragraph" w:customStyle="1" w:styleId="416">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rPr>
  </w:style>
  <w:style w:type="paragraph" w:customStyle="1" w:styleId="417">
    <w:name w:val="a"/>
    <w:basedOn w:val="1"/>
    <w:qFormat/>
    <w:uiPriority w:val="0"/>
    <w:pPr>
      <w:widowControl/>
      <w:spacing w:before="100" w:beforeAutospacing="1" w:after="100" w:afterAutospacing="1"/>
    </w:pPr>
    <w:rPr>
      <w:rFonts w:ascii="宋体" w:hAnsi="宋体" w:cs="宋体"/>
      <w:kern w:val="0"/>
      <w:sz w:val="28"/>
      <w:szCs w:val="24"/>
    </w:rPr>
  </w:style>
  <w:style w:type="paragraph" w:customStyle="1" w:styleId="418">
    <w:name w:val="1.1.1.1"/>
    <w:basedOn w:val="419"/>
    <w:next w:val="239"/>
    <w:qFormat/>
    <w:uiPriority w:val="0"/>
    <w:pPr>
      <w:tabs>
        <w:tab w:val="left" w:pos="851"/>
      </w:tabs>
    </w:pPr>
  </w:style>
  <w:style w:type="paragraph" w:customStyle="1" w:styleId="419">
    <w:name w:val="正文 1.1.1"/>
    <w:basedOn w:val="1"/>
    <w:next w:val="1"/>
    <w:qFormat/>
    <w:uiPriority w:val="0"/>
    <w:pPr>
      <w:tabs>
        <w:tab w:val="left" w:pos="851"/>
      </w:tabs>
      <w:adjustRightInd w:val="0"/>
      <w:spacing w:line="360" w:lineRule="auto"/>
      <w:ind w:left="142"/>
      <w:textAlignment w:val="baseline"/>
      <w:outlineLvl w:val="2"/>
    </w:pPr>
    <w:rPr>
      <w:rFonts w:ascii="宋体" w:hAnsi="宋体"/>
      <w:color w:val="FF0000"/>
      <w:kern w:val="0"/>
      <w:sz w:val="28"/>
      <w:szCs w:val="21"/>
    </w:rPr>
  </w:style>
  <w:style w:type="paragraph" w:customStyle="1" w:styleId="420">
    <w:name w:val="xl8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color w:val="000000"/>
      <w:kern w:val="0"/>
      <w:sz w:val="20"/>
    </w:rPr>
  </w:style>
  <w:style w:type="paragraph" w:customStyle="1" w:styleId="421">
    <w:name w:val="xl102"/>
    <w:basedOn w:val="1"/>
    <w:qFormat/>
    <w:uiPriority w:val="0"/>
    <w:pPr>
      <w:widowControl/>
      <w:pBdr>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422">
    <w:name w:val="二级条标题"/>
    <w:basedOn w:val="1"/>
    <w:next w:val="320"/>
    <w:qFormat/>
    <w:uiPriority w:val="0"/>
    <w:pPr>
      <w:widowControl/>
      <w:tabs>
        <w:tab w:val="left" w:pos="2240"/>
      </w:tabs>
      <w:ind w:hanging="420"/>
      <w:outlineLvl w:val="3"/>
    </w:pPr>
    <w:rPr>
      <w:rFonts w:eastAsia="黑体"/>
      <w:kern w:val="0"/>
    </w:rPr>
  </w:style>
  <w:style w:type="paragraph" w:customStyle="1" w:styleId="423">
    <w:name w:val="正文缩进2字符"/>
    <w:basedOn w:val="1"/>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424">
    <w:name w:val="Test2"/>
    <w:basedOn w:val="4"/>
    <w:qFormat/>
    <w:uiPriority w:val="0"/>
    <w:pPr>
      <w:widowControl/>
      <w:tabs>
        <w:tab w:val="left" w:pos="720"/>
      </w:tabs>
      <w:adjustRightInd w:val="0"/>
      <w:snapToGrid w:val="0"/>
      <w:spacing w:beforeLines="50" w:afterLines="50" w:line="480" w:lineRule="exact"/>
    </w:pPr>
    <w:rPr>
      <w:rFonts w:ascii="黑体"/>
      <w:bCs/>
      <w:snapToGrid w:val="0"/>
      <w:kern w:val="0"/>
      <w:sz w:val="24"/>
      <w:szCs w:val="24"/>
    </w:rPr>
  </w:style>
  <w:style w:type="paragraph" w:customStyle="1" w:styleId="425">
    <w:name w:val="公文正文"/>
    <w:basedOn w:val="29"/>
    <w:qFormat/>
    <w:uiPriority w:val="0"/>
    <w:pPr>
      <w:ind w:firstLine="200" w:firstLineChars="200"/>
    </w:pPr>
    <w:rPr>
      <w:rFonts w:ascii="仿宋_GB2312" w:eastAsia="仿宋_GB2312"/>
      <w:kern w:val="28"/>
      <w:sz w:val="28"/>
      <w:szCs w:val="24"/>
    </w:rPr>
  </w:style>
  <w:style w:type="paragraph" w:customStyle="1" w:styleId="426">
    <w:name w:val="公文标题 2"/>
    <w:basedOn w:val="1"/>
    <w:next w:val="425"/>
    <w:qFormat/>
    <w:uiPriority w:val="0"/>
    <w:pPr>
      <w:outlineLvl w:val="1"/>
    </w:pPr>
    <w:rPr>
      <w:rFonts w:ascii="仿宋_GB2312" w:hAnsi="宋体" w:eastAsia="仿宋_GB2312"/>
      <w:kern w:val="28"/>
      <w:sz w:val="28"/>
      <w:szCs w:val="24"/>
    </w:rPr>
  </w:style>
  <w:style w:type="paragraph" w:customStyle="1" w:styleId="427">
    <w:name w:val="xl29"/>
    <w:basedOn w:val="1"/>
    <w:qFormat/>
    <w:uiPriority w:val="0"/>
    <w:pPr>
      <w:widowControl/>
      <w:pBdr>
        <w:left w:val="single" w:color="auto" w:sz="4" w:space="0"/>
        <w:bottom w:val="single" w:color="auto" w:sz="4" w:space="0"/>
      </w:pBdr>
      <w:spacing w:before="100" w:beforeAutospacing="1" w:after="100" w:afterAutospacing="1"/>
      <w:jc w:val="left"/>
    </w:pPr>
    <w:rPr>
      <w:rFonts w:ascii="宋体" w:hAnsi="宋体"/>
      <w:kern w:val="0"/>
      <w:sz w:val="28"/>
      <w:szCs w:val="24"/>
    </w:rPr>
  </w:style>
  <w:style w:type="paragraph" w:customStyle="1" w:styleId="428">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8"/>
      <w:szCs w:val="24"/>
    </w:rPr>
  </w:style>
  <w:style w:type="paragraph" w:customStyle="1" w:styleId="429">
    <w:name w:val="符号与编号 Char Char"/>
    <w:basedOn w:val="1"/>
    <w:qFormat/>
    <w:uiPriority w:val="0"/>
    <w:pPr>
      <w:tabs>
        <w:tab w:val="left" w:pos="840"/>
      </w:tabs>
      <w:spacing w:afterLines="50" w:line="400" w:lineRule="atLeast"/>
      <w:ind w:left="839" w:hanging="419"/>
    </w:pPr>
    <w:rPr>
      <w:sz w:val="28"/>
      <w:szCs w:val="24"/>
    </w:rPr>
  </w:style>
  <w:style w:type="paragraph" w:customStyle="1" w:styleId="430">
    <w:name w:val="正文 首行缩进:  2 字符 Char"/>
    <w:basedOn w:val="1"/>
    <w:qFormat/>
    <w:uiPriority w:val="0"/>
    <w:pPr>
      <w:spacing w:line="360" w:lineRule="auto"/>
      <w:ind w:firstLine="480"/>
    </w:pPr>
    <w:rPr>
      <w:rFonts w:cs="宋体"/>
      <w:sz w:val="28"/>
    </w:rPr>
  </w:style>
  <w:style w:type="paragraph" w:customStyle="1" w:styleId="431">
    <w:name w:val="华宇段落1 Char"/>
    <w:basedOn w:val="1"/>
    <w:qFormat/>
    <w:uiPriority w:val="0"/>
    <w:pPr>
      <w:spacing w:line="360" w:lineRule="auto"/>
      <w:ind w:firstLine="200" w:firstLineChars="200"/>
    </w:pPr>
    <w:rPr>
      <w:bCs/>
      <w:sz w:val="28"/>
      <w:szCs w:val="24"/>
    </w:rPr>
  </w:style>
  <w:style w:type="paragraph" w:customStyle="1" w:styleId="432">
    <w:name w:val="正文 + 宋体"/>
    <w:basedOn w:val="1"/>
    <w:qFormat/>
    <w:uiPriority w:val="0"/>
    <w:pPr>
      <w:spacing w:line="360" w:lineRule="auto"/>
      <w:ind w:firstLine="420" w:firstLineChars="200"/>
    </w:pPr>
    <w:rPr>
      <w:szCs w:val="24"/>
    </w:rPr>
  </w:style>
  <w:style w:type="paragraph" w:customStyle="1" w:styleId="433">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434">
    <w:name w:val="一、投标人资质"/>
    <w:basedOn w:val="347"/>
    <w:qFormat/>
    <w:uiPriority w:val="0"/>
    <w:pPr>
      <w:tabs>
        <w:tab w:val="left" w:pos="680"/>
      </w:tabs>
      <w:ind w:left="567" w:hanging="567" w:firstLineChars="0"/>
    </w:pPr>
    <w:rPr>
      <w:rFonts w:ascii="宋体" w:hAnsi="宋体" w:eastAsia="仿宋"/>
      <w:sz w:val="28"/>
      <w:szCs w:val="28"/>
    </w:rPr>
  </w:style>
  <w:style w:type="paragraph" w:customStyle="1" w:styleId="435">
    <w:name w:val="标题1，章节第一层"/>
    <w:basedOn w:val="275"/>
    <w:next w:val="275"/>
    <w:qFormat/>
    <w:uiPriority w:val="0"/>
    <w:pPr>
      <w:tabs>
        <w:tab w:val="left" w:pos="693"/>
      </w:tabs>
      <w:ind w:left="482"/>
      <w:outlineLvl w:val="0"/>
    </w:pPr>
    <w:rPr>
      <w:color w:val="000000"/>
      <w:sz w:val="24"/>
      <w:szCs w:val="24"/>
    </w:rPr>
  </w:style>
  <w:style w:type="paragraph" w:customStyle="1" w:styleId="436">
    <w:name w:val="Char Char1 Char"/>
    <w:basedOn w:val="1"/>
    <w:qFormat/>
    <w:uiPriority w:val="0"/>
    <w:pPr>
      <w:widowControl/>
      <w:spacing w:after="160" w:line="240" w:lineRule="exact"/>
      <w:jc w:val="left"/>
    </w:pPr>
    <w:rPr>
      <w:rFonts w:ascii="Verdana" w:hAnsi="Verdana"/>
      <w:kern w:val="0"/>
      <w:sz w:val="20"/>
      <w:lang w:eastAsia="en-US"/>
    </w:rPr>
  </w:style>
  <w:style w:type="paragraph" w:customStyle="1" w:styleId="437">
    <w:name w:val="样式 标题 2第一章 标题 2Heading 2 HiddenHeading 2 CCBSheading 2H2h2..."/>
    <w:basedOn w:val="4"/>
    <w:qFormat/>
    <w:uiPriority w:val="0"/>
    <w:pPr>
      <w:keepLines w:val="0"/>
      <w:tabs>
        <w:tab w:val="left" w:pos="360"/>
        <w:tab w:val="left" w:pos="720"/>
      </w:tabs>
      <w:adjustRightInd w:val="0"/>
      <w:spacing w:beforeLines="50" w:afterLines="50" w:line="240" w:lineRule="auto"/>
      <w:ind w:left="360" w:hanging="360"/>
      <w:textAlignment w:val="baseline"/>
    </w:pPr>
    <w:rPr>
      <w:rFonts w:ascii="黑体" w:hAnsi="Times New Roman" w:cs="宋体"/>
      <w:b w:val="0"/>
      <w:kern w:val="0"/>
    </w:rPr>
  </w:style>
  <w:style w:type="paragraph" w:customStyle="1" w:styleId="438">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439">
    <w:name w:val="Char Char Char Char Char Char"/>
    <w:basedOn w:val="1"/>
    <w:qFormat/>
    <w:uiPriority w:val="0"/>
    <w:rPr>
      <w:szCs w:val="21"/>
    </w:rPr>
  </w:style>
  <w:style w:type="paragraph" w:customStyle="1" w:styleId="440">
    <w:name w:val="新的内文"/>
    <w:basedOn w:val="1"/>
    <w:qFormat/>
    <w:uiPriority w:val="0"/>
    <w:pPr>
      <w:snapToGrid w:val="0"/>
      <w:spacing w:line="300" w:lineRule="auto"/>
      <w:ind w:firstLine="518" w:firstLineChars="200"/>
    </w:pPr>
    <w:rPr>
      <w:rFonts w:ascii="仿宋_GB2312" w:eastAsia="仿宋_GB2312" w:cs="宋体"/>
      <w:sz w:val="28"/>
      <w:szCs w:val="28"/>
    </w:rPr>
  </w:style>
  <w:style w:type="paragraph" w:customStyle="1" w:styleId="441">
    <w:name w:val="xl2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kern w:val="0"/>
      <w:sz w:val="28"/>
      <w:szCs w:val="24"/>
    </w:rPr>
  </w:style>
  <w:style w:type="paragraph" w:customStyle="1" w:styleId="442">
    <w:name w:val="标题2，章节第二层"/>
    <w:basedOn w:val="1"/>
    <w:next w:val="275"/>
    <w:qFormat/>
    <w:uiPriority w:val="0"/>
    <w:pPr>
      <w:tabs>
        <w:tab w:val="left" w:pos="630"/>
        <w:tab w:val="left" w:pos="992"/>
        <w:tab w:val="left" w:pos="1440"/>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443">
    <w:name w:val="条1"/>
    <w:basedOn w:val="1"/>
    <w:qFormat/>
    <w:uiPriority w:val="0"/>
    <w:pPr>
      <w:tabs>
        <w:tab w:val="left" w:pos="780"/>
      </w:tabs>
      <w:spacing w:before="156" w:line="360" w:lineRule="auto"/>
      <w:ind w:left="780" w:hanging="360"/>
    </w:pPr>
    <w:rPr>
      <w:rFonts w:eastAsia="黑体"/>
      <w:sz w:val="28"/>
    </w:rPr>
  </w:style>
  <w:style w:type="paragraph" w:customStyle="1" w:styleId="444">
    <w:name w:val="日期 目录"/>
    <w:basedOn w:val="342"/>
    <w:qFormat/>
    <w:uiPriority w:val="0"/>
    <w:pPr>
      <w:jc w:val="center"/>
    </w:pPr>
  </w:style>
  <w:style w:type="paragraph" w:customStyle="1" w:styleId="445">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446">
    <w:name w:val="标题3"/>
    <w:basedOn w:val="1"/>
    <w:next w:val="1"/>
    <w:qFormat/>
    <w:uiPriority w:val="0"/>
    <w:pPr>
      <w:autoSpaceDE w:val="0"/>
      <w:autoSpaceDN w:val="0"/>
      <w:snapToGrid w:val="0"/>
      <w:spacing w:line="590" w:lineRule="atLeast"/>
      <w:ind w:firstLine="624"/>
    </w:pPr>
    <w:rPr>
      <w:rFonts w:ascii="方正黑体_GBK" w:eastAsia="方正黑体_GBK"/>
      <w:snapToGrid w:val="0"/>
      <w:kern w:val="0"/>
      <w:sz w:val="32"/>
      <w:szCs w:val="32"/>
    </w:rPr>
  </w:style>
  <w:style w:type="paragraph" w:customStyle="1" w:styleId="447">
    <w:name w:val="正文 居中"/>
    <w:basedOn w:val="1"/>
    <w:qFormat/>
    <w:uiPriority w:val="0"/>
    <w:pPr>
      <w:spacing w:line="360" w:lineRule="auto"/>
      <w:jc w:val="center"/>
    </w:pPr>
    <w:rPr>
      <w:sz w:val="28"/>
    </w:rPr>
  </w:style>
  <w:style w:type="paragraph" w:customStyle="1" w:styleId="448">
    <w:name w:val="纯文本3"/>
    <w:basedOn w:val="1"/>
    <w:qFormat/>
    <w:uiPriority w:val="0"/>
    <w:pPr>
      <w:adjustRightInd w:val="0"/>
      <w:textAlignment w:val="baseline"/>
    </w:pPr>
    <w:rPr>
      <w:rFonts w:ascii="宋体" w:hAnsi="Courier New" w:eastAsia="楷体_GB2312"/>
      <w:sz w:val="28"/>
    </w:rPr>
  </w:style>
  <w:style w:type="paragraph" w:customStyle="1" w:styleId="449">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rPr>
  </w:style>
  <w:style w:type="paragraph" w:customStyle="1" w:styleId="450">
    <w:name w:val="默认段落字体 Para Char Char Char Char Char Char Char"/>
    <w:basedOn w:val="1"/>
    <w:qFormat/>
    <w:uiPriority w:val="0"/>
    <w:rPr>
      <w:rFonts w:ascii="Tahoma" w:hAnsi="Tahoma"/>
      <w:sz w:val="24"/>
    </w:rPr>
  </w:style>
  <w:style w:type="paragraph" w:customStyle="1" w:styleId="451">
    <w:name w:val="xl91"/>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textAlignment w:val="center"/>
    </w:pPr>
    <w:rPr>
      <w:rFonts w:ascii="宋体" w:hAnsi="宋体" w:cs="宋体"/>
      <w:color w:val="000000"/>
      <w:kern w:val="0"/>
      <w:sz w:val="20"/>
    </w:rPr>
  </w:style>
  <w:style w:type="paragraph" w:customStyle="1" w:styleId="452">
    <w:name w:val="xl101"/>
    <w:basedOn w:val="1"/>
    <w:qFormat/>
    <w:uiPriority w:val="0"/>
    <w:pPr>
      <w:widowControl/>
      <w:spacing w:before="100" w:beforeAutospacing="1" w:after="100" w:afterAutospacing="1"/>
      <w:jc w:val="left"/>
      <w:textAlignment w:val="center"/>
    </w:pPr>
    <w:rPr>
      <w:rFonts w:ascii="宋体" w:hAnsi="宋体" w:cs="宋体"/>
      <w:b/>
      <w:bCs/>
      <w:kern w:val="0"/>
      <w:sz w:val="20"/>
    </w:rPr>
  </w:style>
  <w:style w:type="paragraph" w:customStyle="1" w:styleId="453">
    <w:name w:val="正文 1.1"/>
    <w:basedOn w:val="1"/>
    <w:next w:val="419"/>
    <w:qFormat/>
    <w:uiPriority w:val="0"/>
    <w:pPr>
      <w:adjustRightInd w:val="0"/>
      <w:spacing w:line="360" w:lineRule="auto"/>
      <w:ind w:left="980" w:hanging="980" w:hangingChars="350"/>
      <w:textAlignment w:val="baseline"/>
      <w:outlineLvl w:val="1"/>
    </w:pPr>
    <w:rPr>
      <w:rFonts w:ascii="仿宋" w:hAnsi="仿宋" w:eastAsia="仿宋"/>
      <w:b/>
      <w:kern w:val="0"/>
      <w:sz w:val="28"/>
      <w:szCs w:val="21"/>
    </w:rPr>
  </w:style>
  <w:style w:type="paragraph" w:customStyle="1" w:styleId="454">
    <w:name w:val="正文 第一章"/>
    <w:basedOn w:val="1"/>
    <w:next w:val="453"/>
    <w:qFormat/>
    <w:uiPriority w:val="0"/>
    <w:pPr>
      <w:pageBreakBefore/>
      <w:adjustRightInd w:val="0"/>
      <w:spacing w:before="240" w:after="240" w:line="480" w:lineRule="auto"/>
      <w:ind w:left="3823" w:hanging="420"/>
      <w:jc w:val="center"/>
      <w:textAlignment w:val="baseline"/>
      <w:outlineLvl w:val="0"/>
    </w:pPr>
    <w:rPr>
      <w:rFonts w:ascii="宋体" w:hAnsi="宋体" w:cs="宋体"/>
      <w:b/>
      <w:color w:val="000000"/>
      <w:kern w:val="0"/>
      <w:sz w:val="32"/>
    </w:rPr>
  </w:style>
  <w:style w:type="paragraph" w:customStyle="1" w:styleId="455">
    <w:name w:val="普通正文"/>
    <w:basedOn w:val="1"/>
    <w:qFormat/>
    <w:uiPriority w:val="0"/>
    <w:pPr>
      <w:adjustRightInd w:val="0"/>
      <w:spacing w:before="120" w:after="120" w:line="360" w:lineRule="auto"/>
      <w:ind w:firstLine="480"/>
      <w:jc w:val="left"/>
      <w:textAlignment w:val="baseline"/>
    </w:pPr>
    <w:rPr>
      <w:rFonts w:ascii="Arial" w:hAnsi="Arial"/>
      <w:kern w:val="0"/>
      <w:sz w:val="28"/>
      <w:szCs w:val="24"/>
    </w:rPr>
  </w:style>
  <w:style w:type="paragraph" w:customStyle="1" w:styleId="456">
    <w:name w:val="正文格式（小四）"/>
    <w:basedOn w:val="1"/>
    <w:qFormat/>
    <w:uiPriority w:val="0"/>
    <w:pPr>
      <w:widowControl/>
      <w:adjustRightInd w:val="0"/>
      <w:snapToGrid w:val="0"/>
      <w:spacing w:line="360" w:lineRule="auto"/>
      <w:ind w:firstLine="482"/>
      <w:jc w:val="left"/>
      <w:textAlignment w:val="baseline"/>
    </w:pPr>
    <w:rPr>
      <w:kern w:val="24"/>
      <w:sz w:val="28"/>
      <w:szCs w:val="24"/>
    </w:rPr>
  </w:style>
  <w:style w:type="paragraph" w:customStyle="1" w:styleId="457">
    <w:name w:val="标题3，章节第三层"/>
    <w:basedOn w:val="1"/>
    <w:next w:val="275"/>
    <w:qFormat/>
    <w:uiPriority w:val="0"/>
    <w:pPr>
      <w:adjustRightInd w:val="0"/>
      <w:snapToGrid w:val="0"/>
      <w:spacing w:before="78" w:line="300" w:lineRule="auto"/>
      <w:outlineLvl w:val="2"/>
    </w:pPr>
    <w:rPr>
      <w:rFonts w:ascii="Arial" w:hAnsi="Arial" w:eastAsia="华文细黑"/>
      <w:sz w:val="30"/>
      <w:szCs w:val="24"/>
    </w:rPr>
  </w:style>
  <w:style w:type="paragraph" w:customStyle="1" w:styleId="458">
    <w:name w:val="正文--表格内正文"/>
    <w:basedOn w:val="1"/>
    <w:qFormat/>
    <w:uiPriority w:val="0"/>
    <w:pPr>
      <w:spacing w:beforeLines="50" w:line="0" w:lineRule="atLeast"/>
      <w:jc w:val="center"/>
    </w:pPr>
    <w:rPr>
      <w:rFonts w:ascii="宋体" w:hAnsi="宋体"/>
      <w:color w:val="000000"/>
      <w:sz w:val="28"/>
      <w:szCs w:val="24"/>
    </w:rPr>
  </w:style>
  <w:style w:type="paragraph" w:customStyle="1" w:styleId="459">
    <w:name w:val="xl93"/>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color w:val="000000"/>
      <w:kern w:val="0"/>
      <w:sz w:val="20"/>
    </w:rPr>
  </w:style>
  <w:style w:type="paragraph" w:customStyle="1" w:styleId="460">
    <w:name w:val="Char Char Char Char Char Char Char Char Char Char Char1 Char Char Char1"/>
    <w:basedOn w:val="1"/>
    <w:qFormat/>
    <w:uiPriority w:val="0"/>
    <w:pPr>
      <w:ind w:firstLine="200" w:firstLineChars="200"/>
      <w:jc w:val="left"/>
    </w:pPr>
    <w:rPr>
      <w:szCs w:val="21"/>
    </w:rPr>
  </w:style>
  <w:style w:type="paragraph" w:customStyle="1" w:styleId="461">
    <w:name w:val="样式 正文缩进2字符 + 小五 居中"/>
    <w:basedOn w:val="239"/>
    <w:qFormat/>
    <w:uiPriority w:val="0"/>
    <w:pPr>
      <w:spacing w:line="100" w:lineRule="atLeast"/>
      <w:ind w:firstLine="0" w:firstLineChars="0"/>
      <w:jc w:val="center"/>
    </w:pPr>
    <w:rPr>
      <w:sz w:val="18"/>
    </w:rPr>
  </w:style>
  <w:style w:type="paragraph" w:customStyle="1" w:styleId="462">
    <w:name w:val="Char Char1 Char1"/>
    <w:basedOn w:val="1"/>
    <w:qFormat/>
    <w:uiPriority w:val="0"/>
    <w:pPr>
      <w:widowControl/>
      <w:spacing w:after="160" w:line="240" w:lineRule="exact"/>
      <w:jc w:val="left"/>
    </w:pPr>
    <w:rPr>
      <w:rFonts w:ascii="Verdana" w:hAnsi="Verdana"/>
      <w:kern w:val="0"/>
      <w:sz w:val="20"/>
      <w:lang w:eastAsia="en-US"/>
    </w:rPr>
  </w:style>
  <w:style w:type="paragraph" w:customStyle="1" w:styleId="463">
    <w:name w:val="xl9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rPr>
  </w:style>
  <w:style w:type="paragraph" w:customStyle="1" w:styleId="464">
    <w:name w:val="Char Char Char Char Char Char Char Char Char Char Char Char Char Char"/>
    <w:basedOn w:val="1"/>
    <w:qFormat/>
    <w:uiPriority w:val="0"/>
    <w:rPr>
      <w:rFonts w:ascii="Tahoma" w:hAnsi="Tahoma"/>
      <w:sz w:val="28"/>
    </w:rPr>
  </w:style>
  <w:style w:type="paragraph" w:customStyle="1" w:styleId="465">
    <w:name w:val="p0"/>
    <w:basedOn w:val="1"/>
    <w:qFormat/>
    <w:uiPriority w:val="0"/>
    <w:pPr>
      <w:widowControl/>
    </w:pPr>
    <w:rPr>
      <w:kern w:val="0"/>
      <w:szCs w:val="21"/>
    </w:rPr>
  </w:style>
  <w:style w:type="paragraph" w:customStyle="1" w:styleId="466">
    <w:name w:val="xl88"/>
    <w:basedOn w:val="1"/>
    <w:qFormat/>
    <w:uiPriority w:val="0"/>
    <w:pPr>
      <w:widowControl/>
      <w:pBdr>
        <w:top w:val="single" w:color="000000" w:sz="4" w:space="0"/>
        <w:left w:val="single" w:color="000000" w:sz="4" w:space="0"/>
        <w:bottom w:val="single" w:color="auto" w:sz="4" w:space="0"/>
        <w:right w:val="single" w:color="000000" w:sz="4" w:space="0"/>
      </w:pBdr>
      <w:spacing w:before="100" w:beforeAutospacing="1" w:after="100" w:afterAutospacing="1"/>
      <w:jc w:val="left"/>
      <w:textAlignment w:val="center"/>
    </w:pPr>
    <w:rPr>
      <w:rFonts w:ascii="宋体" w:hAnsi="宋体" w:cs="宋体"/>
      <w:color w:val="000000"/>
      <w:kern w:val="0"/>
      <w:sz w:val="20"/>
    </w:rPr>
  </w:style>
  <w:style w:type="paragraph" w:customStyle="1" w:styleId="467">
    <w:name w:val="默认段落字体 Para Char"/>
    <w:basedOn w:val="1"/>
    <w:qFormat/>
    <w:uiPriority w:val="0"/>
    <w:pPr>
      <w:adjustRightInd w:val="0"/>
      <w:spacing w:line="360" w:lineRule="auto"/>
    </w:pPr>
    <w:rPr>
      <w:kern w:val="0"/>
      <w:sz w:val="28"/>
      <w:szCs w:val="24"/>
    </w:rPr>
  </w:style>
  <w:style w:type="paragraph" w:customStyle="1" w:styleId="468">
    <w:name w:val="条目2"/>
    <w:basedOn w:val="39"/>
    <w:qFormat/>
    <w:uiPriority w:val="0"/>
    <w:pPr>
      <w:tabs>
        <w:tab w:val="left" w:pos="420"/>
      </w:tabs>
      <w:spacing w:line="360" w:lineRule="auto"/>
      <w:ind w:left="420" w:hanging="420"/>
    </w:pPr>
    <w:rPr>
      <w:color w:val="000000"/>
      <w:sz w:val="30"/>
    </w:rPr>
  </w:style>
  <w:style w:type="paragraph" w:customStyle="1" w:styleId="469">
    <w:name w:val="正文 首行缩进:  2 字符 Char Char"/>
    <w:basedOn w:val="1"/>
    <w:qFormat/>
    <w:uiPriority w:val="0"/>
    <w:pPr>
      <w:spacing w:line="360" w:lineRule="auto"/>
      <w:ind w:firstLine="480"/>
    </w:pPr>
    <w:rPr>
      <w:rFonts w:ascii="楷体_GB2312" w:eastAsia="楷体_GB2312"/>
      <w:bCs/>
      <w:sz w:val="28"/>
      <w:szCs w:val="24"/>
    </w:rPr>
  </w:style>
  <w:style w:type="paragraph" w:customStyle="1" w:styleId="470">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471">
    <w:name w:val="a0"/>
    <w:basedOn w:val="1"/>
    <w:qFormat/>
    <w:uiPriority w:val="0"/>
    <w:pPr>
      <w:widowControl/>
      <w:spacing w:before="100" w:beforeAutospacing="1" w:after="100" w:afterAutospacing="1"/>
    </w:pPr>
    <w:rPr>
      <w:rFonts w:ascii="宋体" w:hAnsi="宋体" w:cs="宋体"/>
      <w:kern w:val="0"/>
      <w:sz w:val="28"/>
      <w:szCs w:val="24"/>
    </w:rPr>
  </w:style>
  <w:style w:type="paragraph" w:customStyle="1" w:styleId="472">
    <w:name w:val="xl30"/>
    <w:basedOn w:val="1"/>
    <w:qFormat/>
    <w:uiPriority w:val="0"/>
    <w:pPr>
      <w:widowControl/>
      <w:spacing w:before="100" w:beforeAutospacing="1" w:after="100" w:afterAutospacing="1"/>
      <w:jc w:val="center"/>
    </w:pPr>
    <w:rPr>
      <w:rFonts w:ascii="宋体" w:hAnsi="宋体"/>
      <w:b/>
      <w:bCs/>
      <w:kern w:val="0"/>
      <w:sz w:val="36"/>
      <w:szCs w:val="36"/>
    </w:rPr>
  </w:style>
  <w:style w:type="paragraph" w:customStyle="1" w:styleId="473">
    <w:name w:val="GP正文(无首行缩进)"/>
    <w:qFormat/>
    <w:uiPriority w:val="0"/>
    <w:pPr>
      <w:widowControl w:val="0"/>
      <w:spacing w:line="360" w:lineRule="auto"/>
    </w:pPr>
    <w:rPr>
      <w:rFonts w:ascii="Times New Roman" w:hAnsi="Times New Roman" w:eastAsia="宋体" w:cs="Times New Roman"/>
      <w:kern w:val="2"/>
      <w:sz w:val="24"/>
      <w:szCs w:val="21"/>
      <w:lang w:val="en-US" w:eastAsia="zh-CN" w:bidi="ar-SA"/>
    </w:rPr>
  </w:style>
  <w:style w:type="paragraph" w:customStyle="1" w:styleId="474">
    <w:name w:val="上标"/>
    <w:basedOn w:val="239"/>
    <w:qFormat/>
    <w:uiPriority w:val="0"/>
    <w:rPr>
      <w:szCs w:val="24"/>
      <w:vertAlign w:val="superscript"/>
    </w:rPr>
  </w:style>
  <w:style w:type="paragraph" w:customStyle="1" w:styleId="475">
    <w:name w:val="xl25"/>
    <w:basedOn w:val="1"/>
    <w:qFormat/>
    <w:uiPriority w:val="0"/>
    <w:pPr>
      <w:widowControl/>
      <w:spacing w:before="100" w:beforeAutospacing="1" w:after="100" w:afterAutospacing="1"/>
      <w:jc w:val="center"/>
      <w:textAlignment w:val="center"/>
    </w:pPr>
    <w:rPr>
      <w:rFonts w:ascii="Arial Unicode MS" w:hAnsi="Arial Unicode MS" w:eastAsia="Arial Unicode MS" w:cs="Arial Unicode MS"/>
      <w:kern w:val="0"/>
      <w:sz w:val="28"/>
      <w:szCs w:val="24"/>
    </w:rPr>
  </w:style>
  <w:style w:type="paragraph" w:customStyle="1" w:styleId="476">
    <w:name w:val="样式 样式 首行缩进:  0.74 厘米 行距: 1.5 倍行距 + 段后: 0.5 行"/>
    <w:basedOn w:val="1"/>
    <w:qFormat/>
    <w:uiPriority w:val="0"/>
    <w:pPr>
      <w:spacing w:line="360" w:lineRule="auto"/>
      <w:ind w:firstLine="420"/>
    </w:pPr>
    <w:rPr>
      <w:rFonts w:ascii="楷体_GB2312" w:eastAsia="楷体_GB2312"/>
      <w:bCs/>
      <w:sz w:val="28"/>
    </w:rPr>
  </w:style>
  <w:style w:type="paragraph" w:customStyle="1" w:styleId="477">
    <w:name w:val="章标题"/>
    <w:next w:val="320"/>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478">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479">
    <w:name w:val="130"/>
    <w:basedOn w:val="1"/>
    <w:qFormat/>
    <w:uiPriority w:val="0"/>
    <w:pPr>
      <w:widowControl/>
      <w:spacing w:before="100" w:beforeAutospacing="1" w:after="100" w:afterAutospacing="1" w:line="324" w:lineRule="auto"/>
      <w:jc w:val="left"/>
    </w:pPr>
    <w:rPr>
      <w:rFonts w:ascii="宋体" w:hAnsi="宋体"/>
      <w:color w:val="000000"/>
      <w:kern w:val="0"/>
      <w:sz w:val="24"/>
      <w:szCs w:val="24"/>
    </w:rPr>
  </w:style>
  <w:style w:type="paragraph" w:customStyle="1" w:styleId="480">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481">
    <w:name w:val="Char Char Char Char Char Char Char Char Char Char Char Char Char Char Char Char Char Char Char Char Char Char Char"/>
    <w:basedOn w:val="1"/>
    <w:qFormat/>
    <w:uiPriority w:val="0"/>
    <w:rPr>
      <w:rFonts w:ascii="Tahoma" w:hAnsi="Tahoma"/>
      <w:sz w:val="28"/>
    </w:rPr>
  </w:style>
  <w:style w:type="paragraph" w:customStyle="1" w:styleId="482">
    <w:name w:val="table_lines"/>
    <w:basedOn w:val="1"/>
    <w:qFormat/>
    <w:uiPriority w:val="0"/>
    <w:pPr>
      <w:widowControl/>
      <w:jc w:val="left"/>
    </w:pPr>
    <w:rPr>
      <w:kern w:val="0"/>
      <w:sz w:val="20"/>
      <w:lang w:val="de-DE" w:eastAsia="de-DE"/>
    </w:rPr>
  </w:style>
  <w:style w:type="paragraph" w:customStyle="1" w:styleId="483">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484">
    <w:name w:val="无间隔2"/>
    <w:qFormat/>
    <w:uiPriority w:val="1"/>
    <w:pPr>
      <w:widowControl w:val="0"/>
      <w:jc w:val="both"/>
    </w:pPr>
    <w:rPr>
      <w:rFonts w:ascii="Times New Roman" w:hAnsi="Times New Roman" w:eastAsia="宋体" w:cs="System"/>
      <w:sz w:val="28"/>
      <w:lang w:val="en-US" w:eastAsia="zh-CN" w:bidi="ar-SA"/>
    </w:rPr>
  </w:style>
  <w:style w:type="paragraph" w:customStyle="1" w:styleId="485">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8"/>
      <w:szCs w:val="24"/>
    </w:rPr>
  </w:style>
  <w:style w:type="paragraph" w:customStyle="1" w:styleId="486">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487">
    <w:name w:val="正文空6格  a）"/>
    <w:basedOn w:val="1"/>
    <w:qFormat/>
    <w:uiPriority w:val="0"/>
    <w:pPr>
      <w:adjustRightInd w:val="0"/>
      <w:spacing w:line="360" w:lineRule="auto"/>
      <w:ind w:firstLine="1680" w:firstLineChars="600"/>
      <w:textAlignment w:val="baseline"/>
    </w:pPr>
    <w:rPr>
      <w:rFonts w:ascii="宋体" w:eastAsia="仿宋" w:cs="宋体"/>
      <w:kern w:val="0"/>
      <w:sz w:val="28"/>
    </w:rPr>
  </w:style>
  <w:style w:type="paragraph" w:customStyle="1" w:styleId="488">
    <w:name w:val="样式 样式 (符号) 宋体 小四 首行缩进:  0.85 厘米 段后: 6 磅 行距: 固定值 20 磅 + 首行缩进:  2 ..."/>
    <w:basedOn w:val="1"/>
    <w:qFormat/>
    <w:uiPriority w:val="0"/>
    <w:pPr>
      <w:adjustRightInd w:val="0"/>
      <w:spacing w:line="360" w:lineRule="auto"/>
      <w:ind w:firstLine="566" w:firstLineChars="236"/>
      <w:jc w:val="left"/>
      <w:textAlignment w:val="baseline"/>
    </w:pPr>
    <w:rPr>
      <w:rFonts w:ascii="仿宋_GB2312" w:hAnsi="宋体" w:eastAsia="仿宋_GB2312" w:cs="宋体"/>
      <w:sz w:val="28"/>
      <w:szCs w:val="24"/>
    </w:rPr>
  </w:style>
  <w:style w:type="paragraph" w:customStyle="1" w:styleId="489">
    <w:name w:val="小四 段落 宋体 Char Char Char Char"/>
    <w:basedOn w:val="1"/>
    <w:qFormat/>
    <w:uiPriority w:val="0"/>
    <w:pPr>
      <w:spacing w:line="360" w:lineRule="auto"/>
      <w:ind w:right="-33" w:firstLine="480" w:firstLineChars="200"/>
      <w:jc w:val="left"/>
    </w:pPr>
    <w:rPr>
      <w:sz w:val="28"/>
      <w:szCs w:val="24"/>
    </w:rPr>
  </w:style>
  <w:style w:type="paragraph" w:customStyle="1" w:styleId="490">
    <w:name w:val="Char"/>
    <w:basedOn w:val="1"/>
    <w:qFormat/>
    <w:uiPriority w:val="0"/>
    <w:pPr>
      <w:widowControl/>
      <w:spacing w:after="160" w:line="240" w:lineRule="exact"/>
      <w:jc w:val="left"/>
    </w:pPr>
    <w:rPr>
      <w:rFonts w:ascii="Verdana" w:hAnsi="Verdana"/>
      <w:kern w:val="0"/>
      <w:sz w:val="20"/>
      <w:lang w:eastAsia="en-US"/>
    </w:rPr>
  </w:style>
  <w:style w:type="paragraph" w:customStyle="1" w:styleId="491">
    <w:name w:val="Char Char Char Char Char Char Char Char Char Char Char Char Char Char Char Char Char Char Char Char Char"/>
    <w:basedOn w:val="1"/>
    <w:qFormat/>
    <w:uiPriority w:val="0"/>
    <w:rPr>
      <w:rFonts w:ascii="Tahoma" w:hAnsi="Tahoma"/>
      <w:sz w:val="28"/>
    </w:rPr>
  </w:style>
  <w:style w:type="paragraph" w:customStyle="1" w:styleId="492">
    <w:name w:val="5）标书正文 首行缩进2字符"/>
    <w:basedOn w:val="1"/>
    <w:qFormat/>
    <w:uiPriority w:val="0"/>
    <w:pPr>
      <w:spacing w:line="520" w:lineRule="exact"/>
      <w:ind w:firstLine="560" w:firstLineChars="200"/>
    </w:pPr>
    <w:rPr>
      <w:rFonts w:eastAsia="仿宋_GB2312"/>
      <w:sz w:val="28"/>
      <w:szCs w:val="24"/>
    </w:rPr>
  </w:style>
  <w:style w:type="paragraph" w:customStyle="1" w:styleId="493">
    <w:name w:val="xl9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rPr>
  </w:style>
  <w:style w:type="paragraph" w:customStyle="1" w:styleId="494">
    <w:name w:val="xl9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20"/>
    </w:rPr>
  </w:style>
  <w:style w:type="paragraph" w:customStyle="1" w:styleId="495">
    <w:name w:val="Char Char Char Char1"/>
    <w:basedOn w:val="1"/>
    <w:qFormat/>
    <w:uiPriority w:val="0"/>
    <w:pPr>
      <w:widowControl/>
      <w:spacing w:after="160" w:line="240" w:lineRule="exact"/>
      <w:jc w:val="center"/>
    </w:pPr>
    <w:rPr>
      <w:rFonts w:ascii="黑体" w:hAnsi="Verdana" w:eastAsia="黑体"/>
      <w:kern w:val="0"/>
      <w:sz w:val="32"/>
      <w:szCs w:val="32"/>
      <w:lang w:eastAsia="en-US"/>
    </w:rPr>
  </w:style>
  <w:style w:type="paragraph" w:customStyle="1" w:styleId="496">
    <w:name w:val="xl100"/>
    <w:basedOn w:val="1"/>
    <w:qFormat/>
    <w:uiPriority w:val="0"/>
    <w:pPr>
      <w:widowControl/>
      <w:pBdr>
        <w:lef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497">
    <w:name w:val="Char4"/>
    <w:basedOn w:val="1"/>
    <w:qFormat/>
    <w:uiPriority w:val="0"/>
    <w:rPr>
      <w:rFonts w:ascii="Tahoma" w:hAnsi="Tahoma" w:cs="仿宋_GB2312"/>
      <w:sz w:val="24"/>
      <w:szCs w:val="28"/>
    </w:rPr>
  </w:style>
  <w:style w:type="paragraph" w:customStyle="1" w:styleId="498">
    <w:name w:val="样式"/>
    <w:basedOn w:val="1"/>
    <w:qFormat/>
    <w:uiPriority w:val="0"/>
    <w:pPr>
      <w:autoSpaceDE w:val="0"/>
      <w:autoSpaceDN w:val="0"/>
      <w:snapToGrid w:val="0"/>
      <w:spacing w:before="120" w:after="120" w:line="360" w:lineRule="auto"/>
    </w:pPr>
    <w:rPr>
      <w:rFonts w:ascii="宋体"/>
      <w:sz w:val="28"/>
    </w:rPr>
  </w:style>
  <w:style w:type="paragraph" w:customStyle="1" w:styleId="499">
    <w:name w:val="马刚标题1"/>
    <w:basedOn w:val="3"/>
    <w:next w:val="1"/>
    <w:qFormat/>
    <w:uiPriority w:val="0"/>
    <w:pPr>
      <w:keepLines/>
      <w:numPr>
        <w:numId w:val="0"/>
      </w:numPr>
      <w:tabs>
        <w:tab w:val="left" w:pos="315"/>
        <w:tab w:val="left" w:pos="567"/>
      </w:tabs>
      <w:spacing w:before="400" w:after="120" w:line="576" w:lineRule="auto"/>
      <w:ind w:left="567" w:hanging="567"/>
      <w:jc w:val="left"/>
    </w:pPr>
    <w:rPr>
      <w:rFonts w:eastAsia="黑体"/>
      <w:b w:val="0"/>
      <w:kern w:val="44"/>
      <w:sz w:val="32"/>
    </w:rPr>
  </w:style>
  <w:style w:type="paragraph" w:customStyle="1" w:styleId="500">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01">
    <w:name w:val="Plain Text1"/>
    <w:basedOn w:val="1"/>
    <w:qFormat/>
    <w:uiPriority w:val="0"/>
    <w:pPr>
      <w:adjustRightInd w:val="0"/>
      <w:textAlignment w:val="baseline"/>
    </w:pPr>
    <w:rPr>
      <w:rFonts w:ascii="宋体" w:hAnsi="Courier New" w:eastAsia="楷体_GB2312"/>
      <w:sz w:val="28"/>
    </w:rPr>
  </w:style>
  <w:style w:type="table" w:customStyle="1" w:styleId="502">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503">
    <w:name w:val="样式 10 磅"/>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504">
    <w:name w:val="font21"/>
    <w:basedOn w:val="123"/>
    <w:qFormat/>
    <w:uiPriority w:val="0"/>
    <w:rPr>
      <w:rFonts w:hint="eastAsia" w:ascii="宋体" w:hAnsi="宋体" w:eastAsia="宋体" w:cs="宋体"/>
      <w:color w:val="000000"/>
      <w:sz w:val="20"/>
      <w:szCs w:val="20"/>
      <w:u w:val="none"/>
    </w:rPr>
  </w:style>
  <w:style w:type="character" w:customStyle="1" w:styleId="505">
    <w:name w:val="font11"/>
    <w:basedOn w:val="123"/>
    <w:qFormat/>
    <w:uiPriority w:val="0"/>
    <w:rPr>
      <w:rFonts w:hint="eastAsia" w:ascii="宋体" w:hAnsi="宋体" w:eastAsia="宋体" w:cs="宋体"/>
      <w:color w:val="000000"/>
      <w:sz w:val="20"/>
      <w:szCs w:val="20"/>
      <w:u w:val="none"/>
    </w:rPr>
  </w:style>
  <w:style w:type="character" w:customStyle="1" w:styleId="506">
    <w:name w:val="font41"/>
    <w:basedOn w:val="123"/>
    <w:qFormat/>
    <w:uiPriority w:val="0"/>
    <w:rPr>
      <w:rFonts w:hint="eastAsia" w:ascii="宋体" w:hAnsi="宋体" w:eastAsia="宋体" w:cs="宋体"/>
      <w:color w:val="000000"/>
      <w:sz w:val="20"/>
      <w:szCs w:val="20"/>
      <w:u w:val="none"/>
    </w:rPr>
  </w:style>
  <w:style w:type="character" w:customStyle="1" w:styleId="507">
    <w:name w:val="font31"/>
    <w:basedOn w:val="123"/>
    <w:qFormat/>
    <w:uiPriority w:val="0"/>
    <w:rPr>
      <w:rFonts w:hint="eastAsia" w:ascii="宋体" w:hAnsi="宋体" w:eastAsia="宋体" w:cs="宋体"/>
      <w:b/>
      <w:bCs/>
      <w:color w:val="000000"/>
      <w:sz w:val="20"/>
      <w:szCs w:val="20"/>
      <w:u w:val="none"/>
    </w:rPr>
  </w:style>
  <w:style w:type="paragraph" w:customStyle="1" w:styleId="508">
    <w:name w:val="1"/>
    <w:basedOn w:val="1"/>
    <w:next w:val="347"/>
    <w:qFormat/>
    <w:uiPriority w:val="34"/>
    <w:pPr>
      <w:ind w:firstLine="420" w:firstLineChars="200"/>
    </w:pPr>
    <w:rPr>
      <w:rFonts w:ascii="Calibri" w:hAnsi="Calibri"/>
      <w:szCs w:val="22"/>
    </w:rPr>
  </w:style>
  <w:style w:type="character" w:customStyle="1" w:styleId="509">
    <w:name w:val="font01"/>
    <w:basedOn w:val="123"/>
    <w:qFormat/>
    <w:uiPriority w:val="0"/>
    <w:rPr>
      <w:rFonts w:hint="eastAsia" w:ascii="宋体" w:hAnsi="宋体" w:eastAsia="宋体" w:cs="宋体"/>
      <w:color w:val="000000"/>
      <w:sz w:val="24"/>
      <w:szCs w:val="24"/>
      <w:u w:val="none"/>
    </w:rPr>
  </w:style>
  <w:style w:type="character" w:customStyle="1" w:styleId="510">
    <w:name w:val="font91"/>
    <w:basedOn w:val="123"/>
    <w:qFormat/>
    <w:uiPriority w:val="0"/>
    <w:rPr>
      <w:rFonts w:ascii="Arial" w:hAnsi="Arial" w:cs="Arial"/>
      <w:color w:val="000000"/>
      <w:sz w:val="24"/>
      <w:szCs w:val="24"/>
      <w:u w:val="none"/>
    </w:rPr>
  </w:style>
  <w:style w:type="character" w:customStyle="1" w:styleId="511">
    <w:name w:val="font81"/>
    <w:basedOn w:val="123"/>
    <w:qFormat/>
    <w:uiPriority w:val="0"/>
    <w:rPr>
      <w:rFonts w:hint="eastAsia" w:ascii="宋体" w:hAnsi="宋体" w:eastAsia="宋体" w:cs="宋体"/>
      <w:color w:val="000000"/>
      <w:sz w:val="22"/>
      <w:szCs w:val="22"/>
      <w:u w:val="none"/>
    </w:rPr>
  </w:style>
  <w:style w:type="paragraph" w:styleId="512">
    <w:name w:val="List Paragraph"/>
    <w:basedOn w:val="1"/>
    <w:qFormat/>
    <w:uiPriority w:val="99"/>
    <w:pPr>
      <w:ind w:firstLine="420" w:firstLineChars="200"/>
    </w:pPr>
  </w:style>
  <w:style w:type="paragraph" w:customStyle="1" w:styleId="513">
    <w:name w:val="Table Text"/>
    <w:basedOn w:val="1"/>
    <w:semiHidden/>
    <w:qFormat/>
    <w:uiPriority w:val="0"/>
    <w:rPr>
      <w:rFonts w:ascii="宋体" w:hAnsi="宋体" w:cs="宋体"/>
      <w:sz w:val="24"/>
      <w:szCs w:val="24"/>
      <w:lang w:eastAsia="en-US"/>
    </w:rPr>
  </w:style>
  <w:style w:type="paragraph" w:customStyle="1" w:styleId="514">
    <w:name w:val="p15"/>
    <w:basedOn w:val="1"/>
    <w:qFormat/>
    <w:uiPriority w:val="0"/>
    <w:pPr>
      <w:widowControl/>
      <w:spacing w:before="100" w:beforeAutospacing="1" w:after="100" w:afterAutospacing="1"/>
      <w:jc w:val="left"/>
    </w:pPr>
    <w:rPr>
      <w:rFonts w:ascii="宋体" w:hAnsi="宋体" w:cs="宋体"/>
      <w:kern w:val="0"/>
      <w:sz w:val="24"/>
    </w:rPr>
  </w:style>
  <w:style w:type="paragraph" w:customStyle="1" w:styleId="515">
    <w:name w:val="正文3"/>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516">
    <w:name w:val="正文缩进2"/>
    <w:basedOn w:val="1"/>
    <w:qFormat/>
    <w:uiPriority w:val="0"/>
    <w:pPr>
      <w:ind w:firstLine="420" w:firstLineChars="200"/>
    </w:pPr>
    <w:rPr>
      <w:rFonts w:ascii="Calibri" w:hAnsi="Calibri"/>
    </w:rPr>
  </w:style>
  <w:style w:type="character" w:customStyle="1" w:styleId="517">
    <w:name w:val="font131"/>
    <w:basedOn w:val="123"/>
    <w:qFormat/>
    <w:uiPriority w:val="0"/>
    <w:rPr>
      <w:rFonts w:hint="eastAsia" w:ascii="宋体" w:hAnsi="宋体" w:eastAsia="宋体" w:cs="宋体"/>
      <w:color w:val="000000"/>
      <w:sz w:val="22"/>
      <w:szCs w:val="22"/>
      <w:u w:val="none"/>
    </w:rPr>
  </w:style>
  <w:style w:type="character" w:customStyle="1" w:styleId="518">
    <w:name w:val="font101"/>
    <w:basedOn w:val="123"/>
    <w:qFormat/>
    <w:uiPriority w:val="0"/>
    <w:rPr>
      <w:rFonts w:hint="default" w:ascii="仿宋_GB2312" w:eastAsia="仿宋_GB2312" w:cs="仿宋_GB2312"/>
      <w:color w:val="000000"/>
      <w:sz w:val="21"/>
      <w:szCs w:val="21"/>
      <w:u w:val="none"/>
    </w:rPr>
  </w:style>
  <w:style w:type="character" w:customStyle="1" w:styleId="519">
    <w:name w:val="font141"/>
    <w:basedOn w:val="123"/>
    <w:qFormat/>
    <w:uiPriority w:val="0"/>
    <w:rPr>
      <w:rFonts w:hint="default" w:ascii="仿宋_GB2312" w:eastAsia="仿宋_GB2312" w:cs="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7"/>
    <customShpInfo spid="_x0000_s1026" textRotate="1"/>
    <customShpInfo spid="_x0000_s1030"/>
    <customShpInfo spid="_x0000_s1028"/>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BA6D2EA-2A9E-4B13-9392-8538008F2C11}">
  <ds:schemaRefs/>
</ds:datastoreItem>
</file>

<file path=docProps/app.xml><?xml version="1.0" encoding="utf-8"?>
<Properties xmlns="http://schemas.openxmlformats.org/officeDocument/2006/extended-properties" xmlns:vt="http://schemas.openxmlformats.org/officeDocument/2006/docPropsVTypes">
  <Template>Normal</Template>
  <Company>Sinopec</Company>
  <Pages>53</Pages>
  <Words>94</Words>
  <Characters>110</Characters>
  <Lines>273</Lines>
  <Paragraphs>77</Paragraphs>
  <TotalTime>20</TotalTime>
  <ScaleCrop>false</ScaleCrop>
  <LinksUpToDate>false</LinksUpToDate>
  <CharactersWithSpaces>121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2022-04-26T02:38:00Z</dcterms:created>
  <dc:creator>xt</dc:creator>
  <cp:lastModifiedBy>独忆雨薇</cp:lastModifiedBy>
  <cp:lastPrinted>2024-04-29T07:47:00Z</cp:lastPrinted>
  <dcterms:modified xsi:type="dcterms:W3CDTF">2026-10-26T09:30:41Z</dcterms:modified>
  <dc:title>第一部份 投标邀请</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5BBDF477D09F4FA8BFCCB7E54E7741F6_13</vt:lpwstr>
  </property>
  <property fmtid="{D5CDD505-2E9C-101B-9397-08002B2CF9AE}" pid="4" name="commondata">
    <vt:lpwstr>eyJoZGlkIjoiN2YzNjBkOTgyNWQ1YTMxYzM3MzMwNWFiODNmOWIzYWMifQ==</vt:lpwstr>
  </property>
  <property fmtid="{D5CDD505-2E9C-101B-9397-08002B2CF9AE}" pid="5" name="KSOTemplateDocerSaveRecord">
    <vt:lpwstr>eyJoZGlkIjoiMmIzZWIwM2MyNWNlYjk5ZjJkYzU1OGMwMDk2OGVkNDkiLCJ1c2VySWQiOiIxMTAwMTEwMDQwIn0=</vt:lpwstr>
  </property>
</Properties>
</file>