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632FE">
      <w:pPr>
        <w:pStyle w:val="14"/>
        <w:spacing w:before="0"/>
        <w:ind w:left="0"/>
        <w:rPr>
          <w:rFonts w:hint="default" w:eastAsia="宋体"/>
          <w:color w:val="auto"/>
          <w:sz w:val="20"/>
          <w:lang w:val="en-US" w:eastAsia="zh-CN"/>
        </w:rPr>
      </w:pPr>
      <w:r>
        <w:rPr>
          <w:rFonts w:hint="eastAsia"/>
          <w:color w:val="auto"/>
          <w:sz w:val="20"/>
          <w:lang w:val="en-US" w:eastAsia="zh-CN"/>
        </w:rPr>
        <w:t xml:space="preserve">     </w:t>
      </w:r>
    </w:p>
    <w:p w14:paraId="306089F7">
      <w:pPr>
        <w:pStyle w:val="40"/>
        <w:spacing w:line="480" w:lineRule="auto"/>
        <w:jc w:val="center"/>
        <w:rPr>
          <w:b/>
          <w:color w:val="auto"/>
          <w:sz w:val="72"/>
          <w:szCs w:val="72"/>
        </w:rPr>
      </w:pPr>
      <w:r>
        <w:rPr>
          <w:rFonts w:hAnsi="宋体"/>
          <w:b/>
          <w:color w:val="auto"/>
          <w:sz w:val="72"/>
          <w:szCs w:val="72"/>
        </w:rPr>
        <w:t>政府采购</w:t>
      </w:r>
      <w:r>
        <w:rPr>
          <w:rFonts w:hint="eastAsia" w:hAnsi="宋体"/>
          <w:b/>
          <w:color w:val="auto"/>
          <w:sz w:val="72"/>
          <w:szCs w:val="72"/>
        </w:rPr>
        <w:t>公开招标</w:t>
      </w:r>
    </w:p>
    <w:p w14:paraId="7072E7E2">
      <w:pPr>
        <w:pStyle w:val="40"/>
        <w:spacing w:line="480" w:lineRule="auto"/>
        <w:jc w:val="center"/>
        <w:rPr>
          <w:rFonts w:hint="eastAsia" w:hAnsi="宋体"/>
          <w:b/>
          <w:color w:val="auto"/>
          <w:sz w:val="72"/>
          <w:szCs w:val="72"/>
        </w:rPr>
      </w:pPr>
      <w:r>
        <w:rPr>
          <w:rFonts w:hint="eastAsia" w:hAnsi="宋体"/>
          <w:b/>
          <w:color w:val="auto"/>
          <w:sz w:val="72"/>
          <w:szCs w:val="72"/>
        </w:rPr>
        <w:t>采购文件</w:t>
      </w:r>
    </w:p>
    <w:p w14:paraId="12005421">
      <w:pPr>
        <w:pStyle w:val="40"/>
        <w:spacing w:line="360" w:lineRule="auto"/>
        <w:jc w:val="center"/>
        <w:rPr>
          <w:color w:val="auto"/>
          <w:sz w:val="32"/>
        </w:rPr>
      </w:pPr>
    </w:p>
    <w:p w14:paraId="16173D78">
      <w:pPr>
        <w:pStyle w:val="40"/>
        <w:spacing w:line="360" w:lineRule="auto"/>
        <w:jc w:val="center"/>
        <w:rPr>
          <w:color w:val="auto"/>
          <w:sz w:val="32"/>
        </w:rPr>
      </w:pPr>
    </w:p>
    <w:p w14:paraId="4D412AA3">
      <w:pPr>
        <w:pStyle w:val="40"/>
        <w:spacing w:line="360" w:lineRule="auto"/>
        <w:jc w:val="center"/>
        <w:rPr>
          <w:color w:val="auto"/>
          <w:sz w:val="32"/>
        </w:rPr>
      </w:pPr>
    </w:p>
    <w:p w14:paraId="5B6075CD">
      <w:pPr>
        <w:pStyle w:val="40"/>
        <w:spacing w:line="360" w:lineRule="auto"/>
        <w:jc w:val="center"/>
        <w:rPr>
          <w:color w:val="auto"/>
          <w:sz w:val="32"/>
        </w:rPr>
      </w:pPr>
    </w:p>
    <w:p w14:paraId="2B7F9756">
      <w:pPr>
        <w:pStyle w:val="40"/>
        <w:spacing w:line="360" w:lineRule="auto"/>
        <w:jc w:val="center"/>
        <w:rPr>
          <w:color w:val="auto"/>
          <w:sz w:val="32"/>
        </w:rPr>
      </w:pPr>
    </w:p>
    <w:p w14:paraId="079767E0">
      <w:pPr>
        <w:pStyle w:val="40"/>
        <w:spacing w:line="360" w:lineRule="auto"/>
        <w:jc w:val="center"/>
        <w:rPr>
          <w:color w:val="auto"/>
          <w:sz w:val="32"/>
        </w:rPr>
      </w:pPr>
    </w:p>
    <w:p w14:paraId="3F096C77">
      <w:pPr>
        <w:pStyle w:val="40"/>
        <w:spacing w:line="360" w:lineRule="auto"/>
        <w:jc w:val="center"/>
        <w:rPr>
          <w:color w:val="auto"/>
          <w:sz w:val="32"/>
        </w:rPr>
      </w:pPr>
    </w:p>
    <w:p w14:paraId="7BB60E90">
      <w:pPr>
        <w:pStyle w:val="40"/>
        <w:spacing w:line="360" w:lineRule="auto"/>
        <w:jc w:val="center"/>
        <w:rPr>
          <w:color w:val="auto"/>
          <w:sz w:val="32"/>
        </w:rPr>
      </w:pPr>
    </w:p>
    <w:p w14:paraId="55DF9AB4">
      <w:pPr>
        <w:pStyle w:val="40"/>
        <w:spacing w:line="360" w:lineRule="auto"/>
        <w:jc w:val="center"/>
        <w:rPr>
          <w:color w:val="auto"/>
          <w:sz w:val="32"/>
        </w:rPr>
      </w:pPr>
    </w:p>
    <w:p w14:paraId="40222980">
      <w:pPr>
        <w:pStyle w:val="40"/>
        <w:spacing w:line="360" w:lineRule="auto"/>
        <w:jc w:val="center"/>
        <w:rPr>
          <w:color w:val="auto"/>
          <w:sz w:val="32"/>
        </w:rPr>
      </w:pPr>
    </w:p>
    <w:p w14:paraId="260988A1">
      <w:pPr>
        <w:pStyle w:val="40"/>
        <w:spacing w:line="360" w:lineRule="auto"/>
        <w:ind w:firstLine="1920" w:firstLineChars="600"/>
        <w:rPr>
          <w:color w:val="auto"/>
          <w:sz w:val="32"/>
        </w:rPr>
      </w:pPr>
    </w:p>
    <w:p w14:paraId="1FA06C20">
      <w:pPr>
        <w:pStyle w:val="40"/>
        <w:spacing w:line="360" w:lineRule="auto"/>
        <w:ind w:firstLine="1920" w:firstLineChars="600"/>
        <w:rPr>
          <w:color w:val="auto"/>
          <w:sz w:val="32"/>
        </w:rPr>
      </w:pPr>
    </w:p>
    <w:p w14:paraId="0FF9456B">
      <w:pPr>
        <w:pStyle w:val="40"/>
        <w:spacing w:line="360" w:lineRule="auto"/>
        <w:rPr>
          <w:rFonts w:hint="default" w:hAnsi="宋体"/>
          <w:b/>
          <w:color w:val="auto"/>
          <w:sz w:val="32"/>
          <w:szCs w:val="31"/>
          <w:lang w:val="en-US"/>
        </w:rPr>
      </w:pPr>
      <w:r>
        <w:rPr>
          <w:rFonts w:hAnsi="宋体"/>
          <w:b/>
          <w:color w:val="auto"/>
          <w:sz w:val="32"/>
          <w:szCs w:val="31"/>
        </w:rPr>
        <w:t>项目名称：</w:t>
      </w:r>
      <w:r>
        <w:rPr>
          <w:rFonts w:hint="eastAsia" w:hAnsi="宋体"/>
          <w:b/>
          <w:color w:val="auto"/>
          <w:sz w:val="32"/>
          <w:szCs w:val="31"/>
          <w:lang w:val="en-US" w:eastAsia="zh-CN"/>
        </w:rPr>
        <w:t>新和县2026年粮油等重点作物绿色高产高效项目（二次）</w:t>
      </w:r>
    </w:p>
    <w:p w14:paraId="02D0D929">
      <w:pPr>
        <w:pStyle w:val="40"/>
        <w:spacing w:line="360" w:lineRule="auto"/>
        <w:rPr>
          <w:rFonts w:hint="default" w:hAnsi="宋体"/>
          <w:b/>
          <w:color w:val="auto"/>
          <w:sz w:val="32"/>
          <w:szCs w:val="31"/>
          <w:lang w:val="en-US"/>
        </w:rPr>
      </w:pPr>
      <w:r>
        <w:rPr>
          <w:rFonts w:hAnsi="宋体"/>
          <w:b/>
          <w:color w:val="auto"/>
          <w:sz w:val="32"/>
          <w:szCs w:val="31"/>
        </w:rPr>
        <w:t>项目编号</w:t>
      </w:r>
      <w:r>
        <w:rPr>
          <w:rFonts w:hint="eastAsia" w:hAnsi="宋体"/>
          <w:b/>
          <w:color w:val="auto"/>
          <w:sz w:val="32"/>
          <w:szCs w:val="31"/>
        </w:rPr>
        <w:t>:</w:t>
      </w:r>
      <w:r>
        <w:rPr>
          <w:rFonts w:hint="eastAsia" w:hAnsi="宋体"/>
          <w:b/>
          <w:color w:val="auto"/>
          <w:sz w:val="32"/>
          <w:szCs w:val="31"/>
          <w:lang w:val="en-US" w:eastAsia="zh-CN"/>
        </w:rPr>
        <w:t xml:space="preserve"> ZFCG-2026-006-1</w:t>
      </w:r>
    </w:p>
    <w:p w14:paraId="173E1715">
      <w:pPr>
        <w:pStyle w:val="40"/>
        <w:spacing w:line="360" w:lineRule="auto"/>
        <w:rPr>
          <w:rFonts w:hint="eastAsia"/>
          <w:b/>
          <w:bCs/>
          <w:color w:val="auto"/>
          <w:sz w:val="30"/>
          <w:szCs w:val="30"/>
        </w:rPr>
      </w:pPr>
      <w:r>
        <w:rPr>
          <w:rFonts w:hAnsi="宋体"/>
          <w:b/>
          <w:color w:val="auto"/>
          <w:sz w:val="32"/>
          <w:szCs w:val="31"/>
        </w:rPr>
        <w:t>采购人：</w:t>
      </w:r>
      <w:r>
        <w:rPr>
          <w:rFonts w:hint="eastAsia" w:hAnsi="宋体"/>
          <w:b/>
          <w:color w:val="auto"/>
          <w:sz w:val="32"/>
          <w:szCs w:val="31"/>
        </w:rPr>
        <w:t>新和县农业技术推广中心</w:t>
      </w:r>
    </w:p>
    <w:p w14:paraId="49F26421">
      <w:pPr>
        <w:pStyle w:val="40"/>
        <w:spacing w:line="360" w:lineRule="auto"/>
        <w:jc w:val="left"/>
        <w:rPr>
          <w:rFonts w:hint="eastAsia" w:hAnsi="宋体"/>
          <w:b/>
          <w:color w:val="auto"/>
          <w:sz w:val="32"/>
          <w:szCs w:val="31"/>
          <w:lang w:val="en-US" w:eastAsia="zh-CN"/>
        </w:rPr>
      </w:pPr>
      <w:r>
        <w:rPr>
          <w:rFonts w:hAnsi="宋体"/>
          <w:b/>
          <w:color w:val="auto"/>
          <w:sz w:val="32"/>
          <w:szCs w:val="31"/>
        </w:rPr>
        <w:t>采购代理机构：</w:t>
      </w:r>
      <w:r>
        <w:rPr>
          <w:rFonts w:hint="eastAsia" w:hAnsi="宋体"/>
          <w:b/>
          <w:color w:val="auto"/>
          <w:sz w:val="32"/>
          <w:szCs w:val="31"/>
          <w:lang w:val="en-US" w:eastAsia="zh-CN"/>
        </w:rPr>
        <w:t>新疆国恩工程管理有限公司</w:t>
      </w:r>
    </w:p>
    <w:p w14:paraId="3F6CDFDB">
      <w:pPr>
        <w:pStyle w:val="40"/>
        <w:spacing w:line="360" w:lineRule="auto"/>
        <w:jc w:val="center"/>
        <w:rPr>
          <w:rFonts w:hAnsi="宋体"/>
          <w:b/>
          <w:color w:val="auto"/>
          <w:sz w:val="32"/>
          <w:szCs w:val="31"/>
        </w:rPr>
      </w:pPr>
      <w:r>
        <w:rPr>
          <w:rFonts w:hint="eastAsia" w:hAnsi="宋体"/>
          <w:b/>
          <w:color w:val="auto"/>
          <w:sz w:val="32"/>
          <w:szCs w:val="31"/>
        </w:rPr>
        <w:t>202</w:t>
      </w:r>
      <w:r>
        <w:rPr>
          <w:rFonts w:hint="eastAsia" w:hAnsi="宋体"/>
          <w:b/>
          <w:color w:val="auto"/>
          <w:sz w:val="32"/>
          <w:szCs w:val="31"/>
          <w:lang w:val="en-US" w:eastAsia="zh-CN"/>
        </w:rPr>
        <w:t>6</w:t>
      </w:r>
      <w:r>
        <w:rPr>
          <w:rFonts w:hint="eastAsia" w:hAnsi="宋体"/>
          <w:b/>
          <w:color w:val="auto"/>
          <w:sz w:val="32"/>
          <w:szCs w:val="31"/>
        </w:rPr>
        <w:t>年</w:t>
      </w:r>
      <w:r>
        <w:rPr>
          <w:rFonts w:hint="eastAsia" w:hAnsi="宋体"/>
          <w:b/>
          <w:color w:val="auto"/>
          <w:sz w:val="32"/>
          <w:szCs w:val="31"/>
          <w:lang w:val="en-US" w:eastAsia="zh-CN"/>
        </w:rPr>
        <w:t>09</w:t>
      </w:r>
      <w:r>
        <w:rPr>
          <w:rFonts w:hint="eastAsia" w:hAnsi="宋体"/>
          <w:b/>
          <w:color w:val="auto"/>
          <w:sz w:val="32"/>
          <w:szCs w:val="31"/>
        </w:rPr>
        <w:t>月</w:t>
      </w:r>
    </w:p>
    <w:p w14:paraId="082E9C51">
      <w:pPr>
        <w:pStyle w:val="40"/>
        <w:spacing w:line="360" w:lineRule="auto"/>
        <w:rPr>
          <w:color w:val="auto"/>
          <w:sz w:val="30"/>
          <w:szCs w:val="30"/>
        </w:rPr>
      </w:pPr>
    </w:p>
    <w:p w14:paraId="0842F458">
      <w:pPr>
        <w:tabs>
          <w:tab w:val="left" w:pos="964"/>
        </w:tabs>
        <w:spacing w:before="118"/>
        <w:jc w:val="center"/>
        <w:rPr>
          <w:rFonts w:ascii="Times New Roman" w:hAnsi="Times New Roman" w:cs="Times New Roman"/>
          <w:b/>
          <w:color w:val="auto"/>
          <w:sz w:val="32"/>
        </w:rPr>
      </w:pPr>
      <w:r>
        <w:rPr>
          <w:rFonts w:ascii="Times New Roman" w:hAnsi="Times New Roman" w:cs="Times New Roman"/>
          <w:b/>
          <w:color w:val="auto"/>
          <w:sz w:val="32"/>
        </w:rPr>
        <w:br w:type="page"/>
      </w:r>
      <w:r>
        <w:rPr>
          <w:rFonts w:ascii="Times New Roman" w:cs="Times New Roman"/>
          <w:b/>
          <w:color w:val="auto"/>
          <w:sz w:val="32"/>
        </w:rPr>
        <w:t>目</w:t>
      </w:r>
      <w:r>
        <w:rPr>
          <w:rFonts w:ascii="Times New Roman" w:hAnsi="Times New Roman" w:cs="Times New Roman"/>
          <w:b/>
          <w:color w:val="auto"/>
          <w:sz w:val="32"/>
        </w:rPr>
        <w:tab/>
      </w:r>
      <w:r>
        <w:rPr>
          <w:rFonts w:ascii="Times New Roman" w:cs="Times New Roman"/>
          <w:b/>
          <w:color w:val="auto"/>
          <w:sz w:val="32"/>
        </w:rPr>
        <w:t>录</w:t>
      </w:r>
    </w:p>
    <w:p w14:paraId="2156EF74">
      <w:pPr>
        <w:numPr>
          <w:ilvl w:val="0"/>
          <w:numId w:val="1"/>
        </w:numPr>
        <w:spacing w:before="186" w:line="364" w:lineRule="auto"/>
        <w:ind w:firstLine="482" w:firstLineChars="200"/>
        <w:rPr>
          <w:rFonts w:ascii="Times New Roman" w:cs="Times New Roman"/>
          <w:b/>
          <w:color w:val="auto"/>
          <w:sz w:val="24"/>
        </w:rPr>
      </w:pPr>
      <w:r>
        <w:rPr>
          <w:rFonts w:ascii="Times New Roman" w:cs="Times New Roman"/>
          <w:b/>
          <w:color w:val="auto"/>
          <w:sz w:val="24"/>
        </w:rPr>
        <w:t>招标公告</w:t>
      </w:r>
    </w:p>
    <w:p w14:paraId="07613CB6">
      <w:pPr>
        <w:spacing w:before="1" w:line="360" w:lineRule="auto"/>
        <w:ind w:firstLine="960" w:firstLineChars="400"/>
        <w:rPr>
          <w:rFonts w:ascii="Times New Roman" w:hAnsi="Times New Roman" w:cs="Times New Roman"/>
          <w:color w:val="auto"/>
          <w:sz w:val="24"/>
        </w:rPr>
      </w:pPr>
      <w:r>
        <w:rPr>
          <w:rFonts w:ascii="Times New Roman" w:cs="Times New Roman"/>
          <w:color w:val="auto"/>
          <w:sz w:val="24"/>
        </w:rPr>
        <w:t>招标公告</w:t>
      </w:r>
    </w:p>
    <w:p w14:paraId="74095AEB">
      <w:pPr>
        <w:spacing w:before="1" w:line="364" w:lineRule="auto"/>
        <w:ind w:firstLine="482" w:firstLineChars="200"/>
        <w:rPr>
          <w:rFonts w:ascii="Times New Roman" w:hAnsi="Times New Roman" w:cs="Times New Roman"/>
          <w:b/>
          <w:color w:val="auto"/>
          <w:sz w:val="24"/>
        </w:rPr>
      </w:pPr>
      <w:r>
        <w:rPr>
          <w:rFonts w:ascii="Times New Roman" w:cs="Times New Roman"/>
          <w:b/>
          <w:color w:val="auto"/>
          <w:sz w:val="24"/>
        </w:rPr>
        <w:t>第二部分</w:t>
      </w:r>
      <w:r>
        <w:rPr>
          <w:rFonts w:ascii="Times New Roman" w:hAnsi="Times New Roman" w:cs="Times New Roman"/>
          <w:b/>
          <w:color w:val="auto"/>
          <w:sz w:val="24"/>
        </w:rPr>
        <w:t xml:space="preserve"> </w:t>
      </w:r>
      <w:r>
        <w:rPr>
          <w:rFonts w:ascii="Times New Roman" w:cs="Times New Roman"/>
          <w:b/>
          <w:color w:val="auto"/>
          <w:sz w:val="24"/>
        </w:rPr>
        <w:t>投标须知</w:t>
      </w:r>
    </w:p>
    <w:p w14:paraId="639EAF60">
      <w:pPr>
        <w:spacing w:before="1" w:line="360" w:lineRule="auto"/>
        <w:ind w:firstLine="960" w:firstLineChars="400"/>
        <w:rPr>
          <w:rFonts w:ascii="Times New Roman" w:hAnsi="Times New Roman" w:cs="Times New Roman"/>
          <w:color w:val="auto"/>
          <w:lang w:val="en-US"/>
        </w:rPr>
      </w:pPr>
      <w:r>
        <w:rPr>
          <w:rFonts w:ascii="Times New Roman" w:cs="Times New Roman"/>
          <w:color w:val="auto"/>
          <w:sz w:val="24"/>
        </w:rPr>
        <w:t>投标须知</w:t>
      </w:r>
      <w:r>
        <w:rPr>
          <w:rFonts w:ascii="Times New Roman" w:cs="Times New Roman"/>
          <w:color w:val="auto"/>
          <w:sz w:val="24"/>
          <w:lang w:val="en-US"/>
        </w:rPr>
        <w:t>前附表</w:t>
      </w:r>
    </w:p>
    <w:p w14:paraId="076C1BD1">
      <w:pPr>
        <w:spacing w:before="1" w:line="364" w:lineRule="auto"/>
        <w:ind w:firstLine="482" w:firstLineChars="200"/>
        <w:rPr>
          <w:rFonts w:ascii="Times New Roman" w:hAnsi="Times New Roman" w:cs="Times New Roman"/>
          <w:b/>
          <w:color w:val="auto"/>
          <w:sz w:val="24"/>
        </w:rPr>
      </w:pPr>
      <w:r>
        <w:rPr>
          <w:rFonts w:ascii="Times New Roman" w:cs="Times New Roman"/>
          <w:b/>
          <w:color w:val="auto"/>
          <w:sz w:val="24"/>
        </w:rPr>
        <w:t>第三部分</w:t>
      </w:r>
      <w:r>
        <w:rPr>
          <w:rFonts w:ascii="Times New Roman" w:hAnsi="Times New Roman" w:cs="Times New Roman"/>
          <w:b/>
          <w:color w:val="auto"/>
          <w:sz w:val="24"/>
        </w:rPr>
        <w:t xml:space="preserve"> </w:t>
      </w:r>
      <w:r>
        <w:rPr>
          <w:rFonts w:ascii="Times New Roman" w:cs="Times New Roman"/>
          <w:b/>
          <w:color w:val="auto"/>
          <w:sz w:val="24"/>
        </w:rPr>
        <w:t>招标说明</w:t>
      </w:r>
    </w:p>
    <w:p w14:paraId="255C6F60">
      <w:pPr>
        <w:spacing w:before="1" w:line="364" w:lineRule="auto"/>
        <w:ind w:firstLine="482" w:firstLineChars="200"/>
        <w:rPr>
          <w:rFonts w:ascii="Times New Roman" w:hAnsi="Times New Roman" w:cs="Times New Roman"/>
          <w:b/>
          <w:color w:val="auto"/>
          <w:sz w:val="24"/>
        </w:rPr>
      </w:pPr>
      <w:r>
        <w:rPr>
          <w:rFonts w:ascii="Times New Roman" w:cs="Times New Roman"/>
          <w:b/>
          <w:color w:val="auto"/>
          <w:sz w:val="24"/>
        </w:rPr>
        <w:t>第四部分</w:t>
      </w:r>
      <w:r>
        <w:rPr>
          <w:rFonts w:ascii="Times New Roman" w:hAnsi="Times New Roman" w:cs="Times New Roman"/>
          <w:b/>
          <w:color w:val="auto"/>
          <w:sz w:val="24"/>
        </w:rPr>
        <w:t xml:space="preserve"> </w:t>
      </w:r>
      <w:r>
        <w:rPr>
          <w:rFonts w:ascii="Times New Roman" w:cs="Times New Roman"/>
          <w:b/>
          <w:color w:val="auto"/>
          <w:sz w:val="24"/>
        </w:rPr>
        <w:t>投标说明</w:t>
      </w:r>
    </w:p>
    <w:p w14:paraId="7FE0476D">
      <w:pPr>
        <w:pStyle w:val="14"/>
        <w:spacing w:line="364" w:lineRule="auto"/>
        <w:ind w:left="0" w:firstLine="960" w:firstLineChars="400"/>
        <w:rPr>
          <w:color w:val="auto"/>
        </w:rPr>
      </w:pPr>
      <w:r>
        <w:rPr>
          <w:color w:val="auto"/>
        </w:rPr>
        <w:t>第一章 对投标人的资质要求</w:t>
      </w:r>
    </w:p>
    <w:p w14:paraId="096C4189">
      <w:pPr>
        <w:pStyle w:val="14"/>
        <w:spacing w:line="364" w:lineRule="auto"/>
        <w:ind w:left="0" w:firstLine="960" w:firstLineChars="400"/>
        <w:rPr>
          <w:color w:val="auto"/>
        </w:rPr>
      </w:pPr>
      <w:r>
        <w:rPr>
          <w:color w:val="auto"/>
        </w:rPr>
        <w:t>第二章 投标文件的编写</w:t>
      </w:r>
    </w:p>
    <w:p w14:paraId="48DA6166">
      <w:pPr>
        <w:pStyle w:val="14"/>
        <w:spacing w:before="2" w:line="364" w:lineRule="auto"/>
        <w:ind w:left="0" w:firstLine="960" w:firstLineChars="400"/>
        <w:rPr>
          <w:color w:val="auto"/>
        </w:rPr>
      </w:pPr>
      <w:r>
        <w:rPr>
          <w:color w:val="auto"/>
        </w:rPr>
        <w:t>第三章 投标文件的递交</w:t>
      </w:r>
    </w:p>
    <w:p w14:paraId="4D61A29F">
      <w:pPr>
        <w:pStyle w:val="14"/>
        <w:spacing w:before="2" w:line="364" w:lineRule="auto"/>
        <w:ind w:left="0" w:firstLine="960" w:firstLineChars="400"/>
        <w:rPr>
          <w:color w:val="auto"/>
        </w:rPr>
      </w:pPr>
      <w:r>
        <w:rPr>
          <w:color w:val="auto"/>
        </w:rPr>
        <w:t>第四章 评标委员会</w:t>
      </w:r>
    </w:p>
    <w:p w14:paraId="28CEBAE8">
      <w:pPr>
        <w:tabs>
          <w:tab w:val="left" w:pos="2677"/>
        </w:tabs>
        <w:spacing w:before="1" w:line="364" w:lineRule="auto"/>
        <w:ind w:firstLine="482" w:firstLineChars="200"/>
        <w:rPr>
          <w:rFonts w:ascii="Times New Roman" w:cs="Times New Roman"/>
          <w:b/>
          <w:color w:val="auto"/>
          <w:sz w:val="24"/>
        </w:rPr>
      </w:pPr>
      <w:r>
        <w:rPr>
          <w:rFonts w:ascii="Times New Roman" w:cs="Times New Roman"/>
          <w:b/>
          <w:color w:val="auto"/>
          <w:sz w:val="24"/>
        </w:rPr>
        <w:t>第五部分</w:t>
      </w:r>
      <w:r>
        <w:rPr>
          <w:rFonts w:ascii="Times New Roman" w:hAnsi="Times New Roman" w:cs="Times New Roman"/>
          <w:b/>
          <w:color w:val="auto"/>
          <w:sz w:val="24"/>
        </w:rPr>
        <w:t xml:space="preserve"> </w:t>
      </w:r>
      <w:r>
        <w:rPr>
          <w:rFonts w:ascii="Times New Roman" w:cs="Times New Roman"/>
          <w:b/>
          <w:color w:val="auto"/>
          <w:sz w:val="24"/>
        </w:rPr>
        <w:t>开标</w:t>
      </w:r>
      <w:r>
        <w:rPr>
          <w:rFonts w:ascii="Times New Roman" w:hAnsi="Times New Roman" w:cs="Times New Roman"/>
          <w:b/>
          <w:color w:val="auto"/>
          <w:sz w:val="24"/>
        </w:rPr>
        <w:t xml:space="preserve"> </w:t>
      </w:r>
      <w:r>
        <w:rPr>
          <w:rFonts w:ascii="Times New Roman" w:cs="Times New Roman"/>
          <w:b/>
          <w:color w:val="auto"/>
          <w:sz w:val="24"/>
        </w:rPr>
        <w:t>评标</w:t>
      </w:r>
      <w:r>
        <w:rPr>
          <w:rFonts w:ascii="Times New Roman" w:hAnsi="Times New Roman" w:cs="Times New Roman"/>
          <w:b/>
          <w:color w:val="auto"/>
          <w:sz w:val="24"/>
        </w:rPr>
        <w:t xml:space="preserve"> </w:t>
      </w:r>
      <w:r>
        <w:rPr>
          <w:rFonts w:ascii="Times New Roman" w:cs="Times New Roman"/>
          <w:b/>
          <w:color w:val="auto"/>
          <w:sz w:val="24"/>
        </w:rPr>
        <w:t>定标说明</w:t>
      </w:r>
    </w:p>
    <w:p w14:paraId="0D421903">
      <w:pPr>
        <w:pStyle w:val="14"/>
        <w:spacing w:line="364" w:lineRule="auto"/>
        <w:ind w:left="0" w:firstLine="960" w:firstLineChars="400"/>
        <w:rPr>
          <w:color w:val="auto"/>
        </w:rPr>
      </w:pPr>
      <w:r>
        <w:rPr>
          <w:color w:val="auto"/>
        </w:rPr>
        <w:t>第一章 开</w:t>
      </w:r>
      <w:r>
        <w:rPr>
          <w:color w:val="auto"/>
        </w:rPr>
        <w:tab/>
      </w:r>
      <w:r>
        <w:rPr>
          <w:color w:val="auto"/>
        </w:rPr>
        <w:t>标</w:t>
      </w:r>
    </w:p>
    <w:p w14:paraId="0BEF9285">
      <w:pPr>
        <w:pStyle w:val="14"/>
        <w:tabs>
          <w:tab w:val="left" w:pos="2677"/>
        </w:tabs>
        <w:spacing w:line="364" w:lineRule="auto"/>
        <w:ind w:left="0" w:firstLine="960" w:firstLineChars="400"/>
        <w:rPr>
          <w:color w:val="auto"/>
        </w:rPr>
      </w:pPr>
      <w:r>
        <w:rPr>
          <w:color w:val="auto"/>
        </w:rPr>
        <w:t>第二章 评</w:t>
      </w:r>
      <w:r>
        <w:rPr>
          <w:color w:val="auto"/>
        </w:rPr>
        <w:tab/>
      </w:r>
      <w:r>
        <w:rPr>
          <w:color w:val="auto"/>
        </w:rPr>
        <w:t xml:space="preserve">标 </w:t>
      </w:r>
    </w:p>
    <w:p w14:paraId="35CFC319">
      <w:pPr>
        <w:pStyle w:val="14"/>
        <w:tabs>
          <w:tab w:val="left" w:pos="2677"/>
        </w:tabs>
        <w:spacing w:line="364" w:lineRule="auto"/>
        <w:ind w:left="0" w:firstLine="960" w:firstLineChars="400"/>
        <w:rPr>
          <w:color w:val="auto"/>
        </w:rPr>
      </w:pPr>
      <w:r>
        <w:rPr>
          <w:color w:val="auto"/>
        </w:rPr>
        <w:t>第三章 定</w:t>
      </w:r>
      <w:r>
        <w:rPr>
          <w:color w:val="auto"/>
        </w:rPr>
        <w:tab/>
      </w:r>
      <w:r>
        <w:rPr>
          <w:color w:val="auto"/>
        </w:rPr>
        <w:t xml:space="preserve">标 </w:t>
      </w:r>
    </w:p>
    <w:p w14:paraId="0DE42C46">
      <w:pPr>
        <w:pStyle w:val="14"/>
        <w:tabs>
          <w:tab w:val="left" w:pos="2677"/>
        </w:tabs>
        <w:spacing w:line="364" w:lineRule="auto"/>
        <w:ind w:left="0" w:firstLine="960" w:firstLineChars="400"/>
        <w:rPr>
          <w:color w:val="auto"/>
        </w:rPr>
      </w:pPr>
      <w:r>
        <w:rPr>
          <w:color w:val="auto"/>
        </w:rPr>
        <w:t>第四章 授予合同</w:t>
      </w:r>
    </w:p>
    <w:p w14:paraId="70957BA9">
      <w:pPr>
        <w:spacing w:before="2" w:line="364" w:lineRule="auto"/>
        <w:ind w:firstLine="482" w:firstLineChars="200"/>
        <w:rPr>
          <w:rFonts w:ascii="Times New Roman" w:hAnsi="Times New Roman" w:cs="Times New Roman"/>
          <w:b/>
          <w:color w:val="auto"/>
          <w:sz w:val="24"/>
        </w:rPr>
      </w:pPr>
      <w:r>
        <w:rPr>
          <w:rFonts w:ascii="Times New Roman" w:cs="Times New Roman"/>
          <w:b/>
          <w:color w:val="auto"/>
          <w:sz w:val="24"/>
        </w:rPr>
        <w:t>第六部分</w:t>
      </w:r>
      <w:r>
        <w:rPr>
          <w:rFonts w:ascii="Times New Roman" w:hAnsi="Times New Roman" w:cs="Times New Roman"/>
          <w:b/>
          <w:color w:val="auto"/>
          <w:sz w:val="24"/>
        </w:rPr>
        <w:t xml:space="preserve"> </w:t>
      </w:r>
      <w:r>
        <w:rPr>
          <w:rFonts w:ascii="Times New Roman" w:cs="Times New Roman"/>
          <w:b/>
          <w:color w:val="auto"/>
          <w:sz w:val="24"/>
        </w:rPr>
        <w:t>货物需求、技术规格说明</w:t>
      </w:r>
    </w:p>
    <w:p w14:paraId="0755A6BD">
      <w:pPr>
        <w:spacing w:before="2" w:line="364" w:lineRule="auto"/>
        <w:ind w:firstLine="960" w:firstLineChars="400"/>
        <w:rPr>
          <w:rFonts w:ascii="Times New Roman" w:hAnsi="Times New Roman" w:cs="Times New Roman"/>
          <w:color w:val="auto"/>
          <w:sz w:val="24"/>
        </w:rPr>
      </w:pPr>
      <w:r>
        <w:rPr>
          <w:rFonts w:ascii="Times New Roman" w:cs="Times New Roman"/>
          <w:color w:val="auto"/>
          <w:sz w:val="24"/>
          <w:szCs w:val="24"/>
        </w:rPr>
        <w:t>第一章</w:t>
      </w:r>
      <w:r>
        <w:rPr>
          <w:rFonts w:ascii="Times New Roman" w:hAnsi="Times New Roman" w:cs="Times New Roman"/>
          <w:color w:val="auto"/>
          <w:sz w:val="24"/>
          <w:szCs w:val="24"/>
        </w:rPr>
        <w:t xml:space="preserve"> </w:t>
      </w:r>
      <w:r>
        <w:rPr>
          <w:rFonts w:ascii="Times New Roman" w:cs="Times New Roman"/>
          <w:color w:val="auto"/>
          <w:sz w:val="24"/>
          <w:szCs w:val="24"/>
        </w:rPr>
        <w:t>货物需求、技术规格</w:t>
      </w:r>
      <w:r>
        <w:rPr>
          <w:rFonts w:ascii="Times New Roman" w:cs="Times New Roman"/>
          <w:color w:val="auto"/>
          <w:sz w:val="24"/>
          <w:szCs w:val="24"/>
          <w:lang w:val="en-US"/>
        </w:rPr>
        <w:t>说</w:t>
      </w:r>
      <w:r>
        <w:rPr>
          <w:rFonts w:ascii="Times New Roman" w:cs="Times New Roman"/>
          <w:color w:val="auto"/>
          <w:sz w:val="24"/>
          <w:szCs w:val="24"/>
        </w:rPr>
        <w:t>明</w:t>
      </w:r>
    </w:p>
    <w:p w14:paraId="112E069C">
      <w:pPr>
        <w:spacing w:before="1" w:line="364" w:lineRule="auto"/>
        <w:ind w:firstLine="482" w:firstLineChars="200"/>
        <w:rPr>
          <w:rFonts w:ascii="Times New Roman" w:hAnsi="Times New Roman" w:cs="Times New Roman"/>
          <w:b/>
          <w:color w:val="auto"/>
          <w:sz w:val="24"/>
        </w:rPr>
      </w:pPr>
      <w:r>
        <w:rPr>
          <w:rFonts w:ascii="Times New Roman" w:cs="Times New Roman"/>
          <w:b/>
          <w:color w:val="auto"/>
          <w:sz w:val="24"/>
        </w:rPr>
        <w:t>第七部分</w:t>
      </w:r>
      <w:r>
        <w:rPr>
          <w:rFonts w:ascii="Times New Roman" w:hAnsi="Times New Roman" w:cs="Times New Roman"/>
          <w:b/>
          <w:color w:val="auto"/>
          <w:sz w:val="24"/>
        </w:rPr>
        <w:t xml:space="preserve"> </w:t>
      </w:r>
      <w:r>
        <w:rPr>
          <w:rFonts w:hint="eastAsia" w:ascii="Times New Roman" w:cs="Times New Roman"/>
          <w:b/>
          <w:color w:val="auto"/>
          <w:sz w:val="24"/>
          <w:lang w:val="en-US"/>
        </w:rPr>
        <w:t>合同</w:t>
      </w:r>
      <w:r>
        <w:rPr>
          <w:rFonts w:ascii="Times New Roman" w:cs="Times New Roman"/>
          <w:b/>
          <w:color w:val="auto"/>
          <w:sz w:val="24"/>
        </w:rPr>
        <w:t>部分</w:t>
      </w:r>
    </w:p>
    <w:p w14:paraId="5411C4B3">
      <w:pPr>
        <w:tabs>
          <w:tab w:val="left" w:pos="2079"/>
        </w:tabs>
        <w:spacing w:before="2" w:line="364" w:lineRule="auto"/>
        <w:ind w:firstLine="482" w:firstLineChars="200"/>
        <w:rPr>
          <w:rFonts w:ascii="Times New Roman" w:cs="Times New Roman"/>
          <w:b/>
          <w:color w:val="auto"/>
          <w:sz w:val="24"/>
        </w:rPr>
      </w:pPr>
      <w:r>
        <w:rPr>
          <w:rFonts w:ascii="Times New Roman" w:cs="Times New Roman"/>
          <w:b/>
          <w:color w:val="auto"/>
          <w:sz w:val="24"/>
        </w:rPr>
        <w:t>第八部分</w:t>
      </w:r>
      <w:r>
        <w:rPr>
          <w:rFonts w:hint="eastAsia" w:ascii="Times New Roman" w:hAnsi="Times New Roman" w:cs="Times New Roman"/>
          <w:b/>
          <w:color w:val="auto"/>
          <w:sz w:val="24"/>
          <w:lang w:val="en-US"/>
        </w:rPr>
        <w:t xml:space="preserve"> </w:t>
      </w:r>
      <w:r>
        <w:rPr>
          <w:rFonts w:ascii="Times New Roman" w:cs="Times New Roman"/>
          <w:b/>
          <w:color w:val="auto"/>
          <w:sz w:val="24"/>
        </w:rPr>
        <w:t>投标文件的编制装订</w:t>
      </w:r>
    </w:p>
    <w:p w14:paraId="4823CC9A">
      <w:pPr>
        <w:rPr>
          <w:rFonts w:ascii="Times New Roman" w:hAnsi="Times New Roman" w:cs="Times New Roman"/>
          <w:color w:val="auto"/>
        </w:rPr>
      </w:pPr>
    </w:p>
    <w:p w14:paraId="7A9855AE">
      <w:pPr>
        <w:rPr>
          <w:rFonts w:ascii="Times New Roman" w:hAnsi="Times New Roman" w:cs="Times New Roman"/>
          <w:color w:val="auto"/>
        </w:rPr>
        <w:sectPr>
          <w:headerReference r:id="rId3" w:type="default"/>
          <w:footerReference r:id="rId4" w:type="default"/>
          <w:pgSz w:w="11910" w:h="16840"/>
          <w:pgMar w:top="1420" w:right="1134" w:bottom="1180" w:left="1160" w:header="878" w:footer="993" w:gutter="0"/>
          <w:pgNumType w:start="2"/>
          <w:cols w:space="720" w:num="1"/>
        </w:sectPr>
      </w:pPr>
    </w:p>
    <w:p w14:paraId="73C6E1A3">
      <w:pPr>
        <w:pStyle w:val="2"/>
        <w:spacing w:before="2"/>
        <w:ind w:left="0" w:leftChars="0" w:right="0" w:rightChars="0"/>
        <w:rPr>
          <w:color w:val="auto"/>
        </w:rPr>
      </w:pPr>
      <w:r>
        <w:rPr>
          <w:rFonts w:hint="eastAsia"/>
          <w:color w:val="auto"/>
          <w:lang w:val="en-US"/>
        </w:rPr>
        <w:t xml:space="preserve">第一部分 </w:t>
      </w:r>
      <w:r>
        <w:rPr>
          <w:color w:val="auto"/>
        </w:rPr>
        <w:t>招标公告</w:t>
      </w:r>
    </w:p>
    <w:p w14:paraId="50F9522A">
      <w:pPr>
        <w:spacing w:line="400" w:lineRule="exact"/>
        <w:jc w:val="center"/>
        <w:rPr>
          <w:rFonts w:hint="eastAsia" w:ascii="仿宋" w:hAnsi="仿宋" w:eastAsia="仿宋" w:cs="仿宋"/>
          <w:b/>
          <w:color w:val="auto"/>
          <w:sz w:val="32"/>
          <w:szCs w:val="32"/>
          <w:lang w:val="en-US"/>
        </w:rPr>
      </w:pPr>
      <w:r>
        <w:rPr>
          <w:rFonts w:hint="eastAsia" w:ascii="仿宋" w:hAnsi="仿宋" w:eastAsia="仿宋" w:cs="仿宋"/>
          <w:b/>
          <w:color w:val="auto"/>
          <w:sz w:val="32"/>
          <w:szCs w:val="32"/>
          <w:lang w:val="en-US" w:eastAsia="zh-CN"/>
        </w:rPr>
        <w:t>新和县2026年粮油等重点作物绿色高产高效项目（二次）</w:t>
      </w:r>
      <w:r>
        <w:rPr>
          <w:rFonts w:hint="eastAsia" w:ascii="仿宋" w:hAnsi="仿宋" w:eastAsia="仿宋" w:cs="仿宋"/>
          <w:b/>
          <w:color w:val="auto"/>
          <w:sz w:val="32"/>
          <w:szCs w:val="32"/>
          <w:lang w:val="en-US"/>
        </w:rPr>
        <w:t>公开招标公告</w:t>
      </w:r>
    </w:p>
    <w:p w14:paraId="38368932">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项目概况</w:t>
      </w:r>
    </w:p>
    <w:p w14:paraId="1F968403">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新和县2026年粮油等重点作物绿色高产高效项目（二次）</w:t>
      </w:r>
      <w:r>
        <w:rPr>
          <w:rFonts w:hint="eastAsia" w:ascii="仿宋" w:hAnsi="仿宋" w:eastAsia="仿宋" w:cs="仿宋"/>
          <w:color w:val="auto"/>
          <w:sz w:val="28"/>
          <w:szCs w:val="28"/>
        </w:rPr>
        <w:t>的潜在投标人应在政采云https://www.zcygov.cn/平台后进入“项目采购“应用，在获取文件菜单中选择项目，申请获取采购文件，并于</w:t>
      </w:r>
      <w:r>
        <w:rPr>
          <w:rFonts w:hint="eastAsia" w:ascii="仿宋" w:hAnsi="仿宋" w:eastAsia="仿宋" w:cs="仿宋"/>
          <w:b/>
          <w:bCs/>
          <w:color w:val="auto"/>
          <w:sz w:val="28"/>
          <w:szCs w:val="28"/>
        </w:rPr>
        <w:t>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年</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月</w:t>
      </w:r>
      <w:r>
        <w:rPr>
          <w:rFonts w:hint="eastAsia" w:ascii="仿宋" w:hAnsi="仿宋" w:eastAsia="仿宋" w:cs="仿宋"/>
          <w:b/>
          <w:bCs/>
          <w:color w:val="auto"/>
          <w:sz w:val="28"/>
          <w:szCs w:val="28"/>
          <w:lang w:val="en-US" w:eastAsia="zh-CN"/>
        </w:rPr>
        <w:t>28</w:t>
      </w:r>
      <w:r>
        <w:rPr>
          <w:rFonts w:hint="eastAsia" w:ascii="仿宋" w:hAnsi="仿宋" w:eastAsia="仿宋" w:cs="仿宋"/>
          <w:b/>
          <w:bCs/>
          <w:color w:val="auto"/>
          <w:sz w:val="28"/>
          <w:szCs w:val="28"/>
        </w:rPr>
        <w:t>日1</w:t>
      </w:r>
      <w:r>
        <w:rPr>
          <w:rFonts w:hint="eastAsia" w:ascii="仿宋" w:hAnsi="仿宋" w:eastAsia="仿宋" w:cs="仿宋"/>
          <w:b/>
          <w:bCs/>
          <w:color w:val="auto"/>
          <w:sz w:val="28"/>
          <w:szCs w:val="28"/>
          <w:lang w:val="en-US" w:eastAsia="zh-CN"/>
        </w:rPr>
        <w:t>0</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t>0</w:t>
      </w:r>
      <w:r>
        <w:rPr>
          <w:rFonts w:hint="eastAsia" w:ascii="仿宋" w:hAnsi="仿宋" w:eastAsia="仿宋" w:cs="仿宋"/>
          <w:color w:val="auto"/>
          <w:sz w:val="28"/>
          <w:szCs w:val="28"/>
        </w:rPr>
        <w:t>（北京时间）前递交投标文件。</w:t>
      </w:r>
    </w:p>
    <w:p w14:paraId="72D79266">
      <w:pPr>
        <w:pStyle w:val="22"/>
        <w:widowControl/>
        <w:spacing w:before="255" w:beforeAutospacing="0" w:after="255" w:afterAutospacing="0" w:line="300" w:lineRule="atLeast"/>
        <w:jc w:val="both"/>
        <w:rPr>
          <w:rFonts w:hint="eastAsia" w:ascii="仿宋" w:hAnsi="仿宋" w:eastAsia="仿宋" w:cs="仿宋"/>
          <w:color w:val="auto"/>
          <w:sz w:val="28"/>
          <w:szCs w:val="28"/>
        </w:rPr>
      </w:pPr>
      <w:r>
        <w:rPr>
          <w:rStyle w:val="29"/>
          <w:rFonts w:hint="eastAsia" w:ascii="仿宋" w:hAnsi="仿宋" w:eastAsia="仿宋" w:cs="仿宋"/>
          <w:color w:val="auto"/>
          <w:sz w:val="28"/>
          <w:szCs w:val="28"/>
        </w:rPr>
        <w:t>一、项目基本情况</w:t>
      </w:r>
    </w:p>
    <w:p w14:paraId="56BBEAB4">
      <w:pPr>
        <w:pStyle w:val="22"/>
        <w:widowControl/>
        <w:spacing w:before="75" w:beforeAutospacing="0" w:after="75" w:afterAutospacing="0" w:line="300" w:lineRule="atLeast"/>
        <w:ind w:firstLine="42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项目编号：</w:t>
      </w:r>
      <w:r>
        <w:rPr>
          <w:rFonts w:hint="eastAsia" w:ascii="仿宋" w:hAnsi="仿宋" w:eastAsia="仿宋" w:cs="仿宋"/>
          <w:color w:val="auto"/>
          <w:sz w:val="28"/>
          <w:szCs w:val="28"/>
          <w:lang w:val="en-US" w:eastAsia="zh-CN"/>
        </w:rPr>
        <w:t>ZFCG-2026-006-1</w:t>
      </w:r>
    </w:p>
    <w:p w14:paraId="6B970404">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lang w:val="en-US" w:eastAsia="zh-CN"/>
        </w:rPr>
        <w:t>新和县2026年粮油等重点作物绿色高产高效项目</w:t>
      </w:r>
      <w:r>
        <w:rPr>
          <w:rFonts w:hint="eastAsia" w:ascii="仿宋" w:hAnsi="仿宋" w:eastAsia="仿宋" w:cs="仿宋"/>
          <w:color w:val="auto"/>
          <w:sz w:val="28"/>
          <w:szCs w:val="28"/>
        </w:rPr>
        <w:t> </w:t>
      </w:r>
      <w:r>
        <w:rPr>
          <w:rFonts w:hint="eastAsia" w:ascii="仿宋" w:hAnsi="仿宋" w:eastAsia="仿宋" w:cs="仿宋"/>
          <w:color w:val="auto"/>
          <w:sz w:val="28"/>
          <w:szCs w:val="28"/>
          <w:lang w:val="en-US" w:eastAsia="zh-CN"/>
        </w:rPr>
        <w:t>（二次）</w:t>
      </w:r>
    </w:p>
    <w:p w14:paraId="79B97533">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采购方式：公开招标</w:t>
      </w:r>
    </w:p>
    <w:p w14:paraId="4A12AACA">
      <w:pPr>
        <w:pStyle w:val="22"/>
        <w:widowControl/>
        <w:spacing w:before="75" w:beforeAutospacing="0" w:after="75" w:afterAutospacing="0" w:line="300" w:lineRule="atLeast"/>
        <w:ind w:firstLine="42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预算金额（万元）：</w:t>
      </w:r>
      <w:r>
        <w:rPr>
          <w:rFonts w:hint="eastAsia" w:ascii="仿宋" w:hAnsi="仿宋" w:eastAsia="仿宋" w:cs="仿宋"/>
          <w:color w:val="auto"/>
          <w:sz w:val="28"/>
          <w:szCs w:val="28"/>
          <w:lang w:val="en-US" w:eastAsia="zh-CN"/>
        </w:rPr>
        <w:t>460万元</w:t>
      </w:r>
    </w:p>
    <w:p w14:paraId="083A3920">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最高限价（万元）：</w:t>
      </w:r>
      <w:r>
        <w:rPr>
          <w:rFonts w:hint="eastAsia" w:ascii="仿宋" w:hAnsi="仿宋" w:eastAsia="仿宋" w:cs="仿宋"/>
          <w:color w:val="auto"/>
          <w:sz w:val="28"/>
          <w:szCs w:val="28"/>
          <w:lang w:val="en-US" w:eastAsia="zh-CN"/>
        </w:rPr>
        <w:t>460万元</w:t>
      </w:r>
    </w:p>
    <w:p w14:paraId="46631983">
      <w:pPr>
        <w:pStyle w:val="22"/>
        <w:widowControl/>
        <w:spacing w:before="75" w:beforeAutospacing="0" w:after="75" w:afterAutospacing="0" w:line="300" w:lineRule="atLeast"/>
        <w:ind w:firstLine="42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标项名称:</w:t>
      </w:r>
      <w:r>
        <w:rPr>
          <w:rFonts w:hint="eastAsia" w:ascii="仿宋" w:hAnsi="仿宋" w:eastAsia="仿宋" w:cs="仿宋"/>
          <w:color w:val="auto"/>
          <w:sz w:val="28"/>
          <w:szCs w:val="28"/>
          <w:lang w:val="en-US" w:eastAsia="zh-CN"/>
        </w:rPr>
        <w:t>新和县2026年粮油等重点作物绿色高产高效项目（二次）</w:t>
      </w:r>
    </w:p>
    <w:p w14:paraId="76FD1DB9">
      <w:pPr>
        <w:pStyle w:val="22"/>
        <w:widowControl/>
        <w:spacing w:before="75" w:beforeAutospacing="0" w:after="75" w:afterAutospacing="0" w:line="300" w:lineRule="atLeast"/>
        <w:ind w:firstLine="420"/>
        <w:rPr>
          <w:rFonts w:hint="eastAsia" w:ascii="仿宋" w:hAnsi="仿宋" w:eastAsia="仿宋" w:cs="仿宋"/>
          <w:b/>
          <w:bCs/>
          <w:color w:val="auto"/>
          <w:sz w:val="28"/>
          <w:szCs w:val="28"/>
          <w:lang w:val="en-US" w:eastAsia="zh-CN"/>
        </w:rPr>
      </w:pPr>
      <w:r>
        <w:rPr>
          <w:rFonts w:hint="eastAsia" w:ascii="仿宋" w:hAnsi="仿宋" w:eastAsia="仿宋" w:cs="仿宋"/>
          <w:color w:val="auto"/>
          <w:sz w:val="28"/>
          <w:szCs w:val="28"/>
        </w:rPr>
        <w:t>数量:</w:t>
      </w:r>
      <w:r>
        <w:rPr>
          <w:rFonts w:hint="eastAsia" w:ascii="仿宋" w:hAnsi="仿宋" w:eastAsia="仿宋" w:cs="仿宋"/>
          <w:color w:val="auto"/>
          <w:sz w:val="28"/>
          <w:szCs w:val="28"/>
          <w:lang w:val="en-US" w:eastAsia="zh-CN"/>
        </w:rPr>
        <w:t xml:space="preserve"> 1</w:t>
      </w:r>
      <w:r>
        <w:rPr>
          <w:rFonts w:hint="eastAsia" w:ascii="仿宋" w:hAnsi="仿宋" w:eastAsia="仿宋" w:cs="仿宋"/>
          <w:b/>
          <w:bCs/>
          <w:color w:val="auto"/>
          <w:sz w:val="28"/>
          <w:szCs w:val="28"/>
          <w:lang w:val="en-US" w:eastAsia="zh-CN"/>
        </w:rPr>
        <w:t xml:space="preserve"> </w:t>
      </w:r>
    </w:p>
    <w:p w14:paraId="44AA7120">
      <w:pPr>
        <w:pStyle w:val="22"/>
        <w:widowControl/>
        <w:spacing w:before="75" w:beforeAutospacing="0" w:after="75" w:afterAutospacing="0" w:line="300" w:lineRule="atLeast"/>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rPr>
        <w:t>预算金额（万元）:</w:t>
      </w:r>
      <w:r>
        <w:rPr>
          <w:rFonts w:hint="eastAsia" w:ascii="仿宋" w:hAnsi="仿宋" w:eastAsia="仿宋" w:cs="仿宋"/>
          <w:color w:val="auto"/>
          <w:sz w:val="28"/>
          <w:szCs w:val="28"/>
          <w:lang w:val="en-US" w:eastAsia="zh-CN"/>
        </w:rPr>
        <w:t>460万元</w:t>
      </w:r>
    </w:p>
    <w:p w14:paraId="2FE602CA">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简要规格描述或项目基本概况介绍、用途：</w:t>
      </w:r>
      <w:r>
        <w:rPr>
          <w:rFonts w:hint="eastAsia" w:ascii="仿宋" w:hAnsi="仿宋" w:eastAsia="仿宋" w:cs="仿宋"/>
          <w:color w:val="auto"/>
          <w:sz w:val="28"/>
          <w:szCs w:val="28"/>
          <w:lang w:val="en-US" w:eastAsia="zh-CN"/>
        </w:rPr>
        <w:t>肥料采购</w:t>
      </w:r>
      <w:r>
        <w:rPr>
          <w:rFonts w:hint="eastAsia" w:ascii="仿宋" w:hAnsi="仿宋" w:eastAsia="仿宋" w:cs="仿宋"/>
          <w:color w:val="auto"/>
          <w:sz w:val="28"/>
          <w:szCs w:val="28"/>
        </w:rPr>
        <w:t>，具体</w:t>
      </w:r>
      <w:r>
        <w:rPr>
          <w:rFonts w:hint="eastAsia" w:ascii="仿宋" w:hAnsi="仿宋" w:eastAsia="仿宋" w:cs="仿宋"/>
          <w:color w:val="auto"/>
          <w:sz w:val="28"/>
          <w:szCs w:val="28"/>
          <w:lang w:val="en-US"/>
        </w:rPr>
        <w:t>内容</w:t>
      </w:r>
      <w:r>
        <w:rPr>
          <w:rFonts w:hint="eastAsia" w:ascii="仿宋" w:hAnsi="仿宋" w:eastAsia="仿宋" w:cs="仿宋"/>
          <w:color w:val="auto"/>
          <w:sz w:val="28"/>
          <w:szCs w:val="28"/>
        </w:rPr>
        <w:t>详见采购文件。</w:t>
      </w:r>
    </w:p>
    <w:p w14:paraId="160E02D8">
      <w:pPr>
        <w:pStyle w:val="22"/>
        <w:widowControl/>
        <w:spacing w:before="75" w:beforeAutospacing="0" w:after="75" w:afterAutospacing="0" w:line="300" w:lineRule="atLeast"/>
        <w:ind w:firstLine="420"/>
        <w:rPr>
          <w:rFonts w:hint="eastAsia" w:eastAsia="仿宋"/>
          <w:lang w:val="en-US" w:eastAsia="zh-CN"/>
        </w:rPr>
      </w:pPr>
      <w:r>
        <w:rPr>
          <w:rFonts w:hint="eastAsia" w:ascii="仿宋" w:hAnsi="仿宋" w:eastAsia="仿宋" w:cs="仿宋"/>
          <w:color w:val="auto"/>
          <w:sz w:val="28"/>
          <w:szCs w:val="28"/>
          <w:lang w:val="en-US" w:eastAsia="zh-CN"/>
        </w:rPr>
        <w:t>供货期：自合同签订之日起30日内完成供货。</w:t>
      </w:r>
    </w:p>
    <w:p w14:paraId="018717CF">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本项目</w:t>
      </w:r>
      <w:r>
        <w:rPr>
          <w:rFonts w:hint="eastAsia" w:ascii="仿宋" w:hAnsi="仿宋" w:eastAsia="仿宋" w:cs="仿宋"/>
          <w:color w:val="auto"/>
          <w:sz w:val="28"/>
          <w:szCs w:val="28"/>
          <w:lang w:val="en-US" w:eastAsia="zh-CN"/>
        </w:rPr>
        <w:t>不</w:t>
      </w:r>
      <w:r>
        <w:rPr>
          <w:rFonts w:hint="eastAsia" w:ascii="仿宋" w:hAnsi="仿宋" w:eastAsia="仿宋" w:cs="仿宋"/>
          <w:color w:val="auto"/>
          <w:sz w:val="28"/>
          <w:szCs w:val="28"/>
        </w:rPr>
        <w:t>接受联合体投标。</w:t>
      </w:r>
    </w:p>
    <w:p w14:paraId="111E8001">
      <w:pPr>
        <w:pStyle w:val="22"/>
        <w:widowControl/>
        <w:spacing w:before="75" w:beforeAutospacing="0" w:after="75" w:afterAutospacing="0" w:line="300" w:lineRule="atLeast"/>
        <w:rPr>
          <w:rFonts w:hint="eastAsia" w:ascii="仿宋" w:hAnsi="仿宋" w:eastAsia="仿宋" w:cs="仿宋"/>
          <w:color w:val="auto"/>
          <w:sz w:val="28"/>
          <w:szCs w:val="28"/>
        </w:rPr>
      </w:pPr>
      <w:r>
        <w:rPr>
          <w:rStyle w:val="29"/>
          <w:rFonts w:hint="eastAsia" w:ascii="仿宋" w:hAnsi="仿宋" w:eastAsia="仿宋" w:cs="仿宋"/>
          <w:color w:val="auto"/>
          <w:sz w:val="28"/>
          <w:szCs w:val="28"/>
        </w:rPr>
        <w:t>二、申请人的资格要求：</w:t>
      </w:r>
    </w:p>
    <w:p w14:paraId="762E89CF">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1.满足《中华人民共和国政府采购法》第二十二条规定；</w:t>
      </w:r>
    </w:p>
    <w:p w14:paraId="523330A4">
      <w:pPr>
        <w:pStyle w:val="22"/>
        <w:widowControl/>
        <w:spacing w:before="75" w:beforeAutospacing="0" w:after="75" w:afterAutospacing="0" w:line="300" w:lineRule="atLeast"/>
        <w:ind w:firstLine="420"/>
        <w:rPr>
          <w:rFonts w:hint="eastAsia" w:ascii="仿宋" w:hAnsi="仿宋" w:eastAsia="仿宋" w:cs="仿宋"/>
          <w:b/>
          <w:bCs/>
          <w:color w:val="auto"/>
          <w:sz w:val="28"/>
          <w:szCs w:val="28"/>
          <w:lang w:val="en-US" w:eastAsia="zh-CN"/>
        </w:rPr>
      </w:pPr>
      <w:r>
        <w:rPr>
          <w:rFonts w:hint="eastAsia" w:ascii="仿宋" w:hAnsi="仿宋" w:eastAsia="仿宋" w:cs="仿宋"/>
          <w:color w:val="auto"/>
          <w:sz w:val="28"/>
          <w:szCs w:val="28"/>
        </w:rPr>
        <w:t>2.落实政府采购政策需满足的资格要求：</w:t>
      </w:r>
      <w:r>
        <w:rPr>
          <w:rFonts w:hint="eastAsia" w:ascii="仿宋" w:hAnsi="仿宋" w:eastAsia="仿宋" w:cs="仿宋"/>
          <w:b/>
          <w:bCs/>
          <w:color w:val="auto"/>
          <w:sz w:val="28"/>
          <w:szCs w:val="28"/>
          <w:lang w:val="en-US" w:eastAsia="zh-CN"/>
        </w:rPr>
        <w:t>本项目不专门面向中小企业。</w:t>
      </w:r>
    </w:p>
    <w:p w14:paraId="1DEC49DF">
      <w:pPr>
        <w:spacing w:line="360" w:lineRule="auto"/>
        <w:ind w:firstLine="281" w:firstLineChars="100"/>
        <w:rPr>
          <w:rFonts w:hint="default"/>
          <w:color w:val="auto"/>
          <w:lang w:val="en-US" w:eastAsia="zh-CN"/>
        </w:rPr>
      </w:pPr>
      <w:r>
        <w:rPr>
          <w:rFonts w:hint="eastAsia" w:ascii="仿宋" w:hAnsi="仿宋" w:eastAsia="仿宋" w:cs="仿宋"/>
          <w:b/>
          <w:bCs/>
          <w:color w:val="auto"/>
          <w:sz w:val="28"/>
          <w:szCs w:val="28"/>
          <w:lang w:val="en-US" w:eastAsia="zh-CN"/>
        </w:rPr>
        <w:t>3、</w:t>
      </w:r>
      <w:r>
        <w:rPr>
          <w:rFonts w:ascii="仿宋" w:hAnsi="仿宋" w:eastAsia="仿宋" w:cs="仿宋"/>
          <w:i w:val="0"/>
          <w:iCs w:val="0"/>
          <w:caps w:val="0"/>
          <w:color w:val="auto"/>
          <w:spacing w:val="0"/>
          <w:sz w:val="27"/>
          <w:szCs w:val="27"/>
        </w:rPr>
        <w:t>本项目的特定资格要求：投标供应商是生产企业的需提供加盖公章的生产许可证、农药登记证、执行标准；代理经销商投标需提供农药经营许可证和加盖生产企业公章的农药登记证、生产许可证、执行标准，肥料产品需提供肥料登记证或网站备案文件。</w:t>
      </w:r>
    </w:p>
    <w:p w14:paraId="6030FDB8">
      <w:pPr>
        <w:pStyle w:val="22"/>
        <w:widowControl/>
        <w:spacing w:before="75" w:beforeAutospacing="0" w:after="75" w:afterAutospacing="0" w:line="300" w:lineRule="atLeast"/>
        <w:rPr>
          <w:rStyle w:val="29"/>
          <w:rFonts w:hint="eastAsia" w:ascii="仿宋" w:hAnsi="仿宋" w:eastAsia="仿宋" w:cs="仿宋"/>
          <w:color w:val="auto"/>
          <w:sz w:val="28"/>
          <w:szCs w:val="28"/>
        </w:rPr>
      </w:pPr>
      <w:r>
        <w:rPr>
          <w:rStyle w:val="29"/>
          <w:rFonts w:hint="eastAsia" w:ascii="仿宋" w:hAnsi="仿宋" w:eastAsia="仿宋" w:cs="仿宋"/>
          <w:color w:val="auto"/>
          <w:sz w:val="28"/>
          <w:szCs w:val="28"/>
        </w:rPr>
        <w:t>三、获取招标文件</w:t>
      </w:r>
    </w:p>
    <w:p w14:paraId="0F5FB5E1">
      <w:pPr>
        <w:pStyle w:val="22"/>
        <w:widowControl/>
        <w:spacing w:before="75" w:beforeAutospacing="0" w:after="75" w:afterAutospacing="0" w:line="300" w:lineRule="atLeast"/>
        <w:ind w:firstLine="420"/>
        <w:rPr>
          <w:rFonts w:hint="eastAsia" w:ascii="仿宋" w:hAnsi="仿宋" w:eastAsia="仿宋" w:cs="仿宋"/>
          <w:b/>
          <w:bCs/>
          <w:color w:val="auto"/>
          <w:sz w:val="28"/>
          <w:szCs w:val="28"/>
        </w:rPr>
      </w:pPr>
      <w:r>
        <w:rPr>
          <w:rFonts w:hint="eastAsia" w:ascii="仿宋" w:hAnsi="仿宋" w:eastAsia="仿宋" w:cs="仿宋"/>
          <w:b/>
          <w:bCs/>
          <w:color w:val="auto"/>
          <w:sz w:val="28"/>
          <w:szCs w:val="28"/>
        </w:rPr>
        <w:t>时间：202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年</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月</w:t>
      </w:r>
      <w:r>
        <w:rPr>
          <w:rFonts w:hint="eastAsia" w:ascii="仿宋" w:hAnsi="仿宋" w:eastAsia="仿宋" w:cs="仿宋"/>
          <w:b/>
          <w:bCs/>
          <w:color w:val="auto"/>
          <w:sz w:val="28"/>
          <w:szCs w:val="28"/>
          <w:lang w:val="en-US" w:eastAsia="zh-CN"/>
        </w:rPr>
        <w:t>08</w:t>
      </w:r>
      <w:r>
        <w:rPr>
          <w:rFonts w:hint="eastAsia" w:ascii="仿宋" w:hAnsi="仿宋" w:eastAsia="仿宋" w:cs="仿宋"/>
          <w:b/>
          <w:bCs/>
          <w:color w:val="auto"/>
          <w:sz w:val="28"/>
          <w:szCs w:val="28"/>
        </w:rPr>
        <w:t>日至202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年</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月</w:t>
      </w:r>
      <w:r>
        <w:rPr>
          <w:rFonts w:hint="eastAsia" w:ascii="仿宋" w:hAnsi="仿宋" w:eastAsia="仿宋" w:cs="仿宋"/>
          <w:b/>
          <w:bCs/>
          <w:color w:val="auto"/>
          <w:sz w:val="28"/>
          <w:szCs w:val="28"/>
          <w:lang w:val="en-US" w:eastAsia="zh-CN"/>
        </w:rPr>
        <w:t>14</w:t>
      </w:r>
      <w:r>
        <w:rPr>
          <w:rFonts w:hint="eastAsia" w:ascii="仿宋" w:hAnsi="仿宋" w:eastAsia="仿宋" w:cs="仿宋"/>
          <w:b/>
          <w:bCs/>
          <w:color w:val="auto"/>
          <w:sz w:val="28"/>
          <w:szCs w:val="28"/>
        </w:rPr>
        <w:t>日，每天上午</w:t>
      </w:r>
      <w:r>
        <w:rPr>
          <w:rFonts w:hint="eastAsia" w:ascii="仿宋" w:hAnsi="仿宋" w:eastAsia="仿宋" w:cs="仿宋"/>
          <w:b/>
          <w:bCs/>
          <w:color w:val="auto"/>
          <w:sz w:val="28"/>
          <w:szCs w:val="28"/>
          <w:lang w:val="en-US" w:eastAsia="zh-CN"/>
        </w:rPr>
        <w:t>00</w:t>
      </w:r>
      <w:r>
        <w:rPr>
          <w:rFonts w:hint="eastAsia" w:ascii="仿宋" w:hAnsi="仿宋" w:eastAsia="仿宋" w:cs="仿宋"/>
          <w:b/>
          <w:bCs/>
          <w:color w:val="auto"/>
          <w:sz w:val="28"/>
          <w:szCs w:val="28"/>
        </w:rPr>
        <w:t>:00至1</w:t>
      </w:r>
      <w:r>
        <w:rPr>
          <w:rFonts w:hint="eastAsia" w:ascii="仿宋" w:hAnsi="仿宋" w:eastAsia="仿宋" w:cs="仿宋"/>
          <w:b/>
          <w:bCs/>
          <w:color w:val="auto"/>
          <w:sz w:val="28"/>
          <w:szCs w:val="28"/>
          <w:lang w:val="en-US" w:eastAsia="zh-CN"/>
        </w:rPr>
        <w:t>4</w:t>
      </w:r>
      <w:r>
        <w:rPr>
          <w:rFonts w:hint="eastAsia" w:ascii="仿宋" w:hAnsi="仿宋" w:eastAsia="仿宋" w:cs="仿宋"/>
          <w:b/>
          <w:bCs/>
          <w:color w:val="auto"/>
          <w:sz w:val="28"/>
          <w:szCs w:val="28"/>
        </w:rPr>
        <w:t>:00，下午1</w:t>
      </w:r>
      <w:r>
        <w:rPr>
          <w:rFonts w:hint="eastAsia" w:ascii="仿宋" w:hAnsi="仿宋" w:eastAsia="仿宋" w:cs="仿宋"/>
          <w:b/>
          <w:bCs/>
          <w:color w:val="auto"/>
          <w:sz w:val="28"/>
          <w:szCs w:val="28"/>
          <w:lang w:val="en-US" w:eastAsia="zh-CN"/>
        </w:rPr>
        <w:t>4</w:t>
      </w:r>
      <w:r>
        <w:rPr>
          <w:rFonts w:hint="eastAsia" w:ascii="仿宋" w:hAnsi="仿宋" w:eastAsia="仿宋" w:cs="仿宋"/>
          <w:b/>
          <w:bCs/>
          <w:color w:val="auto"/>
          <w:sz w:val="28"/>
          <w:szCs w:val="28"/>
        </w:rPr>
        <w:t>:00至</w:t>
      </w:r>
      <w:r>
        <w:rPr>
          <w:rFonts w:hint="eastAsia" w:ascii="仿宋" w:hAnsi="仿宋" w:eastAsia="仿宋" w:cs="仿宋"/>
          <w:b/>
          <w:bCs/>
          <w:color w:val="auto"/>
          <w:sz w:val="28"/>
          <w:szCs w:val="28"/>
          <w:lang w:val="en-US" w:eastAsia="zh-CN"/>
        </w:rPr>
        <w:t>23</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59</w:t>
      </w:r>
      <w:r>
        <w:rPr>
          <w:rFonts w:hint="eastAsia" w:ascii="仿宋" w:hAnsi="仿宋" w:eastAsia="仿宋" w:cs="仿宋"/>
          <w:b/>
          <w:bCs/>
          <w:color w:val="auto"/>
          <w:sz w:val="28"/>
          <w:szCs w:val="28"/>
        </w:rPr>
        <w:t>（北京时间，法定节假日除外）</w:t>
      </w:r>
    </w:p>
    <w:p w14:paraId="1B20EE80">
      <w:pPr>
        <w:pStyle w:val="22"/>
        <w:widowControl/>
        <w:spacing w:before="75" w:beforeAutospacing="0" w:after="75" w:afterAutospacing="0" w:line="300" w:lineRule="atLeast"/>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rPr>
        <w:t>地点：政采云https://www.zcygov.cn/平台后进入“项目采购“应用，在获取文件菜单中选择项目，申请获取采购文件</w:t>
      </w:r>
    </w:p>
    <w:p w14:paraId="11ACEF4F">
      <w:pPr>
        <w:pStyle w:val="22"/>
        <w:widowControl/>
        <w:spacing w:before="75" w:beforeAutospacing="0" w:after="75" w:afterAutospacing="0" w:line="300" w:lineRule="atLeast"/>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rPr>
        <w:t>方式</w:t>
      </w:r>
      <w:r>
        <w:rPr>
          <w:rFonts w:hint="eastAsia" w:ascii="仿宋" w:hAnsi="仿宋" w:eastAsia="仿宋" w:cs="仿宋"/>
          <w:color w:val="auto"/>
          <w:sz w:val="28"/>
          <w:szCs w:val="28"/>
          <w:lang w:val="en-US"/>
        </w:rPr>
        <w:t>：</w:t>
      </w:r>
      <w:r>
        <w:rPr>
          <w:rFonts w:hint="eastAsia" w:ascii="仿宋" w:hAnsi="仿宋" w:eastAsia="仿宋" w:cs="仿宋"/>
          <w:color w:val="auto"/>
          <w:sz w:val="28"/>
          <w:szCs w:val="28"/>
        </w:rPr>
        <w:t>投标单位须办理</w:t>
      </w:r>
      <w:r>
        <w:rPr>
          <w:rFonts w:hint="eastAsia" w:ascii="仿宋" w:hAnsi="仿宋" w:eastAsia="仿宋" w:cs="仿宋"/>
          <w:color w:val="auto"/>
          <w:sz w:val="28"/>
          <w:szCs w:val="28"/>
          <w:lang w:val="en-US"/>
        </w:rPr>
        <w:t>CA</w:t>
      </w:r>
      <w:r>
        <w:rPr>
          <w:rFonts w:hint="eastAsia" w:ascii="仿宋" w:hAnsi="仿宋" w:eastAsia="仿宋" w:cs="仿宋"/>
          <w:color w:val="auto"/>
          <w:sz w:val="28"/>
          <w:szCs w:val="28"/>
        </w:rPr>
        <w:t>数字证书</w:t>
      </w:r>
      <w:r>
        <w:rPr>
          <w:rFonts w:hint="eastAsia" w:ascii="仿宋" w:hAnsi="仿宋" w:eastAsia="仿宋" w:cs="仿宋"/>
          <w:color w:val="auto"/>
          <w:sz w:val="28"/>
          <w:szCs w:val="28"/>
          <w:lang w:val="en-US"/>
        </w:rPr>
        <w:t>，</w:t>
      </w:r>
      <w:r>
        <w:rPr>
          <w:rFonts w:hint="eastAsia" w:ascii="仿宋" w:hAnsi="仿宋" w:eastAsia="仿宋" w:cs="仿宋"/>
          <w:color w:val="auto"/>
          <w:sz w:val="28"/>
          <w:szCs w:val="28"/>
        </w:rPr>
        <w:t>通过</w:t>
      </w:r>
      <w:r>
        <w:rPr>
          <w:rFonts w:hint="eastAsia" w:ascii="仿宋" w:hAnsi="仿宋" w:eastAsia="仿宋" w:cs="仿宋"/>
          <w:color w:val="auto"/>
          <w:sz w:val="28"/>
          <w:szCs w:val="28"/>
          <w:lang w:val="en-US"/>
        </w:rPr>
        <w:t>CA</w:t>
      </w:r>
      <w:r>
        <w:rPr>
          <w:rFonts w:hint="eastAsia" w:ascii="仿宋" w:hAnsi="仿宋" w:eastAsia="仿宋" w:cs="仿宋"/>
          <w:color w:val="auto"/>
          <w:sz w:val="28"/>
          <w:szCs w:val="28"/>
        </w:rPr>
        <w:t>数字证书登陆政采云平台</w:t>
      </w:r>
      <w:r>
        <w:rPr>
          <w:rFonts w:hint="eastAsia" w:ascii="仿宋" w:hAnsi="仿宋" w:eastAsia="仿宋" w:cs="仿宋"/>
          <w:color w:val="auto"/>
          <w:sz w:val="28"/>
          <w:szCs w:val="28"/>
          <w:lang w:val="en-US"/>
        </w:rPr>
        <w:t>https://www.zcygov.cn/，</w:t>
      </w:r>
      <w:r>
        <w:rPr>
          <w:rFonts w:hint="eastAsia" w:ascii="仿宋" w:hAnsi="仿宋" w:eastAsia="仿宋" w:cs="仿宋"/>
          <w:color w:val="auto"/>
          <w:sz w:val="28"/>
          <w:szCs w:val="28"/>
        </w:rPr>
        <w:t>进行下载采购文件。</w:t>
      </w:r>
    </w:p>
    <w:p w14:paraId="511F5C1C">
      <w:pPr>
        <w:pStyle w:val="22"/>
        <w:widowControl/>
        <w:spacing w:before="255" w:beforeAutospacing="0" w:after="255" w:afterAutospacing="0" w:line="300" w:lineRule="atLeast"/>
        <w:ind w:firstLine="413" w:firstLineChars="147"/>
        <w:jc w:val="both"/>
        <w:rPr>
          <w:rFonts w:hint="eastAsia" w:ascii="仿宋" w:hAnsi="仿宋" w:eastAsia="仿宋" w:cs="仿宋"/>
          <w:color w:val="auto"/>
          <w:sz w:val="28"/>
          <w:szCs w:val="28"/>
        </w:rPr>
      </w:pPr>
      <w:r>
        <w:rPr>
          <w:rStyle w:val="29"/>
          <w:rFonts w:hint="eastAsia" w:ascii="仿宋" w:hAnsi="仿宋" w:eastAsia="仿宋" w:cs="仿宋"/>
          <w:color w:val="auto"/>
          <w:sz w:val="28"/>
          <w:szCs w:val="28"/>
        </w:rPr>
        <w:t>四、提交投标文件截止时间、开标时间和地点</w:t>
      </w:r>
    </w:p>
    <w:p w14:paraId="52766D31">
      <w:pPr>
        <w:pStyle w:val="22"/>
        <w:widowControl/>
        <w:spacing w:before="75" w:beforeAutospacing="0" w:after="75" w:afterAutospacing="0" w:line="300" w:lineRule="atLeast"/>
        <w:ind w:firstLine="420"/>
        <w:rPr>
          <w:rFonts w:hint="eastAsia" w:ascii="仿宋" w:hAnsi="仿宋" w:eastAsia="仿宋" w:cs="仿宋"/>
          <w:b/>
          <w:bCs/>
          <w:color w:val="auto"/>
          <w:sz w:val="28"/>
          <w:szCs w:val="28"/>
        </w:rPr>
      </w:pPr>
      <w:r>
        <w:rPr>
          <w:rFonts w:hint="eastAsia" w:ascii="仿宋" w:hAnsi="仿宋" w:eastAsia="仿宋" w:cs="仿宋"/>
          <w:b/>
          <w:bCs/>
          <w:color w:val="auto"/>
          <w:sz w:val="28"/>
          <w:szCs w:val="28"/>
        </w:rPr>
        <w:t>提交投标文件截止时间：202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年</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月</w:t>
      </w:r>
      <w:r>
        <w:rPr>
          <w:rFonts w:hint="eastAsia" w:ascii="仿宋" w:hAnsi="仿宋" w:eastAsia="仿宋" w:cs="仿宋"/>
          <w:b/>
          <w:bCs/>
          <w:color w:val="auto"/>
          <w:sz w:val="28"/>
          <w:szCs w:val="28"/>
          <w:lang w:val="en-US" w:eastAsia="zh-CN"/>
        </w:rPr>
        <w:t>28</w:t>
      </w:r>
      <w:r>
        <w:rPr>
          <w:rFonts w:hint="eastAsia" w:ascii="仿宋" w:hAnsi="仿宋" w:eastAsia="仿宋" w:cs="仿宋"/>
          <w:b/>
          <w:bCs/>
          <w:color w:val="auto"/>
          <w:sz w:val="28"/>
          <w:szCs w:val="28"/>
        </w:rPr>
        <w:t>日1</w:t>
      </w:r>
      <w:r>
        <w:rPr>
          <w:rFonts w:hint="eastAsia" w:ascii="仿宋" w:hAnsi="仿宋" w:eastAsia="仿宋" w:cs="仿宋"/>
          <w:b/>
          <w:bCs/>
          <w:color w:val="auto"/>
          <w:sz w:val="28"/>
          <w:szCs w:val="28"/>
          <w:lang w:val="en-US" w:eastAsia="zh-CN"/>
        </w:rPr>
        <w:t>0</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rPr>
        <w:t>0（北京时间）</w:t>
      </w:r>
    </w:p>
    <w:p w14:paraId="6C1A2554">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投标地点：将</w:t>
      </w:r>
      <w:r>
        <w:rPr>
          <w:rFonts w:hint="eastAsia" w:ascii="仿宋" w:hAnsi="仿宋" w:eastAsia="仿宋" w:cs="仿宋"/>
          <w:color w:val="auto"/>
          <w:sz w:val="28"/>
          <w:szCs w:val="28"/>
          <w:lang w:val="en-US"/>
        </w:rPr>
        <w:t>投标</w:t>
      </w:r>
      <w:r>
        <w:rPr>
          <w:rFonts w:hint="eastAsia" w:ascii="仿宋" w:hAnsi="仿宋" w:eastAsia="仿宋" w:cs="仿宋"/>
          <w:color w:val="auto"/>
          <w:sz w:val="28"/>
          <w:szCs w:val="28"/>
        </w:rPr>
        <w:t>文件上传至政采云平台https://www.zcygov.cn/对应位置（逾期未上传的或不符合规定的投标文件将被拒绝接收）</w:t>
      </w:r>
    </w:p>
    <w:p w14:paraId="3C27E5F3">
      <w:pPr>
        <w:pStyle w:val="22"/>
        <w:widowControl/>
        <w:spacing w:before="75" w:beforeAutospacing="0" w:after="75" w:afterAutospacing="0" w:line="300" w:lineRule="atLeast"/>
        <w:ind w:firstLine="420"/>
        <w:rPr>
          <w:rFonts w:hint="eastAsia" w:ascii="仿宋" w:hAnsi="仿宋" w:eastAsia="仿宋" w:cs="仿宋"/>
          <w:b/>
          <w:bCs/>
          <w:color w:val="auto"/>
          <w:sz w:val="28"/>
          <w:szCs w:val="28"/>
        </w:rPr>
      </w:pPr>
      <w:r>
        <w:rPr>
          <w:rFonts w:hint="eastAsia" w:ascii="仿宋" w:hAnsi="仿宋" w:eastAsia="仿宋" w:cs="仿宋"/>
          <w:b/>
          <w:bCs/>
          <w:color w:val="auto"/>
          <w:sz w:val="28"/>
          <w:szCs w:val="28"/>
        </w:rPr>
        <w:t>开标时间：202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年</w:t>
      </w: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月</w:t>
      </w:r>
      <w:r>
        <w:rPr>
          <w:rFonts w:hint="eastAsia" w:ascii="仿宋" w:hAnsi="仿宋" w:eastAsia="仿宋" w:cs="仿宋"/>
          <w:b/>
          <w:bCs/>
          <w:color w:val="auto"/>
          <w:sz w:val="28"/>
          <w:szCs w:val="28"/>
          <w:lang w:val="en-US" w:eastAsia="zh-CN"/>
        </w:rPr>
        <w:t>28</w:t>
      </w:r>
      <w:r>
        <w:rPr>
          <w:rFonts w:hint="eastAsia" w:ascii="仿宋" w:hAnsi="仿宋" w:eastAsia="仿宋" w:cs="仿宋"/>
          <w:b/>
          <w:bCs/>
          <w:color w:val="auto"/>
          <w:sz w:val="28"/>
          <w:szCs w:val="28"/>
        </w:rPr>
        <w:t>日 1</w:t>
      </w:r>
      <w:r>
        <w:rPr>
          <w:rFonts w:hint="eastAsia" w:ascii="仿宋" w:hAnsi="仿宋" w:eastAsia="仿宋" w:cs="仿宋"/>
          <w:b/>
          <w:bCs/>
          <w:color w:val="auto"/>
          <w:sz w:val="28"/>
          <w:szCs w:val="28"/>
          <w:lang w:val="en-US" w:eastAsia="zh-CN"/>
        </w:rPr>
        <w:t>0</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30</w:t>
      </w:r>
      <w:r>
        <w:rPr>
          <w:rFonts w:hint="eastAsia" w:ascii="仿宋" w:hAnsi="仿宋" w:eastAsia="仿宋" w:cs="仿宋"/>
          <w:b/>
          <w:bCs/>
          <w:color w:val="auto"/>
          <w:sz w:val="28"/>
          <w:szCs w:val="28"/>
        </w:rPr>
        <w:t>（北京时间）</w:t>
      </w:r>
    </w:p>
    <w:p w14:paraId="07CAE329">
      <w:pPr>
        <w:pStyle w:val="22"/>
        <w:widowControl/>
        <w:spacing w:before="75" w:beforeAutospacing="0" w:after="75" w:afterAutospacing="0" w:line="300" w:lineRule="atLeast"/>
        <w:ind w:firstLine="420"/>
        <w:rPr>
          <w:rFonts w:hint="eastAsia" w:ascii="仿宋" w:hAnsi="仿宋" w:eastAsia="仿宋" w:cs="仿宋"/>
          <w:color w:val="auto"/>
          <w:sz w:val="28"/>
          <w:szCs w:val="28"/>
        </w:rPr>
      </w:pPr>
      <w:r>
        <w:rPr>
          <w:rFonts w:hint="eastAsia" w:ascii="仿宋" w:hAnsi="仿宋" w:eastAsia="仿宋" w:cs="仿宋"/>
          <w:color w:val="auto"/>
          <w:sz w:val="28"/>
          <w:szCs w:val="28"/>
        </w:rPr>
        <w:t>开标地点：将</w:t>
      </w:r>
      <w:r>
        <w:rPr>
          <w:rFonts w:hint="eastAsia" w:ascii="仿宋" w:hAnsi="仿宋" w:eastAsia="仿宋" w:cs="仿宋"/>
          <w:color w:val="auto"/>
          <w:sz w:val="28"/>
          <w:szCs w:val="28"/>
          <w:lang w:val="en-US"/>
        </w:rPr>
        <w:t>投标</w:t>
      </w:r>
      <w:r>
        <w:rPr>
          <w:rFonts w:hint="eastAsia" w:ascii="仿宋" w:hAnsi="仿宋" w:eastAsia="仿宋" w:cs="仿宋"/>
          <w:color w:val="auto"/>
          <w:sz w:val="28"/>
          <w:szCs w:val="28"/>
        </w:rPr>
        <w:t>文件上传至政采云平台https://www.zcygov.cn/对应位置（逾期未上传的或不符合规定的投标文件将被拒绝接收）</w:t>
      </w:r>
    </w:p>
    <w:p w14:paraId="5C4444C0">
      <w:pPr>
        <w:pStyle w:val="22"/>
        <w:widowControl/>
        <w:spacing w:before="255" w:beforeAutospacing="0" w:after="255" w:afterAutospacing="0" w:line="300" w:lineRule="atLeast"/>
        <w:jc w:val="both"/>
        <w:rPr>
          <w:rFonts w:hint="eastAsia" w:ascii="仿宋" w:hAnsi="仿宋" w:eastAsia="仿宋" w:cs="仿宋"/>
          <w:color w:val="auto"/>
          <w:sz w:val="28"/>
          <w:szCs w:val="28"/>
        </w:rPr>
      </w:pPr>
      <w:r>
        <w:rPr>
          <w:rStyle w:val="29"/>
          <w:rFonts w:hint="eastAsia" w:ascii="仿宋" w:hAnsi="仿宋" w:eastAsia="仿宋" w:cs="仿宋"/>
          <w:color w:val="auto"/>
          <w:sz w:val="28"/>
          <w:szCs w:val="28"/>
        </w:rPr>
        <w:t>五、公告期限</w:t>
      </w:r>
    </w:p>
    <w:p w14:paraId="582FFF39">
      <w:pPr>
        <w:pStyle w:val="22"/>
        <w:widowControl/>
        <w:spacing w:before="75" w:beforeAutospacing="0" w:after="75" w:afterAutospacing="0"/>
        <w:ind w:firstLine="420"/>
        <w:rPr>
          <w:rFonts w:hint="eastAsia" w:ascii="仿宋" w:hAnsi="仿宋" w:eastAsia="仿宋" w:cs="仿宋"/>
          <w:color w:val="auto"/>
          <w:sz w:val="28"/>
          <w:szCs w:val="28"/>
        </w:rPr>
      </w:pPr>
      <w:r>
        <w:rPr>
          <w:rFonts w:hint="eastAsia" w:ascii="仿宋" w:hAnsi="仿宋" w:eastAsia="仿宋" w:cs="仿宋"/>
          <w:color w:val="auto"/>
          <w:sz w:val="28"/>
          <w:szCs w:val="28"/>
        </w:rPr>
        <w:t>自本公告发布之日起5个工作日。</w:t>
      </w:r>
    </w:p>
    <w:p w14:paraId="14432B46">
      <w:pPr>
        <w:pStyle w:val="22"/>
        <w:widowControl/>
        <w:numPr>
          <w:ilvl w:val="0"/>
          <w:numId w:val="2"/>
        </w:numPr>
        <w:spacing w:before="255" w:beforeAutospacing="0" w:after="255" w:afterAutospacing="0" w:line="300" w:lineRule="atLeast"/>
        <w:jc w:val="both"/>
        <w:rPr>
          <w:rStyle w:val="29"/>
          <w:rFonts w:hint="eastAsia" w:ascii="仿宋" w:hAnsi="仿宋" w:eastAsia="仿宋" w:cs="仿宋"/>
          <w:color w:val="auto"/>
          <w:sz w:val="28"/>
          <w:szCs w:val="28"/>
        </w:rPr>
      </w:pPr>
      <w:r>
        <w:rPr>
          <w:rStyle w:val="29"/>
          <w:rFonts w:hint="eastAsia" w:ascii="仿宋" w:hAnsi="仿宋" w:eastAsia="仿宋" w:cs="仿宋"/>
          <w:color w:val="auto"/>
          <w:sz w:val="28"/>
          <w:szCs w:val="28"/>
        </w:rPr>
        <w:t>其他补充事宜</w:t>
      </w:r>
    </w:p>
    <w:p w14:paraId="10628010">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1、请投标单位随时关注本项目的澄清、答疑、变更事项。</w:t>
      </w:r>
    </w:p>
    <w:p w14:paraId="4CF10776">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2、本项目实行电子招投标，供应商须登录政采云平台申请获取招标文件，并通过政采云电子投标客户端制作投标文件，同时自行承担与投标有关的一切费用。</w:t>
      </w:r>
    </w:p>
    <w:p w14:paraId="5B56E9C3">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3、各供应商应在开标前应确保成为政采云平台供应商，并完成 CA 数字证书(符合国密标准) 申领。因未注册入库、未办理CA数字证书等原因造成无法投标或投标失败等后果由供应商自行承担。</w:t>
      </w:r>
    </w:p>
    <w:p w14:paraId="4E06D50E">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4、供应商可前往新疆政府采购网(http://www.ccgp-xinjiang.gov.cn/)下载专区，下载政采云电子投标客户端，安装完成后，可通过账号密码或CA登录客户端进行响应文件制作。在使用政采云电子投标客户端时，建议使用WIN7及以上操作系统。如需咨询，请联系新疆CA服务热线 0991-2819290。</w:t>
      </w:r>
    </w:p>
    <w:p w14:paraId="580F801B">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5、本项目采用不见面开标，供应商须在投标截止时间前通过CA在政采云平台上传加密的电子响应文件。供应商对不见面开评标系统的技术操作咨询，可通过https://edu.zcygov.cn/luban/xinjiang-e-biding 自助查询，也可在政采云帮助中心常见问题解答和操作流程讲解视频中自助查询，网址为：https://service.zcygov.cn/#/help，“项目采购”—“操作流程-电子招投标”— “政府采购项目电子交易管理操作指南-供应商”版面获取操作指南，同时对自助查询无法解决的问题可通过钉钉群及政采云在线客服获取服务支持。</w:t>
      </w:r>
    </w:p>
    <w:p w14:paraId="64189B38">
      <w:pPr>
        <w:pStyle w:val="22"/>
        <w:widowControl/>
        <w:spacing w:before="75" w:beforeAutospacing="0" w:after="75" w:afterAutospacing="0"/>
        <w:ind w:firstLine="420"/>
        <w:rPr>
          <w:rStyle w:val="29"/>
          <w:rFonts w:hint="eastAsia" w:ascii="仿宋" w:hAnsi="仿宋" w:eastAsia="仿宋" w:cs="仿宋"/>
          <w:color w:val="auto"/>
          <w:sz w:val="28"/>
          <w:szCs w:val="28"/>
        </w:rPr>
      </w:pPr>
      <w:r>
        <w:rPr>
          <w:rFonts w:hint="eastAsia" w:ascii="仿宋" w:hAnsi="仿宋" w:eastAsia="仿宋" w:cs="仿宋"/>
          <w:color w:val="auto"/>
          <w:sz w:val="28"/>
          <w:szCs w:val="28"/>
          <w:lang w:val="en-US"/>
        </w:rPr>
        <w:t>6、供应商在开标前须提前配置好电脑浏览器(建议使用360浏览器或谷歌浏览器) ，开标时请使用制作加密电子响应文件的CA锁进行解密及报价确认。本项目响应文件解密时间定为30分钟，如因自身原因导致无法正常解密，后果由供应商自行承担。</w:t>
      </w:r>
    </w:p>
    <w:p w14:paraId="48B902C3">
      <w:pPr>
        <w:pStyle w:val="22"/>
        <w:widowControl/>
        <w:spacing w:before="255" w:beforeAutospacing="0" w:after="255" w:afterAutospacing="0" w:line="480" w:lineRule="atLeast"/>
        <w:jc w:val="both"/>
        <w:rPr>
          <w:rFonts w:hint="eastAsia" w:ascii="仿宋" w:hAnsi="仿宋" w:eastAsia="仿宋" w:cs="仿宋"/>
          <w:color w:val="auto"/>
          <w:sz w:val="28"/>
          <w:szCs w:val="28"/>
          <w:lang w:val="en-US"/>
        </w:rPr>
      </w:pPr>
      <w:r>
        <w:rPr>
          <w:rStyle w:val="29"/>
          <w:rFonts w:hint="eastAsia" w:ascii="仿宋" w:hAnsi="仿宋" w:eastAsia="仿宋" w:cs="仿宋"/>
          <w:color w:val="auto"/>
          <w:sz w:val="28"/>
          <w:szCs w:val="28"/>
        </w:rPr>
        <w:t>七、对本次</w:t>
      </w:r>
      <w:r>
        <w:rPr>
          <w:rStyle w:val="29"/>
          <w:rFonts w:hint="eastAsia" w:ascii="仿宋" w:hAnsi="仿宋" w:eastAsia="仿宋" w:cs="仿宋"/>
          <w:color w:val="auto"/>
          <w:sz w:val="28"/>
          <w:szCs w:val="28"/>
          <w:lang w:val="en-US" w:eastAsia="zh-CN"/>
        </w:rPr>
        <w:t xml:space="preserve">   </w:t>
      </w:r>
      <w:r>
        <w:rPr>
          <w:rStyle w:val="29"/>
          <w:rFonts w:hint="eastAsia" w:ascii="仿宋" w:hAnsi="仿宋" w:eastAsia="仿宋" w:cs="仿宋"/>
          <w:color w:val="auto"/>
          <w:sz w:val="28"/>
          <w:szCs w:val="28"/>
        </w:rPr>
        <w:t>采购提出询问，请按以下方式联系</w:t>
      </w:r>
    </w:p>
    <w:p w14:paraId="503CB4FE">
      <w:pPr>
        <w:pStyle w:val="22"/>
        <w:widowControl/>
        <w:spacing w:before="75" w:beforeAutospacing="0" w:after="75" w:afterAutospacing="0"/>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1.采购人信息</w:t>
      </w:r>
    </w:p>
    <w:p w14:paraId="5C3B077F">
      <w:pPr>
        <w:pStyle w:val="22"/>
        <w:widowControl/>
        <w:spacing w:before="75" w:beforeAutospacing="0" w:after="75" w:afterAutospacing="0"/>
        <w:ind w:firstLine="42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rPr>
        <w:t>名   称：新和县农业技术推广中心</w:t>
      </w:r>
      <w:r>
        <w:rPr>
          <w:rFonts w:hint="eastAsia" w:ascii="仿宋" w:hAnsi="仿宋" w:eastAsia="仿宋" w:cs="仿宋"/>
          <w:color w:val="auto"/>
          <w:sz w:val="28"/>
          <w:szCs w:val="28"/>
          <w:lang w:val="en-US" w:eastAsia="zh-CN"/>
        </w:rPr>
        <w:t xml:space="preserve">  </w:t>
      </w:r>
    </w:p>
    <w:p w14:paraId="49E6478D">
      <w:pPr>
        <w:pStyle w:val="22"/>
        <w:widowControl/>
        <w:spacing w:before="75" w:beforeAutospacing="0" w:after="75" w:afterAutospacing="0"/>
        <w:ind w:firstLine="420"/>
        <w:rPr>
          <w:rFonts w:hint="eastAsia" w:ascii="仿宋" w:hAnsi="仿宋" w:eastAsia="仿宋" w:cs="仿宋"/>
          <w:b/>
          <w:bCs w:val="0"/>
          <w:color w:val="auto"/>
          <w:sz w:val="28"/>
          <w:szCs w:val="28"/>
        </w:rPr>
      </w:pPr>
      <w:r>
        <w:rPr>
          <w:rFonts w:hint="eastAsia" w:ascii="仿宋" w:hAnsi="仿宋" w:eastAsia="仿宋" w:cs="仿宋"/>
          <w:color w:val="auto"/>
          <w:sz w:val="28"/>
          <w:szCs w:val="28"/>
        </w:rPr>
        <w:t>地 址：新和县农业技术推广中心</w:t>
      </w:r>
      <w:r>
        <w:rPr>
          <w:rFonts w:hint="eastAsia" w:ascii="仿宋" w:hAnsi="仿宋" w:eastAsia="仿宋" w:cs="仿宋"/>
          <w:color w:val="auto"/>
          <w:sz w:val="28"/>
          <w:szCs w:val="28"/>
          <w:lang w:val="en-US" w:eastAsia="zh-CN"/>
        </w:rPr>
        <w:t xml:space="preserve">  </w:t>
      </w:r>
    </w:p>
    <w:p w14:paraId="43D60441">
      <w:pPr>
        <w:ind w:left="0" w:leftChars="0" w:firstLine="512" w:firstLineChars="183"/>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联系人：</w:t>
      </w:r>
      <w:r>
        <w:rPr>
          <w:rFonts w:hint="eastAsia" w:ascii="仿宋" w:hAnsi="仿宋" w:eastAsia="仿宋" w:cs="仿宋"/>
          <w:color w:val="auto"/>
          <w:sz w:val="28"/>
          <w:szCs w:val="28"/>
          <w:lang w:val="en-US" w:eastAsia="zh-CN"/>
        </w:rPr>
        <w:t>黄庆林</w:t>
      </w:r>
    </w:p>
    <w:p w14:paraId="17C38847">
      <w:pPr>
        <w:pStyle w:val="22"/>
        <w:widowControl/>
        <w:spacing w:before="75" w:beforeAutospacing="0" w:after="75" w:afterAutospacing="0"/>
        <w:ind w:firstLine="420"/>
        <w:rPr>
          <w:rFonts w:hint="eastAsia" w:ascii="仿宋" w:hAnsi="仿宋" w:eastAsia="仿宋" w:cs="仿宋"/>
          <w:color w:val="auto"/>
          <w:sz w:val="28"/>
          <w:szCs w:val="28"/>
        </w:rPr>
      </w:pPr>
      <w:r>
        <w:rPr>
          <w:rFonts w:hint="eastAsia" w:ascii="仿宋" w:hAnsi="仿宋" w:eastAsia="仿宋" w:cs="仿宋"/>
          <w:color w:val="auto"/>
          <w:sz w:val="28"/>
          <w:szCs w:val="28"/>
        </w:rPr>
        <w:t>联系电话：</w:t>
      </w:r>
      <w:r>
        <w:rPr>
          <w:rFonts w:hint="eastAsia" w:ascii="仿宋" w:hAnsi="仿宋" w:eastAsia="仿宋" w:cs="仿宋"/>
          <w:color w:val="auto"/>
          <w:sz w:val="28"/>
          <w:szCs w:val="28"/>
          <w:lang w:val="en-US" w:eastAsia="zh-CN"/>
        </w:rPr>
        <w:t> 15701952025</w:t>
      </w:r>
    </w:p>
    <w:p w14:paraId="2E1C446B">
      <w:pPr>
        <w:pStyle w:val="22"/>
        <w:widowControl/>
        <w:spacing w:before="75" w:beforeAutospacing="0" w:after="75" w:afterAutospacing="0"/>
        <w:ind w:firstLine="420"/>
        <w:rPr>
          <w:rFonts w:hint="eastAsia" w:ascii="仿宋" w:hAnsi="仿宋" w:eastAsia="仿宋" w:cs="仿宋"/>
          <w:color w:val="auto"/>
          <w:sz w:val="28"/>
          <w:szCs w:val="28"/>
          <w:lang w:val="en-US" w:eastAsia="zh-CN"/>
        </w:rPr>
      </w:pPr>
    </w:p>
    <w:p w14:paraId="1F51F8FD">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采购代理机构信息</w:t>
      </w:r>
    </w:p>
    <w:p w14:paraId="2E3B393C">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名  称：</w:t>
      </w:r>
      <w:r>
        <w:rPr>
          <w:rFonts w:hint="eastAsia" w:ascii="仿宋" w:hAnsi="仿宋" w:eastAsia="仿宋" w:cs="仿宋"/>
          <w:color w:val="auto"/>
          <w:sz w:val="28"/>
          <w:szCs w:val="28"/>
          <w:lang w:val="en-US" w:eastAsia="zh-CN"/>
        </w:rPr>
        <w:t>新疆国恩工程管理有限公司</w:t>
      </w:r>
      <w:r>
        <w:rPr>
          <w:rFonts w:hint="eastAsia" w:ascii="仿宋" w:hAnsi="仿宋" w:eastAsia="仿宋" w:cs="仿宋"/>
          <w:color w:val="auto"/>
          <w:sz w:val="28"/>
          <w:szCs w:val="28"/>
          <w:lang w:val="en-US"/>
        </w:rPr>
        <w:t>　　　　　　　　　　　　</w:t>
      </w:r>
    </w:p>
    <w:p w14:paraId="112FBA30">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地　址：</w:t>
      </w:r>
      <w:r>
        <w:rPr>
          <w:rFonts w:hint="eastAsia" w:ascii="仿宋" w:hAnsi="仿宋" w:eastAsia="仿宋" w:cs="仿宋"/>
          <w:color w:val="auto"/>
          <w:sz w:val="28"/>
          <w:szCs w:val="28"/>
          <w:lang w:val="en-US" w:eastAsia="zh-CN"/>
        </w:rPr>
        <w:t>新疆昌吉回族自治州昌吉市建国路街道嘉顺社区青年南路青年壹号A座1311室(73区2丘1栋)</w:t>
      </w:r>
      <w:r>
        <w:rPr>
          <w:rFonts w:hint="eastAsia" w:ascii="仿宋" w:hAnsi="仿宋" w:eastAsia="仿宋" w:cs="仿宋"/>
          <w:color w:val="auto"/>
          <w:sz w:val="28"/>
          <w:szCs w:val="28"/>
          <w:lang w:val="en-US"/>
        </w:rPr>
        <w:t>　　　　　　　　　　</w:t>
      </w:r>
    </w:p>
    <w:p w14:paraId="1BF98BF8">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联系人：</w:t>
      </w:r>
      <w:r>
        <w:rPr>
          <w:rFonts w:hint="eastAsia" w:ascii="仿宋" w:hAnsi="仿宋" w:eastAsia="仿宋" w:cs="仿宋"/>
          <w:color w:val="auto"/>
          <w:sz w:val="28"/>
          <w:szCs w:val="28"/>
          <w:lang w:val="en-US" w:eastAsia="zh-CN"/>
        </w:rPr>
        <w:t>李玉玲</w:t>
      </w:r>
      <w:r>
        <w:rPr>
          <w:rFonts w:hint="eastAsia" w:ascii="仿宋" w:hAnsi="仿宋" w:eastAsia="仿宋" w:cs="仿宋"/>
          <w:color w:val="auto"/>
          <w:sz w:val="28"/>
          <w:szCs w:val="28"/>
          <w:lang w:val="en-US"/>
        </w:rPr>
        <w:t xml:space="preserve"> </w:t>
      </w:r>
    </w:p>
    <w:p w14:paraId="0CBA93C8">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联系方式：</w:t>
      </w:r>
      <w:r>
        <w:rPr>
          <w:rFonts w:hint="eastAsia" w:ascii="仿宋" w:hAnsi="仿宋" w:eastAsia="仿宋" w:cs="仿宋"/>
          <w:color w:val="auto"/>
          <w:sz w:val="28"/>
          <w:szCs w:val="28"/>
          <w:lang w:val="en-US" w:eastAsia="zh-CN"/>
        </w:rPr>
        <w:t>15099505833</w:t>
      </w:r>
      <w:r>
        <w:rPr>
          <w:rFonts w:hint="eastAsia" w:ascii="仿宋" w:hAnsi="仿宋" w:eastAsia="仿宋" w:cs="仿宋"/>
          <w:color w:val="auto"/>
          <w:sz w:val="28"/>
          <w:szCs w:val="28"/>
          <w:lang w:val="en-US"/>
        </w:rPr>
        <w:t>　　　　　　　　　　</w:t>
      </w:r>
    </w:p>
    <w:p w14:paraId="65CE1AC1">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rPr>
        <w:t>3.项目联系方式</w:t>
      </w:r>
    </w:p>
    <w:p w14:paraId="0C8589A9">
      <w:pPr>
        <w:pStyle w:val="22"/>
        <w:widowControl/>
        <w:spacing w:before="75" w:beforeAutospacing="0" w:after="75" w:afterAutospacing="0" w:line="360" w:lineRule="auto"/>
        <w:ind w:firstLine="420"/>
        <w:rPr>
          <w:rFonts w:hint="eastAsia" w:ascii="仿宋" w:hAnsi="仿宋" w:eastAsia="仿宋" w:cs="仿宋"/>
          <w:color w:val="auto"/>
          <w:sz w:val="28"/>
          <w:szCs w:val="28"/>
          <w:lang w:val="en-US"/>
        </w:rPr>
      </w:pPr>
      <w:r>
        <w:rPr>
          <w:rFonts w:hint="eastAsia" w:ascii="仿宋" w:hAnsi="仿宋" w:eastAsia="仿宋" w:cs="仿宋"/>
          <w:color w:val="auto"/>
          <w:sz w:val="28"/>
          <w:szCs w:val="28"/>
          <w:lang w:val="en-US" w:eastAsia="zh-CN"/>
        </w:rPr>
        <w:t>项目</w:t>
      </w:r>
      <w:r>
        <w:rPr>
          <w:rFonts w:hint="eastAsia" w:ascii="仿宋" w:hAnsi="仿宋" w:eastAsia="仿宋" w:cs="仿宋"/>
          <w:color w:val="auto"/>
          <w:sz w:val="28"/>
          <w:szCs w:val="28"/>
          <w:lang w:val="en-US"/>
        </w:rPr>
        <w:t>联系人：</w:t>
      </w:r>
      <w:r>
        <w:rPr>
          <w:rFonts w:hint="eastAsia" w:ascii="仿宋" w:hAnsi="仿宋" w:eastAsia="仿宋" w:cs="仿宋"/>
          <w:color w:val="auto"/>
          <w:sz w:val="28"/>
          <w:szCs w:val="28"/>
          <w:lang w:val="en-US" w:eastAsia="zh-CN"/>
        </w:rPr>
        <w:t>李玉玲</w:t>
      </w:r>
    </w:p>
    <w:p w14:paraId="7EFB2BE2">
      <w:pPr>
        <w:spacing w:line="360" w:lineRule="auto"/>
        <w:ind w:firstLine="280" w:firstLineChars="100"/>
        <w:jc w:val="both"/>
        <w:rPr>
          <w:rFonts w:hint="eastAsia" w:ascii="仿宋" w:hAnsi="仿宋" w:eastAsia="仿宋" w:cs="仿宋"/>
          <w:color w:val="auto"/>
          <w:sz w:val="28"/>
          <w:szCs w:val="28"/>
          <w:lang w:val="en-US" w:eastAsia="zh-CN"/>
        </w:rPr>
        <w:sectPr>
          <w:footerReference r:id="rId5" w:type="default"/>
          <w:pgSz w:w="11910" w:h="16840"/>
          <w:pgMar w:top="1440" w:right="1800" w:bottom="1440" w:left="1800" w:header="878" w:footer="993" w:gutter="0"/>
          <w:cols w:space="720" w:num="1"/>
        </w:sectPr>
      </w:pPr>
      <w:r>
        <w:rPr>
          <w:rFonts w:hint="eastAsia" w:ascii="仿宋" w:hAnsi="仿宋" w:eastAsia="仿宋" w:cs="仿宋"/>
          <w:color w:val="auto"/>
          <w:kern w:val="1"/>
          <w:sz w:val="28"/>
          <w:szCs w:val="28"/>
          <w:lang w:val="en-US" w:eastAsia="zh-CN" w:bidi="zh-CN"/>
        </w:rPr>
        <w:t>联系方式：15099505833</w:t>
      </w:r>
    </w:p>
    <w:p w14:paraId="7B9EFE7B">
      <w:pPr>
        <w:pStyle w:val="2"/>
        <w:spacing w:before="2"/>
        <w:ind w:left="0" w:leftChars="0" w:right="0" w:rightChars="0"/>
        <w:rPr>
          <w:color w:val="auto"/>
        </w:rPr>
      </w:pPr>
      <w:r>
        <w:rPr>
          <w:color w:val="auto"/>
        </w:rPr>
        <w:t>第二部分 投标须知</w:t>
      </w:r>
    </w:p>
    <w:p w14:paraId="35AFD56A">
      <w:pPr>
        <w:rPr>
          <w:rFonts w:ascii="Times New Roman" w:hAnsi="Times New Roman" w:cs="Times New Roman"/>
          <w:color w:val="auto"/>
          <w:lang w:val="en-US"/>
        </w:rPr>
      </w:pPr>
      <w:r>
        <w:rPr>
          <w:rFonts w:ascii="Times New Roman" w:hAnsi="Times New Roman" w:cs="Times New Roman"/>
          <w:color w:val="auto"/>
          <w:lang w:val="en-US"/>
        </w:rPr>
        <w:t xml:space="preserve">                                </w:t>
      </w:r>
      <w:r>
        <w:rPr>
          <w:rFonts w:ascii="Times New Roman" w:hAnsi="Times New Roman" w:cs="Times New Roman"/>
          <w:b/>
          <w:bCs/>
          <w:color w:val="auto"/>
          <w:sz w:val="28"/>
          <w:szCs w:val="28"/>
          <w:lang w:val="en-US"/>
        </w:rPr>
        <w:t xml:space="preserve">     </w:t>
      </w:r>
      <w:r>
        <w:rPr>
          <w:rFonts w:ascii="Times New Roman" w:cs="Times New Roman"/>
          <w:b/>
          <w:bCs/>
          <w:color w:val="auto"/>
          <w:sz w:val="28"/>
          <w:szCs w:val="28"/>
          <w:lang w:val="en-US"/>
        </w:rPr>
        <w:t>投标须知前附表</w:t>
      </w:r>
    </w:p>
    <w:tbl>
      <w:tblPr>
        <w:tblStyle w:val="2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79"/>
        <w:gridCol w:w="1594"/>
        <w:gridCol w:w="7246"/>
      </w:tblGrid>
      <w:tr w14:paraId="02BE9B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979" w:type="dxa"/>
            <w:vAlign w:val="center"/>
          </w:tcPr>
          <w:p w14:paraId="416ACABE">
            <w:pPr>
              <w:jc w:val="center"/>
              <w:rPr>
                <w:rFonts w:ascii="Times New Roman" w:hAnsi="Times New Roman" w:cs="Times New Roman"/>
                <w:color w:val="auto"/>
                <w:sz w:val="24"/>
                <w:szCs w:val="24"/>
              </w:rPr>
            </w:pPr>
            <w:r>
              <w:rPr>
                <w:rFonts w:ascii="Times New Roman" w:cs="Times New Roman"/>
                <w:color w:val="auto"/>
                <w:sz w:val="24"/>
                <w:szCs w:val="24"/>
              </w:rPr>
              <w:t>序号</w:t>
            </w:r>
          </w:p>
        </w:tc>
        <w:tc>
          <w:tcPr>
            <w:tcW w:w="1594" w:type="dxa"/>
            <w:vAlign w:val="center"/>
          </w:tcPr>
          <w:p w14:paraId="7001174E">
            <w:pPr>
              <w:jc w:val="center"/>
              <w:rPr>
                <w:rFonts w:ascii="Times New Roman" w:hAnsi="Times New Roman" w:cs="Times New Roman"/>
                <w:color w:val="auto"/>
                <w:sz w:val="24"/>
                <w:szCs w:val="24"/>
              </w:rPr>
            </w:pPr>
            <w:r>
              <w:rPr>
                <w:rFonts w:ascii="Times New Roman" w:cs="Times New Roman"/>
                <w:color w:val="auto"/>
                <w:sz w:val="24"/>
                <w:szCs w:val="24"/>
              </w:rPr>
              <w:t>名称</w:t>
            </w:r>
          </w:p>
        </w:tc>
        <w:tc>
          <w:tcPr>
            <w:tcW w:w="7246" w:type="dxa"/>
            <w:vAlign w:val="center"/>
          </w:tcPr>
          <w:p w14:paraId="32751B12">
            <w:pPr>
              <w:ind w:firstLine="240" w:firstLineChars="100"/>
              <w:jc w:val="center"/>
              <w:rPr>
                <w:rFonts w:ascii="Times New Roman" w:hAnsi="Times New Roman" w:cs="Times New Roman"/>
                <w:color w:val="auto"/>
                <w:sz w:val="24"/>
                <w:szCs w:val="24"/>
              </w:rPr>
            </w:pPr>
            <w:r>
              <w:rPr>
                <w:rFonts w:ascii="Times New Roman" w:cs="Times New Roman"/>
                <w:color w:val="auto"/>
                <w:sz w:val="24"/>
                <w:szCs w:val="24"/>
              </w:rPr>
              <w:t>内容</w:t>
            </w:r>
          </w:p>
        </w:tc>
      </w:tr>
      <w:tr w14:paraId="7F85D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979" w:type="dxa"/>
            <w:vAlign w:val="center"/>
          </w:tcPr>
          <w:p w14:paraId="0ED5D3C4">
            <w:pPr>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w:t>
            </w:r>
          </w:p>
        </w:tc>
        <w:tc>
          <w:tcPr>
            <w:tcW w:w="1594" w:type="dxa"/>
            <w:vAlign w:val="center"/>
          </w:tcPr>
          <w:p w14:paraId="516B2871">
            <w:pPr>
              <w:jc w:val="center"/>
              <w:rPr>
                <w:rFonts w:ascii="Times New Roman" w:hAnsi="Times New Roman" w:cs="Times New Roman"/>
                <w:color w:val="auto"/>
                <w:sz w:val="24"/>
                <w:szCs w:val="24"/>
              </w:rPr>
            </w:pPr>
            <w:r>
              <w:rPr>
                <w:rFonts w:ascii="Times New Roman" w:cs="Times New Roman"/>
                <w:color w:val="auto"/>
                <w:sz w:val="24"/>
                <w:szCs w:val="24"/>
              </w:rPr>
              <w:t>采购人</w:t>
            </w:r>
          </w:p>
        </w:tc>
        <w:tc>
          <w:tcPr>
            <w:tcW w:w="7246" w:type="dxa"/>
            <w:vAlign w:val="center"/>
          </w:tcPr>
          <w:p w14:paraId="2F7AC78D">
            <w:pPr>
              <w:jc w:val="both"/>
              <w:rPr>
                <w:rFonts w:hint="eastAsia"/>
                <w:color w:val="auto"/>
                <w:sz w:val="24"/>
                <w:szCs w:val="24"/>
              </w:rPr>
            </w:pPr>
            <w:r>
              <w:rPr>
                <w:rFonts w:hint="eastAsia"/>
                <w:color w:val="auto"/>
                <w:sz w:val="24"/>
                <w:szCs w:val="24"/>
              </w:rPr>
              <w:t>名称：</w:t>
            </w:r>
            <w:r>
              <w:rPr>
                <w:rFonts w:hint="eastAsia"/>
                <w:color w:val="auto"/>
                <w:sz w:val="24"/>
                <w:szCs w:val="24"/>
                <w:lang w:val="en-US"/>
              </w:rPr>
              <w:t>新和县农业技术推广中心</w:t>
            </w:r>
            <w:r>
              <w:rPr>
                <w:rFonts w:hint="eastAsia"/>
                <w:color w:val="auto"/>
                <w:sz w:val="24"/>
                <w:szCs w:val="24"/>
                <w:lang w:val="en-US" w:eastAsia="zh-CN"/>
              </w:rPr>
              <w:t xml:space="preserve"> </w:t>
            </w:r>
          </w:p>
          <w:p w14:paraId="0F0F774D">
            <w:pPr>
              <w:jc w:val="both"/>
              <w:rPr>
                <w:rFonts w:hint="eastAsia"/>
                <w:color w:val="auto"/>
                <w:sz w:val="24"/>
                <w:szCs w:val="24"/>
                <w:lang w:val="en-US"/>
              </w:rPr>
            </w:pPr>
            <w:r>
              <w:rPr>
                <w:rFonts w:hint="eastAsia"/>
                <w:color w:val="auto"/>
                <w:sz w:val="24"/>
                <w:szCs w:val="24"/>
              </w:rPr>
              <w:t>联系人：</w:t>
            </w:r>
            <w:r>
              <w:rPr>
                <w:rFonts w:hint="eastAsia"/>
                <w:color w:val="auto"/>
                <w:sz w:val="24"/>
                <w:szCs w:val="24"/>
                <w:lang w:val="en-US" w:eastAsia="zh-CN"/>
              </w:rPr>
              <w:t>黄庆林</w:t>
            </w:r>
          </w:p>
          <w:p w14:paraId="5BB42BC6">
            <w:pPr>
              <w:pStyle w:val="22"/>
              <w:widowControl/>
              <w:spacing w:before="75" w:beforeAutospacing="0" w:after="75" w:afterAutospacing="0"/>
              <w:rPr>
                <w:rFonts w:hint="eastAsia" w:ascii="Times New Roman" w:hAnsi="Times New Roman" w:eastAsia="宋体"/>
                <w:color w:val="auto"/>
                <w:szCs w:val="24"/>
                <w:lang w:eastAsia="zh-CN"/>
              </w:rPr>
            </w:pPr>
            <w:r>
              <w:rPr>
                <w:rFonts w:hint="eastAsia" w:cs="宋体"/>
                <w:color w:val="auto"/>
                <w:szCs w:val="24"/>
              </w:rPr>
              <w:t>联系电话：</w:t>
            </w:r>
            <w:r>
              <w:rPr>
                <w:rFonts w:hint="eastAsia" w:cs="宋体"/>
                <w:color w:val="auto"/>
                <w:szCs w:val="24"/>
                <w:lang w:val="en-US" w:eastAsia="zh-CN"/>
              </w:rPr>
              <w:t>15701952025</w:t>
            </w:r>
          </w:p>
        </w:tc>
      </w:tr>
      <w:tr w14:paraId="26282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80" w:hRule="atLeast"/>
          <w:jc w:val="center"/>
        </w:trPr>
        <w:tc>
          <w:tcPr>
            <w:tcW w:w="979" w:type="dxa"/>
            <w:vAlign w:val="center"/>
          </w:tcPr>
          <w:p w14:paraId="427B025D">
            <w:pPr>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w:t>
            </w:r>
          </w:p>
        </w:tc>
        <w:tc>
          <w:tcPr>
            <w:tcW w:w="1594" w:type="dxa"/>
            <w:vAlign w:val="center"/>
          </w:tcPr>
          <w:p w14:paraId="6E019ACC">
            <w:pPr>
              <w:jc w:val="center"/>
              <w:rPr>
                <w:rFonts w:ascii="Times New Roman" w:hAnsi="Times New Roman" w:cs="Times New Roman"/>
                <w:color w:val="auto"/>
                <w:sz w:val="24"/>
                <w:szCs w:val="24"/>
              </w:rPr>
            </w:pPr>
            <w:r>
              <w:rPr>
                <w:rFonts w:ascii="Times New Roman" w:cs="Times New Roman"/>
                <w:color w:val="auto"/>
                <w:sz w:val="24"/>
                <w:szCs w:val="24"/>
              </w:rPr>
              <w:t>采购代理机构</w:t>
            </w:r>
          </w:p>
        </w:tc>
        <w:tc>
          <w:tcPr>
            <w:tcW w:w="7246" w:type="dxa"/>
            <w:vAlign w:val="center"/>
          </w:tcPr>
          <w:p w14:paraId="7BEB8111">
            <w:pPr>
              <w:jc w:val="both"/>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名称：新疆国恩工程管理有限公司</w:t>
            </w:r>
          </w:p>
          <w:p w14:paraId="78C4EF5A">
            <w:pPr>
              <w:jc w:val="both"/>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地址：新疆昌吉回族自治州昌吉市建国路街道嘉顺社区青年南路青年壹号A座1311室(73区2丘1栋)</w:t>
            </w:r>
          </w:p>
          <w:p w14:paraId="5434ADE6">
            <w:pPr>
              <w:jc w:val="both"/>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联系人：李玉玲</w:t>
            </w:r>
          </w:p>
          <w:p w14:paraId="5359E248">
            <w:pPr>
              <w:jc w:val="both"/>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eastAsia="zh-CN"/>
              </w:rPr>
              <w:t>电话：15099505833</w:t>
            </w:r>
          </w:p>
        </w:tc>
      </w:tr>
      <w:tr w14:paraId="0B23D1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979" w:type="dxa"/>
            <w:vMerge w:val="restart"/>
            <w:vAlign w:val="center"/>
          </w:tcPr>
          <w:p w14:paraId="5821A75A">
            <w:pPr>
              <w:jc w:val="center"/>
              <w:rPr>
                <w:rFonts w:ascii="Times New Roman" w:hAnsi="Times New Roman" w:cs="Times New Roman"/>
                <w:color w:val="auto"/>
                <w:sz w:val="24"/>
                <w:szCs w:val="24"/>
              </w:rPr>
            </w:pPr>
            <w:r>
              <w:rPr>
                <w:rFonts w:ascii="Times New Roman" w:hAnsi="Times New Roman" w:cs="Times New Roman"/>
                <w:color w:val="auto"/>
                <w:sz w:val="24"/>
                <w:szCs w:val="24"/>
                <w:lang w:val="en-US"/>
              </w:rPr>
              <w:t>3</w:t>
            </w:r>
          </w:p>
        </w:tc>
        <w:tc>
          <w:tcPr>
            <w:tcW w:w="1594" w:type="dxa"/>
            <w:vAlign w:val="center"/>
          </w:tcPr>
          <w:p w14:paraId="5CE108BD">
            <w:pPr>
              <w:jc w:val="center"/>
              <w:rPr>
                <w:rFonts w:ascii="Times New Roman" w:hAnsi="Times New Roman" w:cs="Times New Roman"/>
                <w:color w:val="auto"/>
                <w:sz w:val="24"/>
                <w:szCs w:val="24"/>
              </w:rPr>
            </w:pPr>
            <w:r>
              <w:rPr>
                <w:rFonts w:ascii="Times New Roman" w:cs="Times New Roman"/>
                <w:color w:val="auto"/>
                <w:sz w:val="24"/>
                <w:szCs w:val="24"/>
              </w:rPr>
              <w:t>项目编号</w:t>
            </w:r>
          </w:p>
        </w:tc>
        <w:tc>
          <w:tcPr>
            <w:tcW w:w="7246" w:type="dxa"/>
            <w:vAlign w:val="center"/>
          </w:tcPr>
          <w:p w14:paraId="71D8B70B">
            <w:pPr>
              <w:jc w:val="both"/>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eastAsia="zh-CN"/>
              </w:rPr>
              <w:t>ZFCG-2026-006</w:t>
            </w:r>
            <w:r>
              <w:rPr>
                <w:rFonts w:hint="eastAsia" w:ascii="Times New Roman" w:hAnsi="Times New Roman" w:cs="Times New Roman"/>
                <w:color w:val="auto"/>
                <w:sz w:val="24"/>
                <w:szCs w:val="24"/>
                <w:lang w:val="en-US" w:eastAsia="zh-CN"/>
              </w:rPr>
              <w:t>-1</w:t>
            </w:r>
          </w:p>
        </w:tc>
      </w:tr>
      <w:tr w14:paraId="303C8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979" w:type="dxa"/>
            <w:vMerge w:val="continue"/>
            <w:vAlign w:val="center"/>
          </w:tcPr>
          <w:p w14:paraId="71900ED6">
            <w:pPr>
              <w:jc w:val="center"/>
              <w:rPr>
                <w:rFonts w:ascii="Times New Roman" w:hAnsi="Times New Roman" w:cs="Times New Roman"/>
                <w:color w:val="auto"/>
                <w:sz w:val="24"/>
                <w:szCs w:val="24"/>
              </w:rPr>
            </w:pPr>
          </w:p>
        </w:tc>
        <w:tc>
          <w:tcPr>
            <w:tcW w:w="1594" w:type="dxa"/>
            <w:vAlign w:val="center"/>
          </w:tcPr>
          <w:p w14:paraId="58A228BB">
            <w:pPr>
              <w:jc w:val="both"/>
              <w:rPr>
                <w:rFonts w:hint="eastAsia" w:ascii="宋体" w:hAnsi="宋体" w:eastAsia="宋体" w:cs="宋体"/>
                <w:color w:val="auto"/>
                <w:kern w:val="1"/>
                <w:sz w:val="24"/>
                <w:szCs w:val="24"/>
                <w:lang w:val="en-US" w:eastAsia="zh-CN" w:bidi="zh-CN"/>
              </w:rPr>
            </w:pPr>
            <w:r>
              <w:rPr>
                <w:rFonts w:hint="eastAsia" w:ascii="宋体" w:hAnsi="宋体" w:eastAsia="宋体" w:cs="宋体"/>
                <w:color w:val="auto"/>
                <w:kern w:val="1"/>
                <w:sz w:val="24"/>
                <w:szCs w:val="24"/>
                <w:lang w:val="en-US" w:eastAsia="zh-CN" w:bidi="zh-CN"/>
              </w:rPr>
              <w:t>项目名称</w:t>
            </w:r>
          </w:p>
        </w:tc>
        <w:tc>
          <w:tcPr>
            <w:tcW w:w="7246" w:type="dxa"/>
            <w:vAlign w:val="center"/>
          </w:tcPr>
          <w:p w14:paraId="13A52DFF">
            <w:pPr>
              <w:jc w:val="both"/>
              <w:rPr>
                <w:rFonts w:hint="default" w:ascii="宋体" w:hAnsi="宋体" w:eastAsia="宋体" w:cs="宋体"/>
                <w:color w:val="auto"/>
                <w:kern w:val="1"/>
                <w:sz w:val="24"/>
                <w:szCs w:val="24"/>
                <w:lang w:val="en-US" w:eastAsia="zh-CN" w:bidi="zh-CN"/>
              </w:rPr>
            </w:pPr>
            <w:r>
              <w:rPr>
                <w:rFonts w:hint="eastAsia" w:ascii="宋体" w:hAnsi="宋体" w:eastAsia="宋体" w:cs="宋体"/>
                <w:color w:val="auto"/>
                <w:kern w:val="1"/>
                <w:sz w:val="24"/>
                <w:szCs w:val="24"/>
                <w:lang w:val="en-US" w:eastAsia="zh-CN" w:bidi="zh-CN"/>
              </w:rPr>
              <w:t>新和县2026年粮油等重点作物绿色高产高效项目</w:t>
            </w:r>
            <w:r>
              <w:rPr>
                <w:rFonts w:hint="eastAsia" w:cs="宋体"/>
                <w:color w:val="auto"/>
                <w:kern w:val="1"/>
                <w:sz w:val="24"/>
                <w:szCs w:val="24"/>
                <w:lang w:val="en-US" w:eastAsia="zh-CN" w:bidi="zh-CN"/>
              </w:rPr>
              <w:t>（二次）</w:t>
            </w:r>
          </w:p>
        </w:tc>
      </w:tr>
      <w:tr w14:paraId="36618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979" w:type="dxa"/>
            <w:vMerge w:val="continue"/>
            <w:vAlign w:val="center"/>
          </w:tcPr>
          <w:p w14:paraId="43CEF380">
            <w:pPr>
              <w:jc w:val="center"/>
              <w:rPr>
                <w:rFonts w:ascii="Times New Roman" w:hAnsi="Times New Roman" w:cs="Times New Roman"/>
                <w:color w:val="auto"/>
                <w:sz w:val="24"/>
                <w:szCs w:val="24"/>
              </w:rPr>
            </w:pPr>
          </w:p>
        </w:tc>
        <w:tc>
          <w:tcPr>
            <w:tcW w:w="1594" w:type="dxa"/>
            <w:vAlign w:val="center"/>
          </w:tcPr>
          <w:p w14:paraId="665C1F07">
            <w:pPr>
              <w:jc w:val="center"/>
              <w:rPr>
                <w:rFonts w:ascii="Times New Roman" w:hAnsi="Times New Roman" w:cs="Times New Roman"/>
                <w:color w:val="auto"/>
                <w:sz w:val="24"/>
                <w:szCs w:val="24"/>
                <w:lang w:val="en-US"/>
              </w:rPr>
            </w:pPr>
            <w:r>
              <w:rPr>
                <w:rFonts w:ascii="Times New Roman" w:cs="Times New Roman"/>
                <w:color w:val="auto"/>
                <w:sz w:val="24"/>
                <w:szCs w:val="24"/>
                <w:lang w:val="en-US"/>
              </w:rPr>
              <w:t>采购方式</w:t>
            </w:r>
          </w:p>
        </w:tc>
        <w:tc>
          <w:tcPr>
            <w:tcW w:w="7246" w:type="dxa"/>
            <w:vAlign w:val="center"/>
          </w:tcPr>
          <w:p w14:paraId="583EAC5D">
            <w:pPr>
              <w:jc w:val="both"/>
              <w:rPr>
                <w:rFonts w:hint="eastAsia" w:ascii="Times New Roman" w:hAnsi="Times New Roman" w:cs="Times New Roman"/>
                <w:color w:val="auto"/>
                <w:sz w:val="24"/>
                <w:szCs w:val="24"/>
                <w:lang w:val="en-US"/>
              </w:rPr>
            </w:pPr>
            <w:r>
              <w:rPr>
                <w:rFonts w:hint="eastAsia" w:ascii="Times New Roman" w:cs="Times New Roman"/>
                <w:color w:val="auto"/>
                <w:sz w:val="24"/>
                <w:szCs w:val="24"/>
                <w:lang w:val="en-US"/>
              </w:rPr>
              <w:t>公开招标</w:t>
            </w:r>
          </w:p>
        </w:tc>
      </w:tr>
      <w:tr w14:paraId="4DB12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0" w:hRule="atLeast"/>
          <w:jc w:val="center"/>
        </w:trPr>
        <w:tc>
          <w:tcPr>
            <w:tcW w:w="979" w:type="dxa"/>
            <w:vMerge w:val="continue"/>
            <w:vAlign w:val="center"/>
          </w:tcPr>
          <w:p w14:paraId="031BC14A">
            <w:pPr>
              <w:jc w:val="center"/>
              <w:rPr>
                <w:rFonts w:ascii="Times New Roman" w:hAnsi="Times New Roman" w:cs="Times New Roman"/>
                <w:color w:val="auto"/>
                <w:sz w:val="24"/>
                <w:szCs w:val="24"/>
              </w:rPr>
            </w:pPr>
          </w:p>
        </w:tc>
        <w:tc>
          <w:tcPr>
            <w:tcW w:w="1594" w:type="dxa"/>
            <w:vAlign w:val="center"/>
          </w:tcPr>
          <w:p w14:paraId="5F75B7D6">
            <w:pPr>
              <w:pStyle w:val="40"/>
              <w:adjustRightInd/>
              <w:jc w:val="center"/>
              <w:outlineLvl w:val="0"/>
              <w:rPr>
                <w:color w:val="auto"/>
                <w:lang w:bidi="zh-CN"/>
              </w:rPr>
            </w:pPr>
            <w:r>
              <w:rPr>
                <w:rFonts w:hAnsi="宋体"/>
                <w:color w:val="auto"/>
                <w:lang w:bidi="zh-CN"/>
              </w:rPr>
              <w:t>资金来源</w:t>
            </w:r>
          </w:p>
        </w:tc>
        <w:tc>
          <w:tcPr>
            <w:tcW w:w="7246" w:type="dxa"/>
            <w:vAlign w:val="center"/>
          </w:tcPr>
          <w:p w14:paraId="46BA6C5B">
            <w:pPr>
              <w:pStyle w:val="40"/>
              <w:jc w:val="both"/>
              <w:outlineLvl w:val="0"/>
              <w:rPr>
                <w:color w:val="auto"/>
                <w:lang w:bidi="zh-CN"/>
              </w:rPr>
            </w:pPr>
            <w:r>
              <w:rPr>
                <w:rFonts w:hint="eastAsia"/>
                <w:color w:val="auto"/>
                <w:lang w:bidi="zh-CN"/>
              </w:rPr>
              <w:t>财政资金</w:t>
            </w:r>
          </w:p>
        </w:tc>
      </w:tr>
      <w:tr w14:paraId="2CB21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Merge w:val="continue"/>
            <w:vAlign w:val="center"/>
          </w:tcPr>
          <w:p w14:paraId="7E40B95A">
            <w:pPr>
              <w:jc w:val="center"/>
              <w:rPr>
                <w:rFonts w:ascii="Times New Roman" w:hAnsi="Times New Roman" w:cs="Times New Roman"/>
                <w:color w:val="auto"/>
                <w:sz w:val="24"/>
                <w:szCs w:val="24"/>
              </w:rPr>
            </w:pPr>
          </w:p>
        </w:tc>
        <w:tc>
          <w:tcPr>
            <w:tcW w:w="1594" w:type="dxa"/>
            <w:vAlign w:val="center"/>
          </w:tcPr>
          <w:p w14:paraId="325B39E4">
            <w:pPr>
              <w:jc w:val="center"/>
              <w:rPr>
                <w:rFonts w:ascii="Times New Roman" w:hAnsi="Times New Roman" w:cs="Times New Roman"/>
                <w:color w:val="auto"/>
                <w:sz w:val="24"/>
                <w:szCs w:val="24"/>
                <w:lang w:val="en-US"/>
              </w:rPr>
            </w:pPr>
            <w:r>
              <w:rPr>
                <w:rFonts w:ascii="Times New Roman" w:cs="Times New Roman"/>
                <w:color w:val="auto"/>
                <w:sz w:val="24"/>
                <w:szCs w:val="24"/>
              </w:rPr>
              <w:t>资格审查方式</w:t>
            </w:r>
          </w:p>
        </w:tc>
        <w:tc>
          <w:tcPr>
            <w:tcW w:w="7246" w:type="dxa"/>
            <w:vAlign w:val="center"/>
          </w:tcPr>
          <w:p w14:paraId="63ABB133">
            <w:pPr>
              <w:pStyle w:val="40"/>
              <w:jc w:val="both"/>
              <w:outlineLvl w:val="0"/>
              <w:rPr>
                <w:rFonts w:hint="eastAsia"/>
                <w:color w:val="auto"/>
                <w:lang w:bidi="zh-CN"/>
              </w:rPr>
            </w:pPr>
            <w:r>
              <w:rPr>
                <w:rFonts w:hint="eastAsia"/>
                <w:color w:val="auto"/>
                <w:lang w:bidi="zh-CN"/>
              </w:rPr>
              <w:t>资格后审</w:t>
            </w:r>
          </w:p>
        </w:tc>
      </w:tr>
      <w:tr w14:paraId="6451A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979" w:type="dxa"/>
            <w:vMerge w:val="continue"/>
            <w:vAlign w:val="center"/>
          </w:tcPr>
          <w:p w14:paraId="5A5ACE5E">
            <w:pPr>
              <w:jc w:val="center"/>
              <w:rPr>
                <w:rFonts w:ascii="Times New Roman" w:hAnsi="Times New Roman" w:cs="Times New Roman"/>
                <w:color w:val="auto"/>
                <w:sz w:val="24"/>
                <w:szCs w:val="24"/>
              </w:rPr>
            </w:pPr>
          </w:p>
        </w:tc>
        <w:tc>
          <w:tcPr>
            <w:tcW w:w="1594" w:type="dxa"/>
            <w:vAlign w:val="center"/>
          </w:tcPr>
          <w:p w14:paraId="1C3F4E97">
            <w:pPr>
              <w:jc w:val="center"/>
              <w:rPr>
                <w:rFonts w:ascii="Times New Roman" w:cs="Times New Roman"/>
                <w:color w:val="auto"/>
                <w:sz w:val="24"/>
                <w:szCs w:val="24"/>
              </w:rPr>
            </w:pPr>
            <w:r>
              <w:rPr>
                <w:rFonts w:ascii="Times New Roman" w:cs="Times New Roman"/>
                <w:color w:val="auto"/>
                <w:sz w:val="24"/>
                <w:szCs w:val="24"/>
                <w:lang w:val="en-US"/>
              </w:rPr>
              <w:t>采购内容</w:t>
            </w:r>
          </w:p>
        </w:tc>
        <w:tc>
          <w:tcPr>
            <w:tcW w:w="7246" w:type="dxa"/>
            <w:vAlign w:val="center"/>
          </w:tcPr>
          <w:p w14:paraId="6C24A983">
            <w:pPr>
              <w:pStyle w:val="40"/>
              <w:jc w:val="both"/>
              <w:outlineLvl w:val="0"/>
              <w:rPr>
                <w:rFonts w:hint="eastAsia"/>
                <w:color w:val="auto"/>
                <w:lang w:bidi="zh-CN"/>
              </w:rPr>
            </w:pPr>
            <w:r>
              <w:rPr>
                <w:rFonts w:hint="eastAsia"/>
                <w:color w:val="auto"/>
                <w:lang w:bidi="zh-CN"/>
              </w:rPr>
              <w:t>具体详见采购文件。</w:t>
            </w:r>
          </w:p>
        </w:tc>
      </w:tr>
      <w:tr w14:paraId="611CF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979" w:type="dxa"/>
            <w:vMerge w:val="continue"/>
            <w:vAlign w:val="center"/>
          </w:tcPr>
          <w:p w14:paraId="3F28F0ED">
            <w:pPr>
              <w:jc w:val="center"/>
              <w:rPr>
                <w:rFonts w:ascii="Times New Roman" w:hAnsi="Times New Roman" w:cs="Times New Roman"/>
                <w:color w:val="auto"/>
                <w:sz w:val="24"/>
                <w:szCs w:val="24"/>
              </w:rPr>
            </w:pPr>
          </w:p>
        </w:tc>
        <w:tc>
          <w:tcPr>
            <w:tcW w:w="1594" w:type="dxa"/>
            <w:vAlign w:val="center"/>
          </w:tcPr>
          <w:p w14:paraId="3908B840">
            <w:pPr>
              <w:jc w:val="center"/>
              <w:rPr>
                <w:rFonts w:hint="default" w:ascii="Times New Roman" w:eastAsia="宋体" w:cs="Times New Roman"/>
                <w:color w:val="auto"/>
                <w:sz w:val="24"/>
                <w:szCs w:val="24"/>
                <w:lang w:val="en-US" w:eastAsia="zh-CN"/>
              </w:rPr>
            </w:pPr>
            <w:r>
              <w:rPr>
                <w:rFonts w:hint="eastAsia" w:ascii="Times New Roman" w:cs="Times New Roman"/>
                <w:color w:val="auto"/>
                <w:sz w:val="24"/>
                <w:szCs w:val="24"/>
                <w:lang w:val="en-US" w:eastAsia="zh-CN"/>
              </w:rPr>
              <w:t>本项采购核心产品</w:t>
            </w:r>
          </w:p>
        </w:tc>
        <w:tc>
          <w:tcPr>
            <w:tcW w:w="7246" w:type="dxa"/>
            <w:vAlign w:val="center"/>
          </w:tcPr>
          <w:p w14:paraId="297FD0C6">
            <w:pPr>
              <w:pStyle w:val="40"/>
              <w:jc w:val="both"/>
              <w:outlineLvl w:val="0"/>
              <w:rPr>
                <w:rFonts w:hint="default"/>
                <w:color w:val="auto"/>
                <w:lang w:val="en-US" w:bidi="zh-CN"/>
              </w:rPr>
            </w:pPr>
            <w:r>
              <w:rPr>
                <w:rFonts w:hint="eastAsia"/>
                <w:color w:val="auto"/>
                <w:lang w:val="en-US" w:eastAsia="zh-CN" w:bidi="zh-CN"/>
              </w:rPr>
              <w:t>微量元素水溶肥(苗期)、</w:t>
            </w:r>
            <w:r>
              <w:rPr>
                <w:rFonts w:hint="default" w:ascii="Times New Roman" w:hAnsi="Times New Roman" w:eastAsia="宋体" w:cs="Times New Roman"/>
                <w:i w:val="0"/>
                <w:iCs w:val="0"/>
                <w:snapToGrid w:val="0"/>
                <w:color w:val="auto"/>
                <w:kern w:val="0"/>
                <w:sz w:val="24"/>
                <w:szCs w:val="24"/>
                <w:u w:val="none"/>
                <w:lang w:val="en-US" w:eastAsia="zh-CN" w:bidi="ar"/>
              </w:rPr>
              <w:t>微量元素水溶肥（开花前后期</w:t>
            </w:r>
            <w:r>
              <w:rPr>
                <w:rFonts w:hint="eastAsia" w:ascii="Times New Roman" w:hAnsi="Times New Roman" w:eastAsia="宋体" w:cs="Times New Roman"/>
                <w:i w:val="0"/>
                <w:iCs w:val="0"/>
                <w:snapToGrid w:val="0"/>
                <w:color w:val="auto"/>
                <w:kern w:val="0"/>
                <w:sz w:val="24"/>
                <w:szCs w:val="24"/>
                <w:u w:val="none"/>
                <w:lang w:val="en-US" w:eastAsia="zh-CN" w:bidi="ar"/>
              </w:rPr>
              <w:t>)、微量元素水溶肥（产量形成期</w:t>
            </w:r>
            <w:r>
              <w:rPr>
                <w:rFonts w:hint="eastAsia" w:cs="Times New Roman"/>
                <w:i w:val="0"/>
                <w:iCs w:val="0"/>
                <w:snapToGrid w:val="0"/>
                <w:color w:val="auto"/>
                <w:kern w:val="0"/>
                <w:sz w:val="24"/>
                <w:szCs w:val="24"/>
                <w:u w:val="none"/>
                <w:lang w:val="en-US" w:eastAsia="zh-CN" w:bidi="ar"/>
              </w:rPr>
              <w:t>）</w:t>
            </w:r>
          </w:p>
        </w:tc>
      </w:tr>
      <w:tr w14:paraId="5067D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6" w:hRule="atLeast"/>
          <w:jc w:val="center"/>
        </w:trPr>
        <w:tc>
          <w:tcPr>
            <w:tcW w:w="979" w:type="dxa"/>
            <w:vAlign w:val="center"/>
          </w:tcPr>
          <w:p w14:paraId="5C6914A5">
            <w:pPr>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4</w:t>
            </w:r>
          </w:p>
        </w:tc>
        <w:tc>
          <w:tcPr>
            <w:tcW w:w="1594" w:type="dxa"/>
            <w:vAlign w:val="center"/>
          </w:tcPr>
          <w:p w14:paraId="18869C9F">
            <w:pPr>
              <w:overflowPunct w:val="0"/>
              <w:jc w:val="center"/>
              <w:rPr>
                <w:rFonts w:ascii="Times New Roman" w:cs="Times New Roman"/>
                <w:b w:val="0"/>
                <w:bCs w:val="0"/>
                <w:color w:val="auto"/>
                <w:sz w:val="24"/>
                <w:szCs w:val="24"/>
              </w:rPr>
            </w:pPr>
            <w:r>
              <w:rPr>
                <w:rFonts w:hint="eastAsia" w:ascii="Times New Roman" w:cs="Times New Roman"/>
                <w:b w:val="0"/>
                <w:bCs w:val="0"/>
                <w:color w:val="auto"/>
                <w:sz w:val="24"/>
                <w:szCs w:val="24"/>
                <w:lang w:val="en-US"/>
              </w:rPr>
              <w:t>采购</w:t>
            </w:r>
            <w:r>
              <w:rPr>
                <w:rFonts w:ascii="Times New Roman" w:cs="Times New Roman"/>
                <w:b w:val="0"/>
                <w:bCs w:val="0"/>
                <w:color w:val="auto"/>
                <w:sz w:val="24"/>
                <w:szCs w:val="24"/>
              </w:rPr>
              <w:t>预算</w:t>
            </w:r>
          </w:p>
          <w:p w14:paraId="156BE4B7">
            <w:pPr>
              <w:overflowPunct w:val="0"/>
              <w:jc w:val="center"/>
              <w:rPr>
                <w:rFonts w:ascii="Times New Roman" w:hAnsi="Times New Roman" w:cs="Times New Roman"/>
                <w:b w:val="0"/>
                <w:bCs w:val="0"/>
                <w:color w:val="auto"/>
                <w:sz w:val="24"/>
                <w:szCs w:val="24"/>
                <w:lang w:val="en-US"/>
              </w:rPr>
            </w:pPr>
            <w:r>
              <w:rPr>
                <w:rFonts w:hint="eastAsia" w:ascii="Times New Roman" w:cs="Times New Roman"/>
                <w:b w:val="0"/>
                <w:bCs w:val="0"/>
                <w:color w:val="auto"/>
                <w:sz w:val="24"/>
                <w:szCs w:val="24"/>
              </w:rPr>
              <w:t>（</w:t>
            </w:r>
            <w:r>
              <w:rPr>
                <w:rFonts w:ascii="Times New Roman" w:cs="Times New Roman"/>
                <w:b w:val="0"/>
                <w:bCs w:val="0"/>
                <w:color w:val="auto"/>
                <w:sz w:val="24"/>
                <w:szCs w:val="24"/>
              </w:rPr>
              <w:t>最高限价</w:t>
            </w:r>
            <w:r>
              <w:rPr>
                <w:rFonts w:hint="eastAsia" w:ascii="Times New Roman" w:cs="Times New Roman"/>
                <w:b w:val="0"/>
                <w:bCs w:val="0"/>
                <w:color w:val="auto"/>
                <w:sz w:val="24"/>
                <w:szCs w:val="24"/>
              </w:rPr>
              <w:t>）</w:t>
            </w:r>
          </w:p>
        </w:tc>
        <w:tc>
          <w:tcPr>
            <w:tcW w:w="7246" w:type="dxa"/>
            <w:vAlign w:val="center"/>
          </w:tcPr>
          <w:p w14:paraId="6FBBB655">
            <w:pPr>
              <w:pStyle w:val="40"/>
              <w:jc w:val="both"/>
              <w:outlineLvl w:val="0"/>
              <w:rPr>
                <w:b w:val="0"/>
                <w:bCs w:val="0"/>
                <w:color w:val="auto"/>
              </w:rPr>
            </w:pPr>
            <w:r>
              <w:rPr>
                <w:rFonts w:hint="eastAsia" w:ascii="宋体" w:hAnsi="宋体" w:cs="宋体"/>
                <w:b w:val="0"/>
                <w:bCs w:val="0"/>
                <w:color w:val="auto"/>
                <w:lang w:val="en-US" w:eastAsia="zh-CN" w:bidi="zh-CN"/>
              </w:rPr>
              <w:t>460万元</w:t>
            </w:r>
            <w:r>
              <w:rPr>
                <w:rFonts w:hint="eastAsia" w:ascii="宋体" w:hAnsi="宋体" w:cs="宋体"/>
                <w:b w:val="0"/>
                <w:bCs w:val="0"/>
                <w:color w:val="auto"/>
                <w:lang w:bidi="zh-CN"/>
              </w:rPr>
              <w:t>。</w:t>
            </w:r>
            <w:r>
              <w:rPr>
                <w:rFonts w:hint="eastAsia" w:ascii="宋体" w:hAnsi="宋体" w:cs="宋体"/>
                <w:b w:val="0"/>
                <w:bCs w:val="0"/>
                <w:color w:val="auto"/>
              </w:rPr>
              <w:t>供应商投标报价超过采购预算的按无效投标处理。</w:t>
            </w:r>
          </w:p>
        </w:tc>
      </w:tr>
      <w:tr w14:paraId="1C114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4" w:hRule="atLeast"/>
          <w:jc w:val="center"/>
        </w:trPr>
        <w:tc>
          <w:tcPr>
            <w:tcW w:w="979" w:type="dxa"/>
            <w:vMerge w:val="restart"/>
            <w:vAlign w:val="center"/>
          </w:tcPr>
          <w:p w14:paraId="143CA53C">
            <w:pPr>
              <w:overflowPunct w:val="0"/>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5</w:t>
            </w:r>
          </w:p>
        </w:tc>
        <w:tc>
          <w:tcPr>
            <w:tcW w:w="1594" w:type="dxa"/>
            <w:vAlign w:val="center"/>
          </w:tcPr>
          <w:p w14:paraId="0786572E">
            <w:pPr>
              <w:jc w:val="center"/>
              <w:rPr>
                <w:rFonts w:ascii="Times New Roman" w:hAnsi="Times New Roman" w:cs="Times New Roman"/>
                <w:b w:val="0"/>
                <w:bCs w:val="0"/>
                <w:color w:val="auto"/>
                <w:sz w:val="24"/>
                <w:szCs w:val="24"/>
                <w:lang w:val="en-US"/>
              </w:rPr>
            </w:pPr>
            <w:r>
              <w:rPr>
                <w:rFonts w:hint="eastAsia" w:ascii="Times New Roman" w:cs="Times New Roman"/>
                <w:b w:val="0"/>
                <w:bCs w:val="0"/>
                <w:color w:val="auto"/>
                <w:sz w:val="24"/>
                <w:szCs w:val="24"/>
                <w:lang w:val="en-US"/>
              </w:rPr>
              <w:t>供货</w:t>
            </w:r>
            <w:r>
              <w:rPr>
                <w:rFonts w:ascii="Times New Roman" w:cs="Times New Roman"/>
                <w:b w:val="0"/>
                <w:bCs w:val="0"/>
                <w:color w:val="auto"/>
                <w:sz w:val="24"/>
                <w:szCs w:val="24"/>
                <w:lang w:val="en-US"/>
              </w:rPr>
              <w:t>期</w:t>
            </w:r>
          </w:p>
        </w:tc>
        <w:tc>
          <w:tcPr>
            <w:tcW w:w="7246" w:type="dxa"/>
            <w:vAlign w:val="center"/>
          </w:tcPr>
          <w:p w14:paraId="5CDA4C0D">
            <w:pPr>
              <w:jc w:val="both"/>
              <w:rPr>
                <w:rFonts w:ascii="Times New Roman" w:hAnsi="Times New Roman" w:cs="Times New Roman"/>
                <w:b w:val="0"/>
                <w:bCs w:val="0"/>
                <w:color w:val="auto"/>
                <w:sz w:val="24"/>
                <w:szCs w:val="24"/>
                <w:lang w:val="en-US"/>
              </w:rPr>
            </w:pPr>
            <w:r>
              <w:rPr>
                <w:rFonts w:hint="eastAsia" w:ascii="Times New Roman" w:hAnsi="Times New Roman" w:cs="Times New Roman"/>
                <w:b w:val="0"/>
                <w:bCs w:val="0"/>
                <w:color w:val="auto"/>
                <w:sz w:val="24"/>
                <w:szCs w:val="24"/>
                <w:lang w:val="en-US"/>
              </w:rPr>
              <w:t>自合同签订之日起</w:t>
            </w:r>
            <w:r>
              <w:rPr>
                <w:rFonts w:hint="eastAsia" w:ascii="Times New Roman" w:hAnsi="Times New Roman" w:cs="Times New Roman"/>
                <w:b w:val="0"/>
                <w:bCs w:val="0"/>
                <w:color w:val="auto"/>
                <w:sz w:val="24"/>
                <w:szCs w:val="24"/>
                <w:lang w:val="en-US" w:eastAsia="zh-CN"/>
              </w:rPr>
              <w:t>30</w:t>
            </w:r>
            <w:r>
              <w:rPr>
                <w:rFonts w:hint="eastAsia" w:ascii="Times New Roman" w:hAnsi="Times New Roman" w:cs="Times New Roman"/>
                <w:b w:val="0"/>
                <w:bCs w:val="0"/>
                <w:color w:val="auto"/>
                <w:sz w:val="24"/>
                <w:szCs w:val="24"/>
                <w:lang w:val="en-US"/>
              </w:rPr>
              <w:t>日内完成供货</w:t>
            </w:r>
          </w:p>
        </w:tc>
      </w:tr>
      <w:tr w14:paraId="59430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979" w:type="dxa"/>
            <w:vMerge w:val="continue"/>
            <w:vAlign w:val="center"/>
          </w:tcPr>
          <w:p w14:paraId="18EF0010">
            <w:pPr>
              <w:overflowPunct w:val="0"/>
              <w:jc w:val="center"/>
              <w:rPr>
                <w:rFonts w:ascii="Times New Roman" w:hAnsi="Times New Roman" w:cs="Times New Roman"/>
                <w:color w:val="auto"/>
                <w:sz w:val="24"/>
                <w:szCs w:val="24"/>
                <w:lang w:val="en-US"/>
              </w:rPr>
            </w:pPr>
          </w:p>
        </w:tc>
        <w:tc>
          <w:tcPr>
            <w:tcW w:w="1594" w:type="dxa"/>
            <w:vAlign w:val="center"/>
          </w:tcPr>
          <w:p w14:paraId="468CD395">
            <w:pPr>
              <w:ind w:firstLine="240" w:firstLineChars="100"/>
              <w:jc w:val="both"/>
              <w:rPr>
                <w:rFonts w:hint="eastAsia" w:ascii="Times New Roman" w:hAnsi="Times New Roman" w:cs="Times New Roman"/>
                <w:b w:val="0"/>
                <w:bCs w:val="0"/>
                <w:color w:val="auto"/>
                <w:sz w:val="24"/>
                <w:szCs w:val="24"/>
                <w:lang w:val="en-US"/>
              </w:rPr>
            </w:pPr>
            <w:r>
              <w:rPr>
                <w:rFonts w:hint="eastAsia" w:ascii="Times New Roman" w:hAnsi="Times New Roman" w:cs="Times New Roman"/>
                <w:b w:val="0"/>
                <w:bCs w:val="0"/>
                <w:color w:val="auto"/>
                <w:sz w:val="24"/>
                <w:szCs w:val="24"/>
                <w:lang w:val="en-US"/>
              </w:rPr>
              <w:t>质保期</w:t>
            </w:r>
          </w:p>
        </w:tc>
        <w:tc>
          <w:tcPr>
            <w:tcW w:w="7246" w:type="dxa"/>
            <w:vAlign w:val="center"/>
          </w:tcPr>
          <w:p w14:paraId="220C3714">
            <w:pPr>
              <w:jc w:val="both"/>
              <w:rPr>
                <w:rFonts w:hint="default"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自收货之日起，质保期大于等于18个月</w:t>
            </w:r>
          </w:p>
        </w:tc>
      </w:tr>
      <w:tr w14:paraId="1AD04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979" w:type="dxa"/>
            <w:vMerge w:val="continue"/>
            <w:vAlign w:val="center"/>
          </w:tcPr>
          <w:p w14:paraId="1A60C798">
            <w:pPr>
              <w:overflowPunct w:val="0"/>
              <w:jc w:val="center"/>
              <w:rPr>
                <w:rFonts w:ascii="Times New Roman" w:hAnsi="Times New Roman" w:cs="Times New Roman"/>
                <w:color w:val="auto"/>
                <w:sz w:val="24"/>
                <w:szCs w:val="24"/>
              </w:rPr>
            </w:pPr>
          </w:p>
        </w:tc>
        <w:tc>
          <w:tcPr>
            <w:tcW w:w="1594" w:type="dxa"/>
            <w:vAlign w:val="center"/>
          </w:tcPr>
          <w:p w14:paraId="2E32E809">
            <w:pPr>
              <w:jc w:val="center"/>
              <w:rPr>
                <w:rFonts w:hint="eastAsia" w:ascii="Times New Roman" w:hAnsi="Times New Roman" w:eastAsia="宋体" w:cs="Times New Roman"/>
                <w:b w:val="0"/>
                <w:bCs w:val="0"/>
                <w:color w:val="auto"/>
                <w:sz w:val="24"/>
                <w:szCs w:val="24"/>
                <w:lang w:val="en-US" w:eastAsia="zh-CN"/>
              </w:rPr>
            </w:pPr>
            <w:r>
              <w:rPr>
                <w:rFonts w:hint="eastAsia" w:ascii="Times New Roman" w:cs="Times New Roman"/>
                <w:b w:val="0"/>
                <w:bCs w:val="0"/>
                <w:color w:val="auto"/>
                <w:sz w:val="24"/>
                <w:szCs w:val="24"/>
                <w:lang w:val="en-US"/>
              </w:rPr>
              <w:t>供货</w:t>
            </w:r>
            <w:r>
              <w:rPr>
                <w:rFonts w:ascii="Times New Roman" w:cs="Times New Roman"/>
                <w:b w:val="0"/>
                <w:bCs w:val="0"/>
                <w:color w:val="auto"/>
                <w:sz w:val="24"/>
                <w:szCs w:val="24"/>
                <w:lang w:val="en-US"/>
              </w:rPr>
              <w:t>地点</w:t>
            </w:r>
            <w:r>
              <w:rPr>
                <w:rFonts w:hint="eastAsia" w:ascii="Times New Roman" w:cs="Times New Roman"/>
                <w:b w:val="0"/>
                <w:bCs w:val="0"/>
                <w:color w:val="auto"/>
                <w:sz w:val="24"/>
                <w:szCs w:val="24"/>
                <w:lang w:val="en-US" w:eastAsia="zh-CN"/>
              </w:rPr>
              <w:t>及要求</w:t>
            </w:r>
          </w:p>
        </w:tc>
        <w:tc>
          <w:tcPr>
            <w:tcW w:w="7246" w:type="dxa"/>
            <w:vAlign w:val="center"/>
          </w:tcPr>
          <w:p w14:paraId="053D5EFA">
            <w:pPr>
              <w:jc w:val="both"/>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新和县各乡镇村（详见采购需求）</w:t>
            </w:r>
          </w:p>
        </w:tc>
      </w:tr>
      <w:tr w14:paraId="770862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979" w:type="dxa"/>
            <w:vMerge w:val="continue"/>
            <w:vAlign w:val="center"/>
          </w:tcPr>
          <w:p w14:paraId="5B733914">
            <w:pPr>
              <w:overflowPunct w:val="0"/>
              <w:jc w:val="center"/>
              <w:rPr>
                <w:rFonts w:ascii="Times New Roman" w:hAnsi="Times New Roman" w:cs="Times New Roman"/>
                <w:color w:val="auto"/>
                <w:sz w:val="24"/>
                <w:szCs w:val="24"/>
              </w:rPr>
            </w:pPr>
          </w:p>
        </w:tc>
        <w:tc>
          <w:tcPr>
            <w:tcW w:w="1594" w:type="dxa"/>
            <w:vAlign w:val="center"/>
          </w:tcPr>
          <w:p w14:paraId="3F527CBC">
            <w:pPr>
              <w:jc w:val="center"/>
              <w:rPr>
                <w:rFonts w:ascii="Times New Roman" w:hAnsi="Times New Roman" w:cs="Times New Roman"/>
                <w:b w:val="0"/>
                <w:bCs w:val="0"/>
                <w:color w:val="auto"/>
                <w:sz w:val="24"/>
                <w:szCs w:val="24"/>
                <w:lang w:val="en-US"/>
              </w:rPr>
            </w:pPr>
            <w:r>
              <w:rPr>
                <w:rFonts w:ascii="Times New Roman" w:cs="Times New Roman"/>
                <w:b w:val="0"/>
                <w:bCs w:val="0"/>
                <w:color w:val="auto"/>
                <w:sz w:val="24"/>
                <w:szCs w:val="24"/>
                <w:lang w:val="en-US"/>
              </w:rPr>
              <w:t>质量要求</w:t>
            </w:r>
          </w:p>
        </w:tc>
        <w:tc>
          <w:tcPr>
            <w:tcW w:w="7246" w:type="dxa"/>
            <w:vAlign w:val="center"/>
          </w:tcPr>
          <w:p w14:paraId="1C77C065">
            <w:pPr>
              <w:jc w:val="both"/>
              <w:rPr>
                <w:rFonts w:ascii="Times New Roman" w:hAnsi="Times New Roman" w:cs="Times New Roman"/>
                <w:color w:val="auto"/>
                <w:sz w:val="24"/>
                <w:szCs w:val="24"/>
                <w:lang w:val="en-US"/>
              </w:rPr>
            </w:pPr>
            <w:r>
              <w:rPr>
                <w:rFonts w:hint="default" w:ascii="Times New Roman" w:hAnsi="Times New Roman" w:cs="Times New Roman"/>
                <w:color w:val="auto"/>
                <w:sz w:val="24"/>
                <w:szCs w:val="24"/>
                <w:lang w:val="en-US" w:eastAsia="zh-CN"/>
              </w:rPr>
              <w:t>满足采购需求所要求的内容</w:t>
            </w:r>
          </w:p>
        </w:tc>
      </w:tr>
      <w:tr w14:paraId="2FD1F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979" w:type="dxa"/>
            <w:vMerge w:val="continue"/>
            <w:vAlign w:val="center"/>
          </w:tcPr>
          <w:p w14:paraId="4876F80D">
            <w:pPr>
              <w:overflowPunct w:val="0"/>
              <w:jc w:val="center"/>
              <w:rPr>
                <w:rFonts w:ascii="Times New Roman" w:hAnsi="Times New Roman" w:cs="Times New Roman"/>
                <w:color w:val="auto"/>
                <w:sz w:val="24"/>
                <w:szCs w:val="24"/>
              </w:rPr>
            </w:pPr>
          </w:p>
        </w:tc>
        <w:tc>
          <w:tcPr>
            <w:tcW w:w="1594" w:type="dxa"/>
            <w:vAlign w:val="center"/>
          </w:tcPr>
          <w:p w14:paraId="696B86C6">
            <w:pPr>
              <w:jc w:val="center"/>
              <w:rPr>
                <w:rFonts w:hint="default" w:ascii="Times New Roman" w:eastAsia="宋体" w:cs="Times New Roman"/>
                <w:b w:val="0"/>
                <w:bCs w:val="0"/>
                <w:color w:val="auto"/>
                <w:sz w:val="24"/>
                <w:szCs w:val="24"/>
                <w:lang w:val="en-US" w:eastAsia="zh-CN"/>
              </w:rPr>
            </w:pPr>
            <w:r>
              <w:rPr>
                <w:rFonts w:hint="eastAsia" w:ascii="Times New Roman" w:cs="Times New Roman"/>
                <w:b w:val="0"/>
                <w:bCs w:val="0"/>
                <w:color w:val="auto"/>
                <w:sz w:val="24"/>
                <w:szCs w:val="24"/>
                <w:lang w:val="en-US" w:eastAsia="zh-CN"/>
              </w:rPr>
              <w:t>本项目所属行业</w:t>
            </w:r>
          </w:p>
        </w:tc>
        <w:tc>
          <w:tcPr>
            <w:tcW w:w="7246" w:type="dxa"/>
            <w:tcBorders>
              <w:top w:val="single" w:color="auto" w:sz="4" w:space="0"/>
            </w:tcBorders>
            <w:vAlign w:val="center"/>
          </w:tcPr>
          <w:p w14:paraId="5742126E">
            <w:pPr>
              <w:jc w:val="left"/>
              <w:rPr>
                <w:rFonts w:hint="eastAsia" w:eastAsia="宋体"/>
                <w:b w:val="0"/>
                <w:bCs w:val="0"/>
                <w:color w:val="auto"/>
                <w:szCs w:val="24"/>
                <w:lang w:val="en-US" w:eastAsia="zh-CN"/>
              </w:rPr>
            </w:pPr>
            <w:r>
              <w:rPr>
                <w:rFonts w:hint="eastAsia" w:ascii="宋体" w:hAnsi="宋体" w:eastAsia="宋体" w:cs="宋体"/>
                <w:b w:val="0"/>
                <w:bCs w:val="0"/>
                <w:color w:val="auto"/>
                <w:sz w:val="24"/>
                <w:szCs w:val="24"/>
                <w:lang w:val="en-US" w:eastAsia="zh-CN" w:bidi="ar-SA"/>
              </w:rPr>
              <w:t>工业</w:t>
            </w:r>
          </w:p>
        </w:tc>
      </w:tr>
      <w:tr w14:paraId="7A8BF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9" w:hRule="atLeast"/>
          <w:jc w:val="center"/>
        </w:trPr>
        <w:tc>
          <w:tcPr>
            <w:tcW w:w="979" w:type="dxa"/>
            <w:vMerge w:val="continue"/>
            <w:tcBorders>
              <w:bottom w:val="single" w:color="auto" w:sz="4" w:space="0"/>
            </w:tcBorders>
            <w:vAlign w:val="center"/>
          </w:tcPr>
          <w:p w14:paraId="5D133138">
            <w:pPr>
              <w:overflowPunct w:val="0"/>
              <w:jc w:val="center"/>
              <w:rPr>
                <w:rFonts w:ascii="Times New Roman" w:hAnsi="Times New Roman" w:cs="Times New Roman"/>
                <w:color w:val="auto"/>
                <w:sz w:val="24"/>
                <w:szCs w:val="24"/>
              </w:rPr>
            </w:pPr>
          </w:p>
        </w:tc>
        <w:tc>
          <w:tcPr>
            <w:tcW w:w="1594" w:type="dxa"/>
            <w:vAlign w:val="center"/>
          </w:tcPr>
          <w:p w14:paraId="671398CE">
            <w:pPr>
              <w:jc w:val="center"/>
              <w:rPr>
                <w:rFonts w:ascii="Times New Roman" w:hAnsi="Times New Roman" w:cs="Times New Roman"/>
                <w:b w:val="0"/>
                <w:bCs w:val="0"/>
                <w:color w:val="auto"/>
                <w:sz w:val="24"/>
                <w:szCs w:val="24"/>
              </w:rPr>
            </w:pPr>
            <w:r>
              <w:rPr>
                <w:rFonts w:ascii="Times New Roman" w:cs="Times New Roman"/>
                <w:b w:val="0"/>
                <w:bCs w:val="0"/>
                <w:color w:val="auto"/>
                <w:sz w:val="24"/>
                <w:szCs w:val="24"/>
              </w:rPr>
              <w:t>付款方式</w:t>
            </w:r>
          </w:p>
        </w:tc>
        <w:tc>
          <w:tcPr>
            <w:tcW w:w="7246" w:type="dxa"/>
            <w:vAlign w:val="center"/>
          </w:tcPr>
          <w:p w14:paraId="464FFE4D">
            <w:pPr>
              <w:pStyle w:val="39"/>
              <w:ind w:left="0" w:leftChars="0" w:firstLine="0" w:firstLineChars="0"/>
              <w:rPr>
                <w:rFonts w:ascii="Times New Roman" w:cs="Times New Roman"/>
                <w:color w:val="auto"/>
                <w:sz w:val="24"/>
                <w:szCs w:val="24"/>
                <w:lang w:val="en-US"/>
              </w:rPr>
            </w:pPr>
            <w:r>
              <w:rPr>
                <w:rFonts w:hint="default" w:ascii="Times New Roman" w:hAnsi="Times New Roman" w:eastAsia="宋体" w:cs="Times New Roman"/>
                <w:color w:val="auto"/>
                <w:sz w:val="24"/>
                <w:szCs w:val="24"/>
                <w:lang w:val="en-US" w:eastAsia="zh-CN" w:bidi="zh-CN"/>
              </w:rPr>
              <w:t>采购活动结束签订合同后先支付项目中标金额50%的预付款，待中标单位按照中标货物参数要求完成供货经验收合格后再支付中标价剩余50%的尾款。</w:t>
            </w:r>
          </w:p>
        </w:tc>
      </w:tr>
      <w:tr w14:paraId="63A39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29" w:hRule="atLeast"/>
          <w:jc w:val="center"/>
        </w:trPr>
        <w:tc>
          <w:tcPr>
            <w:tcW w:w="979" w:type="dxa"/>
            <w:tcBorders>
              <w:top w:val="single" w:color="auto" w:sz="4" w:space="0"/>
              <w:bottom w:val="single" w:color="auto" w:sz="4" w:space="0"/>
            </w:tcBorders>
            <w:vAlign w:val="center"/>
          </w:tcPr>
          <w:p w14:paraId="6EB67817">
            <w:pPr>
              <w:overflowPunct w:val="0"/>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1594" w:type="dxa"/>
            <w:tcBorders>
              <w:bottom w:val="single" w:color="auto" w:sz="4" w:space="0"/>
              <w:right w:val="single" w:color="auto" w:sz="4" w:space="0"/>
            </w:tcBorders>
            <w:vAlign w:val="center"/>
          </w:tcPr>
          <w:p w14:paraId="3951F1D3">
            <w:pPr>
              <w:overflowPunct w:val="0"/>
              <w:jc w:val="center"/>
              <w:rPr>
                <w:rFonts w:ascii="Times New Roman" w:hAnsi="Times New Roman" w:cs="Times New Roman"/>
                <w:color w:val="auto"/>
                <w:sz w:val="24"/>
                <w:szCs w:val="24"/>
              </w:rPr>
            </w:pPr>
          </w:p>
          <w:p w14:paraId="01E8A222">
            <w:pPr>
              <w:overflowPunct w:val="0"/>
              <w:jc w:val="center"/>
              <w:rPr>
                <w:rFonts w:ascii="Times New Roman" w:hAnsi="Times New Roman" w:cs="Times New Roman"/>
                <w:color w:val="auto"/>
                <w:sz w:val="24"/>
                <w:szCs w:val="24"/>
              </w:rPr>
            </w:pPr>
            <w:r>
              <w:rPr>
                <w:rFonts w:ascii="Times New Roman" w:cs="Times New Roman"/>
                <w:color w:val="auto"/>
                <w:sz w:val="24"/>
                <w:szCs w:val="24"/>
              </w:rPr>
              <w:t>投标资格</w:t>
            </w:r>
          </w:p>
        </w:tc>
        <w:tc>
          <w:tcPr>
            <w:tcW w:w="7246" w:type="dxa"/>
            <w:tcBorders>
              <w:left w:val="single" w:color="auto" w:sz="4" w:space="0"/>
              <w:bottom w:val="single" w:color="auto" w:sz="4" w:space="0"/>
            </w:tcBorders>
            <w:vAlign w:val="center"/>
          </w:tcPr>
          <w:p w14:paraId="0AF86407">
            <w:pPr>
              <w:pStyle w:val="22"/>
              <w:widowControl/>
              <w:spacing w:before="75" w:beforeAutospacing="0" w:after="75" w:afterAutospacing="0" w:line="300" w:lineRule="atLeast"/>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1.满足《中华人民共和国政府采购法》第二十二条规定；</w:t>
            </w:r>
          </w:p>
          <w:p w14:paraId="6B64AD0B">
            <w:pPr>
              <w:pStyle w:val="22"/>
              <w:widowControl/>
              <w:spacing w:before="75" w:beforeAutospacing="0" w:after="75" w:afterAutospacing="0" w:line="300" w:lineRule="atLeast"/>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rPr>
              <w:t>2.落实政府采购政策需满足的资格要求：</w:t>
            </w:r>
            <w:r>
              <w:rPr>
                <w:rFonts w:hint="eastAsia" w:ascii="Times New Roman" w:hAnsi="Times New Roman" w:cs="Times New Roman"/>
                <w:b w:val="0"/>
                <w:bCs w:val="0"/>
                <w:color w:val="auto"/>
                <w:sz w:val="24"/>
                <w:szCs w:val="24"/>
                <w:lang w:val="en-US" w:eastAsia="zh-CN"/>
              </w:rPr>
              <w:t>本项目不专门面向中小企业。对符合条件、全部货物为小微企业制造且提交中小企业声明函的投标人，投标报价给予10%价格扣除；大中型企业与小微企业组成联合体或承诺分包且小微企业合同份额≥30% 的，报价给予4%价格扣除。残疾人福利单位、监狱企业视同小微企业，优惠不重复享受。以扣除后的价格计算价格分。中型企业不享受价格扣除。虚假声明取消资格并追责。</w:t>
            </w:r>
          </w:p>
          <w:p w14:paraId="3B1619C7">
            <w:pPr>
              <w:pStyle w:val="22"/>
              <w:widowControl/>
              <w:spacing w:before="75" w:beforeAutospacing="0" w:after="75" w:afterAutospacing="0" w:line="300" w:lineRule="atLeast"/>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lang w:val="en-US" w:eastAsia="zh-CN"/>
              </w:rPr>
              <w:t>3、</w:t>
            </w:r>
            <w:r>
              <w:rPr>
                <w:rFonts w:hint="eastAsia" w:ascii="Times New Roman" w:hAnsi="Times New Roman" w:cs="Times New Roman"/>
                <w:b w:val="0"/>
                <w:bCs w:val="0"/>
                <w:color w:val="auto"/>
                <w:sz w:val="24"/>
                <w:szCs w:val="24"/>
              </w:rPr>
              <w:t>本项目的特定资格要求：投标供应商是生产企业的需提供加盖公章的生产许可证、农药登记证、执行标准；代理经销商投标需提供农药经营许可证和加盖生产企业公章的农药登记证、生产许可证、执行标准，肥料产品需提供肥料登记证或网站备案文件。</w:t>
            </w:r>
          </w:p>
        </w:tc>
      </w:tr>
      <w:tr w14:paraId="119BF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9" w:hRule="atLeast"/>
          <w:jc w:val="center"/>
        </w:trPr>
        <w:tc>
          <w:tcPr>
            <w:tcW w:w="979" w:type="dxa"/>
            <w:tcBorders>
              <w:bottom w:val="single" w:color="auto" w:sz="4" w:space="0"/>
            </w:tcBorders>
            <w:vAlign w:val="center"/>
          </w:tcPr>
          <w:p w14:paraId="52E0F6C5">
            <w:pPr>
              <w:jc w:val="center"/>
              <w:rPr>
                <w:rFonts w:ascii="Times New Roman" w:hAnsi="Times New Roman" w:cs="Times New Roman"/>
                <w:color w:val="auto"/>
                <w:sz w:val="24"/>
                <w:szCs w:val="24"/>
              </w:rPr>
            </w:pPr>
            <w:r>
              <w:rPr>
                <w:rFonts w:ascii="Times New Roman" w:hAnsi="Times New Roman" w:cs="Times New Roman"/>
                <w:color w:val="auto"/>
                <w:sz w:val="24"/>
                <w:szCs w:val="24"/>
              </w:rPr>
              <w:t>7</w:t>
            </w:r>
          </w:p>
        </w:tc>
        <w:tc>
          <w:tcPr>
            <w:tcW w:w="1594" w:type="dxa"/>
            <w:tcBorders>
              <w:bottom w:val="single" w:color="auto" w:sz="4" w:space="0"/>
              <w:right w:val="single" w:color="auto" w:sz="4" w:space="0"/>
            </w:tcBorders>
            <w:vAlign w:val="center"/>
          </w:tcPr>
          <w:p w14:paraId="307046D5">
            <w:pPr>
              <w:jc w:val="center"/>
              <w:rPr>
                <w:rFonts w:ascii="Times New Roman" w:hAnsi="Times New Roman" w:cs="Times New Roman"/>
                <w:color w:val="auto"/>
                <w:sz w:val="24"/>
                <w:szCs w:val="24"/>
              </w:rPr>
            </w:pPr>
            <w:r>
              <w:rPr>
                <w:rFonts w:ascii="Times New Roman" w:cs="Times New Roman"/>
                <w:color w:val="auto"/>
                <w:sz w:val="24"/>
                <w:szCs w:val="24"/>
              </w:rPr>
              <w:t>信用情况</w:t>
            </w:r>
          </w:p>
        </w:tc>
        <w:tc>
          <w:tcPr>
            <w:tcW w:w="7246" w:type="dxa"/>
            <w:tcBorders>
              <w:left w:val="single" w:color="auto" w:sz="4" w:space="0"/>
              <w:bottom w:val="single" w:color="auto" w:sz="4" w:space="0"/>
            </w:tcBorders>
            <w:vAlign w:val="center"/>
          </w:tcPr>
          <w:p w14:paraId="15911834">
            <w:pPr>
              <w:jc w:val="both"/>
              <w:rPr>
                <w:rFonts w:ascii="Times New Roman" w:hAnsi="Times New Roman" w:cs="Times New Roman"/>
                <w:b w:val="0"/>
                <w:bCs w:val="0"/>
                <w:color w:val="auto"/>
                <w:sz w:val="24"/>
                <w:szCs w:val="24"/>
              </w:rPr>
            </w:pPr>
            <w:r>
              <w:rPr>
                <w:rFonts w:ascii="Times New Roman" w:cs="Times New Roman"/>
                <w:b w:val="0"/>
                <w:bCs w:val="0"/>
                <w:color w:val="auto"/>
                <w:sz w:val="24"/>
                <w:szCs w:val="24"/>
              </w:rPr>
              <w:t>信用记录查询时间及方式：</w:t>
            </w:r>
          </w:p>
          <w:p w14:paraId="58885CCB">
            <w:pPr>
              <w:numPr>
                <w:ilvl w:val="0"/>
                <w:numId w:val="3"/>
              </w:numPr>
              <w:ind w:firstLine="240" w:firstLineChars="100"/>
              <w:jc w:val="both"/>
              <w:rPr>
                <w:rFonts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lang w:val="en-US"/>
              </w:rPr>
              <w:t>查询时间：投标截止时间后2小时内。</w:t>
            </w:r>
          </w:p>
          <w:p w14:paraId="5F689DCC">
            <w:pPr>
              <w:numPr>
                <w:ilvl w:val="0"/>
                <w:numId w:val="3"/>
              </w:numPr>
              <w:ind w:firstLine="240" w:firstLineChars="100"/>
              <w:jc w:val="both"/>
              <w:rPr>
                <w:rFonts w:ascii="Times New Roman" w:hAnsi="Times New Roman" w:cs="Times New Roman"/>
                <w:b w:val="0"/>
                <w:bCs w:val="0"/>
                <w:color w:val="auto"/>
                <w:sz w:val="24"/>
                <w:szCs w:val="24"/>
              </w:rPr>
            </w:pPr>
            <w:r>
              <w:rPr>
                <w:rFonts w:ascii="Times New Roman" w:cs="Times New Roman"/>
                <w:b w:val="0"/>
                <w:bCs w:val="0"/>
                <w:color w:val="auto"/>
                <w:sz w:val="24"/>
                <w:szCs w:val="24"/>
              </w:rPr>
              <w:t>查询方式：</w:t>
            </w:r>
            <w:r>
              <w:rPr>
                <w:rFonts w:hint="eastAsia" w:ascii="Times New Roman" w:cs="Times New Roman"/>
                <w:b w:val="0"/>
                <w:bCs w:val="0"/>
                <w:color w:val="auto"/>
                <w:sz w:val="24"/>
                <w:szCs w:val="24"/>
                <w:lang w:val="en-US"/>
              </w:rPr>
              <w:t>采购代理机构</w:t>
            </w:r>
            <w:r>
              <w:rPr>
                <w:rFonts w:ascii="Times New Roman" w:cs="Times New Roman"/>
                <w:b w:val="0"/>
                <w:bCs w:val="0"/>
                <w:color w:val="auto"/>
                <w:sz w:val="24"/>
                <w:szCs w:val="24"/>
              </w:rPr>
              <w:t>通过</w:t>
            </w:r>
            <w:r>
              <w:rPr>
                <w:rFonts w:ascii="Times New Roman" w:hAnsi="Times New Roman" w:cs="Times New Roman"/>
                <w:b w:val="0"/>
                <w:bCs w:val="0"/>
                <w:color w:val="auto"/>
                <w:sz w:val="24"/>
                <w:szCs w:val="24"/>
              </w:rPr>
              <w:t>“</w:t>
            </w:r>
            <w:r>
              <w:rPr>
                <w:rFonts w:ascii="Times New Roman" w:cs="Times New Roman"/>
                <w:b w:val="0"/>
                <w:bCs w:val="0"/>
                <w:color w:val="auto"/>
                <w:sz w:val="24"/>
                <w:szCs w:val="24"/>
              </w:rPr>
              <w:t>信用中国</w:t>
            </w:r>
            <w:r>
              <w:rPr>
                <w:rFonts w:ascii="Times New Roman" w:hAnsi="Times New Roman" w:cs="Times New Roman"/>
                <w:b w:val="0"/>
                <w:bCs w:val="0"/>
                <w:color w:val="auto"/>
                <w:sz w:val="24"/>
                <w:szCs w:val="24"/>
              </w:rPr>
              <w:t>”</w:t>
            </w:r>
            <w:r>
              <w:rPr>
                <w:rFonts w:ascii="Times New Roman" w:cs="Times New Roman"/>
                <w:b w:val="0"/>
                <w:bCs w:val="0"/>
                <w:color w:val="auto"/>
                <w:sz w:val="24"/>
                <w:szCs w:val="24"/>
              </w:rPr>
              <w:t>及</w:t>
            </w:r>
            <w:r>
              <w:rPr>
                <w:rFonts w:ascii="Times New Roman" w:hAnsi="Times New Roman" w:cs="Times New Roman"/>
                <w:b w:val="0"/>
                <w:bCs w:val="0"/>
                <w:color w:val="auto"/>
                <w:sz w:val="24"/>
                <w:szCs w:val="24"/>
              </w:rPr>
              <w:t>“</w:t>
            </w:r>
            <w:r>
              <w:rPr>
                <w:rFonts w:ascii="Times New Roman" w:cs="Times New Roman"/>
                <w:b w:val="0"/>
                <w:bCs w:val="0"/>
                <w:color w:val="auto"/>
                <w:sz w:val="24"/>
                <w:szCs w:val="24"/>
              </w:rPr>
              <w:t>中国政府采购网</w:t>
            </w:r>
            <w:r>
              <w:rPr>
                <w:rFonts w:ascii="Times New Roman" w:hAnsi="Times New Roman" w:cs="Times New Roman"/>
                <w:b w:val="0"/>
                <w:bCs w:val="0"/>
                <w:color w:val="auto"/>
                <w:sz w:val="24"/>
                <w:szCs w:val="24"/>
              </w:rPr>
              <w:t>”</w:t>
            </w:r>
            <w:r>
              <w:rPr>
                <w:rFonts w:ascii="Times New Roman" w:cs="Times New Roman"/>
                <w:b w:val="0"/>
                <w:bCs w:val="0"/>
                <w:color w:val="auto"/>
                <w:sz w:val="24"/>
                <w:szCs w:val="24"/>
              </w:rPr>
              <w:t>查询，</w:t>
            </w:r>
            <w:r>
              <w:rPr>
                <w:rFonts w:hint="eastAsia" w:ascii="Times New Roman" w:cs="Times New Roman"/>
                <w:b w:val="0"/>
                <w:bCs w:val="0"/>
                <w:color w:val="auto"/>
                <w:sz w:val="24"/>
                <w:szCs w:val="24"/>
                <w:lang w:val="en-US"/>
              </w:rPr>
              <w:t>查询结果交由监督人审核</w:t>
            </w:r>
            <w:r>
              <w:rPr>
                <w:rFonts w:ascii="Times New Roman" w:cs="Times New Roman"/>
                <w:b w:val="0"/>
                <w:bCs w:val="0"/>
                <w:color w:val="auto"/>
                <w:sz w:val="24"/>
                <w:szCs w:val="24"/>
              </w:rPr>
              <w:t>。被列入失信被执行人、</w:t>
            </w:r>
            <w:r>
              <w:rPr>
                <w:rFonts w:hint="eastAsia" w:ascii="Times New Roman" w:cs="Times New Roman"/>
                <w:b w:val="0"/>
                <w:bCs w:val="0"/>
                <w:color w:val="auto"/>
                <w:sz w:val="24"/>
                <w:szCs w:val="24"/>
              </w:rPr>
              <w:t>重大税收违法失信人名单</w:t>
            </w:r>
            <w:r>
              <w:rPr>
                <w:rFonts w:ascii="Times New Roman" w:cs="Times New Roman"/>
                <w:b w:val="0"/>
                <w:bCs w:val="0"/>
                <w:color w:val="auto"/>
                <w:sz w:val="24"/>
                <w:szCs w:val="24"/>
              </w:rPr>
              <w:t>、政府采购严重违法失信行为记录名单及其他不符合《中华人民共和国政府采购法》第二十二条规定条件的供应商，其投标文件将被视为无效投标。</w:t>
            </w:r>
            <w:r>
              <w:rPr>
                <w:rFonts w:hint="eastAsia" w:ascii="Times New Roman" w:cs="Times New Roman"/>
                <w:b w:val="0"/>
                <w:bCs w:val="0"/>
                <w:color w:val="auto"/>
                <w:sz w:val="24"/>
                <w:szCs w:val="24"/>
                <w:lang w:val="en-US"/>
              </w:rPr>
              <w:t xml:space="preserve"> </w:t>
            </w:r>
          </w:p>
          <w:p w14:paraId="53CD97E6">
            <w:pPr>
              <w:ind w:firstLine="240" w:firstLineChars="100"/>
              <w:jc w:val="both"/>
              <w:rPr>
                <w:rFonts w:ascii="Times New Roman" w:hAnsi="Times New Roman" w:cs="Times New Roman"/>
                <w:b w:val="0"/>
                <w:bCs w:val="0"/>
                <w:color w:val="auto"/>
                <w:sz w:val="24"/>
                <w:szCs w:val="24"/>
              </w:rPr>
            </w:pPr>
            <w:r>
              <w:rPr>
                <w:rFonts w:ascii="Times New Roman" w:cs="Times New Roman"/>
                <w:b w:val="0"/>
                <w:bCs w:val="0"/>
                <w:color w:val="auto"/>
                <w:sz w:val="24"/>
                <w:szCs w:val="24"/>
                <w:lang w:val="en-US"/>
              </w:rPr>
              <w:t>备注：</w:t>
            </w:r>
            <w:r>
              <w:rPr>
                <w:rFonts w:ascii="Times New Roman" w:cs="Times New Roman"/>
                <w:b w:val="0"/>
                <w:bCs w:val="0"/>
                <w:color w:val="auto"/>
                <w:sz w:val="24"/>
                <w:szCs w:val="24"/>
              </w:rPr>
              <w:t>本项目不接受失信企业投标。</w:t>
            </w:r>
          </w:p>
        </w:tc>
      </w:tr>
      <w:tr w14:paraId="509BF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979" w:type="dxa"/>
            <w:tcBorders>
              <w:top w:val="single" w:color="auto" w:sz="4" w:space="0"/>
            </w:tcBorders>
            <w:vAlign w:val="center"/>
          </w:tcPr>
          <w:p w14:paraId="315A4473">
            <w:pPr>
              <w:jc w:val="center"/>
              <w:rPr>
                <w:rFonts w:ascii="Times New Roman" w:hAnsi="Times New Roman" w:cs="Times New Roman"/>
                <w:color w:val="auto"/>
                <w:sz w:val="24"/>
                <w:szCs w:val="24"/>
              </w:rPr>
            </w:pPr>
            <w:r>
              <w:rPr>
                <w:rFonts w:ascii="Times New Roman" w:hAnsi="Times New Roman" w:cs="Times New Roman"/>
                <w:color w:val="auto"/>
                <w:sz w:val="24"/>
                <w:szCs w:val="24"/>
              </w:rPr>
              <w:t>8</w:t>
            </w:r>
          </w:p>
        </w:tc>
        <w:tc>
          <w:tcPr>
            <w:tcW w:w="1594" w:type="dxa"/>
            <w:tcBorders>
              <w:top w:val="single" w:color="auto" w:sz="4" w:space="0"/>
            </w:tcBorders>
            <w:vAlign w:val="center"/>
          </w:tcPr>
          <w:p w14:paraId="41EBE4F5">
            <w:pPr>
              <w:jc w:val="center"/>
              <w:rPr>
                <w:rFonts w:ascii="Times New Roman" w:hAnsi="Times New Roman" w:cs="Times New Roman"/>
                <w:color w:val="auto"/>
                <w:sz w:val="24"/>
                <w:szCs w:val="24"/>
              </w:rPr>
            </w:pPr>
            <w:r>
              <w:rPr>
                <w:rFonts w:ascii="Times New Roman" w:cs="Times New Roman"/>
                <w:color w:val="auto"/>
                <w:sz w:val="24"/>
                <w:szCs w:val="24"/>
              </w:rPr>
              <w:t>投标有效期</w:t>
            </w:r>
          </w:p>
        </w:tc>
        <w:tc>
          <w:tcPr>
            <w:tcW w:w="7246" w:type="dxa"/>
            <w:tcBorders>
              <w:top w:val="single" w:color="auto" w:sz="4" w:space="0"/>
            </w:tcBorders>
            <w:vAlign w:val="center"/>
          </w:tcPr>
          <w:p w14:paraId="7711105E">
            <w:pPr>
              <w:jc w:val="both"/>
              <w:rPr>
                <w:rFonts w:ascii="Times New Roman" w:hAnsi="Times New Roman" w:cs="Times New Roman"/>
                <w:color w:val="auto"/>
                <w:sz w:val="24"/>
                <w:szCs w:val="24"/>
                <w:highlight w:val="red"/>
                <w:lang w:val="en-US"/>
              </w:rPr>
            </w:pPr>
            <w:r>
              <w:rPr>
                <w:rFonts w:hint="eastAsia" w:ascii="Times New Roman" w:hAnsi="Times New Roman" w:cs="Times New Roman"/>
                <w:color w:val="auto"/>
                <w:sz w:val="24"/>
                <w:szCs w:val="24"/>
                <w:lang w:val="en-US"/>
              </w:rPr>
              <w:t>90</w:t>
            </w:r>
            <w:r>
              <w:rPr>
                <w:rFonts w:ascii="Times New Roman" w:cs="Times New Roman"/>
                <w:color w:val="auto"/>
                <w:sz w:val="24"/>
                <w:szCs w:val="24"/>
                <w:lang w:val="en-US"/>
              </w:rPr>
              <w:t>天</w:t>
            </w:r>
          </w:p>
        </w:tc>
      </w:tr>
      <w:tr w14:paraId="09943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979" w:type="dxa"/>
            <w:tcBorders>
              <w:bottom w:val="single" w:color="auto" w:sz="4" w:space="0"/>
            </w:tcBorders>
            <w:vAlign w:val="center"/>
          </w:tcPr>
          <w:p w14:paraId="086874FA">
            <w:pPr>
              <w:jc w:val="center"/>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1594" w:type="dxa"/>
            <w:tcBorders>
              <w:bottom w:val="single" w:color="auto" w:sz="4" w:space="0"/>
            </w:tcBorders>
            <w:vAlign w:val="center"/>
          </w:tcPr>
          <w:p w14:paraId="5A4F77E2">
            <w:pPr>
              <w:jc w:val="center"/>
              <w:rPr>
                <w:rFonts w:ascii="Times New Roman" w:hAnsi="Times New Roman" w:cs="Times New Roman"/>
                <w:color w:val="auto"/>
                <w:sz w:val="24"/>
                <w:szCs w:val="24"/>
              </w:rPr>
            </w:pPr>
            <w:r>
              <w:rPr>
                <w:rFonts w:ascii="Times New Roman" w:cs="Times New Roman"/>
                <w:color w:val="auto"/>
                <w:sz w:val="24"/>
                <w:szCs w:val="24"/>
              </w:rPr>
              <w:t>评标方法</w:t>
            </w:r>
          </w:p>
        </w:tc>
        <w:tc>
          <w:tcPr>
            <w:tcW w:w="7246" w:type="dxa"/>
            <w:tcBorders>
              <w:bottom w:val="single" w:color="auto" w:sz="4" w:space="0"/>
            </w:tcBorders>
            <w:vAlign w:val="center"/>
          </w:tcPr>
          <w:p w14:paraId="681D2A3D">
            <w:pPr>
              <w:jc w:val="both"/>
              <w:rPr>
                <w:rFonts w:hint="eastAsia" w:ascii="Times New Roman" w:hAnsi="Times New Roman" w:cs="Times New Roman"/>
                <w:color w:val="auto"/>
                <w:sz w:val="24"/>
                <w:szCs w:val="24"/>
              </w:rPr>
            </w:pPr>
            <w:r>
              <w:rPr>
                <w:rFonts w:hint="eastAsia" w:ascii="Times New Roman" w:cs="Times New Roman"/>
                <w:color w:val="auto"/>
                <w:sz w:val="24"/>
                <w:szCs w:val="24"/>
                <w:lang w:val="en-US"/>
              </w:rPr>
              <w:t>综合评分法</w:t>
            </w:r>
          </w:p>
        </w:tc>
      </w:tr>
      <w:tr w14:paraId="63789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tcBorders>
              <w:top w:val="single" w:color="auto" w:sz="4" w:space="0"/>
            </w:tcBorders>
            <w:vAlign w:val="center"/>
          </w:tcPr>
          <w:p w14:paraId="7BC9F709">
            <w:pPr>
              <w:jc w:val="center"/>
              <w:rPr>
                <w:rFonts w:ascii="Times New Roman" w:hAnsi="Times New Roman" w:cs="Times New Roman"/>
                <w:color w:val="auto"/>
                <w:sz w:val="24"/>
                <w:szCs w:val="24"/>
              </w:rPr>
            </w:pPr>
            <w:r>
              <w:rPr>
                <w:rFonts w:ascii="Times New Roman" w:hAnsi="Times New Roman" w:cs="Times New Roman"/>
                <w:color w:val="auto"/>
                <w:sz w:val="24"/>
                <w:szCs w:val="24"/>
              </w:rPr>
              <w:t>10</w:t>
            </w:r>
          </w:p>
        </w:tc>
        <w:tc>
          <w:tcPr>
            <w:tcW w:w="1594" w:type="dxa"/>
            <w:tcBorders>
              <w:top w:val="single" w:color="auto" w:sz="4" w:space="0"/>
            </w:tcBorders>
            <w:vAlign w:val="center"/>
          </w:tcPr>
          <w:p w14:paraId="726B18AE">
            <w:pPr>
              <w:jc w:val="center"/>
              <w:rPr>
                <w:rFonts w:ascii="Times New Roman" w:hAnsi="Times New Roman" w:cs="Times New Roman"/>
                <w:color w:val="auto"/>
                <w:sz w:val="24"/>
                <w:szCs w:val="24"/>
              </w:rPr>
            </w:pPr>
            <w:r>
              <w:rPr>
                <w:rFonts w:ascii="Times New Roman" w:cs="Times New Roman"/>
                <w:color w:val="auto"/>
                <w:sz w:val="24"/>
                <w:szCs w:val="24"/>
              </w:rPr>
              <w:t>是否接受</w:t>
            </w:r>
          </w:p>
          <w:p w14:paraId="474BE619">
            <w:pPr>
              <w:jc w:val="center"/>
              <w:rPr>
                <w:rFonts w:ascii="Times New Roman" w:hAnsi="Times New Roman" w:cs="Times New Roman"/>
                <w:color w:val="auto"/>
                <w:sz w:val="24"/>
                <w:szCs w:val="24"/>
              </w:rPr>
            </w:pPr>
            <w:r>
              <w:rPr>
                <w:rFonts w:ascii="Times New Roman" w:cs="Times New Roman"/>
                <w:color w:val="auto"/>
                <w:sz w:val="24"/>
                <w:szCs w:val="24"/>
              </w:rPr>
              <w:t>联合体投标</w:t>
            </w:r>
          </w:p>
        </w:tc>
        <w:tc>
          <w:tcPr>
            <w:tcW w:w="7246" w:type="dxa"/>
            <w:tcBorders>
              <w:top w:val="single" w:color="auto" w:sz="4" w:space="0"/>
            </w:tcBorders>
            <w:vAlign w:val="center"/>
          </w:tcPr>
          <w:p w14:paraId="0214BE84">
            <w:pPr>
              <w:jc w:val="both"/>
              <w:rPr>
                <w:rFonts w:ascii="Times New Roman" w:hAnsi="Times New Roman" w:cs="Times New Roman"/>
                <w:color w:val="auto"/>
                <w:sz w:val="24"/>
                <w:szCs w:val="24"/>
              </w:rPr>
            </w:pPr>
            <w:r>
              <w:rPr>
                <w:rFonts w:ascii="Times New Roman" w:cs="Times New Roman"/>
                <w:color w:val="auto"/>
                <w:sz w:val="24"/>
                <w:szCs w:val="24"/>
              </w:rPr>
              <w:t>不接受</w:t>
            </w:r>
          </w:p>
        </w:tc>
      </w:tr>
      <w:tr w14:paraId="4F962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tcBorders>
              <w:top w:val="single" w:color="auto" w:sz="4" w:space="0"/>
            </w:tcBorders>
            <w:vAlign w:val="center"/>
          </w:tcPr>
          <w:p w14:paraId="256B7020">
            <w:pPr>
              <w:jc w:val="center"/>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11</w:t>
            </w:r>
          </w:p>
        </w:tc>
        <w:tc>
          <w:tcPr>
            <w:tcW w:w="1594" w:type="dxa"/>
            <w:tcBorders>
              <w:top w:val="single" w:color="auto" w:sz="4" w:space="0"/>
            </w:tcBorders>
            <w:vAlign w:val="center"/>
          </w:tcPr>
          <w:p w14:paraId="64E9D251">
            <w:pPr>
              <w:jc w:val="center"/>
              <w:rPr>
                <w:rFonts w:ascii="Times New Roman" w:hAnsi="Times New Roman" w:cs="Times New Roman"/>
                <w:color w:val="auto"/>
                <w:sz w:val="24"/>
                <w:szCs w:val="24"/>
              </w:rPr>
            </w:pPr>
            <w:r>
              <w:rPr>
                <w:rFonts w:ascii="Times New Roman" w:cs="Times New Roman"/>
                <w:color w:val="auto"/>
                <w:sz w:val="24"/>
                <w:szCs w:val="24"/>
              </w:rPr>
              <w:t>投标保证金</w:t>
            </w:r>
          </w:p>
        </w:tc>
        <w:tc>
          <w:tcPr>
            <w:tcW w:w="7246" w:type="dxa"/>
            <w:tcBorders>
              <w:top w:val="single" w:color="auto" w:sz="4" w:space="0"/>
            </w:tcBorders>
            <w:vAlign w:val="center"/>
          </w:tcPr>
          <w:p w14:paraId="3C689A94">
            <w:pPr>
              <w:autoSpaceDE/>
              <w:autoSpaceDN/>
              <w:jc w:val="both"/>
              <w:rPr>
                <w:rFonts w:hint="eastAsia"/>
                <w:color w:val="auto"/>
                <w:kern w:val="2"/>
                <w:sz w:val="24"/>
                <w:szCs w:val="24"/>
                <w:lang w:val="en-US" w:bidi="ar-SA"/>
              </w:rPr>
            </w:pPr>
            <w:r>
              <w:rPr>
                <w:rFonts w:hint="eastAsia"/>
                <w:color w:val="auto"/>
                <w:kern w:val="2"/>
                <w:sz w:val="24"/>
                <w:szCs w:val="24"/>
                <w:lang w:val="en-US" w:bidi="ar-SA"/>
              </w:rPr>
              <w:t>缴纳方式：电汇、网银转账、保函等非现金方式</w:t>
            </w:r>
          </w:p>
          <w:p w14:paraId="2FC44E7E">
            <w:pPr>
              <w:autoSpaceDE/>
              <w:autoSpaceDN/>
              <w:jc w:val="both"/>
              <w:rPr>
                <w:rFonts w:hint="eastAsia"/>
                <w:color w:val="auto"/>
                <w:kern w:val="2"/>
                <w:sz w:val="24"/>
                <w:szCs w:val="24"/>
                <w:lang w:val="en-US" w:bidi="ar-SA"/>
              </w:rPr>
            </w:pPr>
            <w:r>
              <w:rPr>
                <w:rFonts w:hint="eastAsia"/>
                <w:color w:val="auto"/>
                <w:kern w:val="2"/>
                <w:sz w:val="24"/>
                <w:szCs w:val="24"/>
                <w:lang w:val="en-US" w:bidi="ar-SA"/>
              </w:rPr>
              <w:t>金额（小写）：</w:t>
            </w:r>
            <w:r>
              <w:rPr>
                <w:rFonts w:hint="eastAsia"/>
                <w:color w:val="auto"/>
                <w:kern w:val="2"/>
                <w:sz w:val="24"/>
                <w:szCs w:val="24"/>
                <w:lang w:val="en-US" w:eastAsia="zh-CN" w:bidi="ar-SA"/>
              </w:rPr>
              <w:t>80000.00</w:t>
            </w:r>
            <w:r>
              <w:rPr>
                <w:rFonts w:hint="eastAsia"/>
                <w:color w:val="auto"/>
                <w:kern w:val="2"/>
                <w:sz w:val="24"/>
                <w:szCs w:val="24"/>
                <w:lang w:val="en-US" w:bidi="ar-SA"/>
              </w:rPr>
              <w:t xml:space="preserve">元整                           </w:t>
            </w:r>
          </w:p>
          <w:p w14:paraId="12CA6A27">
            <w:pPr>
              <w:spacing w:before="120"/>
              <w:jc w:val="both"/>
              <w:rPr>
                <w:rFonts w:hint="eastAsia"/>
                <w:color w:val="auto"/>
                <w:kern w:val="2"/>
                <w:sz w:val="24"/>
                <w:szCs w:val="24"/>
                <w:lang w:val="en-US" w:bidi="ar-SA"/>
              </w:rPr>
            </w:pPr>
            <w:r>
              <w:rPr>
                <w:rFonts w:hint="eastAsia"/>
                <w:color w:val="auto"/>
                <w:kern w:val="2"/>
                <w:sz w:val="24"/>
                <w:szCs w:val="24"/>
                <w:lang w:val="en-US" w:bidi="ar-SA"/>
              </w:rPr>
              <w:t>电汇保证金缴纳账号：</w:t>
            </w:r>
          </w:p>
          <w:p w14:paraId="4F910275">
            <w:pPr>
              <w:spacing w:before="120"/>
              <w:jc w:val="both"/>
              <w:rPr>
                <w:rFonts w:hint="eastAsia"/>
                <w:b w:val="0"/>
                <w:bCs w:val="0"/>
                <w:color w:val="auto"/>
                <w:kern w:val="2"/>
                <w:sz w:val="24"/>
                <w:szCs w:val="24"/>
                <w:lang w:val="en-US" w:bidi="ar-SA"/>
              </w:rPr>
            </w:pPr>
            <w:r>
              <w:rPr>
                <w:rFonts w:hint="eastAsia"/>
                <w:b w:val="0"/>
                <w:bCs w:val="0"/>
                <w:color w:val="auto"/>
                <w:kern w:val="2"/>
                <w:sz w:val="24"/>
                <w:szCs w:val="24"/>
                <w:lang w:val="en-US" w:bidi="ar-SA"/>
              </w:rPr>
              <w:t>开户单位名称：新疆国恩工程管理有限公司阿克苏分公司</w:t>
            </w:r>
          </w:p>
          <w:p w14:paraId="56DAD174">
            <w:pPr>
              <w:spacing w:before="120"/>
              <w:jc w:val="both"/>
              <w:rPr>
                <w:rFonts w:hint="eastAsia"/>
                <w:b w:val="0"/>
                <w:bCs w:val="0"/>
                <w:color w:val="auto"/>
                <w:kern w:val="2"/>
                <w:sz w:val="24"/>
                <w:szCs w:val="24"/>
                <w:lang w:val="en-US" w:bidi="ar-SA"/>
              </w:rPr>
            </w:pPr>
            <w:r>
              <w:rPr>
                <w:rFonts w:hint="eastAsia"/>
                <w:b w:val="0"/>
                <w:bCs w:val="0"/>
                <w:color w:val="auto"/>
                <w:kern w:val="2"/>
                <w:sz w:val="24"/>
                <w:szCs w:val="24"/>
                <w:lang w:val="en-US" w:bidi="ar-SA"/>
              </w:rPr>
              <w:t>开户银行：中国工商银行股份有限公司阿克苏南大街支行</w:t>
            </w:r>
          </w:p>
          <w:p w14:paraId="7E09CBF1">
            <w:pPr>
              <w:spacing w:before="120"/>
              <w:jc w:val="both"/>
              <w:rPr>
                <w:rFonts w:hint="eastAsia"/>
                <w:b w:val="0"/>
                <w:bCs w:val="0"/>
                <w:color w:val="auto"/>
                <w:kern w:val="2"/>
                <w:sz w:val="24"/>
                <w:szCs w:val="24"/>
                <w:lang w:val="en-US" w:bidi="ar-SA"/>
              </w:rPr>
            </w:pPr>
            <w:r>
              <w:rPr>
                <w:rFonts w:hint="eastAsia"/>
                <w:b w:val="0"/>
                <w:bCs w:val="0"/>
                <w:color w:val="auto"/>
                <w:kern w:val="2"/>
                <w:sz w:val="24"/>
                <w:szCs w:val="24"/>
                <w:lang w:val="en-US" w:bidi="ar-SA"/>
              </w:rPr>
              <w:t>账户账号：3014021509100167572</w:t>
            </w:r>
          </w:p>
          <w:p w14:paraId="16C91911">
            <w:pPr>
              <w:spacing w:before="120"/>
              <w:jc w:val="both"/>
              <w:rPr>
                <w:rFonts w:hint="eastAsia"/>
                <w:color w:val="auto"/>
                <w:kern w:val="2"/>
                <w:sz w:val="24"/>
                <w:szCs w:val="24"/>
                <w:lang w:val="en-US" w:bidi="ar-SA"/>
              </w:rPr>
            </w:pPr>
            <w:r>
              <w:rPr>
                <w:rFonts w:hint="eastAsia"/>
                <w:color w:val="auto"/>
                <w:kern w:val="2"/>
                <w:sz w:val="24"/>
                <w:szCs w:val="24"/>
                <w:lang w:val="en-US" w:bidi="ar-SA"/>
              </w:rPr>
              <w:t>注：汇款单上需注明项目编号或项目名称。（如有字符限制可自行简写）</w:t>
            </w:r>
          </w:p>
          <w:p w14:paraId="51E90EA6">
            <w:pPr>
              <w:spacing w:before="120"/>
              <w:jc w:val="both"/>
              <w:rPr>
                <w:rFonts w:hint="eastAsia"/>
                <w:color w:val="auto"/>
                <w:kern w:val="2"/>
                <w:sz w:val="24"/>
                <w:szCs w:val="24"/>
                <w:lang w:val="en-US" w:bidi="ar-SA"/>
              </w:rPr>
            </w:pPr>
            <w:r>
              <w:rPr>
                <w:rFonts w:hint="eastAsia"/>
                <w:color w:val="auto"/>
                <w:kern w:val="2"/>
                <w:sz w:val="24"/>
                <w:szCs w:val="24"/>
                <w:lang w:val="en-US" w:bidi="ar-SA"/>
              </w:rPr>
              <w:t>保证金缴纳期限：凡拟参加本次采购的供应商，必须在投标文件递交截止时间前将保证金汇入指定账户。</w:t>
            </w:r>
          </w:p>
          <w:p w14:paraId="627F2046">
            <w:pPr>
              <w:spacing w:before="120"/>
              <w:jc w:val="both"/>
              <w:rPr>
                <w:rFonts w:hint="eastAsia"/>
                <w:color w:val="auto"/>
                <w:kern w:val="2"/>
                <w:sz w:val="24"/>
                <w:szCs w:val="24"/>
                <w:lang w:val="en-US" w:bidi="ar-SA"/>
              </w:rPr>
            </w:pPr>
            <w:r>
              <w:rPr>
                <w:rFonts w:hint="eastAsia"/>
                <w:color w:val="auto"/>
                <w:kern w:val="2"/>
                <w:sz w:val="24"/>
                <w:szCs w:val="24"/>
                <w:lang w:val="en-US" w:bidi="ar-SA"/>
              </w:rPr>
              <w:t>注：汇款单上需备注项目名称、</w:t>
            </w:r>
            <w:r>
              <w:rPr>
                <w:rFonts w:hint="eastAsia"/>
                <w:color w:val="auto"/>
                <w:kern w:val="2"/>
                <w:sz w:val="24"/>
                <w:szCs w:val="24"/>
                <w:lang w:val="en-US" w:eastAsia="zh-CN" w:bidi="ar-SA"/>
              </w:rPr>
              <w:t>编</w:t>
            </w:r>
            <w:r>
              <w:rPr>
                <w:rFonts w:hint="eastAsia"/>
                <w:color w:val="auto"/>
                <w:kern w:val="2"/>
                <w:sz w:val="24"/>
                <w:szCs w:val="24"/>
                <w:lang w:val="en-US" w:bidi="ar-SA"/>
              </w:rPr>
              <w:t>号。保证金于投标文件首次递交截止时间之前确认到账，若供应商未按照上述规定缴纳保证金,投标文件将被拒绝评审。</w:t>
            </w:r>
          </w:p>
          <w:p w14:paraId="5F6BE328">
            <w:pPr>
              <w:jc w:val="both"/>
              <w:rPr>
                <w:color w:val="auto"/>
                <w:sz w:val="24"/>
                <w:szCs w:val="24"/>
                <w:lang w:val="en-US"/>
              </w:rPr>
            </w:pPr>
            <w:r>
              <w:rPr>
                <w:rFonts w:hint="eastAsia"/>
                <w:color w:val="auto"/>
                <w:kern w:val="2"/>
                <w:sz w:val="24"/>
                <w:szCs w:val="24"/>
                <w:lang w:val="en-US" w:bidi="ar-SA"/>
              </w:rPr>
              <w:t>退还保证金时，请携带法人授权委托书及委托人的身份证复印件（加盖公章及法人章）、汇款凭证复印件，找采购文件中的项目负责人签字办理。</w:t>
            </w:r>
          </w:p>
        </w:tc>
      </w:tr>
      <w:tr w14:paraId="0B174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06B81A85">
            <w:pPr>
              <w:jc w:val="center"/>
              <w:rPr>
                <w:rFonts w:ascii="Times New Roman" w:hAnsi="Times New Roman" w:cs="Times New Roman"/>
                <w:color w:val="auto"/>
                <w:sz w:val="24"/>
                <w:szCs w:val="24"/>
              </w:rPr>
            </w:pPr>
            <w:r>
              <w:rPr>
                <w:rFonts w:ascii="Times New Roman" w:hAnsi="Times New Roman" w:cs="Times New Roman"/>
                <w:color w:val="auto"/>
                <w:sz w:val="24"/>
                <w:szCs w:val="24"/>
              </w:rPr>
              <w:t>12</w:t>
            </w:r>
          </w:p>
        </w:tc>
        <w:tc>
          <w:tcPr>
            <w:tcW w:w="1594" w:type="dxa"/>
            <w:vAlign w:val="center"/>
          </w:tcPr>
          <w:p w14:paraId="27A21B94">
            <w:pPr>
              <w:jc w:val="center"/>
              <w:rPr>
                <w:rFonts w:ascii="Times New Roman" w:hAnsi="Times New Roman" w:cs="Times New Roman"/>
                <w:color w:val="auto"/>
                <w:sz w:val="24"/>
                <w:szCs w:val="24"/>
              </w:rPr>
            </w:pPr>
            <w:r>
              <w:rPr>
                <w:rFonts w:hint="eastAsia" w:ascii="Times New Roman" w:cs="Times New Roman"/>
                <w:color w:val="auto"/>
                <w:sz w:val="24"/>
                <w:szCs w:val="24"/>
                <w:lang w:val="en-US"/>
              </w:rPr>
              <w:t>采购文件</w:t>
            </w:r>
            <w:r>
              <w:rPr>
                <w:rFonts w:ascii="Times New Roman" w:cs="Times New Roman"/>
                <w:color w:val="auto"/>
                <w:sz w:val="24"/>
                <w:szCs w:val="24"/>
              </w:rPr>
              <w:t>发放</w:t>
            </w:r>
          </w:p>
        </w:tc>
        <w:tc>
          <w:tcPr>
            <w:tcW w:w="7246" w:type="dxa"/>
            <w:vAlign w:val="center"/>
          </w:tcPr>
          <w:p w14:paraId="70975C18">
            <w:pPr>
              <w:jc w:val="both"/>
              <w:rPr>
                <w:rFonts w:hint="eastAsia" w:ascii="Times New Roman" w:hAnsi="Times New Roman" w:cs="Times New Roman"/>
                <w:color w:val="auto"/>
                <w:sz w:val="24"/>
                <w:szCs w:val="24"/>
              </w:rPr>
            </w:pPr>
            <w:r>
              <w:rPr>
                <w:rFonts w:hint="eastAsia" w:ascii="Times New Roman" w:hAnsi="Times New Roman" w:cs="Times New Roman"/>
                <w:color w:val="auto"/>
                <w:sz w:val="24"/>
                <w:szCs w:val="24"/>
                <w:lang w:val="en-US"/>
              </w:rPr>
              <w:t>登录</w:t>
            </w:r>
            <w:r>
              <w:rPr>
                <w:rFonts w:hint="eastAsia" w:ascii="Times New Roman" w:hAnsi="Times New Roman" w:cs="Times New Roman"/>
                <w:color w:val="auto"/>
                <w:sz w:val="24"/>
                <w:szCs w:val="24"/>
              </w:rPr>
              <w:t>政采云https://www.zcygov.cn/平台后进入“项目采购“应用，在获取文件菜单中选择项目，申请获取采购文件，投标单位须办理CA数字证书，通过CA数字证书登陆政采云平台https://www.zcygov.cn/，进行下载采购文件。</w:t>
            </w:r>
          </w:p>
        </w:tc>
      </w:tr>
      <w:tr w14:paraId="791F1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0C56B312">
            <w:pPr>
              <w:jc w:val="center"/>
              <w:rPr>
                <w:rFonts w:ascii="Times New Roman" w:hAnsi="Times New Roman" w:cs="Times New Roman"/>
                <w:color w:val="auto"/>
                <w:sz w:val="24"/>
                <w:szCs w:val="24"/>
              </w:rPr>
            </w:pPr>
            <w:r>
              <w:rPr>
                <w:rFonts w:ascii="Times New Roman" w:hAnsi="Times New Roman" w:cs="Times New Roman"/>
                <w:color w:val="auto"/>
                <w:sz w:val="24"/>
                <w:szCs w:val="24"/>
              </w:rPr>
              <w:t>13</w:t>
            </w:r>
          </w:p>
        </w:tc>
        <w:tc>
          <w:tcPr>
            <w:tcW w:w="1594" w:type="dxa"/>
            <w:vAlign w:val="center"/>
          </w:tcPr>
          <w:p w14:paraId="403D8630">
            <w:pPr>
              <w:jc w:val="center"/>
              <w:rPr>
                <w:rFonts w:ascii="Times New Roman" w:hAnsi="Times New Roman" w:cs="Times New Roman"/>
                <w:color w:val="auto"/>
                <w:sz w:val="24"/>
                <w:szCs w:val="24"/>
              </w:rPr>
            </w:pPr>
            <w:r>
              <w:rPr>
                <w:rFonts w:hint="eastAsia" w:ascii="Times New Roman" w:cs="Times New Roman"/>
                <w:color w:val="auto"/>
                <w:sz w:val="24"/>
                <w:szCs w:val="24"/>
              </w:rPr>
              <w:t>采购文件</w:t>
            </w:r>
            <w:r>
              <w:rPr>
                <w:rFonts w:ascii="Times New Roman" w:cs="Times New Roman"/>
                <w:color w:val="auto"/>
                <w:sz w:val="24"/>
                <w:szCs w:val="24"/>
              </w:rPr>
              <w:t>售价</w:t>
            </w:r>
          </w:p>
        </w:tc>
        <w:tc>
          <w:tcPr>
            <w:tcW w:w="7246" w:type="dxa"/>
            <w:vAlign w:val="center"/>
          </w:tcPr>
          <w:p w14:paraId="7EEDF39E">
            <w:pPr>
              <w:overflowPunct w:val="0"/>
              <w:jc w:val="both"/>
              <w:rPr>
                <w:rFonts w:ascii="Times New Roman" w:hAnsi="Times New Roman" w:cs="Times New Roman"/>
                <w:color w:val="auto"/>
                <w:sz w:val="24"/>
                <w:szCs w:val="24"/>
                <w:lang w:val="en-US"/>
              </w:rPr>
            </w:pPr>
            <w:r>
              <w:rPr>
                <w:rFonts w:hint="eastAsia" w:ascii="Times New Roman" w:cs="Times New Roman"/>
                <w:color w:val="auto"/>
                <w:sz w:val="24"/>
                <w:szCs w:val="24"/>
                <w:lang w:val="en-US"/>
              </w:rPr>
              <w:t>0</w:t>
            </w:r>
            <w:r>
              <w:rPr>
                <w:rFonts w:ascii="Times New Roman" w:cs="Times New Roman"/>
                <w:color w:val="auto"/>
                <w:sz w:val="24"/>
                <w:szCs w:val="24"/>
                <w:lang w:val="en-US"/>
              </w:rPr>
              <w:t>元</w:t>
            </w:r>
            <w:r>
              <w:rPr>
                <w:rFonts w:hint="eastAsia" w:ascii="Times New Roman" w:cs="Times New Roman"/>
                <w:color w:val="auto"/>
                <w:sz w:val="24"/>
                <w:szCs w:val="24"/>
                <w:lang w:val="en-US"/>
              </w:rPr>
              <w:t>/标项</w:t>
            </w:r>
          </w:p>
        </w:tc>
      </w:tr>
      <w:tr w14:paraId="221BF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57993C6E">
            <w:pPr>
              <w:overflowPunct w:val="0"/>
              <w:jc w:val="center"/>
              <w:rPr>
                <w:rFonts w:ascii="Times New Roman" w:hAnsi="Times New Roman" w:cs="Times New Roman"/>
                <w:color w:val="auto"/>
                <w:sz w:val="24"/>
                <w:szCs w:val="24"/>
              </w:rPr>
            </w:pPr>
            <w:r>
              <w:rPr>
                <w:rFonts w:ascii="Times New Roman" w:hAnsi="Times New Roman" w:cs="Times New Roman"/>
                <w:color w:val="auto"/>
                <w:sz w:val="24"/>
                <w:szCs w:val="24"/>
              </w:rPr>
              <w:t>14</w:t>
            </w:r>
          </w:p>
        </w:tc>
        <w:tc>
          <w:tcPr>
            <w:tcW w:w="1594" w:type="dxa"/>
            <w:vAlign w:val="center"/>
          </w:tcPr>
          <w:p w14:paraId="6E9B6D5F">
            <w:pPr>
              <w:overflowPunct w:val="0"/>
              <w:jc w:val="center"/>
              <w:rPr>
                <w:rFonts w:hint="eastAsia" w:ascii="Times New Roman" w:hAnsi="Times New Roman" w:cs="Times New Roman"/>
                <w:b/>
                <w:bCs/>
                <w:color w:val="auto"/>
                <w:sz w:val="24"/>
                <w:szCs w:val="24"/>
              </w:rPr>
            </w:pPr>
            <w:r>
              <w:rPr>
                <w:rFonts w:hint="eastAsia" w:ascii="Times New Roman" w:cs="Times New Roman"/>
                <w:b/>
                <w:bCs/>
                <w:color w:val="auto"/>
                <w:sz w:val="24"/>
                <w:szCs w:val="24"/>
              </w:rPr>
              <w:t>开标原件</w:t>
            </w:r>
          </w:p>
        </w:tc>
        <w:tc>
          <w:tcPr>
            <w:tcW w:w="7246" w:type="dxa"/>
            <w:vAlign w:val="center"/>
          </w:tcPr>
          <w:p w14:paraId="1A5E1640">
            <w:pPr>
              <w:overflowPunct w:val="0"/>
              <w:jc w:val="both"/>
              <w:rPr>
                <w:b/>
                <w:bCs/>
                <w:color w:val="auto"/>
                <w:sz w:val="24"/>
                <w:szCs w:val="24"/>
                <w:lang w:val="en-US"/>
              </w:rPr>
            </w:pPr>
            <w:r>
              <w:rPr>
                <w:rFonts w:hint="eastAsia"/>
                <w:b/>
                <w:bCs/>
                <w:color w:val="auto"/>
                <w:sz w:val="24"/>
                <w:szCs w:val="24"/>
                <w:lang w:val="en-US"/>
              </w:rPr>
              <w:t>无</w:t>
            </w:r>
          </w:p>
        </w:tc>
      </w:tr>
      <w:tr w14:paraId="1E269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5" w:hRule="atLeast"/>
          <w:jc w:val="center"/>
        </w:trPr>
        <w:tc>
          <w:tcPr>
            <w:tcW w:w="979" w:type="dxa"/>
            <w:vAlign w:val="center"/>
          </w:tcPr>
          <w:p w14:paraId="1D603895">
            <w:pPr>
              <w:overflowPunct w:val="0"/>
              <w:jc w:val="center"/>
              <w:rPr>
                <w:rFonts w:ascii="Times New Roman" w:hAnsi="Times New Roman" w:cs="Times New Roman"/>
                <w:color w:val="auto"/>
                <w:sz w:val="24"/>
                <w:szCs w:val="24"/>
              </w:rPr>
            </w:pPr>
            <w:r>
              <w:rPr>
                <w:rFonts w:ascii="Times New Roman" w:hAnsi="Times New Roman" w:cs="Times New Roman"/>
                <w:color w:val="auto"/>
                <w:sz w:val="24"/>
                <w:szCs w:val="24"/>
              </w:rPr>
              <w:t>15</w:t>
            </w:r>
          </w:p>
        </w:tc>
        <w:tc>
          <w:tcPr>
            <w:tcW w:w="1594" w:type="dxa"/>
            <w:vAlign w:val="center"/>
          </w:tcPr>
          <w:p w14:paraId="256DD28A">
            <w:pPr>
              <w:overflowPunct w:val="0"/>
              <w:jc w:val="center"/>
              <w:rPr>
                <w:rFonts w:ascii="Times New Roman" w:cs="Times New Roman"/>
                <w:color w:val="auto"/>
                <w:sz w:val="24"/>
                <w:szCs w:val="24"/>
              </w:rPr>
            </w:pPr>
            <w:r>
              <w:rPr>
                <w:rFonts w:ascii="Times New Roman" w:cs="Times New Roman"/>
                <w:color w:val="auto"/>
                <w:sz w:val="24"/>
                <w:szCs w:val="24"/>
              </w:rPr>
              <w:t>开标地点及投标文件递交</w:t>
            </w:r>
          </w:p>
        </w:tc>
        <w:tc>
          <w:tcPr>
            <w:tcW w:w="7246" w:type="dxa"/>
            <w:vAlign w:val="center"/>
          </w:tcPr>
          <w:p w14:paraId="6F5F3747">
            <w:pPr>
              <w:overflowPunct w:val="0"/>
              <w:jc w:val="both"/>
              <w:rPr>
                <w:rFonts w:hint="eastAsia" w:ascii="Times New Roman" w:hAnsi="Times New Roman" w:cs="Times New Roman"/>
                <w:color w:val="auto"/>
                <w:sz w:val="24"/>
                <w:szCs w:val="24"/>
              </w:rPr>
            </w:pPr>
            <w:r>
              <w:rPr>
                <w:rFonts w:ascii="Times New Roman" w:cs="Times New Roman"/>
                <w:color w:val="auto"/>
                <w:sz w:val="24"/>
                <w:szCs w:val="24"/>
              </w:rPr>
              <w:t>（</w:t>
            </w:r>
            <w:r>
              <w:rPr>
                <w:rFonts w:ascii="Times New Roman" w:hAnsi="Times New Roman" w:cs="Times New Roman"/>
                <w:color w:val="auto"/>
                <w:sz w:val="24"/>
                <w:szCs w:val="24"/>
              </w:rPr>
              <w:t>1</w:t>
            </w:r>
            <w:r>
              <w:rPr>
                <w:rFonts w:ascii="Times New Roman" w:cs="Times New Roman"/>
                <w:color w:val="auto"/>
                <w:sz w:val="24"/>
                <w:szCs w:val="24"/>
              </w:rPr>
              <w:t>）开标地点：</w:t>
            </w:r>
            <w:r>
              <w:rPr>
                <w:rFonts w:hint="eastAsia" w:ascii="Times New Roman" w:cs="Times New Roman"/>
                <w:color w:val="auto"/>
                <w:sz w:val="24"/>
                <w:szCs w:val="24"/>
              </w:rPr>
              <w:t>政采云平台https://login.zcygov.cn/</w:t>
            </w:r>
            <w:r>
              <w:rPr>
                <w:rFonts w:ascii="Times New Roman" w:cs="Times New Roman"/>
                <w:color w:val="auto"/>
                <w:sz w:val="24"/>
                <w:szCs w:val="24"/>
              </w:rPr>
              <w:t>。</w:t>
            </w:r>
            <w:r>
              <w:rPr>
                <w:rFonts w:hint="eastAsia" w:ascii="Times New Roman" w:cs="Times New Roman"/>
                <w:color w:val="auto"/>
                <w:sz w:val="24"/>
                <w:szCs w:val="24"/>
              </w:rPr>
              <w:t>（</w:t>
            </w:r>
            <w:r>
              <w:rPr>
                <w:rFonts w:hint="eastAsia" w:ascii="Times New Roman" w:cs="Times New Roman"/>
                <w:color w:val="auto"/>
                <w:sz w:val="24"/>
                <w:szCs w:val="24"/>
                <w:lang w:val="en-US"/>
              </w:rPr>
              <w:t>全流程不见面开标</w:t>
            </w:r>
            <w:r>
              <w:rPr>
                <w:rFonts w:hint="eastAsia" w:ascii="Times New Roman" w:cs="Times New Roman"/>
                <w:color w:val="auto"/>
                <w:sz w:val="24"/>
                <w:szCs w:val="24"/>
              </w:rPr>
              <w:t>）</w:t>
            </w:r>
          </w:p>
          <w:p w14:paraId="17A7747F">
            <w:pPr>
              <w:overflowPunct w:val="0"/>
              <w:jc w:val="both"/>
              <w:rPr>
                <w:rFonts w:ascii="Times New Roman" w:hAnsi="Times New Roman" w:cs="Times New Roman"/>
                <w:color w:val="auto"/>
                <w:sz w:val="24"/>
                <w:szCs w:val="24"/>
              </w:rPr>
            </w:pPr>
            <w:r>
              <w:rPr>
                <w:rFonts w:ascii="Times New Roman" w:cs="Times New Roman"/>
                <w:b/>
                <w:bCs/>
                <w:color w:val="auto"/>
                <w:sz w:val="24"/>
                <w:szCs w:val="24"/>
              </w:rPr>
              <w:t>（</w:t>
            </w:r>
            <w:r>
              <w:rPr>
                <w:rFonts w:ascii="Times New Roman" w:hAnsi="Times New Roman" w:cs="Times New Roman"/>
                <w:b/>
                <w:bCs/>
                <w:color w:val="auto"/>
                <w:sz w:val="24"/>
                <w:szCs w:val="24"/>
              </w:rPr>
              <w:t>2</w:t>
            </w:r>
            <w:r>
              <w:rPr>
                <w:rFonts w:ascii="Times New Roman" w:cs="Times New Roman"/>
                <w:b/>
                <w:bCs/>
                <w:color w:val="auto"/>
                <w:sz w:val="24"/>
                <w:szCs w:val="24"/>
              </w:rPr>
              <w:t>）</w:t>
            </w:r>
            <w:r>
              <w:rPr>
                <w:rFonts w:hint="eastAsia" w:ascii="Times New Roman" w:cs="Times New Roman"/>
                <w:b/>
                <w:bCs/>
                <w:color w:val="auto"/>
                <w:sz w:val="24"/>
                <w:szCs w:val="24"/>
                <w:lang w:val="en-US"/>
              </w:rPr>
              <w:t>开标时间：202</w:t>
            </w:r>
            <w:r>
              <w:rPr>
                <w:rFonts w:hint="eastAsia" w:ascii="Times New Roman" w:cs="Times New Roman"/>
                <w:b/>
                <w:bCs/>
                <w:color w:val="auto"/>
                <w:sz w:val="24"/>
                <w:szCs w:val="24"/>
                <w:lang w:val="en-US" w:eastAsia="zh-CN"/>
              </w:rPr>
              <w:t>6</w:t>
            </w:r>
            <w:r>
              <w:rPr>
                <w:rFonts w:hint="eastAsia" w:ascii="Times New Roman" w:cs="Times New Roman"/>
                <w:b/>
                <w:bCs/>
                <w:color w:val="auto"/>
                <w:sz w:val="24"/>
                <w:szCs w:val="24"/>
                <w:lang w:val="en-US"/>
              </w:rPr>
              <w:t>年</w:t>
            </w:r>
            <w:r>
              <w:rPr>
                <w:rFonts w:hint="eastAsia" w:ascii="Times New Roman" w:cs="Times New Roman"/>
                <w:b/>
                <w:bCs/>
                <w:color w:val="auto"/>
                <w:sz w:val="24"/>
                <w:szCs w:val="24"/>
                <w:lang w:val="en-US" w:eastAsia="zh-CN"/>
              </w:rPr>
              <w:t>10</w:t>
            </w:r>
            <w:r>
              <w:rPr>
                <w:rFonts w:hint="eastAsia" w:ascii="Times New Roman" w:cs="Times New Roman"/>
                <w:b/>
                <w:bCs/>
                <w:color w:val="auto"/>
                <w:sz w:val="24"/>
                <w:szCs w:val="24"/>
                <w:lang w:val="en-US"/>
              </w:rPr>
              <w:t>月</w:t>
            </w:r>
            <w:r>
              <w:rPr>
                <w:rFonts w:hint="eastAsia" w:ascii="Times New Roman" w:cs="Times New Roman"/>
                <w:b/>
                <w:bCs/>
                <w:color w:val="auto"/>
                <w:sz w:val="24"/>
                <w:szCs w:val="24"/>
                <w:lang w:val="en-US" w:eastAsia="zh-CN"/>
              </w:rPr>
              <w:t>28</w:t>
            </w:r>
            <w:r>
              <w:rPr>
                <w:rFonts w:hint="eastAsia" w:ascii="Times New Roman" w:cs="Times New Roman"/>
                <w:b/>
                <w:bCs/>
                <w:color w:val="auto"/>
                <w:sz w:val="24"/>
                <w:szCs w:val="24"/>
                <w:lang w:val="en-US"/>
              </w:rPr>
              <w:t>日1</w:t>
            </w:r>
            <w:r>
              <w:rPr>
                <w:rFonts w:hint="eastAsia" w:ascii="Times New Roman" w:cs="Times New Roman"/>
                <w:b/>
                <w:bCs/>
                <w:color w:val="auto"/>
                <w:sz w:val="24"/>
                <w:szCs w:val="24"/>
                <w:lang w:val="en-US" w:eastAsia="zh-CN"/>
              </w:rPr>
              <w:t>0</w:t>
            </w:r>
            <w:r>
              <w:rPr>
                <w:rFonts w:hint="eastAsia" w:ascii="Times New Roman" w:cs="Times New Roman"/>
                <w:b/>
                <w:bCs/>
                <w:color w:val="auto"/>
                <w:sz w:val="24"/>
                <w:szCs w:val="24"/>
                <w:lang w:val="en-US"/>
              </w:rPr>
              <w:t>:</w:t>
            </w:r>
            <w:r>
              <w:rPr>
                <w:rFonts w:hint="eastAsia" w:ascii="Times New Roman" w:cs="Times New Roman"/>
                <w:b/>
                <w:bCs/>
                <w:color w:val="auto"/>
                <w:sz w:val="24"/>
                <w:szCs w:val="24"/>
                <w:lang w:val="en-US" w:eastAsia="zh-CN"/>
              </w:rPr>
              <w:t>3</w:t>
            </w:r>
            <w:r>
              <w:rPr>
                <w:rFonts w:hint="eastAsia" w:ascii="Times New Roman" w:cs="Times New Roman"/>
                <w:b/>
                <w:bCs/>
                <w:color w:val="auto"/>
                <w:sz w:val="24"/>
                <w:szCs w:val="24"/>
                <w:lang w:val="en-US"/>
              </w:rPr>
              <w:t>0（北京时间）</w:t>
            </w:r>
          </w:p>
        </w:tc>
      </w:tr>
      <w:tr w14:paraId="548C2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979" w:type="dxa"/>
            <w:tcBorders>
              <w:top w:val="single" w:color="auto" w:sz="4" w:space="0"/>
              <w:bottom w:val="single" w:color="auto" w:sz="4" w:space="0"/>
            </w:tcBorders>
            <w:vAlign w:val="center"/>
          </w:tcPr>
          <w:p w14:paraId="382113DD">
            <w:pPr>
              <w:overflowPunct w:val="0"/>
              <w:jc w:val="center"/>
              <w:rPr>
                <w:rFonts w:ascii="Times New Roman" w:hAnsi="Times New Roman" w:cs="Times New Roman"/>
                <w:color w:val="auto"/>
                <w:sz w:val="24"/>
                <w:szCs w:val="24"/>
              </w:rPr>
            </w:pPr>
            <w:r>
              <w:rPr>
                <w:rFonts w:ascii="Times New Roman" w:hAnsi="Times New Roman" w:cs="Times New Roman"/>
                <w:color w:val="auto"/>
                <w:sz w:val="24"/>
                <w:szCs w:val="24"/>
              </w:rPr>
              <w:t>1</w:t>
            </w:r>
            <w:r>
              <w:rPr>
                <w:rFonts w:hint="eastAsia" w:ascii="Times New Roman" w:hAnsi="Times New Roman" w:cs="Times New Roman"/>
                <w:color w:val="auto"/>
                <w:sz w:val="24"/>
                <w:szCs w:val="24"/>
                <w:lang w:val="en-US"/>
              </w:rPr>
              <w:t>6</w:t>
            </w:r>
          </w:p>
        </w:tc>
        <w:tc>
          <w:tcPr>
            <w:tcW w:w="1594" w:type="dxa"/>
            <w:tcBorders>
              <w:top w:val="single" w:color="auto" w:sz="4" w:space="0"/>
              <w:bottom w:val="single" w:color="auto" w:sz="4" w:space="0"/>
            </w:tcBorders>
            <w:vAlign w:val="center"/>
          </w:tcPr>
          <w:p w14:paraId="2842216E">
            <w:pPr>
              <w:overflowPunct w:val="0"/>
              <w:jc w:val="center"/>
              <w:rPr>
                <w:rFonts w:ascii="Times New Roman" w:cs="Times New Roman"/>
                <w:color w:val="auto"/>
                <w:sz w:val="24"/>
                <w:szCs w:val="24"/>
              </w:rPr>
            </w:pPr>
            <w:r>
              <w:rPr>
                <w:rFonts w:ascii="Times New Roman" w:cs="Times New Roman"/>
                <w:color w:val="auto"/>
                <w:sz w:val="24"/>
                <w:szCs w:val="24"/>
                <w:lang w:val="en-US"/>
              </w:rPr>
              <w:t>投标文件份数</w:t>
            </w:r>
          </w:p>
        </w:tc>
        <w:tc>
          <w:tcPr>
            <w:tcW w:w="7246" w:type="dxa"/>
            <w:tcBorders>
              <w:top w:val="single" w:color="auto" w:sz="4" w:space="0"/>
              <w:bottom w:val="single" w:color="auto" w:sz="4" w:space="0"/>
            </w:tcBorders>
            <w:vAlign w:val="center"/>
          </w:tcPr>
          <w:p w14:paraId="620630EB">
            <w:pPr>
              <w:overflowPunct w:val="0"/>
              <w:jc w:val="both"/>
              <w:rPr>
                <w:rFonts w:hint="eastAsia" w:ascii="Times New Roman" w:cs="Times New Roman"/>
                <w:color w:val="auto"/>
                <w:sz w:val="24"/>
                <w:szCs w:val="24"/>
              </w:rPr>
            </w:pPr>
            <w:r>
              <w:rPr>
                <w:rFonts w:hint="eastAsia" w:ascii="Times New Roman" w:cs="Times New Roman"/>
                <w:color w:val="auto"/>
                <w:sz w:val="24"/>
                <w:szCs w:val="24"/>
                <w:lang w:val="en-US"/>
              </w:rPr>
              <w:t>开标时无需递交纸质版投标文件，</w:t>
            </w:r>
            <w:r>
              <w:rPr>
                <w:rFonts w:hint="eastAsia" w:ascii="Times New Roman" w:cs="Times New Roman"/>
                <w:color w:val="auto"/>
                <w:sz w:val="24"/>
                <w:szCs w:val="24"/>
              </w:rPr>
              <w:t>将</w:t>
            </w:r>
            <w:r>
              <w:rPr>
                <w:rFonts w:hint="eastAsia" w:ascii="Times New Roman" w:cs="Times New Roman"/>
                <w:color w:val="auto"/>
                <w:sz w:val="24"/>
                <w:szCs w:val="24"/>
                <w:lang w:val="en-US"/>
              </w:rPr>
              <w:t>投标</w:t>
            </w:r>
            <w:r>
              <w:rPr>
                <w:rFonts w:hint="eastAsia" w:ascii="Times New Roman" w:cs="Times New Roman"/>
                <w:color w:val="auto"/>
                <w:sz w:val="24"/>
                <w:szCs w:val="24"/>
              </w:rPr>
              <w:t>文件上传至政采云平台https://www.zcygov.cn/对应位置（逾期未上传的或不符合规定的投标文件将被拒绝接收）。</w:t>
            </w:r>
          </w:p>
          <w:p w14:paraId="57ED4AC8">
            <w:pPr>
              <w:overflowPunct w:val="0"/>
              <w:jc w:val="both"/>
              <w:rPr>
                <w:color w:val="auto"/>
                <w:lang w:val="en-US"/>
              </w:rPr>
            </w:pPr>
            <w:r>
              <w:rPr>
                <w:rFonts w:hint="eastAsia" w:ascii="Times New Roman" w:cs="Times New Roman"/>
                <w:b/>
                <w:bCs/>
                <w:color w:val="auto"/>
                <w:sz w:val="24"/>
                <w:szCs w:val="24"/>
                <w:lang w:val="en-US"/>
              </w:rPr>
              <w:t>备注</w:t>
            </w:r>
            <w:r>
              <w:rPr>
                <w:rFonts w:hint="eastAsia" w:ascii="Times New Roman" w:cs="Times New Roman"/>
                <w:b w:val="0"/>
                <w:bCs w:val="0"/>
                <w:color w:val="auto"/>
                <w:sz w:val="24"/>
                <w:szCs w:val="24"/>
                <w:lang w:val="en-US"/>
              </w:rPr>
              <w:t>：</w:t>
            </w:r>
            <w:r>
              <w:rPr>
                <w:rFonts w:hint="eastAsia" w:ascii="Times New Roman" w:cs="Times New Roman"/>
                <w:b w:val="0"/>
                <w:bCs w:val="0"/>
                <w:color w:val="auto"/>
                <w:sz w:val="24"/>
                <w:szCs w:val="24"/>
                <w:lang w:val="en-US" w:eastAsia="zh-CN"/>
              </w:rPr>
              <w:t>开标结束后中标候选人前三</w:t>
            </w:r>
            <w:r>
              <w:rPr>
                <w:rFonts w:hint="eastAsia" w:ascii="Times New Roman" w:cs="Times New Roman"/>
                <w:b w:val="0"/>
                <w:bCs w:val="0"/>
                <w:color w:val="auto"/>
                <w:sz w:val="24"/>
                <w:szCs w:val="24"/>
                <w:lang w:val="en-US"/>
              </w:rPr>
              <w:t>须提供</w:t>
            </w:r>
            <w:r>
              <w:rPr>
                <w:rFonts w:hint="eastAsia" w:ascii="Times New Roman" w:cs="Times New Roman"/>
                <w:b w:val="0"/>
                <w:bCs w:val="0"/>
                <w:color w:val="auto"/>
                <w:sz w:val="24"/>
                <w:szCs w:val="24"/>
              </w:rPr>
              <w:t>正本一份、副本</w:t>
            </w:r>
            <w:r>
              <w:rPr>
                <w:rFonts w:hint="eastAsia" w:ascii="Times New Roman" w:cs="Times New Roman"/>
                <w:b w:val="0"/>
                <w:bCs w:val="0"/>
                <w:color w:val="auto"/>
                <w:sz w:val="24"/>
                <w:szCs w:val="24"/>
                <w:lang w:val="en-US" w:eastAsia="zh-CN"/>
              </w:rPr>
              <w:t>二</w:t>
            </w:r>
            <w:r>
              <w:rPr>
                <w:rFonts w:hint="eastAsia" w:ascii="Times New Roman" w:cs="Times New Roman"/>
                <w:b w:val="0"/>
                <w:bCs w:val="0"/>
                <w:color w:val="auto"/>
                <w:sz w:val="24"/>
                <w:szCs w:val="24"/>
              </w:rPr>
              <w:t>份纸质版</w:t>
            </w:r>
            <w:r>
              <w:rPr>
                <w:rFonts w:hint="eastAsia" w:ascii="Times New Roman" w:cs="Times New Roman"/>
                <w:b w:val="0"/>
                <w:bCs w:val="0"/>
                <w:color w:val="auto"/>
                <w:sz w:val="24"/>
                <w:szCs w:val="24"/>
                <w:lang w:val="en-US" w:eastAsia="zh-CN"/>
              </w:rPr>
              <w:t>及三份电子版</w:t>
            </w:r>
            <w:r>
              <w:rPr>
                <w:rFonts w:hint="eastAsia" w:ascii="Times New Roman" w:cs="Times New Roman"/>
                <w:b w:val="0"/>
                <w:bCs w:val="0"/>
                <w:color w:val="auto"/>
                <w:sz w:val="24"/>
                <w:szCs w:val="24"/>
                <w:lang w:val="en-US"/>
              </w:rPr>
              <w:t>投标</w:t>
            </w:r>
            <w:r>
              <w:rPr>
                <w:rFonts w:hint="eastAsia" w:ascii="Times New Roman" w:cs="Times New Roman"/>
                <w:b w:val="0"/>
                <w:bCs w:val="0"/>
                <w:color w:val="auto"/>
                <w:sz w:val="24"/>
                <w:szCs w:val="24"/>
              </w:rPr>
              <w:t>文件递交采购代理机构</w:t>
            </w:r>
          </w:p>
        </w:tc>
      </w:tr>
      <w:tr w14:paraId="1212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32" w:hRule="atLeast"/>
          <w:jc w:val="center"/>
        </w:trPr>
        <w:tc>
          <w:tcPr>
            <w:tcW w:w="979" w:type="dxa"/>
            <w:vAlign w:val="center"/>
          </w:tcPr>
          <w:p w14:paraId="4C967C4A">
            <w:pPr>
              <w:overflowPunct w:val="0"/>
              <w:jc w:val="center"/>
              <w:rPr>
                <w:rFonts w:ascii="Times New Roman" w:hAnsi="Times New Roman" w:cs="Times New Roman"/>
                <w:color w:val="auto"/>
                <w:sz w:val="24"/>
                <w:szCs w:val="24"/>
              </w:rPr>
            </w:pPr>
            <w:r>
              <w:rPr>
                <w:rFonts w:ascii="Times New Roman" w:hAnsi="Times New Roman" w:cs="Times New Roman"/>
                <w:color w:val="auto"/>
                <w:sz w:val="24"/>
                <w:szCs w:val="24"/>
              </w:rPr>
              <w:t>1</w:t>
            </w:r>
            <w:r>
              <w:rPr>
                <w:rFonts w:hint="eastAsia" w:ascii="Times New Roman" w:hAnsi="Times New Roman" w:cs="Times New Roman"/>
                <w:color w:val="auto"/>
                <w:sz w:val="24"/>
                <w:szCs w:val="24"/>
                <w:lang w:val="en-US"/>
              </w:rPr>
              <w:t>7</w:t>
            </w:r>
          </w:p>
        </w:tc>
        <w:tc>
          <w:tcPr>
            <w:tcW w:w="1594" w:type="dxa"/>
            <w:vAlign w:val="center"/>
          </w:tcPr>
          <w:p w14:paraId="3E0A97F6">
            <w:pPr>
              <w:overflowPunct w:val="0"/>
              <w:jc w:val="center"/>
              <w:rPr>
                <w:rFonts w:ascii="Times New Roman" w:cs="Times New Roman"/>
                <w:color w:val="auto"/>
                <w:sz w:val="24"/>
                <w:szCs w:val="24"/>
              </w:rPr>
            </w:pPr>
            <w:r>
              <w:rPr>
                <w:rFonts w:ascii="Times New Roman" w:cs="Times New Roman"/>
                <w:color w:val="auto"/>
                <w:sz w:val="24"/>
                <w:szCs w:val="24"/>
              </w:rPr>
              <w:t>采购代理服务费</w:t>
            </w:r>
          </w:p>
        </w:tc>
        <w:tc>
          <w:tcPr>
            <w:tcW w:w="7246" w:type="dxa"/>
            <w:vAlign w:val="center"/>
          </w:tcPr>
          <w:p w14:paraId="0D0F7712">
            <w:pPr>
              <w:pStyle w:val="100"/>
              <w:spacing w:line="360" w:lineRule="atLeast"/>
              <w:rPr>
                <w:rFonts w:ascii="Times New Roman" w:hAnsi="Times New Roman"/>
                <w:color w:val="auto"/>
                <w:szCs w:val="24"/>
              </w:rPr>
            </w:pPr>
            <w:r>
              <w:rPr>
                <w:rFonts w:hint="eastAsia"/>
                <w:color w:val="auto"/>
                <w:szCs w:val="24"/>
              </w:rPr>
              <w:t>代理服务收费标准：本项目服务费按照差额定律累进计费方式计算，由中标单位支付。成交供应商须按照合同金额向采购代理机构一次性交纳采购代理服务费，参照国家发展计划委员会“计价格（2002）1980 号 ”文件、“发改办价格[</w:t>
            </w:r>
            <w:r>
              <w:rPr>
                <w:rFonts w:hint="eastAsia"/>
                <w:color w:val="auto"/>
                <w:szCs w:val="24"/>
              </w:rPr>
              <w:fldChar w:fldCharType="begin"/>
            </w:r>
            <w:r>
              <w:rPr>
                <w:rFonts w:hint="eastAsia"/>
                <w:color w:val="auto"/>
                <w:szCs w:val="24"/>
              </w:rPr>
              <w:instrText xml:space="preserve"> HYPERLINK \l "bookmark68" </w:instrText>
            </w:r>
            <w:r>
              <w:rPr>
                <w:rFonts w:hint="eastAsia"/>
                <w:color w:val="auto"/>
                <w:szCs w:val="24"/>
              </w:rPr>
              <w:fldChar w:fldCharType="separate"/>
            </w:r>
            <w:r>
              <w:rPr>
                <w:rFonts w:hint="eastAsia"/>
                <w:color w:val="auto"/>
                <w:szCs w:val="24"/>
              </w:rPr>
              <w:t>2003</w:t>
            </w:r>
            <w:r>
              <w:rPr>
                <w:rFonts w:hint="eastAsia"/>
                <w:color w:val="auto"/>
                <w:szCs w:val="24"/>
              </w:rPr>
              <w:fldChar w:fldCharType="end"/>
            </w:r>
            <w:r>
              <w:rPr>
                <w:rFonts w:hint="eastAsia"/>
                <w:color w:val="auto"/>
                <w:szCs w:val="24"/>
              </w:rPr>
              <w:t>]857 号 ”文及发改办价格〔2011〕534 号文的标准计取。</w:t>
            </w:r>
          </w:p>
        </w:tc>
      </w:tr>
      <w:tr w14:paraId="34491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253BD048">
            <w:pPr>
              <w:overflowPunct w:val="0"/>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1</w:t>
            </w:r>
            <w:r>
              <w:rPr>
                <w:rFonts w:hint="eastAsia" w:ascii="Times New Roman" w:hAnsi="Times New Roman" w:cs="Times New Roman"/>
                <w:color w:val="auto"/>
                <w:sz w:val="24"/>
                <w:szCs w:val="24"/>
                <w:lang w:val="en-US"/>
              </w:rPr>
              <w:t>8</w:t>
            </w:r>
          </w:p>
        </w:tc>
        <w:tc>
          <w:tcPr>
            <w:tcW w:w="1594" w:type="dxa"/>
            <w:vAlign w:val="center"/>
          </w:tcPr>
          <w:p w14:paraId="61F4171F">
            <w:pPr>
              <w:jc w:val="left"/>
              <w:rPr>
                <w:rFonts w:hint="eastAsia" w:ascii="Times New Roman" w:cs="Times New Roman"/>
                <w:color w:val="auto"/>
                <w:sz w:val="24"/>
                <w:szCs w:val="24"/>
              </w:rPr>
            </w:pPr>
            <w:r>
              <w:rPr>
                <w:rFonts w:hint="eastAsia" w:ascii="Times New Roman" w:cs="Times New Roman"/>
                <w:color w:val="auto"/>
                <w:sz w:val="24"/>
                <w:szCs w:val="24"/>
              </w:rPr>
              <w:t>不正当竞争预防措施</w:t>
            </w:r>
          </w:p>
        </w:tc>
        <w:tc>
          <w:tcPr>
            <w:tcW w:w="7246" w:type="dxa"/>
            <w:vAlign w:val="center"/>
          </w:tcPr>
          <w:p w14:paraId="569D40C8">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关于异常低价。根据《财库（2026）2号》文件：（一）采购人应当在采购文件中明确，政府采购评审中出现下列情形之一的，评审委员会应当启动异常低价投标（响应）审查程序：</w:t>
            </w:r>
          </w:p>
          <w:p w14:paraId="17515B92">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1.投标（响应）报价低于全部通过符合性审查供应商投标（响应）报价平均值50%的，即投标（响应）报价&lt;全部通过符合性审查供应商投标（响应）报价平均值×50%；</w:t>
            </w:r>
          </w:p>
          <w:p w14:paraId="2BBD4107">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2.投标（响应）报价低于通过符合性审查的次低报价供应商投标（响应）报价50%的，即投标（响应）报价&lt;通过符合性审查的次低报价供应商投标（响应）报价×50%；</w:t>
            </w:r>
          </w:p>
          <w:p w14:paraId="22DB907E">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3.投标（响应）报价低于采购项目最高限价45%的，即投标（响应）报价&lt;采购项目最高限价×45%；</w:t>
            </w:r>
          </w:p>
          <w:p w14:paraId="260CF9E3">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4.评审委员会基于专业判断，认为供应商报价过低，有可能影响产品质量或者不能诚信履约的其他情形。</w:t>
            </w:r>
          </w:p>
          <w:p w14:paraId="7193AF60">
            <w:pPr>
              <w:ind w:firstLine="480" w:firstLineChars="200"/>
              <w:jc w:val="left"/>
              <w:rPr>
                <w:rFonts w:hint="eastAsia" w:ascii="Times New Roman" w:cs="Times New Roman"/>
                <w:b/>
                <w:bCs/>
                <w:color w:val="auto"/>
                <w:sz w:val="24"/>
                <w:szCs w:val="24"/>
              </w:rPr>
            </w:pPr>
            <w:r>
              <w:rPr>
                <w:rFonts w:hint="eastAsia" w:ascii="Times New Roman" w:cs="Times New Roman"/>
                <w:color w:val="auto"/>
                <w:sz w:val="24"/>
                <w:szCs w:val="24"/>
              </w:rPr>
              <w:t>采购人可以结合具体项目实际情况，提高上述第1项至第3项中启动异常低价投标（响应）审查的数值标准，但是最高不得超过65%。</w:t>
            </w:r>
            <w:r>
              <w:rPr>
                <w:rFonts w:hint="eastAsia" w:ascii="Times New Roman" w:cs="Times New Roman"/>
                <w:b w:val="0"/>
                <w:bCs w:val="0"/>
                <w:color w:val="auto"/>
                <w:sz w:val="24"/>
                <w:szCs w:val="24"/>
              </w:rPr>
              <w:t>（本项目采购人启动异常低价投标（响应）审查的数值标准设定为：65%）</w:t>
            </w:r>
          </w:p>
          <w:p w14:paraId="010F4F5D">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相关法律法规对供应商报价有规定的，从其规定。</w:t>
            </w:r>
          </w:p>
          <w:p w14:paraId="073C0ED3">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评标委员会应当要求其在评标现场合理的时间内提供成本构成书面说明，并提交相关证明材料。供应商书面说明应当按照国家财务会计制度的规定要求，逐项就供应商提供的货物、工程和服务的主营业务成本（应根据供应商企业类型予以区别）、税金及附加、销售费用、管理费用、财务费用等成本构成事项详细陈述。</w:t>
            </w:r>
          </w:p>
          <w:p w14:paraId="560FEF8E">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供应商书面说明应当签字确认或者加盖公章，否则无效。书面说明的签字确认，供应商为法人的，由其法定代表人或者委托代理人签字确认。</w:t>
            </w:r>
          </w:p>
          <w:p w14:paraId="42836C45">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给予相关供应商的合理时间一般不少于30分钟。其中，属于第3项情形，供应商已随投标（响应）文件一并提交相关书面说明及必要的证明材料的，在评审现场可不再重复提交。</w:t>
            </w:r>
          </w:p>
          <w:p w14:paraId="59B2C326">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5DD9A10">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FF7C53D">
            <w:pPr>
              <w:ind w:firstLine="480" w:firstLineChars="200"/>
              <w:jc w:val="left"/>
              <w:rPr>
                <w:rFonts w:hint="eastAsia" w:ascii="Times New Roman" w:cs="Times New Roman"/>
                <w:color w:val="auto"/>
                <w:sz w:val="24"/>
                <w:szCs w:val="24"/>
              </w:rPr>
            </w:pPr>
            <w:r>
              <w:rPr>
                <w:rFonts w:hint="eastAsia" w:ascii="Times New Roman" w:cs="Times New Roman"/>
                <w:color w:val="auto"/>
                <w:sz w:val="24"/>
                <w:szCs w:val="24"/>
              </w:rPr>
              <w:t>异常低价投标（响应）审查的启动原因、审查意见和审查结果应当在评审报告中记录，并随供应商提供的相关书面说明及证明材料，以及评审委员会有关互联网浏览、查询历史一并归档。</w:t>
            </w:r>
          </w:p>
        </w:tc>
      </w:tr>
      <w:tr w14:paraId="1B74A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79" w:type="dxa"/>
            <w:vAlign w:val="center"/>
          </w:tcPr>
          <w:p w14:paraId="37ADFB15">
            <w:pPr>
              <w:overflowPunct w:val="0"/>
              <w:jc w:val="center"/>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19</w:t>
            </w:r>
          </w:p>
        </w:tc>
        <w:tc>
          <w:tcPr>
            <w:tcW w:w="1594" w:type="dxa"/>
            <w:vAlign w:val="center"/>
          </w:tcPr>
          <w:p w14:paraId="58F90E65">
            <w:pPr>
              <w:jc w:val="center"/>
              <w:rPr>
                <w:rFonts w:ascii="Times New Roman" w:cs="Times New Roman"/>
                <w:color w:val="auto"/>
                <w:sz w:val="24"/>
                <w:szCs w:val="24"/>
              </w:rPr>
            </w:pPr>
            <w:r>
              <w:rPr>
                <w:rFonts w:hint="eastAsia" w:ascii="Times New Roman" w:cs="Times New Roman"/>
                <w:color w:val="auto"/>
                <w:sz w:val="24"/>
                <w:szCs w:val="24"/>
                <w:lang w:val="en-US"/>
              </w:rPr>
              <w:t>履约保证金</w:t>
            </w:r>
          </w:p>
        </w:tc>
        <w:tc>
          <w:tcPr>
            <w:tcW w:w="7246" w:type="dxa"/>
            <w:vAlign w:val="center"/>
          </w:tcPr>
          <w:p w14:paraId="2DA6FDA5">
            <w:pPr>
              <w:rPr>
                <w:rFonts w:ascii="Times New Roman" w:cs="Times New Roman"/>
                <w:color w:val="auto"/>
                <w:sz w:val="24"/>
                <w:szCs w:val="24"/>
              </w:rPr>
            </w:pPr>
            <w:r>
              <w:rPr>
                <w:rFonts w:hint="eastAsia"/>
                <w:color w:val="auto"/>
                <w:sz w:val="24"/>
                <w:szCs w:val="24"/>
              </w:rPr>
              <w:t>履约保证金：不收取</w:t>
            </w:r>
          </w:p>
        </w:tc>
      </w:tr>
      <w:tr w14:paraId="7326C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6FA7C7C9">
            <w:pPr>
              <w:overflowPunct w:val="0"/>
              <w:jc w:val="center"/>
              <w:rPr>
                <w:rFonts w:hint="eastAsia"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20</w:t>
            </w:r>
          </w:p>
        </w:tc>
        <w:tc>
          <w:tcPr>
            <w:tcW w:w="1594" w:type="dxa"/>
            <w:vAlign w:val="center"/>
          </w:tcPr>
          <w:p w14:paraId="73673579">
            <w:pPr>
              <w:jc w:val="center"/>
              <w:rPr>
                <w:rFonts w:hint="eastAsia" w:ascii="Times New Roman" w:cs="Times New Roman"/>
                <w:color w:val="auto"/>
                <w:sz w:val="24"/>
                <w:szCs w:val="24"/>
                <w:lang w:val="en-US"/>
              </w:rPr>
            </w:pPr>
            <w:r>
              <w:rPr>
                <w:rFonts w:hint="eastAsia"/>
                <w:color w:val="auto"/>
                <w:sz w:val="24"/>
                <w:szCs w:val="24"/>
              </w:rPr>
              <w:t>政府采购政策支持</w:t>
            </w:r>
          </w:p>
        </w:tc>
        <w:tc>
          <w:tcPr>
            <w:tcW w:w="7246" w:type="dxa"/>
          </w:tcPr>
          <w:p w14:paraId="49F516EB">
            <w:pPr>
              <w:rPr>
                <w:rFonts w:hint="eastAsia" w:eastAsia="宋体"/>
                <w:color w:val="auto"/>
                <w:sz w:val="24"/>
                <w:szCs w:val="24"/>
                <w:lang w:eastAsia="zh-CN"/>
              </w:rPr>
            </w:pPr>
            <w:r>
              <w:rPr>
                <w:rFonts w:hint="eastAsia"/>
                <w:color w:val="auto"/>
                <w:sz w:val="24"/>
                <w:szCs w:val="24"/>
              </w:rPr>
              <w:t>1、本项目不专门面向中小企业采购，监狱企业、残疾人福利性单位视同小型、微型企业，按规定享受评审价格扣除优惠</w:t>
            </w:r>
            <w:r>
              <w:rPr>
                <w:rFonts w:hint="eastAsia"/>
                <w:color w:val="auto"/>
                <w:sz w:val="24"/>
                <w:szCs w:val="24"/>
                <w:lang w:eastAsia="zh-CN"/>
              </w:rPr>
              <w:t>。</w:t>
            </w:r>
          </w:p>
          <w:p w14:paraId="1A36FC3A">
            <w:pPr>
              <w:overflowPunct w:val="0"/>
              <w:rPr>
                <w:rFonts w:hint="eastAsia"/>
                <w:color w:val="auto"/>
                <w:sz w:val="24"/>
                <w:szCs w:val="24"/>
              </w:rPr>
            </w:pPr>
            <w:r>
              <w:rPr>
                <w:rFonts w:hint="eastAsia"/>
                <w:color w:val="auto"/>
                <w:sz w:val="24"/>
                <w:szCs w:val="24"/>
              </w:rPr>
              <w:t>2、节能环保产品：根据财政部、发展改革委、生态环境部等部门发布的“节能产品政府采购品目清单”、“环境标志产品政府采购品目清单”，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77B88BD">
            <w:pPr>
              <w:keepNext w:val="0"/>
              <w:keepLines w:val="0"/>
              <w:widowControl/>
              <w:suppressLineNumbers w:val="0"/>
              <w:jc w:val="left"/>
              <w:rPr>
                <w:color w:val="auto"/>
              </w:rPr>
            </w:pPr>
            <w:r>
              <w:rPr>
                <w:rFonts w:hint="eastAsia" w:ascii="Times New Roman" w:hAnsi="Times New Roman" w:eastAsia="宋体" w:cs="Times New Roman"/>
                <w:color w:val="auto"/>
                <w:kern w:val="0"/>
                <w:sz w:val="24"/>
                <w:szCs w:val="24"/>
                <w:lang w:val="en-US" w:eastAsia="zh-CN" w:bidi="ar"/>
              </w:rPr>
              <w:t>3、</w:t>
            </w:r>
            <w:r>
              <w:rPr>
                <w:rFonts w:hint="eastAsia" w:ascii="宋体" w:hAnsi="宋体" w:eastAsia="宋体" w:cs="宋体"/>
                <w:color w:val="auto"/>
                <w:kern w:val="0"/>
                <w:sz w:val="24"/>
                <w:szCs w:val="24"/>
                <w:lang w:val="en-US" w:eastAsia="zh-CN" w:bidi="ar"/>
              </w:rPr>
              <w:t>《政府采购促进中小企业发展管理办法》（财库</w:t>
            </w:r>
            <w:r>
              <w:rPr>
                <w:rFonts w:hint="default" w:ascii="Times New Roman" w:hAnsi="Times New Roman" w:eastAsia="宋体" w:cs="Times New Roman"/>
                <w:color w:val="auto"/>
                <w:kern w:val="0"/>
                <w:sz w:val="24"/>
                <w:szCs w:val="24"/>
                <w:lang w:val="en-US" w:eastAsia="zh-CN" w:bidi="ar"/>
              </w:rPr>
              <w:t xml:space="preserve">[2020]46 </w:t>
            </w:r>
            <w:r>
              <w:rPr>
                <w:rFonts w:hint="eastAsia" w:ascii="宋体" w:hAnsi="宋体" w:eastAsia="宋体" w:cs="宋体"/>
                <w:color w:val="auto"/>
                <w:kern w:val="0"/>
                <w:sz w:val="24"/>
                <w:szCs w:val="24"/>
                <w:lang w:val="en-US" w:eastAsia="zh-CN" w:bidi="ar"/>
              </w:rPr>
              <w:t xml:space="preserve">号） </w:t>
            </w:r>
          </w:p>
          <w:p w14:paraId="09365CDD">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的规定。 </w:t>
            </w:r>
          </w:p>
          <w:p w14:paraId="6E8D47C8">
            <w:pPr>
              <w:keepNext w:val="0"/>
              <w:keepLines w:val="0"/>
              <w:widowControl/>
              <w:suppressLineNumbers w:val="0"/>
              <w:jc w:val="left"/>
              <w:rPr>
                <w:color w:val="auto"/>
              </w:rPr>
            </w:pPr>
            <w:r>
              <w:rPr>
                <w:rFonts w:hint="eastAsia" w:ascii="Times New Roman" w:hAnsi="Times New Roman" w:eastAsia="宋体" w:cs="Times New Roman"/>
                <w:color w:val="auto"/>
                <w:kern w:val="0"/>
                <w:sz w:val="24"/>
                <w:szCs w:val="24"/>
                <w:lang w:val="en-US" w:eastAsia="zh-CN" w:bidi="ar"/>
              </w:rPr>
              <w:t>4、</w:t>
            </w:r>
            <w:r>
              <w:rPr>
                <w:rFonts w:hint="eastAsia" w:ascii="宋体" w:hAnsi="宋体" w:eastAsia="宋体" w:cs="宋体"/>
                <w:color w:val="auto"/>
                <w:kern w:val="0"/>
                <w:sz w:val="24"/>
                <w:szCs w:val="24"/>
                <w:lang w:val="en-US" w:eastAsia="zh-CN" w:bidi="ar"/>
              </w:rPr>
              <w:t xml:space="preserve">根据财政部司法部《关于政府采购支持监狱企业发展有关问题 </w:t>
            </w:r>
          </w:p>
          <w:p w14:paraId="6133E98C">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的通知》（财库〔</w:t>
            </w:r>
            <w:r>
              <w:rPr>
                <w:rFonts w:hint="default" w:ascii="Times New Roman" w:hAnsi="Times New Roman" w:eastAsia="宋体" w:cs="Times New Roman"/>
                <w:color w:val="auto"/>
                <w:kern w:val="0"/>
                <w:sz w:val="24"/>
                <w:szCs w:val="24"/>
                <w:lang w:val="en-US" w:eastAsia="zh-CN" w:bidi="ar"/>
              </w:rPr>
              <w:t>2014</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68 </w:t>
            </w:r>
            <w:r>
              <w:rPr>
                <w:rFonts w:hint="eastAsia" w:ascii="宋体" w:hAnsi="宋体" w:eastAsia="宋体" w:cs="宋体"/>
                <w:color w:val="auto"/>
                <w:kern w:val="0"/>
                <w:sz w:val="24"/>
                <w:szCs w:val="24"/>
                <w:lang w:val="en-US" w:eastAsia="zh-CN" w:bidi="ar"/>
              </w:rPr>
              <w:t xml:space="preserve">号）规定，监狱企业视同小型、微型 </w:t>
            </w:r>
          </w:p>
          <w:p w14:paraId="51BB2E69">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企业，享受评审中价格扣除等政府采购促进中小企业发展的政府 </w:t>
            </w:r>
          </w:p>
          <w:p w14:paraId="4E4322D0">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采购政策。 </w:t>
            </w:r>
          </w:p>
          <w:p w14:paraId="5CE5702B">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5、根据财政部民政部中国残疾人联合会《关于促进残疾人就业政 </w:t>
            </w:r>
          </w:p>
          <w:p w14:paraId="7216A8AA">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府采购政策的通知》（财库〔</w:t>
            </w:r>
            <w:r>
              <w:rPr>
                <w:rFonts w:hint="default" w:ascii="Times New Roman" w:hAnsi="Times New Roman" w:eastAsia="宋体" w:cs="Times New Roman"/>
                <w:color w:val="auto"/>
                <w:kern w:val="0"/>
                <w:sz w:val="24"/>
                <w:szCs w:val="24"/>
                <w:lang w:val="en-US" w:eastAsia="zh-CN" w:bidi="ar"/>
              </w:rPr>
              <w:t>2017</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 xml:space="preserve">141 </w:t>
            </w:r>
            <w:r>
              <w:rPr>
                <w:rFonts w:hint="eastAsia" w:ascii="宋体" w:hAnsi="宋体" w:eastAsia="宋体" w:cs="宋体"/>
                <w:color w:val="auto"/>
                <w:kern w:val="0"/>
                <w:sz w:val="24"/>
                <w:szCs w:val="24"/>
                <w:lang w:val="en-US" w:eastAsia="zh-CN" w:bidi="ar"/>
              </w:rPr>
              <w:t xml:space="preserve">号）规定，残疾人福利 </w:t>
            </w:r>
          </w:p>
          <w:p w14:paraId="1417A4F3">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性单位视同小型、微型企业，享受评审中价格扣除等政府采购促 </w:t>
            </w:r>
          </w:p>
          <w:p w14:paraId="3BB9F6E2">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进中小企业发展的政府采购政策。 </w:t>
            </w:r>
          </w:p>
          <w:p w14:paraId="43634CE2">
            <w:pPr>
              <w:keepNext w:val="0"/>
              <w:keepLines w:val="0"/>
              <w:widowControl/>
              <w:suppressLineNumbers w:val="0"/>
              <w:jc w:val="left"/>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6、</w:t>
            </w:r>
            <w:r>
              <w:rPr>
                <w:rFonts w:hint="eastAsia" w:ascii="宋体" w:hAnsi="宋体" w:eastAsia="宋体" w:cs="宋体"/>
                <w:i w:val="0"/>
                <w:iCs w:val="0"/>
                <w:caps w:val="0"/>
                <w:color w:val="auto"/>
                <w:spacing w:val="0"/>
                <w:sz w:val="24"/>
                <w:szCs w:val="24"/>
                <w:shd w:val="clear" w:fill="FFFFFF"/>
              </w:rPr>
              <w:t>《关于在政府采购中实施本国产品标准及相关政策的通知》（国办发〔2025〕34号，以下简称《通知》）</w:t>
            </w:r>
            <w:r>
              <w:rPr>
                <w:rFonts w:hint="eastAsia" w:ascii="宋体" w:hAnsi="宋体" w:eastAsia="宋体" w:cs="宋体"/>
                <w:i w:val="0"/>
                <w:iCs w:val="0"/>
                <w:caps w:val="0"/>
                <w:color w:val="auto"/>
                <w:spacing w:val="0"/>
                <w:sz w:val="24"/>
                <w:szCs w:val="24"/>
                <w:shd w:val="clear" w:fill="FFFFFF"/>
                <w:lang w:val="en-US" w:eastAsia="zh-CN"/>
              </w:rPr>
              <w:t>根据国务院办公厅关于在政府采购中实施本国产品标准及相关政策的通知国办发〔2025〕34号通知本国产品标准的适用范围：</w:t>
            </w:r>
          </w:p>
          <w:p w14:paraId="1B89A603">
            <w:pPr>
              <w:keepNext w:val="0"/>
              <w:keepLines w:val="0"/>
              <w:widowControl/>
              <w:suppressLineNumbers w:val="0"/>
              <w:jc w:val="left"/>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eastAsia="宋体" w:cs="宋体"/>
                <w:i w:val="0"/>
                <w:iCs w:val="0"/>
                <w:caps w:val="0"/>
                <w:color w:val="auto"/>
                <w:spacing w:val="0"/>
                <w:sz w:val="24"/>
                <w:szCs w:val="24"/>
                <w:shd w:val="clear" w:fill="FFFFFF"/>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对本国产品的支持政策政府采购活动中既有本国产品又有非本国产品参与竞争的，依法对本国产品给予价格评审优惠，对本国产品的报价给予20%的价格扣除，用扣除后的价格参与评审。</w:t>
            </w:r>
          </w:p>
          <w:p w14:paraId="57D4DCC8">
            <w:pPr>
              <w:keepNext w:val="0"/>
              <w:keepLines w:val="0"/>
              <w:widowControl/>
              <w:suppressLineNumbers w:val="0"/>
              <w:jc w:val="left"/>
              <w:rPr>
                <w:rFonts w:hint="eastAsia" w:ascii="宋体" w:hAnsi="宋体" w:eastAsia="宋体" w:cs="宋体"/>
                <w:color w:val="auto"/>
                <w:kern w:val="0"/>
                <w:sz w:val="24"/>
                <w:szCs w:val="24"/>
                <w:lang w:val="en-US" w:eastAsia="zh-CN" w:bidi="ar"/>
              </w:rPr>
            </w:pPr>
            <w:r>
              <w:rPr>
                <w:rFonts w:hint="eastAsia" w:ascii="宋体" w:hAnsi="宋体" w:eastAsia="宋体" w:cs="宋体"/>
                <w:i w:val="0"/>
                <w:iCs w:val="0"/>
                <w:caps w:val="0"/>
                <w:color w:val="auto"/>
                <w:spacing w:val="0"/>
                <w:sz w:val="24"/>
                <w:szCs w:val="24"/>
                <w:shd w:val="clear" w:fill="FFFFFF"/>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16A1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6" w:hRule="atLeast"/>
          <w:jc w:val="center"/>
        </w:trPr>
        <w:tc>
          <w:tcPr>
            <w:tcW w:w="979" w:type="dxa"/>
            <w:vAlign w:val="center"/>
          </w:tcPr>
          <w:p w14:paraId="4FF04FCE">
            <w:pPr>
              <w:overflowPunct w:val="0"/>
              <w:jc w:val="center"/>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21</w:t>
            </w:r>
          </w:p>
        </w:tc>
        <w:tc>
          <w:tcPr>
            <w:tcW w:w="1594" w:type="dxa"/>
            <w:vAlign w:val="center"/>
          </w:tcPr>
          <w:p w14:paraId="78A2DE2F">
            <w:pPr>
              <w:jc w:val="center"/>
              <w:rPr>
                <w:rFonts w:ascii="Times New Roman" w:cs="Times New Roman"/>
                <w:color w:val="auto"/>
                <w:sz w:val="24"/>
                <w:szCs w:val="24"/>
                <w:lang w:val="en-US"/>
              </w:rPr>
            </w:pPr>
            <w:r>
              <w:rPr>
                <w:rFonts w:hint="eastAsia" w:ascii="Times New Roman" w:cs="Times New Roman"/>
                <w:color w:val="auto"/>
                <w:sz w:val="24"/>
                <w:szCs w:val="24"/>
                <w:lang w:val="en-US"/>
              </w:rPr>
              <w:t>质疑</w:t>
            </w:r>
          </w:p>
        </w:tc>
        <w:tc>
          <w:tcPr>
            <w:tcW w:w="7246" w:type="dxa"/>
            <w:vAlign w:val="center"/>
          </w:tcPr>
          <w:p w14:paraId="2887FC56">
            <w:pPr>
              <w:jc w:val="both"/>
              <w:rPr>
                <w:rFonts w:hint="eastAsia" w:ascii="Times New Roman" w:cs="Times New Roman"/>
                <w:color w:val="auto"/>
                <w:sz w:val="24"/>
                <w:szCs w:val="24"/>
              </w:rPr>
            </w:pPr>
            <w:r>
              <w:rPr>
                <w:rFonts w:hint="eastAsia" w:ascii="Times New Roman" w:cs="Times New Roman"/>
                <w:color w:val="auto"/>
                <w:sz w:val="24"/>
                <w:szCs w:val="24"/>
              </w:rPr>
              <w:t>针对同一采购程序环节的质疑次数：一次性提出</w:t>
            </w:r>
          </w:p>
        </w:tc>
      </w:tr>
      <w:tr w14:paraId="4885B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599DC26F">
            <w:pPr>
              <w:overflowPunct w:val="0"/>
              <w:jc w:val="center"/>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22</w:t>
            </w:r>
          </w:p>
        </w:tc>
        <w:tc>
          <w:tcPr>
            <w:tcW w:w="1594" w:type="dxa"/>
            <w:vAlign w:val="center"/>
          </w:tcPr>
          <w:p w14:paraId="154AC730">
            <w:pPr>
              <w:jc w:val="center"/>
              <w:rPr>
                <w:rFonts w:hint="eastAsia" w:ascii="Times New Roman" w:cs="Times New Roman"/>
                <w:color w:val="auto"/>
                <w:sz w:val="24"/>
                <w:szCs w:val="24"/>
                <w:lang w:val="en-US"/>
              </w:rPr>
            </w:pPr>
            <w:r>
              <w:rPr>
                <w:rFonts w:hint="eastAsia"/>
                <w:color w:val="auto"/>
                <w:sz w:val="24"/>
                <w:szCs w:val="24"/>
                <w:lang w:val="en-US"/>
              </w:rPr>
              <w:t>解密时长</w:t>
            </w:r>
          </w:p>
        </w:tc>
        <w:tc>
          <w:tcPr>
            <w:tcW w:w="7246" w:type="dxa"/>
            <w:vAlign w:val="center"/>
          </w:tcPr>
          <w:p w14:paraId="398B5BDA">
            <w:pPr>
              <w:ind w:right="88" w:rightChars="40"/>
              <w:rPr>
                <w:rFonts w:hint="eastAsia"/>
                <w:color w:val="auto"/>
                <w:sz w:val="24"/>
                <w:szCs w:val="24"/>
                <w:lang w:val="en-US"/>
              </w:rPr>
            </w:pPr>
            <w:r>
              <w:rPr>
                <w:rFonts w:hint="eastAsia"/>
                <w:color w:val="auto"/>
                <w:sz w:val="24"/>
                <w:szCs w:val="24"/>
                <w:lang w:val="en-US"/>
              </w:rPr>
              <w:t>解密时长：30分钟（过时未进行解密的投标文件，开标现场不进行解密时间延长。）</w:t>
            </w:r>
          </w:p>
          <w:p w14:paraId="60D004D5">
            <w:pPr>
              <w:ind w:right="88" w:rightChars="40"/>
              <w:rPr>
                <w:rFonts w:hint="eastAsia"/>
                <w:color w:val="auto"/>
                <w:sz w:val="24"/>
                <w:szCs w:val="24"/>
                <w:lang w:val="en-US"/>
              </w:rPr>
            </w:pPr>
            <w:r>
              <w:rPr>
                <w:rFonts w:hint="eastAsia"/>
                <w:color w:val="auto"/>
                <w:sz w:val="24"/>
                <w:szCs w:val="24"/>
                <w:lang w:val="en-US"/>
              </w:rPr>
              <w:t>开标当日仅需在任意地点通过政采云平台不见面开标系统（登录地址详见网站操作手册）完成远程解密、提疑澄清、开标唱标、结果公布等交互环节。供应商必须在规定的时间内使用能正确解密投标文件的“CA锁”完成远程解密，因供应商原因未能解密、解密失败或解密超时，视为供应商撤销其投标文件，系统内投标文件将被退回；因网上招投标平台发生故障，导致无法按时完成投标文件解密或开、评标工作无法进行的，可根据实际情况相应延迟解密时间或调整开、评标时间。</w:t>
            </w:r>
          </w:p>
          <w:p w14:paraId="0D19E2C9">
            <w:pPr>
              <w:ind w:right="88" w:rightChars="40"/>
              <w:rPr>
                <w:rFonts w:hint="eastAsia"/>
                <w:color w:val="auto"/>
                <w:sz w:val="24"/>
                <w:szCs w:val="24"/>
                <w:lang w:val="en-US"/>
              </w:rPr>
            </w:pPr>
            <w:r>
              <w:rPr>
                <w:rFonts w:hint="eastAsia"/>
                <w:color w:val="auto"/>
                <w:sz w:val="24"/>
                <w:szCs w:val="24"/>
                <w:lang w:val="en-US"/>
              </w:rPr>
              <w:t>（友情提示：若供应商已领取副锁（含多把副锁）请注意正副锁的使用差别，务必使用生成投标文件的那把锁解密）</w:t>
            </w:r>
          </w:p>
        </w:tc>
      </w:tr>
      <w:tr w14:paraId="4C539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440288E5">
            <w:pPr>
              <w:overflowPunct w:val="0"/>
              <w:jc w:val="center"/>
              <w:rPr>
                <w:rFonts w:ascii="Times New Roman" w:hAnsi="Times New Roman" w:cs="Times New Roman"/>
                <w:color w:val="auto"/>
                <w:sz w:val="24"/>
                <w:szCs w:val="24"/>
                <w:lang w:val="en-US"/>
              </w:rPr>
            </w:pPr>
            <w:r>
              <w:rPr>
                <w:rFonts w:hint="eastAsia" w:ascii="Times New Roman" w:hAnsi="Times New Roman" w:cs="Times New Roman"/>
                <w:color w:val="auto"/>
                <w:sz w:val="24"/>
                <w:szCs w:val="24"/>
                <w:lang w:val="en-US"/>
              </w:rPr>
              <w:t>23</w:t>
            </w:r>
          </w:p>
        </w:tc>
        <w:tc>
          <w:tcPr>
            <w:tcW w:w="1594" w:type="dxa"/>
            <w:vAlign w:val="center"/>
          </w:tcPr>
          <w:p w14:paraId="7ED56285">
            <w:pPr>
              <w:jc w:val="center"/>
              <w:rPr>
                <w:rFonts w:ascii="Times New Roman" w:cs="Times New Roman"/>
                <w:color w:val="auto"/>
                <w:sz w:val="24"/>
                <w:szCs w:val="24"/>
                <w:lang w:val="en-US"/>
              </w:rPr>
            </w:pPr>
            <w:r>
              <w:rPr>
                <w:rFonts w:hint="eastAsia" w:ascii="Times New Roman" w:cs="Times New Roman"/>
                <w:color w:val="auto"/>
                <w:sz w:val="24"/>
                <w:szCs w:val="24"/>
                <w:lang w:val="en-US"/>
              </w:rPr>
              <w:t>投标文件编制注意</w:t>
            </w:r>
          </w:p>
          <w:p w14:paraId="27378EE6">
            <w:pPr>
              <w:jc w:val="center"/>
              <w:rPr>
                <w:rFonts w:hint="eastAsia" w:ascii="Times New Roman" w:cs="Times New Roman"/>
                <w:color w:val="auto"/>
                <w:sz w:val="24"/>
                <w:szCs w:val="24"/>
                <w:lang w:val="en-US"/>
              </w:rPr>
            </w:pPr>
          </w:p>
        </w:tc>
        <w:tc>
          <w:tcPr>
            <w:tcW w:w="7246" w:type="dxa"/>
            <w:vAlign w:val="center"/>
          </w:tcPr>
          <w:p w14:paraId="541098BC">
            <w:pPr>
              <w:pStyle w:val="100"/>
              <w:keepNext w:val="0"/>
              <w:keepLines w:val="0"/>
              <w:pageBreakBefore w:val="0"/>
              <w:kinsoku/>
              <w:wordWrap/>
              <w:overflowPunct/>
              <w:topLinePunct w:val="0"/>
              <w:bidi w:val="0"/>
              <w:adjustRightInd/>
              <w:snapToGrid/>
              <w:spacing w:line="360" w:lineRule="atLeast"/>
              <w:textAlignment w:val="auto"/>
              <w:rPr>
                <w:rFonts w:hint="eastAsia" w:ascii="宋体" w:hAnsi="宋体" w:eastAsia="宋体" w:cs="宋体"/>
                <w:b w:val="0"/>
                <w:bCs w:val="0"/>
                <w:color w:val="auto"/>
                <w:sz w:val="24"/>
                <w:szCs w:val="24"/>
                <w:highlight w:val="none"/>
                <w:lang w:eastAsia="zh-CN"/>
              </w:rPr>
            </w:pPr>
            <w:r>
              <w:rPr>
                <w:rFonts w:hint="eastAsia" w:cs="宋体"/>
                <w:color w:val="auto"/>
                <w:sz w:val="24"/>
                <w:szCs w:val="24"/>
                <w:highlight w:val="none"/>
                <w:lang w:val="en-US" w:eastAsia="zh-CN"/>
              </w:rPr>
              <w:t>1.开标现场</w:t>
            </w:r>
            <w:r>
              <w:rPr>
                <w:rFonts w:hint="eastAsia" w:cs="宋体"/>
                <w:color w:val="auto"/>
                <w:sz w:val="24"/>
                <w:szCs w:val="24"/>
                <w:highlight w:val="none"/>
                <w:lang w:eastAsia="zh-CN"/>
              </w:rPr>
              <w:t>信用查询：</w:t>
            </w:r>
            <w:r>
              <w:rPr>
                <w:rFonts w:hint="eastAsia" w:ascii="宋体" w:hAnsi="宋体" w:eastAsia="宋体" w:cs="宋体"/>
                <w:color w:val="auto"/>
                <w:sz w:val="24"/>
                <w:szCs w:val="24"/>
                <w:highlight w:val="none"/>
                <w:lang w:eastAsia="zh-CN"/>
              </w:rPr>
              <w:t>采购人或采购代理机构将通过“信用中国”网站（www.creditchina.gov.cn）和中国政府采购网（www.ccgp.gov.cn）查询相关主体信用记录。本次查询的信用记录打印的网页版将留存在评标报告中。代理机构将查询网页打印、签字并存档备查。供应商不良信用记录以招标采购单位查询结果为准，代理机构查询之后，网站信息发生的任何变更均不再作为评标依据，供应商自行提供的与网站信息不一致的</w:t>
            </w:r>
            <w:r>
              <w:rPr>
                <w:rFonts w:hint="eastAsia" w:ascii="宋体" w:hAnsi="宋体" w:eastAsia="宋体" w:cs="宋体"/>
                <w:b w:val="0"/>
                <w:bCs w:val="0"/>
                <w:color w:val="auto"/>
                <w:sz w:val="24"/>
                <w:szCs w:val="24"/>
                <w:highlight w:val="none"/>
                <w:lang w:eastAsia="zh-CN"/>
              </w:rPr>
              <w:t>其他证明材料亦不作为评标依据。</w:t>
            </w:r>
          </w:p>
          <w:p w14:paraId="38A96639">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eastAsia="zh-CN"/>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本项目信用记录查询时间</w:t>
            </w:r>
            <w:r>
              <w:rPr>
                <w:rFonts w:hint="eastAsia"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投标</w:t>
            </w:r>
            <w:r>
              <w:rPr>
                <w:rFonts w:hint="eastAsia" w:cs="宋体"/>
                <w:b w:val="0"/>
                <w:bCs w:val="0"/>
                <w:color w:val="auto"/>
                <w:sz w:val="24"/>
                <w:szCs w:val="24"/>
                <w:highlight w:val="none"/>
                <w:lang w:eastAsia="zh-CN"/>
              </w:rPr>
              <w:t>文件截至</w:t>
            </w: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小时内</w:t>
            </w:r>
            <w:r>
              <w:rPr>
                <w:rFonts w:hint="eastAsia" w:cs="宋体"/>
                <w:b w:val="0"/>
                <w:bCs w:val="0"/>
                <w:color w:val="auto"/>
                <w:sz w:val="24"/>
                <w:szCs w:val="24"/>
                <w:highlight w:val="none"/>
                <w:lang w:eastAsia="zh-CN"/>
              </w:rPr>
              <w:t>。</w:t>
            </w:r>
          </w:p>
          <w:p w14:paraId="6D93CECE">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关于异常</w:t>
            </w:r>
            <w:r>
              <w:rPr>
                <w:rFonts w:hint="eastAsia" w:cs="宋体"/>
                <w:b w:val="0"/>
                <w:bCs w:val="0"/>
                <w:color w:val="auto"/>
                <w:sz w:val="24"/>
                <w:szCs w:val="24"/>
                <w:highlight w:val="none"/>
                <w:lang w:val="en-US" w:eastAsia="zh-CN"/>
              </w:rPr>
              <w:t>低价。根据（财库〔2026〕2号）文件：（一）采购人应当在采购文件中明确，政府采购评审中出现下列情形之一的，评审委员会应当启动异常低价投标（响应）审查程序：</w:t>
            </w:r>
          </w:p>
          <w:p w14:paraId="7DCABEC1">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57102034">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2.投标（响应）报价低于通过符合性审查的次低报价供应商投标（响应）报价50%的，即投标（响应）报价〈通过符合性审查的次低报价供应商投标（响应）报价×50%；</w:t>
            </w:r>
          </w:p>
          <w:p w14:paraId="36379F9A">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3.投标（响应）报价低于采购项目最高限价45%的，即投标（响应）报价〈采购项目最高限价×45%；</w:t>
            </w:r>
          </w:p>
          <w:p w14:paraId="16ECBEA5">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4.评审委员会基于专业判断，认为供应商报价过低，有可能影响产品质量或者不能诚信履约的其他情形。</w:t>
            </w:r>
          </w:p>
          <w:p w14:paraId="7521BCDE">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采购人可以结合具体项目实际情况，提高上述第1项至第3项中启动异常低价投标（响应）审查的数值标准，但是最高不得超过65%。</w:t>
            </w:r>
          </w:p>
          <w:p w14:paraId="068199B4">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相关法律法规对供应商报价有规定的，从其规定。</w:t>
            </w:r>
          </w:p>
          <w:p w14:paraId="1AC0AA23">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604F646">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327A8E2">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74905D">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eastAsia="zh-CN"/>
              </w:rPr>
            </w:pPr>
            <w:r>
              <w:rPr>
                <w:rFonts w:hint="eastAsia" w:cs="宋体"/>
                <w:b w:val="0"/>
                <w:bCs w:val="0"/>
                <w:color w:val="auto"/>
                <w:sz w:val="24"/>
                <w:szCs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异常低价投标（响应）审查的启动原因、审查意见和审查结果应当在评审报告中记录，并随供应商提供的相关书面说明及证明材料，以及评审委员会有关互联网浏览、查询历史一并归档。4</w:t>
            </w:r>
            <w:r>
              <w:rPr>
                <w:rFonts w:hint="eastAsia" w:cs="宋体"/>
                <w:b w:val="0"/>
                <w:bCs w:val="0"/>
                <w:color w:val="auto"/>
                <w:sz w:val="24"/>
                <w:szCs w:val="24"/>
                <w:highlight w:val="none"/>
                <w:lang w:eastAsia="zh-CN"/>
              </w:rPr>
              <w:t>、无论何种原因，在响应文件中未提供相应材料的，评审小组将视同其未提供。</w:t>
            </w:r>
          </w:p>
          <w:p w14:paraId="234848B1">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eastAsia="zh-CN"/>
              </w:rPr>
            </w:pPr>
            <w:r>
              <w:rPr>
                <w:rFonts w:hint="eastAsia" w:cs="宋体"/>
                <w:b w:val="0"/>
                <w:bCs w:val="0"/>
                <w:color w:val="auto"/>
                <w:sz w:val="24"/>
                <w:szCs w:val="24"/>
                <w:highlight w:val="none"/>
                <w:lang w:val="en-US" w:eastAsia="zh-CN"/>
              </w:rPr>
              <w:t>5.</w:t>
            </w:r>
            <w:r>
              <w:rPr>
                <w:rFonts w:hint="eastAsia" w:cs="宋体"/>
                <w:b w:val="0"/>
                <w:bCs w:val="0"/>
                <w:color w:val="auto"/>
                <w:sz w:val="24"/>
                <w:szCs w:val="24"/>
                <w:highlight w:val="none"/>
                <w:lang w:eastAsia="zh-CN"/>
              </w:rPr>
              <w:t>各供应商应在开标前应确保成为新疆政府采购网正式注册入库供应商，并完成CA数字证书（符合国密标准）申领。如需咨询，请联系新疆CA服务热线0991-2819290；</w:t>
            </w:r>
          </w:p>
          <w:p w14:paraId="23A5026B">
            <w:pPr>
              <w:pStyle w:val="100"/>
              <w:keepNext w:val="0"/>
              <w:keepLines w:val="0"/>
              <w:pageBreakBefore w:val="0"/>
              <w:kinsoku/>
              <w:wordWrap/>
              <w:overflowPunct/>
              <w:topLinePunct w:val="0"/>
              <w:bidi w:val="0"/>
              <w:adjustRightInd/>
              <w:snapToGrid/>
              <w:spacing w:line="360" w:lineRule="atLeast"/>
              <w:textAlignment w:val="auto"/>
              <w:rPr>
                <w:rFonts w:hint="eastAsia" w:cs="宋体"/>
                <w:b w:val="0"/>
                <w:bCs w:val="0"/>
                <w:color w:val="auto"/>
                <w:sz w:val="24"/>
                <w:szCs w:val="24"/>
                <w:highlight w:val="none"/>
                <w:lang w:eastAsia="zh-CN"/>
              </w:rPr>
            </w:pPr>
            <w:r>
              <w:rPr>
                <w:rFonts w:hint="eastAsia" w:cs="宋体"/>
                <w:b w:val="0"/>
                <w:bCs w:val="0"/>
                <w:color w:val="auto"/>
                <w:sz w:val="24"/>
                <w:szCs w:val="24"/>
                <w:highlight w:val="none"/>
                <w:lang w:val="en-US" w:eastAsia="zh-CN"/>
              </w:rPr>
              <w:t>6.</w:t>
            </w:r>
            <w:r>
              <w:rPr>
                <w:rFonts w:hint="eastAsia" w:cs="宋体"/>
                <w:b w:val="0"/>
                <w:bCs w:val="0"/>
                <w:color w:val="auto"/>
                <w:sz w:val="24"/>
                <w:szCs w:val="24"/>
                <w:highlight w:val="none"/>
                <w:lang w:eastAsia="zh-CN"/>
              </w:rPr>
              <w:t>供应商将政采云电子交易客户端下载、安装完成后，可通过账号密码或CA登录客户端进行响应文件的制作。客户端请至新疆政府采购网（http://www.ccgp-xinjiang.gov.cn/）下载专区查看，如有问题可拨打政采云客户服务热线95763进行咨询。</w:t>
            </w:r>
          </w:p>
          <w:p w14:paraId="00D1EB66">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b w:val="0"/>
                <w:bCs w:val="0"/>
                <w:color w:val="auto"/>
                <w:sz w:val="24"/>
                <w:szCs w:val="24"/>
                <w:highlight w:val="none"/>
                <w:lang w:val="en-US" w:eastAsia="zh-CN"/>
              </w:rPr>
              <w:t>7.</w:t>
            </w:r>
            <w:r>
              <w:rPr>
                <w:rFonts w:hint="eastAsia" w:cs="宋体"/>
                <w:b w:val="0"/>
                <w:bCs w:val="0"/>
                <w:color w:val="auto"/>
                <w:sz w:val="24"/>
                <w:szCs w:val="24"/>
                <w:highlight w:val="none"/>
                <w:lang w:eastAsia="zh-CN"/>
              </w:rPr>
              <w:t>供应商首次参加政府采购活动的，可前往新疆政府采购网（ http://www.ccgp-xinjiang.gov.cn/）下载操作指南。（步骤：进入新疆政府采购网</w:t>
            </w:r>
            <w:r>
              <w:rPr>
                <w:rFonts w:hint="eastAsia" w:cs="宋体"/>
                <w:color w:val="auto"/>
                <w:sz w:val="24"/>
                <w:szCs w:val="24"/>
                <w:highlight w:val="none"/>
                <w:lang w:eastAsia="zh-CN"/>
              </w:rPr>
              <w:t>（http://www.ccgp-xinjiang.gov.cn/）点击主页面的办事指南—选择并下载供应商政采云平台操作指南。）</w:t>
            </w:r>
          </w:p>
          <w:p w14:paraId="3ACCA370">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val="en-US" w:eastAsia="zh-CN"/>
              </w:rPr>
              <w:t>8.</w:t>
            </w:r>
            <w:r>
              <w:rPr>
                <w:rFonts w:hint="eastAsia" w:cs="宋体"/>
                <w:color w:val="auto"/>
                <w:sz w:val="24"/>
                <w:szCs w:val="24"/>
                <w:highlight w:val="none"/>
                <w:lang w:eastAsia="zh-CN"/>
              </w:rPr>
              <w:t>若本项目有多个标包时，允许供应商对采购文件中的所有标包投标，也可根据自身情况对部分标包进行投标。若供应商参与本项目多个标包时，须针对所投的每个标包分别制作响应文件并报价，每包的响应文件均必须满足采购文件份数与制作等要求，否则将导致投标被拒绝。</w:t>
            </w:r>
          </w:p>
          <w:p w14:paraId="58215C0D">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val="en-US" w:eastAsia="zh-CN"/>
              </w:rPr>
              <w:t>9.</w:t>
            </w:r>
            <w:r>
              <w:rPr>
                <w:rFonts w:hint="eastAsia" w:cs="宋体"/>
                <w:color w:val="auto"/>
                <w:sz w:val="24"/>
                <w:szCs w:val="24"/>
                <w:highlight w:val="none"/>
                <w:lang w:eastAsia="zh-CN"/>
              </w:rPr>
              <w:t>当出现下列情形之一，响应文件将予以退回：</w:t>
            </w:r>
          </w:p>
          <w:p w14:paraId="77242AF3">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（1）供应商在响应文件递交截止时间前未成功上传加密电子响应文件；</w:t>
            </w:r>
          </w:p>
          <w:p w14:paraId="4E8C18E5">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（2）供应商使用解密的CA数字证书与上传加密响应文件使用的CA数字证书不一致；</w:t>
            </w:r>
          </w:p>
          <w:p w14:paraId="556A906E">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（3）供应商解密时CA数字证书已过期，导致无法正常解密；</w:t>
            </w:r>
          </w:p>
          <w:p w14:paraId="313B0223">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（4）加密响应文件时，CA数字证书未过期，解密时，显示CA数字证书已过期，导致无法正常解密；</w:t>
            </w:r>
          </w:p>
          <w:p w14:paraId="691DB833">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（5）未在规定的响应文件解密时间内进行解密的；</w:t>
            </w:r>
          </w:p>
          <w:p w14:paraId="09D42587">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eastAsia="zh-CN"/>
              </w:rPr>
              <w:t xml:space="preserve">（6）供应商个人原因导致无法解密的其他情形。 </w:t>
            </w:r>
          </w:p>
          <w:p w14:paraId="35EFC00B">
            <w:pPr>
              <w:pStyle w:val="100"/>
              <w:keepNext w:val="0"/>
              <w:keepLines w:val="0"/>
              <w:pageBreakBefore w:val="0"/>
              <w:kinsoku/>
              <w:wordWrap/>
              <w:overflowPunct/>
              <w:topLinePunct w:val="0"/>
              <w:bidi w:val="0"/>
              <w:adjustRightInd/>
              <w:snapToGrid/>
              <w:spacing w:line="360" w:lineRule="atLeast"/>
              <w:textAlignment w:val="auto"/>
              <w:rPr>
                <w:rFonts w:hint="eastAsia" w:cs="宋体"/>
                <w:color w:val="auto"/>
                <w:sz w:val="24"/>
                <w:szCs w:val="24"/>
                <w:highlight w:val="none"/>
                <w:lang w:eastAsia="zh-CN"/>
              </w:rPr>
            </w:pPr>
            <w:r>
              <w:rPr>
                <w:rFonts w:hint="eastAsia" w:cs="宋体"/>
                <w:color w:val="auto"/>
                <w:sz w:val="24"/>
                <w:szCs w:val="24"/>
                <w:highlight w:val="none"/>
                <w:lang w:val="en-US" w:eastAsia="zh-CN"/>
              </w:rPr>
              <w:t>10.</w:t>
            </w:r>
            <w:r>
              <w:rPr>
                <w:rFonts w:hint="eastAsia" w:cs="宋体"/>
                <w:color w:val="auto"/>
                <w:sz w:val="24"/>
                <w:szCs w:val="24"/>
                <w:highlight w:val="none"/>
                <w:lang w:eastAsia="zh-CN"/>
              </w:rPr>
              <w:t>供应商应在谈判响应截止时间前将投标时使用的计算机安装相关的浏览器（推荐使用谷歌浏览器）、CA驱动等软件，方便响应文件解密时能够正常解密。</w:t>
            </w:r>
          </w:p>
          <w:p w14:paraId="29C87A75">
            <w:pPr>
              <w:jc w:val="both"/>
              <w:rPr>
                <w:rFonts w:hint="eastAsia" w:ascii="Times New Roman" w:cs="Times New Roman"/>
                <w:color w:val="auto"/>
                <w:sz w:val="24"/>
                <w:szCs w:val="24"/>
              </w:rPr>
            </w:pPr>
            <w:r>
              <w:rPr>
                <w:rFonts w:hint="eastAsia" w:cs="宋体"/>
                <w:color w:val="auto"/>
                <w:sz w:val="24"/>
                <w:szCs w:val="24"/>
                <w:highlight w:val="none"/>
                <w:lang w:val="en-US" w:eastAsia="zh-CN"/>
              </w:rPr>
              <w:t>11.</w:t>
            </w:r>
            <w:r>
              <w:rPr>
                <w:rFonts w:hint="eastAsia" w:cs="宋体"/>
                <w:color w:val="auto"/>
                <w:sz w:val="24"/>
                <w:szCs w:val="24"/>
                <w:highlight w:val="none"/>
                <w:lang w:eastAsia="zh-CN"/>
              </w:rPr>
              <w:t>供应商需在响应文件递交截止时间前自行测试开标时使用的计算机，如因供应商自身原因导致响应文件解密失败的，由供应商自行承担相应后果。</w:t>
            </w:r>
          </w:p>
        </w:tc>
      </w:tr>
      <w:tr w14:paraId="0B11B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79" w:type="dxa"/>
            <w:vAlign w:val="center"/>
          </w:tcPr>
          <w:p w14:paraId="17F32AC2">
            <w:pPr>
              <w:overflowPunct w:val="0"/>
              <w:jc w:val="center"/>
              <w:rPr>
                <w:rFonts w:ascii="Times New Roman" w:hAnsi="Times New Roman" w:cs="Times New Roman"/>
                <w:b w:val="0"/>
                <w:bCs/>
                <w:color w:val="auto"/>
                <w:sz w:val="24"/>
                <w:szCs w:val="24"/>
              </w:rPr>
            </w:pPr>
            <w:r>
              <w:rPr>
                <w:rFonts w:ascii="Times New Roman" w:cs="Times New Roman"/>
                <w:b w:val="0"/>
                <w:bCs/>
                <w:color w:val="auto"/>
                <w:sz w:val="24"/>
                <w:szCs w:val="24"/>
              </w:rPr>
              <w:t>备注</w:t>
            </w:r>
          </w:p>
        </w:tc>
        <w:tc>
          <w:tcPr>
            <w:tcW w:w="8840" w:type="dxa"/>
            <w:gridSpan w:val="2"/>
            <w:vAlign w:val="center"/>
          </w:tcPr>
          <w:p w14:paraId="29D41F90">
            <w:pPr>
              <w:rPr>
                <w:rFonts w:ascii="Times New Roman" w:hAnsi="Times New Roman" w:cs="Times New Roman"/>
                <w:b w:val="0"/>
                <w:bCs/>
                <w:color w:val="auto"/>
                <w:sz w:val="24"/>
                <w:szCs w:val="24"/>
              </w:rPr>
            </w:pPr>
            <w:r>
              <w:rPr>
                <w:rFonts w:ascii="Times New Roman" w:hAnsi="Times New Roman" w:cs="Times New Roman"/>
                <w:b w:val="0"/>
                <w:bCs/>
                <w:color w:val="auto"/>
                <w:sz w:val="24"/>
                <w:szCs w:val="24"/>
              </w:rPr>
              <w:t>1</w:t>
            </w:r>
            <w:r>
              <w:rPr>
                <w:rFonts w:ascii="Times New Roman" w:cs="Times New Roman"/>
                <w:b w:val="0"/>
                <w:bCs/>
                <w:color w:val="auto"/>
                <w:sz w:val="24"/>
                <w:szCs w:val="24"/>
              </w:rPr>
              <w:t>、</w:t>
            </w:r>
            <w:r>
              <w:rPr>
                <w:rFonts w:hint="eastAsia" w:ascii="Times New Roman" w:cs="Times New Roman"/>
                <w:b w:val="0"/>
                <w:bCs/>
                <w:color w:val="auto"/>
                <w:sz w:val="24"/>
                <w:szCs w:val="24"/>
              </w:rPr>
              <w:t>采购文件</w:t>
            </w:r>
            <w:r>
              <w:rPr>
                <w:rFonts w:ascii="Times New Roman" w:cs="Times New Roman"/>
                <w:b w:val="0"/>
                <w:bCs/>
                <w:color w:val="auto"/>
                <w:sz w:val="24"/>
                <w:szCs w:val="24"/>
              </w:rPr>
              <w:t>中部分加粗</w:t>
            </w:r>
            <w:r>
              <w:rPr>
                <w:rFonts w:hint="eastAsia" w:ascii="Times New Roman" w:cs="Times New Roman"/>
                <w:b w:val="0"/>
                <w:bCs/>
                <w:color w:val="auto"/>
                <w:sz w:val="24"/>
                <w:szCs w:val="24"/>
              </w:rPr>
              <w:t>、</w:t>
            </w:r>
            <w:r>
              <w:rPr>
                <w:rFonts w:hint="eastAsia" w:ascii="Times New Roman" w:cs="Times New Roman"/>
                <w:b w:val="0"/>
                <w:bCs/>
                <w:color w:val="auto"/>
                <w:sz w:val="24"/>
                <w:szCs w:val="24"/>
                <w:lang w:val="en-US"/>
              </w:rPr>
              <w:t>标★</w:t>
            </w:r>
            <w:r>
              <w:rPr>
                <w:rFonts w:ascii="Times New Roman" w:cs="Times New Roman"/>
                <w:b w:val="0"/>
                <w:bCs/>
                <w:color w:val="auto"/>
                <w:sz w:val="24"/>
                <w:szCs w:val="24"/>
              </w:rPr>
              <w:t>、</w:t>
            </w:r>
            <w:r>
              <w:rPr>
                <w:rFonts w:hint="eastAsia" w:ascii="Times New Roman" w:cs="Times New Roman"/>
                <w:b w:val="0"/>
                <w:bCs/>
                <w:color w:val="auto"/>
                <w:sz w:val="24"/>
                <w:szCs w:val="24"/>
                <w:lang w:val="en-US"/>
              </w:rPr>
              <w:t>标</w:t>
            </w:r>
            <w:r>
              <w:rPr>
                <w:rFonts w:hint="eastAsia"/>
                <w:b w:val="0"/>
                <w:bCs/>
                <w:color w:val="auto"/>
                <w:sz w:val="24"/>
                <w:szCs w:val="24"/>
              </w:rPr>
              <w:t>▲、标</w:t>
            </w:r>
            <w:r>
              <w:rPr>
                <w:rFonts w:hint="eastAsia"/>
                <w:b w:val="0"/>
                <w:bCs/>
                <w:color w:val="auto"/>
                <w:sz w:val="28"/>
                <w:szCs w:val="28"/>
              </w:rPr>
              <w:t>*、</w:t>
            </w:r>
            <w:r>
              <w:rPr>
                <w:rFonts w:ascii="Times New Roman" w:cs="Times New Roman"/>
                <w:b w:val="0"/>
                <w:bCs/>
                <w:color w:val="auto"/>
                <w:sz w:val="24"/>
                <w:szCs w:val="24"/>
              </w:rPr>
              <w:t>加下划线、废标、无效标、投标被拒绝字样的条款，为招标的</w:t>
            </w:r>
            <w:r>
              <w:rPr>
                <w:rFonts w:hint="eastAsia" w:ascii="Times New Roman" w:cs="Times New Roman"/>
                <w:b w:val="0"/>
                <w:bCs/>
                <w:color w:val="auto"/>
                <w:sz w:val="24"/>
                <w:szCs w:val="24"/>
              </w:rPr>
              <w:t>重要</w:t>
            </w:r>
            <w:r>
              <w:rPr>
                <w:rFonts w:ascii="Times New Roman" w:cs="Times New Roman"/>
                <w:b w:val="0"/>
                <w:bCs/>
                <w:color w:val="auto"/>
                <w:sz w:val="24"/>
                <w:szCs w:val="24"/>
              </w:rPr>
              <w:t>条件，着重提醒各投标人注意，并认真查看</w:t>
            </w:r>
            <w:r>
              <w:rPr>
                <w:rFonts w:hint="eastAsia" w:ascii="Times New Roman" w:cs="Times New Roman"/>
                <w:b w:val="0"/>
                <w:bCs/>
                <w:color w:val="auto"/>
                <w:sz w:val="24"/>
                <w:szCs w:val="24"/>
              </w:rPr>
              <w:t>采购文件</w:t>
            </w:r>
            <w:r>
              <w:rPr>
                <w:rFonts w:ascii="Times New Roman" w:cs="Times New Roman"/>
                <w:b w:val="0"/>
                <w:bCs/>
                <w:color w:val="auto"/>
                <w:sz w:val="24"/>
                <w:szCs w:val="24"/>
              </w:rPr>
              <w:t>中的每一个条款及要求，因误读</w:t>
            </w:r>
            <w:r>
              <w:rPr>
                <w:rFonts w:hint="eastAsia" w:ascii="Times New Roman" w:cs="Times New Roman"/>
                <w:b w:val="0"/>
                <w:bCs/>
                <w:color w:val="auto"/>
                <w:sz w:val="24"/>
                <w:szCs w:val="24"/>
              </w:rPr>
              <w:t>采购文件</w:t>
            </w:r>
            <w:r>
              <w:rPr>
                <w:rFonts w:ascii="Times New Roman" w:cs="Times New Roman"/>
                <w:b w:val="0"/>
                <w:bCs/>
                <w:color w:val="auto"/>
                <w:sz w:val="24"/>
                <w:szCs w:val="24"/>
              </w:rPr>
              <w:t>而造成的后果，招标人概不负责。</w:t>
            </w:r>
          </w:p>
          <w:p w14:paraId="09E6DD39">
            <w:pPr>
              <w:rPr>
                <w:rFonts w:ascii="Times New Roman" w:cs="Times New Roman"/>
                <w:b w:val="0"/>
                <w:bCs/>
                <w:color w:val="auto"/>
                <w:sz w:val="24"/>
                <w:szCs w:val="24"/>
              </w:rPr>
            </w:pPr>
            <w:r>
              <w:rPr>
                <w:rFonts w:ascii="Times New Roman" w:hAnsi="Times New Roman" w:cs="Times New Roman"/>
                <w:b w:val="0"/>
                <w:bCs/>
                <w:color w:val="auto"/>
                <w:sz w:val="24"/>
                <w:szCs w:val="24"/>
              </w:rPr>
              <w:t>2</w:t>
            </w:r>
            <w:r>
              <w:rPr>
                <w:rFonts w:ascii="Times New Roman" w:cs="Times New Roman"/>
                <w:b w:val="0"/>
                <w:bCs/>
                <w:color w:val="auto"/>
                <w:sz w:val="24"/>
                <w:szCs w:val="24"/>
              </w:rPr>
              <w:t>、投标文件中有弄虚作假的内容，其投标文件作废。（如假证书、假业绩、隐瞒不良行为记录、夸大荣誉、使用非本单位在职员工的相关证件及不符合</w:t>
            </w:r>
            <w:r>
              <w:rPr>
                <w:rFonts w:hint="eastAsia" w:ascii="Times New Roman" w:cs="Times New Roman"/>
                <w:b w:val="0"/>
                <w:bCs/>
                <w:color w:val="auto"/>
                <w:sz w:val="24"/>
                <w:szCs w:val="24"/>
              </w:rPr>
              <w:t>采购文件</w:t>
            </w:r>
            <w:r>
              <w:rPr>
                <w:rFonts w:ascii="Times New Roman" w:cs="Times New Roman"/>
                <w:b w:val="0"/>
                <w:bCs/>
                <w:color w:val="auto"/>
                <w:sz w:val="24"/>
                <w:szCs w:val="24"/>
              </w:rPr>
              <w:t>规定的条款等）；在签订合同之前，投标人如发现投标人的投标文件有弄虚作假内容，招标人可拒绝与其签订合同。并将其列入政府采购黑名单库。</w:t>
            </w:r>
          </w:p>
          <w:p w14:paraId="12FACDD6">
            <w:pPr>
              <w:pStyle w:val="39"/>
              <w:ind w:firstLine="0" w:firstLineChars="0"/>
              <w:rPr>
                <w:rFonts w:hint="eastAsia" w:ascii="Times New Roman"/>
                <w:b w:val="0"/>
                <w:bCs/>
                <w:color w:val="auto"/>
                <w:szCs w:val="24"/>
              </w:rPr>
            </w:pPr>
            <w:r>
              <w:rPr>
                <w:rFonts w:hint="eastAsia" w:ascii="Times New Roman"/>
                <w:b w:val="0"/>
                <w:bCs/>
                <w:color w:val="auto"/>
                <w:szCs w:val="24"/>
              </w:rPr>
              <w:t>3、本项目不可兼中兼得</w:t>
            </w:r>
          </w:p>
          <w:p w14:paraId="7AF424F4">
            <w:pPr>
              <w:rPr>
                <w:b w:val="0"/>
                <w:bCs/>
                <w:color w:val="auto"/>
                <w:lang w:val="en-US"/>
              </w:rPr>
            </w:pPr>
            <w:r>
              <w:rPr>
                <w:rFonts w:hint="eastAsia" w:ascii="Times New Roman" w:cs="Times New Roman"/>
                <w:b w:val="0"/>
                <w:bCs/>
                <w:color w:val="auto"/>
                <w:sz w:val="24"/>
                <w:szCs w:val="24"/>
                <w:lang w:val="en-US"/>
              </w:rPr>
              <w:t>4、投标报价价格应包含：货物费、人工费、包装费、装卸费、</w:t>
            </w:r>
            <w:r>
              <w:rPr>
                <w:rFonts w:hint="eastAsia" w:ascii="Times New Roman" w:cs="Times New Roman"/>
                <w:b w:val="0"/>
                <w:bCs/>
                <w:color w:val="auto"/>
                <w:sz w:val="24"/>
                <w:szCs w:val="24"/>
                <w:lang w:val="en-US" w:eastAsia="zh-CN"/>
              </w:rPr>
              <w:t>安装调试费、</w:t>
            </w:r>
            <w:r>
              <w:rPr>
                <w:rFonts w:hint="eastAsia" w:ascii="Times New Roman" w:cs="Times New Roman"/>
                <w:b w:val="0"/>
                <w:bCs/>
                <w:color w:val="auto"/>
                <w:sz w:val="24"/>
                <w:szCs w:val="24"/>
                <w:lang w:val="en-US"/>
              </w:rPr>
              <w:t>保险费、第三方检测费等运输过程中一切费用，运输过程中一切运输风险均由供应商承担，在合同约定期限内供应商违约未能及时交货的，产品的灭失、毁损的风险由供应商承担等运送到达采购单位指定交付地点所发生的一切费用。</w:t>
            </w:r>
          </w:p>
        </w:tc>
      </w:tr>
      <w:tr w14:paraId="77023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9819" w:type="dxa"/>
            <w:gridSpan w:val="3"/>
            <w:vAlign w:val="center"/>
          </w:tcPr>
          <w:p w14:paraId="41862E74">
            <w:pPr>
              <w:ind w:firstLine="480" w:firstLineChars="200"/>
              <w:rPr>
                <w:rFonts w:ascii="Times New Roman" w:hAnsi="Times New Roman" w:cs="Times New Roman"/>
                <w:b w:val="0"/>
                <w:bCs/>
                <w:color w:val="auto"/>
                <w:sz w:val="24"/>
                <w:szCs w:val="24"/>
              </w:rPr>
            </w:pPr>
            <w:r>
              <w:rPr>
                <w:rFonts w:ascii="Times New Roman" w:cs="Times New Roman"/>
                <w:b w:val="0"/>
                <w:bCs/>
                <w:color w:val="auto"/>
                <w:sz w:val="24"/>
                <w:szCs w:val="24"/>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的同时不得耽误本项目</w:t>
            </w:r>
            <w:r>
              <w:rPr>
                <w:rFonts w:hint="eastAsia" w:ascii="Times New Roman" w:cs="Times New Roman"/>
                <w:b w:val="0"/>
                <w:bCs/>
                <w:color w:val="auto"/>
                <w:sz w:val="24"/>
                <w:szCs w:val="24"/>
                <w:lang w:val="en-US"/>
              </w:rPr>
              <w:t>实施</w:t>
            </w:r>
            <w:r>
              <w:rPr>
                <w:rFonts w:ascii="Times New Roman" w:cs="Times New Roman"/>
                <w:b w:val="0"/>
                <w:bCs/>
                <w:color w:val="auto"/>
                <w:sz w:val="24"/>
                <w:szCs w:val="24"/>
              </w:rPr>
              <w:t>。</w:t>
            </w:r>
          </w:p>
        </w:tc>
      </w:tr>
    </w:tbl>
    <w:p w14:paraId="3771332E">
      <w:pPr>
        <w:rPr>
          <w:color w:val="auto"/>
        </w:rPr>
      </w:pPr>
    </w:p>
    <w:p w14:paraId="5AAF0ADF">
      <w:pPr>
        <w:rPr>
          <w:color w:val="auto"/>
        </w:rPr>
      </w:pPr>
    </w:p>
    <w:p w14:paraId="5C35088D">
      <w:pPr>
        <w:rPr>
          <w:color w:val="auto"/>
          <w:lang w:val="en-US"/>
        </w:rPr>
      </w:pPr>
    </w:p>
    <w:p w14:paraId="6A56D6EB">
      <w:pPr>
        <w:rPr>
          <w:color w:val="auto"/>
          <w:lang w:val="en-US"/>
        </w:rPr>
      </w:pPr>
    </w:p>
    <w:p w14:paraId="0CF65E53">
      <w:pPr>
        <w:pStyle w:val="2"/>
        <w:spacing w:before="2"/>
        <w:ind w:left="0" w:leftChars="0" w:right="0" w:rightChars="0"/>
        <w:rPr>
          <w:color w:val="auto"/>
        </w:rPr>
      </w:pPr>
      <w:r>
        <w:rPr>
          <w:color w:val="auto"/>
        </w:rPr>
        <w:br w:type="page"/>
      </w:r>
      <w:r>
        <w:rPr>
          <w:color w:val="auto"/>
        </w:rPr>
        <w:t>第三部分 招标说明</w:t>
      </w:r>
    </w:p>
    <w:p w14:paraId="313443D0">
      <w:pPr>
        <w:spacing w:line="360" w:lineRule="auto"/>
        <w:rPr>
          <w:rFonts w:ascii="Times New Roman" w:hAnsi="Times New Roman" w:cs="Times New Roman"/>
          <w:color w:val="auto"/>
        </w:rPr>
      </w:pPr>
    </w:p>
    <w:p w14:paraId="5D5C7FF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cs="Times New Roman"/>
          <w:color w:val="auto"/>
          <w:sz w:val="24"/>
        </w:rPr>
        <w:t>适用范围</w:t>
      </w:r>
    </w:p>
    <w:p w14:paraId="1FC31965">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本</w:t>
      </w:r>
      <w:r>
        <w:rPr>
          <w:rFonts w:hint="eastAsia" w:ascii="Times New Roman" w:cs="Times New Roman"/>
          <w:color w:val="auto"/>
          <w:sz w:val="24"/>
        </w:rPr>
        <w:t>采购文件</w:t>
      </w:r>
      <w:r>
        <w:rPr>
          <w:rFonts w:ascii="Times New Roman" w:cs="Times New Roman"/>
          <w:color w:val="auto"/>
          <w:sz w:val="24"/>
        </w:rPr>
        <w:t>仅适用于在</w:t>
      </w:r>
      <w:r>
        <w:rPr>
          <w:rFonts w:hint="eastAsia" w:ascii="Times New Roman" w:cs="Times New Roman"/>
          <w:color w:val="auto"/>
          <w:sz w:val="24"/>
          <w:lang w:val="en-US" w:eastAsia="zh-CN"/>
        </w:rPr>
        <w:t>新和县2026年粮油等重点作物绿色高产高效项目（二次）</w:t>
      </w:r>
      <w:r>
        <w:rPr>
          <w:rFonts w:hint="eastAsia" w:ascii="Times New Roman" w:cs="Times New Roman"/>
          <w:color w:val="auto"/>
          <w:sz w:val="24"/>
        </w:rPr>
        <w:t>采购文件</w:t>
      </w:r>
      <w:r>
        <w:rPr>
          <w:rFonts w:ascii="Times New Roman" w:cs="Times New Roman"/>
          <w:color w:val="auto"/>
          <w:sz w:val="24"/>
        </w:rPr>
        <w:t>中所叙述的本采购项目的合格</w:t>
      </w:r>
      <w:r>
        <w:rPr>
          <w:rFonts w:hint="eastAsia" w:ascii="Times New Roman" w:cs="Times New Roman"/>
          <w:color w:val="auto"/>
          <w:sz w:val="24"/>
        </w:rPr>
        <w:t>投标人</w:t>
      </w:r>
      <w:r>
        <w:rPr>
          <w:rFonts w:ascii="Times New Roman" w:cs="Times New Roman"/>
          <w:color w:val="auto"/>
          <w:sz w:val="24"/>
        </w:rPr>
        <w:t>（包括生产商或销售商）。</w:t>
      </w:r>
    </w:p>
    <w:p w14:paraId="41B6936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w:t>
      </w:r>
      <w:r>
        <w:rPr>
          <w:rFonts w:ascii="Times New Roman" w:cs="Times New Roman"/>
          <w:color w:val="auto"/>
          <w:sz w:val="24"/>
        </w:rPr>
        <w:t>投标资格</w:t>
      </w:r>
    </w:p>
    <w:p w14:paraId="64090F1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2.1</w:t>
      </w:r>
      <w:r>
        <w:rPr>
          <w:rFonts w:ascii="Times New Roman" w:cs="Times New Roman"/>
          <w:color w:val="auto"/>
          <w:sz w:val="24"/>
        </w:rPr>
        <w:t>凡在中华人民共和国境内注册的合法的法人且有承担本项目的能力以及能够提供资格必备条件和审查项目条件且均合格的供应商（生产商或销售商）。</w:t>
      </w:r>
    </w:p>
    <w:p w14:paraId="5212370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2.2</w:t>
      </w:r>
      <w:r>
        <w:rPr>
          <w:rFonts w:ascii="Times New Roman" w:cs="Times New Roman"/>
          <w:color w:val="auto"/>
          <w:sz w:val="24"/>
        </w:rPr>
        <w:t>投标人应遵守中华人民共和国法律、法规和行政规章。</w:t>
      </w:r>
    </w:p>
    <w:p w14:paraId="4A95C3F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2.3</w:t>
      </w:r>
      <w:r>
        <w:rPr>
          <w:rFonts w:ascii="Times New Roman" w:cs="Times New Roman"/>
          <w:color w:val="auto"/>
          <w:sz w:val="24"/>
        </w:rPr>
        <w:t>本项目不接受联合体投标。</w:t>
      </w:r>
    </w:p>
    <w:p w14:paraId="09D3628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w:t>
      </w:r>
      <w:r>
        <w:rPr>
          <w:rFonts w:ascii="Times New Roman" w:cs="Times New Roman"/>
          <w:color w:val="auto"/>
          <w:sz w:val="24"/>
        </w:rPr>
        <w:t>定义</w:t>
      </w:r>
    </w:p>
    <w:p w14:paraId="6D6E8272">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下列术语和缩写的定义为：</w:t>
      </w:r>
    </w:p>
    <w:p w14:paraId="65A3424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3.1“</w:t>
      </w:r>
      <w:r>
        <w:rPr>
          <w:rFonts w:ascii="Times New Roman" w:cs="Times New Roman"/>
          <w:color w:val="auto"/>
          <w:sz w:val="24"/>
        </w:rPr>
        <w:t>招标方</w:t>
      </w:r>
      <w:r>
        <w:rPr>
          <w:rFonts w:ascii="Times New Roman" w:hAnsi="Times New Roman" w:cs="Times New Roman"/>
          <w:color w:val="auto"/>
          <w:sz w:val="24"/>
        </w:rPr>
        <w:t>”</w:t>
      </w:r>
      <w:r>
        <w:rPr>
          <w:rFonts w:ascii="Times New Roman" w:cs="Times New Roman"/>
          <w:color w:val="auto"/>
          <w:sz w:val="24"/>
        </w:rPr>
        <w:t>系指</w:t>
      </w:r>
      <w:r>
        <w:rPr>
          <w:rFonts w:ascii="Times New Roman" w:cs="Times New Roman"/>
          <w:color w:val="auto"/>
          <w:sz w:val="24"/>
          <w:lang w:val="en-US"/>
        </w:rPr>
        <w:t>采购人和采购代理机构的统称</w:t>
      </w:r>
      <w:r>
        <w:rPr>
          <w:rFonts w:ascii="Times New Roman" w:cs="Times New Roman"/>
          <w:color w:val="auto"/>
          <w:sz w:val="24"/>
        </w:rPr>
        <w:t>。</w:t>
      </w:r>
    </w:p>
    <w:p w14:paraId="2128048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3.2 “</w:t>
      </w:r>
      <w:r>
        <w:rPr>
          <w:rFonts w:ascii="Times New Roman" w:cs="Times New Roman"/>
          <w:color w:val="auto"/>
          <w:sz w:val="24"/>
        </w:rPr>
        <w:t>投标人</w:t>
      </w:r>
      <w:r>
        <w:rPr>
          <w:rFonts w:ascii="Times New Roman" w:hAnsi="Times New Roman" w:cs="Times New Roman"/>
          <w:color w:val="auto"/>
          <w:sz w:val="24"/>
        </w:rPr>
        <w:t>”</w:t>
      </w:r>
      <w:r>
        <w:rPr>
          <w:rFonts w:ascii="Times New Roman" w:cs="Times New Roman"/>
          <w:color w:val="auto"/>
          <w:sz w:val="24"/>
        </w:rPr>
        <w:t>系指有资格的供应商（</w:t>
      </w:r>
      <w:r>
        <w:rPr>
          <w:rFonts w:ascii="Times New Roman" w:cs="Times New Roman"/>
          <w:color w:val="auto"/>
          <w:sz w:val="24"/>
          <w:lang w:val="en-US"/>
        </w:rPr>
        <w:t>生产</w:t>
      </w:r>
      <w:r>
        <w:rPr>
          <w:rFonts w:ascii="Times New Roman" w:cs="Times New Roman"/>
          <w:color w:val="auto"/>
          <w:sz w:val="24"/>
        </w:rPr>
        <w:t>商</w:t>
      </w:r>
      <w:r>
        <w:rPr>
          <w:rFonts w:ascii="Times New Roman" w:cs="Times New Roman"/>
          <w:color w:val="auto"/>
          <w:sz w:val="24"/>
          <w:lang w:val="en-US"/>
        </w:rPr>
        <w:t>或销售</w:t>
      </w:r>
      <w:r>
        <w:rPr>
          <w:rFonts w:ascii="Times New Roman" w:cs="Times New Roman"/>
          <w:color w:val="auto"/>
          <w:sz w:val="24"/>
        </w:rPr>
        <w:t>商）及投标表现人。</w:t>
      </w:r>
    </w:p>
    <w:p w14:paraId="618986A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3.3“</w:t>
      </w:r>
      <w:r>
        <w:rPr>
          <w:rFonts w:ascii="Times New Roman" w:cs="Times New Roman"/>
          <w:color w:val="auto"/>
          <w:sz w:val="24"/>
        </w:rPr>
        <w:t>货物</w:t>
      </w:r>
      <w:r>
        <w:rPr>
          <w:rFonts w:ascii="Times New Roman" w:hAnsi="Times New Roman" w:cs="Times New Roman"/>
          <w:color w:val="auto"/>
          <w:sz w:val="24"/>
        </w:rPr>
        <w:t>”</w:t>
      </w:r>
      <w:r>
        <w:rPr>
          <w:rFonts w:ascii="Times New Roman" w:cs="Times New Roman"/>
          <w:color w:val="auto"/>
          <w:sz w:val="24"/>
        </w:rPr>
        <w:t>系指</w:t>
      </w:r>
      <w:r>
        <w:rPr>
          <w:rFonts w:hint="eastAsia" w:ascii="Times New Roman" w:cs="Times New Roman"/>
          <w:color w:val="auto"/>
          <w:sz w:val="24"/>
        </w:rPr>
        <w:t>采购文件</w:t>
      </w:r>
      <w:r>
        <w:rPr>
          <w:rFonts w:ascii="Times New Roman" w:cs="Times New Roman"/>
          <w:color w:val="auto"/>
          <w:sz w:val="24"/>
        </w:rPr>
        <w:t>规定的，投标人须向采购人提供的一切设备、附件、备品备件、工具、手册及其它有关资料和材料。</w:t>
      </w:r>
    </w:p>
    <w:p w14:paraId="53D6296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3.4“</w:t>
      </w:r>
      <w:r>
        <w:rPr>
          <w:rFonts w:ascii="Times New Roman" w:cs="Times New Roman"/>
          <w:color w:val="auto"/>
          <w:sz w:val="24"/>
        </w:rPr>
        <w:t>服务</w:t>
      </w:r>
      <w:r>
        <w:rPr>
          <w:rFonts w:ascii="Times New Roman" w:hAnsi="Times New Roman" w:cs="Times New Roman"/>
          <w:color w:val="auto"/>
          <w:sz w:val="24"/>
        </w:rPr>
        <w:t>”</w:t>
      </w:r>
      <w:r>
        <w:rPr>
          <w:rFonts w:ascii="Times New Roman" w:cs="Times New Roman"/>
          <w:color w:val="auto"/>
          <w:sz w:val="24"/>
        </w:rPr>
        <w:t>系指</w:t>
      </w:r>
      <w:r>
        <w:rPr>
          <w:rFonts w:hint="eastAsia" w:ascii="Times New Roman" w:cs="Times New Roman"/>
          <w:color w:val="auto"/>
          <w:sz w:val="24"/>
        </w:rPr>
        <w:t>采购文件</w:t>
      </w:r>
      <w:r>
        <w:rPr>
          <w:rFonts w:ascii="Times New Roman" w:cs="Times New Roman"/>
          <w:color w:val="auto"/>
          <w:sz w:val="24"/>
        </w:rPr>
        <w:t>规定投标人须承担的保修、技术协助、培训及其他类似的责任。</w:t>
      </w:r>
    </w:p>
    <w:p w14:paraId="456B5E4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4.</w:t>
      </w:r>
      <w:r>
        <w:rPr>
          <w:rFonts w:ascii="Times New Roman" w:cs="Times New Roman"/>
          <w:color w:val="auto"/>
          <w:sz w:val="24"/>
        </w:rPr>
        <w:t>投标费用</w:t>
      </w:r>
    </w:p>
    <w:p w14:paraId="32139AD4">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无论投标结果如何，凡参与招标、投标活动有关的所有费用将由投标人自行承担。</w:t>
      </w:r>
    </w:p>
    <w:p w14:paraId="0A43CE70">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投标人被视为熟悉本招标项目的各种情况以及与履行合同有关的一切情况。</w:t>
      </w:r>
    </w:p>
    <w:p w14:paraId="70A25FF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5.</w:t>
      </w:r>
      <w:r>
        <w:rPr>
          <w:rFonts w:hint="eastAsia" w:ascii="Times New Roman" w:cs="Times New Roman"/>
          <w:color w:val="auto"/>
          <w:sz w:val="24"/>
        </w:rPr>
        <w:t>采购文件</w:t>
      </w:r>
      <w:r>
        <w:rPr>
          <w:rFonts w:ascii="Times New Roman" w:cs="Times New Roman"/>
          <w:color w:val="auto"/>
          <w:sz w:val="24"/>
        </w:rPr>
        <w:t>的构成</w:t>
      </w:r>
    </w:p>
    <w:p w14:paraId="571508CD">
      <w:pPr>
        <w:spacing w:line="360" w:lineRule="auto"/>
        <w:ind w:firstLine="480" w:firstLineChars="200"/>
        <w:rPr>
          <w:rFonts w:ascii="Times New Roman" w:hAnsi="Times New Roman" w:cs="Times New Roman"/>
          <w:color w:val="auto"/>
          <w:sz w:val="24"/>
        </w:rPr>
      </w:pPr>
      <w:r>
        <w:rPr>
          <w:rFonts w:hint="eastAsia" w:ascii="Times New Roman" w:cs="Times New Roman"/>
          <w:color w:val="auto"/>
          <w:sz w:val="24"/>
        </w:rPr>
        <w:t>采购文件</w:t>
      </w:r>
      <w:r>
        <w:rPr>
          <w:rFonts w:ascii="Times New Roman" w:cs="Times New Roman"/>
          <w:color w:val="auto"/>
          <w:sz w:val="24"/>
        </w:rPr>
        <w:t>由</w:t>
      </w:r>
      <w:r>
        <w:rPr>
          <w:rFonts w:ascii="Times New Roman" w:cs="Times New Roman"/>
          <w:color w:val="auto"/>
          <w:sz w:val="24"/>
          <w:lang w:val="en-US"/>
        </w:rPr>
        <w:t>招标公告、</w:t>
      </w:r>
      <w:r>
        <w:rPr>
          <w:rFonts w:ascii="Times New Roman" w:cs="Times New Roman"/>
          <w:color w:val="auto"/>
          <w:sz w:val="24"/>
        </w:rPr>
        <w:t>投标须知、招标说明、投标说明、开标</w:t>
      </w:r>
      <w:r>
        <w:rPr>
          <w:rFonts w:ascii="Times New Roman" w:hAnsi="Times New Roman" w:cs="Times New Roman"/>
          <w:color w:val="auto"/>
          <w:sz w:val="24"/>
        </w:rPr>
        <w:t xml:space="preserve"> </w:t>
      </w:r>
      <w:r>
        <w:rPr>
          <w:rFonts w:ascii="Times New Roman" w:cs="Times New Roman"/>
          <w:color w:val="auto"/>
          <w:sz w:val="24"/>
        </w:rPr>
        <w:t>评标及定标说明、货物需求及技术规格说明、商务部分、</w:t>
      </w:r>
      <w:r>
        <w:rPr>
          <w:rFonts w:ascii="Times New Roman" w:cs="Times New Roman"/>
          <w:color w:val="auto"/>
          <w:sz w:val="24"/>
          <w:lang w:val="en-US"/>
        </w:rPr>
        <w:t>投标文件的编制装订</w:t>
      </w:r>
      <w:r>
        <w:rPr>
          <w:rFonts w:ascii="Times New Roman" w:cs="Times New Roman"/>
          <w:color w:val="auto"/>
          <w:sz w:val="24"/>
        </w:rPr>
        <w:t>、询标（答疑）记录等组成。</w:t>
      </w:r>
    </w:p>
    <w:p w14:paraId="2B5818E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w:t>
      </w:r>
      <w:r>
        <w:rPr>
          <w:rFonts w:hint="eastAsia" w:ascii="Times New Roman" w:cs="Times New Roman"/>
          <w:color w:val="auto"/>
          <w:sz w:val="24"/>
        </w:rPr>
        <w:t>采购文件</w:t>
      </w:r>
      <w:r>
        <w:rPr>
          <w:rFonts w:ascii="Times New Roman" w:cs="Times New Roman"/>
          <w:color w:val="auto"/>
          <w:sz w:val="24"/>
        </w:rPr>
        <w:t>的澄清或修改</w:t>
      </w:r>
    </w:p>
    <w:p w14:paraId="60AAE1CB">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采购人或者采购代理机构对</w:t>
      </w:r>
      <w:r>
        <w:rPr>
          <w:rFonts w:hint="eastAsia" w:ascii="Times New Roman" w:cs="Times New Roman"/>
          <w:color w:val="auto"/>
          <w:sz w:val="24"/>
        </w:rPr>
        <w:t>采购文件</w:t>
      </w:r>
      <w:r>
        <w:rPr>
          <w:rFonts w:ascii="Times New Roman" w:cs="Times New Roman"/>
          <w:color w:val="auto"/>
          <w:sz w:val="24"/>
        </w:rPr>
        <w:t>澄清或者修改的，在投标截止时间至少</w:t>
      </w:r>
      <w:r>
        <w:rPr>
          <w:rFonts w:ascii="Times New Roman" w:hAnsi="Times New Roman" w:cs="Times New Roman"/>
          <w:color w:val="auto"/>
          <w:sz w:val="24"/>
        </w:rPr>
        <w:t>15</w:t>
      </w:r>
      <w:r>
        <w:rPr>
          <w:rFonts w:ascii="Times New Roman" w:cs="Times New Roman"/>
          <w:color w:val="auto"/>
          <w:sz w:val="24"/>
        </w:rPr>
        <w:t>日前，通知所有获取</w:t>
      </w:r>
      <w:r>
        <w:rPr>
          <w:rFonts w:hint="eastAsia" w:ascii="Times New Roman" w:cs="Times New Roman"/>
          <w:color w:val="auto"/>
          <w:sz w:val="24"/>
        </w:rPr>
        <w:t>采购文件</w:t>
      </w:r>
      <w:r>
        <w:rPr>
          <w:rFonts w:ascii="Times New Roman" w:cs="Times New Roman"/>
          <w:color w:val="auto"/>
          <w:sz w:val="24"/>
        </w:rPr>
        <w:t>的潜在投标人；不足</w:t>
      </w:r>
      <w:r>
        <w:rPr>
          <w:rFonts w:ascii="Times New Roman" w:hAnsi="Times New Roman" w:cs="Times New Roman"/>
          <w:color w:val="auto"/>
          <w:sz w:val="24"/>
        </w:rPr>
        <w:t>15</w:t>
      </w:r>
      <w:r>
        <w:rPr>
          <w:rFonts w:ascii="Times New Roman" w:cs="Times New Roman"/>
          <w:color w:val="auto"/>
          <w:sz w:val="24"/>
        </w:rPr>
        <w:t>日的，采购人或者采购代理机构顺延提交投标文件的截止时间。</w:t>
      </w:r>
    </w:p>
    <w:p w14:paraId="2CC5CE60">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投标人对</w:t>
      </w:r>
      <w:r>
        <w:rPr>
          <w:rFonts w:hint="eastAsia" w:ascii="Times New Roman" w:cs="Times New Roman"/>
          <w:color w:val="auto"/>
          <w:sz w:val="24"/>
        </w:rPr>
        <w:t>采购文件</w:t>
      </w:r>
      <w:r>
        <w:rPr>
          <w:rFonts w:ascii="Times New Roman" w:cs="Times New Roman"/>
          <w:color w:val="auto"/>
          <w:sz w:val="24"/>
        </w:rPr>
        <w:t>如有疑点，可在投标截止日的</w:t>
      </w:r>
      <w:r>
        <w:rPr>
          <w:rFonts w:ascii="Times New Roman" w:hAnsi="Times New Roman" w:cs="Times New Roman"/>
          <w:color w:val="auto"/>
          <w:sz w:val="24"/>
          <w:lang w:val="en-US"/>
        </w:rPr>
        <w:t>15</w:t>
      </w:r>
      <w:r>
        <w:rPr>
          <w:rFonts w:ascii="Times New Roman" w:cs="Times New Roman"/>
          <w:color w:val="auto"/>
          <w:sz w:val="24"/>
        </w:rPr>
        <w:t>日前按</w:t>
      </w:r>
      <w:r>
        <w:rPr>
          <w:rFonts w:hint="eastAsia" w:ascii="Times New Roman" w:cs="Times New Roman"/>
          <w:color w:val="auto"/>
          <w:sz w:val="24"/>
        </w:rPr>
        <w:t>采购文件</w:t>
      </w:r>
      <w:r>
        <w:rPr>
          <w:rFonts w:ascii="Times New Roman" w:cs="Times New Roman"/>
          <w:color w:val="auto"/>
          <w:sz w:val="24"/>
        </w:rPr>
        <w:t>中载明的地址以书面形式通知采购人要求澄清。采购人将视情况确定采用适当方式予以澄清或以书面形式予以答复。采购人认为有必要时，可将答复内容（包括原提出问题，</w:t>
      </w:r>
      <w:r>
        <w:rPr>
          <w:rFonts w:ascii="Times New Roman" w:hAnsi="Times New Roman" w:cs="Times New Roman"/>
          <w:color w:val="auto"/>
          <w:sz w:val="24"/>
        </w:rPr>
        <w:t xml:space="preserve"> </w:t>
      </w:r>
      <w:r>
        <w:rPr>
          <w:rFonts w:ascii="Times New Roman" w:cs="Times New Roman"/>
          <w:color w:val="auto"/>
          <w:sz w:val="24"/>
        </w:rPr>
        <w:t>但不包括问题的来源）分发给所有拟投标人。</w:t>
      </w:r>
    </w:p>
    <w:p w14:paraId="6D5ACDA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7.</w:t>
      </w:r>
      <w:r>
        <w:rPr>
          <w:rFonts w:hint="eastAsia" w:ascii="Times New Roman" w:cs="Times New Roman"/>
          <w:color w:val="auto"/>
          <w:sz w:val="24"/>
        </w:rPr>
        <w:t>采购文件</w:t>
      </w:r>
      <w:r>
        <w:rPr>
          <w:rFonts w:ascii="Times New Roman" w:cs="Times New Roman"/>
          <w:color w:val="auto"/>
          <w:sz w:val="24"/>
        </w:rPr>
        <w:t>的修改或补充</w:t>
      </w:r>
    </w:p>
    <w:p w14:paraId="08FF2080">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在投标截止日</w:t>
      </w:r>
      <w:r>
        <w:rPr>
          <w:rFonts w:ascii="Times New Roman" w:hAnsi="Times New Roman" w:cs="Times New Roman"/>
          <w:color w:val="auto"/>
          <w:sz w:val="24"/>
          <w:lang w:val="en-US"/>
        </w:rPr>
        <w:t>15</w:t>
      </w:r>
      <w:r>
        <w:rPr>
          <w:rFonts w:ascii="Times New Roman" w:cs="Times New Roman"/>
          <w:color w:val="auto"/>
          <w:sz w:val="24"/>
        </w:rPr>
        <w:t>日前的任何时间，采购人可主动或依据投标人要求澄清的问题而修改或补充</w:t>
      </w:r>
      <w:r>
        <w:rPr>
          <w:rFonts w:hint="eastAsia" w:ascii="Times New Roman" w:cs="Times New Roman"/>
          <w:color w:val="auto"/>
          <w:sz w:val="24"/>
        </w:rPr>
        <w:t>采购文件</w:t>
      </w:r>
      <w:r>
        <w:rPr>
          <w:rFonts w:ascii="Times New Roman" w:cs="Times New Roman"/>
          <w:color w:val="auto"/>
          <w:sz w:val="24"/>
        </w:rPr>
        <w:t>，并以书面或公告等形式通知所有投标人。</w:t>
      </w:r>
    </w:p>
    <w:p w14:paraId="384D0619">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为使投标人在准备投标时有适当的时间考虑投标文件的修改，采购人有权决定推迟投标截止日期和开标日期，并将此变更以书面或公告等形式通知所有投标人。</w:t>
      </w:r>
    </w:p>
    <w:p w14:paraId="3F75EE1A">
      <w:pPr>
        <w:spacing w:line="360" w:lineRule="auto"/>
        <w:ind w:firstLine="480" w:firstLineChars="200"/>
        <w:rPr>
          <w:rFonts w:ascii="Times New Roman" w:hAnsi="Times New Roman" w:cs="Times New Roman"/>
          <w:color w:val="auto"/>
          <w:sz w:val="24"/>
        </w:rPr>
      </w:pPr>
      <w:r>
        <w:rPr>
          <w:rFonts w:hint="eastAsia" w:ascii="Times New Roman" w:cs="Times New Roman"/>
          <w:color w:val="auto"/>
          <w:sz w:val="24"/>
        </w:rPr>
        <w:t>采购文件</w:t>
      </w:r>
      <w:r>
        <w:rPr>
          <w:rFonts w:ascii="Times New Roman" w:cs="Times New Roman"/>
          <w:color w:val="auto"/>
          <w:sz w:val="24"/>
        </w:rPr>
        <w:t>的修改和补充文件将构成</w:t>
      </w:r>
      <w:r>
        <w:rPr>
          <w:rFonts w:hint="eastAsia" w:ascii="Times New Roman" w:cs="Times New Roman"/>
          <w:color w:val="auto"/>
          <w:sz w:val="24"/>
        </w:rPr>
        <w:t>采购文件</w:t>
      </w:r>
      <w:r>
        <w:rPr>
          <w:rFonts w:ascii="Times New Roman" w:cs="Times New Roman"/>
          <w:color w:val="auto"/>
          <w:sz w:val="24"/>
        </w:rPr>
        <w:t>的一部分，并且对投标人具有优先约束力。</w:t>
      </w:r>
    </w:p>
    <w:p w14:paraId="3CB241E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8.</w:t>
      </w:r>
      <w:r>
        <w:rPr>
          <w:rFonts w:ascii="Times New Roman" w:cs="Times New Roman"/>
          <w:color w:val="auto"/>
          <w:sz w:val="24"/>
        </w:rPr>
        <w:t>廉洁自律承诺要求：</w:t>
      </w:r>
    </w:p>
    <w:p w14:paraId="0D57041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8.1 </w:t>
      </w:r>
      <w:r>
        <w:rPr>
          <w:rFonts w:ascii="Times New Roman" w:cs="Times New Roman"/>
          <w:color w:val="auto"/>
          <w:sz w:val="24"/>
        </w:rPr>
        <w:t>按照《预防职务违法违纪工作规程》规定要求，在本次招标活动中，</w:t>
      </w:r>
      <w:r>
        <w:rPr>
          <w:rFonts w:hint="eastAsia" w:ascii="Times New Roman" w:cs="Times New Roman"/>
          <w:color w:val="auto"/>
          <w:sz w:val="24"/>
          <w:lang w:val="en-US" w:eastAsia="zh-CN"/>
        </w:rPr>
        <w:t>新疆国恩工程管理有限公司</w:t>
      </w:r>
      <w:r>
        <w:rPr>
          <w:rFonts w:ascii="Times New Roman" w:cs="Times New Roman"/>
          <w:color w:val="auto"/>
          <w:sz w:val="24"/>
        </w:rPr>
        <w:t>保证不接受任何投标单位送的礼金礼品、有价证券、购物券、回扣、佣金；不与投标单位及其工作人员私下接触、参与宴请和娱乐活动；不向投标单位及其工作人员索要好处费、赞助费和宣传费；不在投标单位支付旅游费用、报销各种消费凭证；同时，采购人要求参加本次项目的采购人专家、评标专家要填写和提交《廉洁自律承诺书》，所有投标人必须</w:t>
      </w:r>
      <w:r>
        <w:rPr>
          <w:rFonts w:hint="eastAsia" w:ascii="Times New Roman" w:cs="Times New Roman"/>
          <w:color w:val="auto"/>
          <w:sz w:val="24"/>
        </w:rPr>
        <w:t>现场</w:t>
      </w:r>
      <w:r>
        <w:rPr>
          <w:rFonts w:ascii="Times New Roman" w:cs="Times New Roman"/>
          <w:color w:val="auto"/>
          <w:sz w:val="24"/>
        </w:rPr>
        <w:t>提交</w:t>
      </w:r>
      <w:r>
        <w:rPr>
          <w:rFonts w:ascii="Times New Roman" w:hAnsi="Times New Roman" w:cs="Times New Roman"/>
          <w:color w:val="auto"/>
          <w:sz w:val="24"/>
        </w:rPr>
        <w:t>“</w:t>
      </w:r>
      <w:r>
        <w:rPr>
          <w:rFonts w:ascii="Times New Roman" w:cs="Times New Roman"/>
          <w:color w:val="auto"/>
          <w:sz w:val="24"/>
        </w:rPr>
        <w:t>信用中国</w:t>
      </w:r>
      <w:r>
        <w:rPr>
          <w:rFonts w:ascii="Times New Roman" w:hAnsi="Times New Roman" w:cs="Times New Roman"/>
          <w:color w:val="auto"/>
          <w:sz w:val="24"/>
        </w:rPr>
        <w:t>”</w:t>
      </w:r>
      <w:r>
        <w:rPr>
          <w:rFonts w:ascii="Times New Roman" w:cs="Times New Roman"/>
          <w:color w:val="auto"/>
          <w:sz w:val="24"/>
        </w:rPr>
        <w:t>及</w:t>
      </w:r>
      <w:r>
        <w:rPr>
          <w:rFonts w:ascii="Times New Roman" w:hAnsi="Times New Roman" w:cs="Times New Roman"/>
          <w:color w:val="auto"/>
          <w:sz w:val="24"/>
        </w:rPr>
        <w:t>“</w:t>
      </w:r>
      <w:r>
        <w:rPr>
          <w:rFonts w:ascii="Times New Roman" w:cs="Times New Roman"/>
          <w:color w:val="auto"/>
          <w:sz w:val="24"/>
        </w:rPr>
        <w:t>中国政府采购网</w:t>
      </w:r>
      <w:r>
        <w:rPr>
          <w:rFonts w:ascii="Times New Roman" w:hAnsi="Times New Roman" w:cs="Times New Roman"/>
          <w:color w:val="auto"/>
          <w:sz w:val="24"/>
        </w:rPr>
        <w:t>”</w:t>
      </w:r>
      <w:r>
        <w:rPr>
          <w:rFonts w:hint="eastAsia" w:ascii="Times New Roman" w:hAnsi="Times New Roman" w:cs="Times New Roman"/>
          <w:color w:val="auto"/>
          <w:sz w:val="24"/>
        </w:rPr>
        <w:t>、中国裁判文书网</w:t>
      </w:r>
      <w:r>
        <w:rPr>
          <w:rFonts w:ascii="Times New Roman" w:cs="Times New Roman"/>
          <w:color w:val="auto"/>
          <w:sz w:val="24"/>
        </w:rPr>
        <w:t>网站无任何不良记录的查询截图并加盖公章；凡不填写和不提交的将视为无效招标或无效投标处理。</w:t>
      </w:r>
    </w:p>
    <w:p w14:paraId="57E605C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9.</w:t>
      </w:r>
      <w:r>
        <w:rPr>
          <w:rFonts w:ascii="Times New Roman" w:cs="Times New Roman"/>
          <w:color w:val="auto"/>
          <w:sz w:val="24"/>
        </w:rPr>
        <w:t>设备、材料性能要求</w:t>
      </w:r>
    </w:p>
    <w:p w14:paraId="6E01EF8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9.1</w:t>
      </w:r>
      <w:r>
        <w:rPr>
          <w:rFonts w:ascii="Times New Roman" w:cs="Times New Roman"/>
          <w:color w:val="auto"/>
          <w:sz w:val="24"/>
        </w:rPr>
        <w:t>为贯彻落实《国务院办公厅关于建立政府强制采购节能产品制度的知》，</w:t>
      </w:r>
      <w:r>
        <w:rPr>
          <w:rFonts w:ascii="Times New Roman" w:hAnsi="Times New Roman" w:cs="Times New Roman"/>
          <w:color w:val="auto"/>
          <w:sz w:val="24"/>
        </w:rPr>
        <w:t xml:space="preserve"> </w:t>
      </w:r>
      <w:r>
        <w:rPr>
          <w:rFonts w:ascii="Times New Roman" w:cs="Times New Roman"/>
          <w:color w:val="auto"/>
          <w:sz w:val="24"/>
        </w:rPr>
        <w:t>扩大节能产品范围，发挥政府机构节能的表率作用，降低政府机构能源费用开支，</w:t>
      </w:r>
      <w:r>
        <w:rPr>
          <w:rFonts w:ascii="Times New Roman" w:hAnsi="Times New Roman" w:cs="Times New Roman"/>
          <w:color w:val="auto"/>
          <w:sz w:val="24"/>
        </w:rPr>
        <w:t xml:space="preserve"> </w:t>
      </w:r>
      <w:r>
        <w:rPr>
          <w:rFonts w:ascii="Times New Roman" w:cs="Times New Roman"/>
          <w:color w:val="auto"/>
          <w:sz w:val="24"/>
        </w:rPr>
        <w:t>促进节能技术进步，扩大节能产品市场，根据《中华人民共和国节约能源法》、《中华人民共和国法》等相关政策法规规定，属于环境标志产品、节能产品和计算机、印机、空调、照明产品（包括双端荧光灯、自镇流荧光灯、单端荧光灯、管型荧光灯镇流器）、电视机、电电热水器、显示器、便器、水嘴等九大类强制采购产品的采购，必须优先选择国家财政部、国家环保部、国家发展和改革委员会等有关部门最新发布的《节能产品清单》和《环境标志产品清单》中的产品。</w:t>
      </w:r>
    </w:p>
    <w:p w14:paraId="08A6F42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9.2 </w:t>
      </w:r>
      <w:r>
        <w:rPr>
          <w:rFonts w:ascii="Times New Roman" w:cs="Times New Roman"/>
          <w:color w:val="auto"/>
          <w:sz w:val="24"/>
        </w:rPr>
        <w:t>按照上述国家政策规定，凡本次招标产品涉及国家强制采购节能、环保产品，生产制造商必须使用节能环保材料，并要将纳入节能产品清单的产品作为投标产品，要以</w:t>
      </w:r>
      <w:r>
        <w:rPr>
          <w:rFonts w:ascii="Times New Roman" w:hAnsi="Times New Roman" w:cs="Times New Roman"/>
          <w:color w:val="auto"/>
          <w:sz w:val="24"/>
        </w:rPr>
        <w:t xml:space="preserve"> “</w:t>
      </w:r>
      <w:r>
        <w:rPr>
          <w:rFonts w:ascii="Times New Roman" w:hAnsi="Times New Roman" w:cs="Times New Roman"/>
          <w:color w:val="auto"/>
          <w:sz w:val="24"/>
          <w:lang w:val="en-US" w:bidi="ar-SA"/>
        </w:rPr>
        <w:drawing>
          <wp:inline distT="0" distB="0" distL="0" distR="0">
            <wp:extent cx="160020" cy="160020"/>
            <wp:effectExtent l="19050" t="0" r="0"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11"/>
                    <a:srcRect/>
                    <a:stretch>
                      <a:fillRect/>
                    </a:stretch>
                  </pic:blipFill>
                  <pic:spPr>
                    <a:xfrm>
                      <a:off x="0" y="0"/>
                      <a:ext cx="160020" cy="160020"/>
                    </a:xfrm>
                    <a:prstGeom prst="rect">
                      <a:avLst/>
                    </a:prstGeom>
                    <a:noFill/>
                    <a:ln w="9525" cmpd="sng">
                      <a:noFill/>
                      <a:miter lim="800000"/>
                      <a:headEnd/>
                      <a:tailEnd/>
                    </a:ln>
                  </pic:spPr>
                </pic:pic>
              </a:graphicData>
            </a:graphic>
          </wp:inline>
        </w:drawing>
      </w:r>
      <w:r>
        <w:rPr>
          <w:rFonts w:ascii="Times New Roman" w:hAnsi="Times New Roman" w:cs="Times New Roman"/>
          <w:color w:val="auto"/>
          <w:sz w:val="24"/>
        </w:rPr>
        <w:t>”</w:t>
      </w:r>
      <w:r>
        <w:rPr>
          <w:rFonts w:ascii="Times New Roman" w:cs="Times New Roman"/>
          <w:color w:val="auto"/>
          <w:sz w:val="24"/>
        </w:rPr>
        <w:t>作标注，对于获得中国环境标志认证证书的产品要以</w:t>
      </w:r>
      <w:r>
        <w:rPr>
          <w:rFonts w:ascii="Times New Roman" w:hAnsi="Times New Roman" w:cs="Times New Roman"/>
          <w:color w:val="auto"/>
          <w:sz w:val="24"/>
        </w:rPr>
        <w:t xml:space="preserve"> “</w:t>
      </w:r>
      <w:r>
        <w:rPr>
          <w:rFonts w:ascii="Times New Roman" w:hAnsi="Times New Roman" w:cs="Times New Roman"/>
          <w:color w:val="auto"/>
          <w:sz w:val="24"/>
          <w:lang w:val="en-US" w:bidi="ar-SA"/>
        </w:rPr>
        <w:drawing>
          <wp:inline distT="0" distB="0" distL="0" distR="0">
            <wp:extent cx="129540" cy="121920"/>
            <wp:effectExtent l="19050" t="0" r="3810" b="0"/>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noChangeArrowheads="1"/>
                    </pic:cNvPicPr>
                  </pic:nvPicPr>
                  <pic:blipFill>
                    <a:blip r:embed="rId12"/>
                    <a:srcRect/>
                    <a:stretch>
                      <a:fillRect/>
                    </a:stretch>
                  </pic:blipFill>
                  <pic:spPr>
                    <a:xfrm>
                      <a:off x="0" y="0"/>
                      <a:ext cx="129540" cy="121920"/>
                    </a:xfrm>
                    <a:prstGeom prst="rect">
                      <a:avLst/>
                    </a:prstGeom>
                    <a:noFill/>
                    <a:ln w="9525" cmpd="sng">
                      <a:noFill/>
                      <a:miter lim="800000"/>
                      <a:headEnd/>
                      <a:tailEnd/>
                    </a:ln>
                  </pic:spPr>
                </pic:pic>
              </a:graphicData>
            </a:graphic>
          </wp:inline>
        </w:drawing>
      </w:r>
      <w:r>
        <w:rPr>
          <w:rFonts w:ascii="Times New Roman" w:hAnsi="Times New Roman" w:cs="Times New Roman"/>
          <w:color w:val="auto"/>
          <w:sz w:val="24"/>
        </w:rPr>
        <w:t>”</w:t>
      </w:r>
      <w:r>
        <w:rPr>
          <w:rFonts w:ascii="Times New Roman" w:cs="Times New Roman"/>
          <w:color w:val="auto"/>
          <w:sz w:val="24"/>
        </w:rPr>
        <w:t>作标注。否则，届时经核实情况后，其投标将可能被拒绝。</w:t>
      </w:r>
    </w:p>
    <w:p w14:paraId="72C3A59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10</w:t>
      </w:r>
      <w:r>
        <w:rPr>
          <w:rFonts w:ascii="Times New Roman" w:hAnsi="Times New Roman" w:cs="Times New Roman"/>
          <w:color w:val="auto"/>
          <w:sz w:val="24"/>
        </w:rPr>
        <w:t>.</w:t>
      </w:r>
      <w:r>
        <w:rPr>
          <w:rFonts w:ascii="Times New Roman" w:cs="Times New Roman"/>
          <w:color w:val="auto"/>
          <w:sz w:val="24"/>
        </w:rPr>
        <w:t>招标会场纪律及要求</w:t>
      </w:r>
    </w:p>
    <w:p w14:paraId="20C725A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10.1 </w:t>
      </w:r>
      <w:r>
        <w:rPr>
          <w:rFonts w:ascii="Times New Roman" w:cs="Times New Roman"/>
          <w:color w:val="auto"/>
          <w:sz w:val="24"/>
        </w:rPr>
        <w:t>会议按照</w:t>
      </w:r>
      <w:r>
        <w:rPr>
          <w:rFonts w:ascii="Times New Roman" w:hAnsi="Times New Roman" w:cs="Times New Roman"/>
          <w:color w:val="auto"/>
          <w:sz w:val="24"/>
        </w:rPr>
        <w:t>“</w:t>
      </w:r>
      <w:r>
        <w:rPr>
          <w:rFonts w:ascii="Times New Roman" w:cs="Times New Roman"/>
          <w:color w:val="auto"/>
          <w:sz w:val="24"/>
        </w:rPr>
        <w:t>公开、公平、公正、诚信</w:t>
      </w:r>
      <w:r>
        <w:rPr>
          <w:rFonts w:ascii="Times New Roman" w:hAnsi="Times New Roman" w:cs="Times New Roman"/>
          <w:color w:val="auto"/>
          <w:sz w:val="24"/>
        </w:rPr>
        <w:t>”</w:t>
      </w:r>
      <w:r>
        <w:rPr>
          <w:rFonts w:ascii="Times New Roman" w:cs="Times New Roman"/>
          <w:color w:val="auto"/>
          <w:sz w:val="24"/>
        </w:rPr>
        <w:t>的原则，招标采取全封闭</w:t>
      </w:r>
      <w:r>
        <w:rPr>
          <w:rFonts w:hint="eastAsia" w:ascii="Times New Roman" w:cs="Times New Roman"/>
          <w:color w:val="auto"/>
          <w:sz w:val="24"/>
        </w:rPr>
        <w:t>现场</w:t>
      </w:r>
      <w:r>
        <w:rPr>
          <w:rFonts w:ascii="Times New Roman" w:cs="Times New Roman"/>
          <w:color w:val="auto"/>
          <w:sz w:val="24"/>
        </w:rPr>
        <w:t>开评标程序进行。</w:t>
      </w:r>
    </w:p>
    <w:p w14:paraId="602115F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10.2 </w:t>
      </w:r>
      <w:r>
        <w:rPr>
          <w:rFonts w:ascii="Times New Roman" w:cs="Times New Roman"/>
          <w:color w:val="auto"/>
          <w:sz w:val="24"/>
        </w:rPr>
        <w:t>凡没有在开标时间（投标截止时间）准时进入</w:t>
      </w:r>
      <w:r>
        <w:rPr>
          <w:rFonts w:hint="eastAsia" w:ascii="Times New Roman" w:cs="Times New Roman"/>
          <w:color w:val="auto"/>
          <w:sz w:val="24"/>
          <w:lang w:val="en-US"/>
        </w:rPr>
        <w:t>开标现场</w:t>
      </w:r>
      <w:r>
        <w:rPr>
          <w:rFonts w:ascii="Times New Roman" w:cs="Times New Roman"/>
          <w:color w:val="auto"/>
          <w:sz w:val="24"/>
          <w:lang w:val="en-US"/>
        </w:rPr>
        <w:t>的投标人，其投标将被拒绝。</w:t>
      </w:r>
      <w:r>
        <w:rPr>
          <w:rFonts w:ascii="Times New Roman" w:hAnsi="Times New Roman" w:cs="Times New Roman"/>
          <w:color w:val="auto"/>
          <w:sz w:val="24"/>
        </w:rPr>
        <w:t xml:space="preserve"> </w:t>
      </w:r>
    </w:p>
    <w:p w14:paraId="73F62FD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10.3 </w:t>
      </w:r>
      <w:r>
        <w:rPr>
          <w:rFonts w:ascii="Times New Roman" w:cs="Times New Roman"/>
          <w:color w:val="auto"/>
          <w:sz w:val="24"/>
        </w:rPr>
        <w:t>评标活动结束前，评标委员会各成员</w:t>
      </w:r>
      <w:r>
        <w:rPr>
          <w:rFonts w:ascii="Times New Roman" w:cs="Times New Roman"/>
          <w:color w:val="auto"/>
          <w:sz w:val="24"/>
          <w:lang w:val="en-US"/>
        </w:rPr>
        <w:t>严禁</w:t>
      </w:r>
      <w:r>
        <w:rPr>
          <w:rFonts w:ascii="Times New Roman" w:cs="Times New Roman"/>
          <w:color w:val="auto"/>
          <w:sz w:val="24"/>
        </w:rPr>
        <w:t>与外界及投标人有任何形式的联系，确有特殊原因需要外出或其他方面的，必须由监标人提交采购人后，方可</w:t>
      </w:r>
      <w:r>
        <w:rPr>
          <w:rFonts w:ascii="Times New Roman" w:cs="Times New Roman"/>
          <w:color w:val="auto"/>
          <w:sz w:val="24"/>
          <w:lang w:val="en-US"/>
        </w:rPr>
        <w:t>离开评标现场</w:t>
      </w:r>
      <w:r>
        <w:rPr>
          <w:rFonts w:ascii="Times New Roman" w:cs="Times New Roman"/>
          <w:color w:val="auto"/>
          <w:sz w:val="24"/>
        </w:rPr>
        <w:t>，外出时须有监标人员陪同。</w:t>
      </w:r>
    </w:p>
    <w:p w14:paraId="409025E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10.4 </w:t>
      </w:r>
      <w:r>
        <w:rPr>
          <w:rFonts w:ascii="Times New Roman" w:cs="Times New Roman"/>
          <w:color w:val="auto"/>
          <w:sz w:val="24"/>
          <w:lang w:val="en-US"/>
        </w:rPr>
        <w:t>非特殊原因（如</w:t>
      </w:r>
      <w:r>
        <w:rPr>
          <w:rFonts w:ascii="Times New Roman" w:cs="Times New Roman"/>
          <w:color w:val="auto"/>
          <w:sz w:val="24"/>
        </w:rPr>
        <w:t>需要供应商进行必要澄清、说明或者纠正</w:t>
      </w:r>
      <w:r>
        <w:rPr>
          <w:rFonts w:ascii="Times New Roman" w:cs="Times New Roman"/>
          <w:color w:val="auto"/>
          <w:sz w:val="24"/>
          <w:lang w:val="en-US"/>
        </w:rPr>
        <w:t>等）除外，</w:t>
      </w:r>
      <w:r>
        <w:rPr>
          <w:rFonts w:ascii="Times New Roman" w:cs="Times New Roman"/>
          <w:color w:val="auto"/>
          <w:sz w:val="24"/>
        </w:rPr>
        <w:t>投标截止时间后，对投标方的所有投标</w:t>
      </w:r>
      <w:r>
        <w:rPr>
          <w:rFonts w:ascii="Times New Roman" w:cs="Times New Roman"/>
          <w:color w:val="auto"/>
          <w:sz w:val="24"/>
          <w:lang w:val="en-US"/>
        </w:rPr>
        <w:t>资料</w:t>
      </w:r>
      <w:r>
        <w:rPr>
          <w:rFonts w:ascii="Times New Roman" w:cs="Times New Roman"/>
          <w:color w:val="auto"/>
          <w:sz w:val="24"/>
        </w:rPr>
        <w:t>及评标所需的资料证明等均不接受</w:t>
      </w:r>
      <w:r>
        <w:rPr>
          <w:rFonts w:hint="eastAsia" w:ascii="Times New Roman" w:cs="Times New Roman"/>
          <w:color w:val="auto"/>
          <w:sz w:val="24"/>
          <w:lang w:val="en-US"/>
        </w:rPr>
        <w:t>二</w:t>
      </w:r>
      <w:r>
        <w:rPr>
          <w:rFonts w:hint="eastAsia" w:ascii="Times New Roman" w:cs="Times New Roman"/>
          <w:color w:val="auto"/>
          <w:sz w:val="24"/>
        </w:rPr>
        <w:t>次</w:t>
      </w:r>
      <w:r>
        <w:rPr>
          <w:rFonts w:ascii="Times New Roman" w:cs="Times New Roman"/>
          <w:color w:val="auto"/>
          <w:sz w:val="24"/>
        </w:rPr>
        <w:t>提供，否则，将直接取消其投标资格。</w:t>
      </w:r>
    </w:p>
    <w:p w14:paraId="3D40F8F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10.5 </w:t>
      </w:r>
      <w:r>
        <w:rPr>
          <w:rFonts w:ascii="Times New Roman" w:cs="Times New Roman"/>
          <w:color w:val="auto"/>
          <w:sz w:val="24"/>
        </w:rPr>
        <w:t>参加本次评标的专家成员及其他与会人员如果与其他投标人有利害关系的，可以现场申请其回避。如不申请其回避的，则视同无利害关系。</w:t>
      </w:r>
    </w:p>
    <w:p w14:paraId="201E851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10.6 </w:t>
      </w:r>
      <w:r>
        <w:rPr>
          <w:rFonts w:ascii="Times New Roman" w:cs="Times New Roman"/>
          <w:color w:val="auto"/>
          <w:sz w:val="24"/>
        </w:rPr>
        <w:t>对各投标人的资质审查、开标、报价、评标、询标（答疑）、澄清、定标等工作逐一进行；评标期间</w:t>
      </w:r>
      <w:r>
        <w:rPr>
          <w:rFonts w:ascii="Times New Roman" w:cs="Times New Roman"/>
          <w:color w:val="auto"/>
          <w:sz w:val="24"/>
          <w:lang w:val="en-US"/>
        </w:rPr>
        <w:t>各</w:t>
      </w:r>
      <w:r>
        <w:rPr>
          <w:rFonts w:ascii="Times New Roman" w:cs="Times New Roman"/>
          <w:color w:val="auto"/>
          <w:sz w:val="24"/>
        </w:rPr>
        <w:t>投标人务必保持通讯工具的畅通，以便及时联络和不延误工作。若发生通讯工具不通或备案通讯工具号码有误，无法实现联络的，或无理拒绝或不执行采购人工作安排的，将视同自愿放弃本次投标权利。</w:t>
      </w:r>
    </w:p>
    <w:p w14:paraId="1CDC3EF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10.7</w:t>
      </w:r>
      <w:r>
        <w:rPr>
          <w:rFonts w:ascii="Times New Roman" w:hAnsi="Times New Roman" w:cs="Times New Roman"/>
          <w:color w:val="auto"/>
          <w:sz w:val="24"/>
        </w:rPr>
        <w:t xml:space="preserve"> </w:t>
      </w:r>
      <w:r>
        <w:rPr>
          <w:rFonts w:ascii="Times New Roman" w:cs="Times New Roman"/>
          <w:color w:val="auto"/>
          <w:sz w:val="24"/>
        </w:rPr>
        <w:t>投标人对开标有异议的，应当在开标现场提出，采购人当场作出答复，并记录。</w:t>
      </w:r>
    </w:p>
    <w:p w14:paraId="1A43444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10</w:t>
      </w:r>
      <w:r>
        <w:rPr>
          <w:rFonts w:ascii="Times New Roman" w:hAnsi="Times New Roman" w:cs="Times New Roman"/>
          <w:color w:val="auto"/>
          <w:sz w:val="24"/>
        </w:rPr>
        <w:t>.</w:t>
      </w:r>
      <w:r>
        <w:rPr>
          <w:rFonts w:ascii="Times New Roman" w:hAnsi="Times New Roman" w:cs="Times New Roman"/>
          <w:color w:val="auto"/>
          <w:sz w:val="24"/>
          <w:lang w:val="en-US"/>
        </w:rPr>
        <w:t xml:space="preserve">7 </w:t>
      </w:r>
      <w:r>
        <w:rPr>
          <w:rFonts w:ascii="Times New Roman" w:cs="Times New Roman"/>
          <w:color w:val="auto"/>
          <w:sz w:val="24"/>
        </w:rPr>
        <w:t>招标评标须在监标人的监督下由采购人组织进行。评标委员会各成员、采购人代表、投标人、特邀代表、工作人员等与会人员如有违纪、违规行为，监标人有权予以纠正或制止。</w:t>
      </w:r>
    </w:p>
    <w:p w14:paraId="3180E8E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11</w:t>
      </w:r>
      <w:r>
        <w:rPr>
          <w:rFonts w:ascii="Times New Roman" w:hAnsi="Times New Roman" w:cs="Times New Roman"/>
          <w:color w:val="auto"/>
          <w:sz w:val="24"/>
        </w:rPr>
        <w:t>.</w:t>
      </w:r>
      <w:r>
        <w:rPr>
          <w:rFonts w:ascii="Times New Roman" w:cs="Times New Roman"/>
          <w:color w:val="auto"/>
          <w:sz w:val="24"/>
        </w:rPr>
        <w:t>与评标活动有关的工作人员。是指评标委员会成员以外的、因参与评标监督工作或者事务性工作而知悉有关评标情况的所有人员。</w:t>
      </w:r>
    </w:p>
    <w:p w14:paraId="6BF9FDC8">
      <w:pPr>
        <w:rPr>
          <w:color w:val="auto"/>
        </w:rPr>
      </w:pPr>
      <w:r>
        <w:rPr>
          <w:color w:val="auto"/>
        </w:rPr>
        <w:t xml:space="preserve">  </w:t>
      </w:r>
    </w:p>
    <w:p w14:paraId="0E093FD1">
      <w:pPr>
        <w:rPr>
          <w:color w:val="auto"/>
        </w:rPr>
      </w:pPr>
      <w:r>
        <w:rPr>
          <w:color w:val="auto"/>
        </w:rPr>
        <w:t xml:space="preserve"> </w:t>
      </w:r>
    </w:p>
    <w:p w14:paraId="7D626855">
      <w:pPr>
        <w:pStyle w:val="2"/>
        <w:spacing w:before="2"/>
        <w:ind w:left="0" w:leftChars="0" w:right="0" w:rightChars="0"/>
        <w:rPr>
          <w:color w:val="auto"/>
        </w:rPr>
      </w:pPr>
      <w:r>
        <w:rPr>
          <w:color w:val="auto"/>
        </w:rPr>
        <w:br w:type="page"/>
      </w:r>
      <w:r>
        <w:rPr>
          <w:color w:val="auto"/>
        </w:rPr>
        <w:t>第四部分 投标说明</w:t>
      </w:r>
    </w:p>
    <w:p w14:paraId="376AFB1C">
      <w:pPr>
        <w:spacing w:line="360" w:lineRule="auto"/>
        <w:ind w:firstLine="480" w:firstLineChars="200"/>
        <w:jc w:val="center"/>
        <w:rPr>
          <w:rFonts w:ascii="Times New Roman" w:hAnsi="Times New Roman" w:cs="Times New Roman"/>
          <w:color w:val="auto"/>
          <w:sz w:val="24"/>
        </w:rPr>
      </w:pPr>
      <w:r>
        <w:rPr>
          <w:rFonts w:ascii="Times New Roman" w:cs="Times New Roman"/>
          <w:color w:val="auto"/>
          <w:sz w:val="24"/>
        </w:rPr>
        <w:t>第一章</w:t>
      </w:r>
      <w:r>
        <w:rPr>
          <w:rFonts w:ascii="Times New Roman" w:hAnsi="Times New Roman" w:cs="Times New Roman"/>
          <w:color w:val="auto"/>
          <w:sz w:val="24"/>
        </w:rPr>
        <w:t xml:space="preserve"> </w:t>
      </w:r>
      <w:r>
        <w:rPr>
          <w:rFonts w:ascii="Times New Roman" w:cs="Times New Roman"/>
          <w:color w:val="auto"/>
          <w:sz w:val="24"/>
        </w:rPr>
        <w:t>对投标方的资质要求</w:t>
      </w:r>
    </w:p>
    <w:p w14:paraId="5CC3EAE4">
      <w:pPr>
        <w:spacing w:line="360" w:lineRule="auto"/>
        <w:ind w:firstLine="480" w:firstLineChars="200"/>
        <w:rPr>
          <w:rFonts w:ascii="Times New Roman" w:hAnsi="Times New Roman" w:cs="Times New Roman"/>
          <w:color w:val="auto"/>
          <w:sz w:val="24"/>
        </w:rPr>
      </w:pPr>
      <w:r>
        <w:rPr>
          <w:rFonts w:hint="eastAsia" w:ascii="Times New Roman" w:cs="Times New Roman"/>
          <w:color w:val="auto"/>
          <w:sz w:val="24"/>
          <w:lang w:val="en-US"/>
        </w:rPr>
        <w:t>1.1</w:t>
      </w:r>
      <w:r>
        <w:rPr>
          <w:rFonts w:ascii="Times New Roman" w:cs="Times New Roman"/>
          <w:color w:val="auto"/>
          <w:sz w:val="24"/>
        </w:rPr>
        <w:t>投标人必须提交能够证明其具有履行本招标项目合同能力的资质证明文件，作为投标文件的一部分。</w:t>
      </w:r>
    </w:p>
    <w:p w14:paraId="59DF3774">
      <w:pPr>
        <w:spacing w:line="360" w:lineRule="auto"/>
        <w:ind w:firstLine="480" w:firstLineChars="200"/>
        <w:rPr>
          <w:rFonts w:ascii="Times New Roman" w:hAnsi="Times New Roman" w:cs="Times New Roman"/>
          <w:color w:val="auto"/>
          <w:sz w:val="24"/>
        </w:rPr>
      </w:pPr>
      <w:r>
        <w:rPr>
          <w:rFonts w:hint="eastAsia" w:ascii="Times New Roman" w:cs="Times New Roman"/>
          <w:color w:val="auto"/>
          <w:sz w:val="24"/>
          <w:lang w:val="en-US"/>
        </w:rPr>
        <w:t>1.2</w:t>
      </w:r>
      <w:r>
        <w:rPr>
          <w:rFonts w:ascii="Times New Roman" w:cs="Times New Roman"/>
          <w:color w:val="auto"/>
          <w:sz w:val="24"/>
        </w:rPr>
        <w:t>投标时</w:t>
      </w:r>
      <w:r>
        <w:rPr>
          <w:rFonts w:hint="eastAsia" w:ascii="Times New Roman" w:cs="Times New Roman"/>
          <w:color w:val="auto"/>
          <w:sz w:val="24"/>
          <w:lang w:val="en-US"/>
        </w:rPr>
        <w:t>资格</w:t>
      </w:r>
      <w:r>
        <w:rPr>
          <w:rFonts w:ascii="Times New Roman" w:cs="Times New Roman"/>
          <w:color w:val="auto"/>
          <w:sz w:val="24"/>
        </w:rPr>
        <w:t>审查的必要条件（如果不能提供或有缺项则视为对</w:t>
      </w:r>
      <w:r>
        <w:rPr>
          <w:rFonts w:hint="eastAsia" w:ascii="Times New Roman" w:cs="Times New Roman"/>
          <w:color w:val="auto"/>
          <w:sz w:val="24"/>
        </w:rPr>
        <w:t>采购文件</w:t>
      </w:r>
      <w:r>
        <w:rPr>
          <w:rFonts w:ascii="Times New Roman" w:cs="Times New Roman"/>
          <w:color w:val="auto"/>
          <w:sz w:val="24"/>
        </w:rPr>
        <w:t>资格审查内容的不响应，其投标将被拒绝</w:t>
      </w:r>
      <w:r>
        <w:rPr>
          <w:rFonts w:hint="eastAsia" w:ascii="Times New Roman" w:cs="Times New Roman"/>
          <w:color w:val="auto"/>
          <w:sz w:val="24"/>
        </w:rPr>
        <w:t>，</w:t>
      </w:r>
      <w:r>
        <w:rPr>
          <w:rFonts w:hint="eastAsia" w:ascii="Times New Roman" w:cs="Times New Roman"/>
          <w:color w:val="auto"/>
          <w:sz w:val="24"/>
          <w:lang w:val="en-US"/>
        </w:rPr>
        <w:t>资格审查具体内容详见资格审核表</w:t>
      </w:r>
      <w:r>
        <w:rPr>
          <w:rFonts w:ascii="Times New Roman" w:cs="Times New Roman"/>
          <w:color w:val="auto"/>
          <w:sz w:val="24"/>
        </w:rPr>
        <w:t>）。</w:t>
      </w:r>
    </w:p>
    <w:p w14:paraId="5867641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1.3 </w:t>
      </w:r>
      <w:r>
        <w:rPr>
          <w:rFonts w:ascii="Times New Roman" w:cs="Times New Roman"/>
          <w:color w:val="auto"/>
          <w:sz w:val="24"/>
        </w:rPr>
        <w:t>投标时的评审审查项目。投标人如果不能提供或有缺项的，则相应本项目不得分，且本项目将做为是否中标的重要因素。</w:t>
      </w:r>
    </w:p>
    <w:p w14:paraId="3AFB90FF">
      <w:pPr>
        <w:spacing w:line="360" w:lineRule="auto"/>
        <w:ind w:firstLine="480" w:firstLineChars="200"/>
        <w:rPr>
          <w:rFonts w:ascii="Times New Roman" w:hAnsi="Times New Roman" w:cs="Times New Roman"/>
          <w:color w:val="auto"/>
          <w:sz w:val="24"/>
          <w:lang w:val="en-US"/>
        </w:rPr>
      </w:pPr>
      <w:r>
        <w:rPr>
          <w:rFonts w:ascii="Times New Roman" w:cs="Times New Roman"/>
          <w:color w:val="auto"/>
          <w:sz w:val="24"/>
        </w:rPr>
        <w:t>（</w:t>
      </w:r>
      <w:r>
        <w:rPr>
          <w:rFonts w:ascii="Times New Roman" w:hAnsi="Times New Roman" w:cs="Times New Roman"/>
          <w:color w:val="auto"/>
          <w:sz w:val="24"/>
          <w:lang w:val="en-US"/>
        </w:rPr>
        <w:t>1</w:t>
      </w:r>
      <w:r>
        <w:rPr>
          <w:rFonts w:ascii="Times New Roman" w:cs="Times New Roman"/>
          <w:color w:val="auto"/>
          <w:sz w:val="24"/>
        </w:rPr>
        <w:t>）</w:t>
      </w:r>
      <w:r>
        <w:rPr>
          <w:rFonts w:ascii="Times New Roman" w:cs="Times New Roman"/>
          <w:color w:val="auto"/>
          <w:sz w:val="24"/>
          <w:lang w:val="en-US"/>
        </w:rPr>
        <w:t>产品</w:t>
      </w:r>
      <w:r>
        <w:rPr>
          <w:rFonts w:ascii="Times New Roman" w:cs="Times New Roman"/>
          <w:color w:val="auto"/>
          <w:sz w:val="24"/>
        </w:rPr>
        <w:t>选型、配置及性能指标、</w:t>
      </w:r>
      <w:r>
        <w:rPr>
          <w:rFonts w:ascii="Times New Roman" w:cs="Times New Roman"/>
          <w:color w:val="auto"/>
          <w:sz w:val="24"/>
          <w:lang w:val="en-US"/>
        </w:rPr>
        <w:t>质量保证措施等；</w:t>
      </w:r>
    </w:p>
    <w:p w14:paraId="7197453B">
      <w:pPr>
        <w:spacing w:line="360" w:lineRule="auto"/>
        <w:ind w:firstLine="480" w:firstLineChars="200"/>
        <w:rPr>
          <w:rFonts w:ascii="Times New Roman" w:hAnsi="Times New Roman" w:cs="Times New Roman"/>
          <w:color w:val="auto"/>
          <w:sz w:val="24"/>
          <w:lang w:val="en-US"/>
        </w:rPr>
      </w:pPr>
      <w:r>
        <w:rPr>
          <w:rFonts w:ascii="Times New Roman" w:cs="Times New Roman"/>
          <w:color w:val="auto"/>
          <w:sz w:val="24"/>
          <w:lang w:val="en-US"/>
        </w:rPr>
        <w:t>（</w:t>
      </w:r>
      <w:r>
        <w:rPr>
          <w:rFonts w:ascii="Times New Roman" w:hAnsi="Times New Roman" w:cs="Times New Roman"/>
          <w:color w:val="auto"/>
          <w:sz w:val="24"/>
          <w:lang w:val="en-US"/>
        </w:rPr>
        <w:t>2</w:t>
      </w:r>
      <w:r>
        <w:rPr>
          <w:rFonts w:ascii="Times New Roman" w:cs="Times New Roman"/>
          <w:color w:val="auto"/>
          <w:sz w:val="24"/>
          <w:lang w:val="en-US"/>
        </w:rPr>
        <w:t>）</w:t>
      </w:r>
      <w:r>
        <w:rPr>
          <w:rFonts w:ascii="Times New Roman" w:cs="Times New Roman"/>
          <w:color w:val="auto"/>
          <w:sz w:val="24"/>
        </w:rPr>
        <w:t>货物供应、售后服务、项目业绩</w:t>
      </w:r>
      <w:r>
        <w:rPr>
          <w:rFonts w:ascii="Times New Roman" w:cs="Times New Roman"/>
          <w:color w:val="auto"/>
          <w:sz w:val="24"/>
          <w:lang w:val="en-US"/>
        </w:rPr>
        <w:t>等；</w:t>
      </w:r>
    </w:p>
    <w:p w14:paraId="355AD134">
      <w:pPr>
        <w:spacing w:line="360" w:lineRule="auto"/>
        <w:ind w:firstLine="480" w:firstLineChars="200"/>
        <w:rPr>
          <w:rFonts w:ascii="Times New Roman" w:hAnsi="Times New Roman" w:cs="Times New Roman"/>
          <w:color w:val="auto"/>
          <w:sz w:val="24"/>
          <w:lang w:val="en-US"/>
        </w:rPr>
      </w:pPr>
      <w:r>
        <w:rPr>
          <w:rFonts w:ascii="Times New Roman" w:cs="Times New Roman"/>
          <w:color w:val="auto"/>
          <w:sz w:val="24"/>
          <w:lang w:val="en-US"/>
        </w:rPr>
        <w:t>（</w:t>
      </w:r>
      <w:r>
        <w:rPr>
          <w:rFonts w:ascii="Times New Roman" w:hAnsi="Times New Roman" w:cs="Times New Roman"/>
          <w:color w:val="auto"/>
          <w:sz w:val="24"/>
          <w:lang w:val="en-US"/>
        </w:rPr>
        <w:t>3</w:t>
      </w:r>
      <w:r>
        <w:rPr>
          <w:rFonts w:ascii="Times New Roman" w:cs="Times New Roman"/>
          <w:color w:val="auto"/>
          <w:sz w:val="24"/>
          <w:lang w:val="en-US"/>
        </w:rPr>
        <w:t>）利于投标方的其它证明材料；</w:t>
      </w:r>
    </w:p>
    <w:p w14:paraId="32ADBE3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1.4 </w:t>
      </w:r>
      <w:r>
        <w:rPr>
          <w:rFonts w:ascii="Times New Roman" w:cs="Times New Roman"/>
          <w:color w:val="auto"/>
          <w:sz w:val="24"/>
        </w:rPr>
        <w:t>开标对投标人资质中的所有投标资质及评标所需的资料证明等，</w:t>
      </w:r>
      <w:r>
        <w:rPr>
          <w:rFonts w:ascii="Times New Roman" w:hAnsi="Times New Roman" w:cs="Times New Roman"/>
          <w:color w:val="auto"/>
          <w:sz w:val="24"/>
        </w:rPr>
        <w:t xml:space="preserve"> </w:t>
      </w:r>
      <w:r>
        <w:rPr>
          <w:rFonts w:ascii="Times New Roman" w:cs="Times New Roman"/>
          <w:color w:val="auto"/>
          <w:sz w:val="24"/>
        </w:rPr>
        <w:t>严格遵循</w:t>
      </w:r>
      <w:r>
        <w:rPr>
          <w:rFonts w:ascii="Times New Roman" w:hAnsi="Times New Roman" w:cs="Times New Roman"/>
          <w:color w:val="auto"/>
          <w:sz w:val="24"/>
        </w:rPr>
        <w:t>“</w:t>
      </w:r>
      <w:r>
        <w:rPr>
          <w:rFonts w:ascii="Times New Roman" w:cs="Times New Roman"/>
          <w:color w:val="auto"/>
          <w:sz w:val="24"/>
        </w:rPr>
        <w:t>第</w:t>
      </w:r>
      <w:r>
        <w:rPr>
          <w:rFonts w:ascii="Times New Roman" w:cs="Times New Roman"/>
          <w:color w:val="auto"/>
          <w:sz w:val="24"/>
          <w:lang w:val="en-US"/>
        </w:rPr>
        <w:t>四</w:t>
      </w:r>
      <w:r>
        <w:rPr>
          <w:rFonts w:ascii="Times New Roman" w:cs="Times New Roman"/>
          <w:color w:val="auto"/>
          <w:sz w:val="24"/>
        </w:rPr>
        <w:t>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 xml:space="preserve"> </w:t>
      </w:r>
      <w:r>
        <w:rPr>
          <w:rFonts w:ascii="Times New Roman" w:hAnsi="Times New Roman" w:cs="Times New Roman"/>
          <w:color w:val="auto"/>
          <w:sz w:val="24"/>
          <w:lang w:val="en-US"/>
        </w:rPr>
        <w:t>1.2</w:t>
      </w:r>
      <w:r>
        <w:rPr>
          <w:rFonts w:ascii="Times New Roman" w:cs="Times New Roman"/>
          <w:color w:val="auto"/>
          <w:sz w:val="24"/>
          <w:lang w:val="en-US"/>
        </w:rPr>
        <w:t>、</w:t>
      </w:r>
      <w:r>
        <w:rPr>
          <w:rFonts w:ascii="Times New Roman" w:hAnsi="Times New Roman" w:cs="Times New Roman"/>
          <w:color w:val="auto"/>
          <w:sz w:val="24"/>
          <w:lang w:val="en-US"/>
        </w:rPr>
        <w:t>1.3</w:t>
      </w:r>
      <w:r>
        <w:rPr>
          <w:rFonts w:ascii="Times New Roman" w:cs="Times New Roman"/>
          <w:color w:val="auto"/>
          <w:sz w:val="24"/>
        </w:rPr>
        <w:t>条款之规定。</w:t>
      </w:r>
    </w:p>
    <w:p w14:paraId="56DF46F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1.5 </w:t>
      </w:r>
      <w:r>
        <w:rPr>
          <w:rFonts w:ascii="Times New Roman" w:cs="Times New Roman"/>
          <w:color w:val="auto"/>
          <w:sz w:val="24"/>
        </w:rPr>
        <w:t>投标方保证和承诺所投产品报价不存在恶意或有意压价、恶意或有意虚报报价，也不存在恶意或有意抬高报价等行为。</w:t>
      </w:r>
    </w:p>
    <w:p w14:paraId="0BD4DCB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1.6 </w:t>
      </w:r>
      <w:r>
        <w:rPr>
          <w:rFonts w:ascii="Times New Roman" w:cs="Times New Roman"/>
          <w:color w:val="auto"/>
          <w:sz w:val="24"/>
        </w:rPr>
        <w:t>投标方保证和承诺不存在与其它投标人有串标、陪标等行为。</w:t>
      </w:r>
    </w:p>
    <w:p w14:paraId="7ED8EFED">
      <w:pPr>
        <w:spacing w:line="360" w:lineRule="auto"/>
        <w:ind w:firstLine="2760" w:firstLineChars="1150"/>
        <w:jc w:val="both"/>
        <w:rPr>
          <w:rFonts w:ascii="Times New Roman" w:hAnsi="Times New Roman" w:cs="Times New Roman"/>
          <w:color w:val="auto"/>
          <w:sz w:val="24"/>
        </w:rPr>
      </w:pPr>
      <w:r>
        <w:rPr>
          <w:rFonts w:ascii="Times New Roman" w:cs="Times New Roman"/>
          <w:color w:val="auto"/>
          <w:sz w:val="24"/>
        </w:rPr>
        <w:t>第二章</w:t>
      </w:r>
      <w:r>
        <w:rPr>
          <w:rFonts w:ascii="Times New Roman" w:hAnsi="Times New Roman" w:cs="Times New Roman"/>
          <w:color w:val="auto"/>
          <w:sz w:val="24"/>
        </w:rPr>
        <w:t xml:space="preserve"> </w:t>
      </w:r>
      <w:r>
        <w:rPr>
          <w:rFonts w:ascii="Times New Roman" w:cs="Times New Roman"/>
          <w:color w:val="auto"/>
          <w:sz w:val="24"/>
        </w:rPr>
        <w:t>投标文件的编写</w:t>
      </w:r>
    </w:p>
    <w:p w14:paraId="083A823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w:t>
      </w:r>
      <w:r>
        <w:rPr>
          <w:rFonts w:ascii="Times New Roman" w:cs="Times New Roman"/>
          <w:color w:val="auto"/>
          <w:sz w:val="24"/>
        </w:rPr>
        <w:t>要求</w:t>
      </w:r>
    </w:p>
    <w:p w14:paraId="3C93A72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2.1</w:t>
      </w:r>
      <w:r>
        <w:rPr>
          <w:rFonts w:ascii="Times New Roman" w:cs="Times New Roman"/>
          <w:color w:val="auto"/>
          <w:sz w:val="24"/>
        </w:rPr>
        <w:t>投标人应详细阅读采购人的</w:t>
      </w:r>
      <w:r>
        <w:rPr>
          <w:rFonts w:hint="eastAsia" w:ascii="Times New Roman" w:cs="Times New Roman"/>
          <w:color w:val="auto"/>
          <w:sz w:val="24"/>
        </w:rPr>
        <w:t>采购文件</w:t>
      </w:r>
      <w:r>
        <w:rPr>
          <w:rFonts w:ascii="Times New Roman" w:cs="Times New Roman"/>
          <w:color w:val="auto"/>
          <w:sz w:val="24"/>
        </w:rPr>
        <w:t>中的条款、规范、表示、条件和格式等所有内容，按</w:t>
      </w:r>
      <w:r>
        <w:rPr>
          <w:rFonts w:hint="eastAsia" w:ascii="Times New Roman" w:cs="Times New Roman"/>
          <w:color w:val="auto"/>
          <w:sz w:val="24"/>
        </w:rPr>
        <w:t>采购文件</w:t>
      </w:r>
      <w:r>
        <w:rPr>
          <w:rFonts w:ascii="Times New Roman" w:cs="Times New Roman"/>
          <w:color w:val="auto"/>
          <w:sz w:val="24"/>
        </w:rPr>
        <w:t>的要求编制投标文件和</w:t>
      </w:r>
      <w:r>
        <w:rPr>
          <w:rFonts w:ascii="Times New Roman" w:cs="Times New Roman"/>
          <w:color w:val="auto"/>
          <w:sz w:val="24"/>
          <w:lang w:val="en-US"/>
        </w:rPr>
        <w:t>按时</w:t>
      </w:r>
      <w:r>
        <w:rPr>
          <w:rFonts w:ascii="Times New Roman" w:cs="Times New Roman"/>
          <w:color w:val="auto"/>
          <w:sz w:val="24"/>
        </w:rPr>
        <w:t>上传投标文件，并保证所提供全部材料的真实性；投标文件必须对</w:t>
      </w:r>
      <w:r>
        <w:rPr>
          <w:rFonts w:hint="eastAsia" w:ascii="Times New Roman" w:cs="Times New Roman"/>
          <w:color w:val="auto"/>
          <w:sz w:val="24"/>
        </w:rPr>
        <w:t>采购文件</w:t>
      </w:r>
      <w:r>
        <w:rPr>
          <w:rFonts w:ascii="Times New Roman" w:cs="Times New Roman"/>
          <w:color w:val="auto"/>
          <w:sz w:val="24"/>
        </w:rPr>
        <w:t>提出的要求和条件做出实质性响应。否则，其投标可能将被拒绝。</w:t>
      </w:r>
    </w:p>
    <w:p w14:paraId="1CD629D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w:t>
      </w:r>
      <w:r>
        <w:rPr>
          <w:rFonts w:ascii="Times New Roman" w:cs="Times New Roman"/>
          <w:color w:val="auto"/>
          <w:sz w:val="24"/>
        </w:rPr>
        <w:t>投标文件语言和度量单位</w:t>
      </w:r>
    </w:p>
    <w:p w14:paraId="545055D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3.1</w:t>
      </w:r>
      <w:r>
        <w:rPr>
          <w:rFonts w:hint="eastAsia" w:ascii="Times New Roman" w:cs="Times New Roman"/>
          <w:color w:val="auto"/>
          <w:sz w:val="24"/>
        </w:rPr>
        <w:t>采购文件</w:t>
      </w:r>
      <w:r>
        <w:rPr>
          <w:rFonts w:ascii="Times New Roman" w:cs="Times New Roman"/>
          <w:color w:val="auto"/>
          <w:sz w:val="24"/>
        </w:rPr>
        <w:t>及投标人和采购人就招标、投标交换的文件和往来信件，须以中文书写。</w:t>
      </w:r>
    </w:p>
    <w:p w14:paraId="2CBD6E0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3.2</w:t>
      </w:r>
      <w:r>
        <w:rPr>
          <w:rFonts w:ascii="Times New Roman" w:cs="Times New Roman"/>
          <w:color w:val="auto"/>
          <w:sz w:val="24"/>
        </w:rPr>
        <w:t>除在</w:t>
      </w:r>
      <w:r>
        <w:rPr>
          <w:rFonts w:hint="eastAsia" w:ascii="Times New Roman" w:cs="Times New Roman"/>
          <w:color w:val="auto"/>
          <w:sz w:val="24"/>
        </w:rPr>
        <w:t>采购文件</w:t>
      </w:r>
      <w:r>
        <w:rPr>
          <w:rFonts w:ascii="Times New Roman" w:cs="Times New Roman"/>
          <w:color w:val="auto"/>
          <w:sz w:val="24"/>
        </w:rPr>
        <w:t>的技术规格中另有规定外，计量单位应使用中华人民共和国法定计量单位。</w:t>
      </w:r>
    </w:p>
    <w:p w14:paraId="49FF2A0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4.</w:t>
      </w:r>
      <w:r>
        <w:rPr>
          <w:rFonts w:ascii="Times New Roman" w:cs="Times New Roman"/>
          <w:color w:val="auto"/>
          <w:sz w:val="24"/>
        </w:rPr>
        <w:t>投标文件的组成</w:t>
      </w:r>
    </w:p>
    <w:p w14:paraId="67451606">
      <w:pPr>
        <w:spacing w:line="360" w:lineRule="auto"/>
        <w:ind w:firstLine="480" w:firstLineChars="200"/>
        <w:rPr>
          <w:rFonts w:hint="eastAsia" w:ascii="Times New Roman" w:hAnsi="Times New Roman" w:cs="Times New Roman"/>
          <w:color w:val="auto"/>
          <w:sz w:val="24"/>
        </w:rPr>
      </w:pPr>
      <w:r>
        <w:rPr>
          <w:rFonts w:ascii="Times New Roman" w:hAnsi="Times New Roman" w:cs="Times New Roman"/>
          <w:color w:val="auto"/>
          <w:sz w:val="24"/>
        </w:rPr>
        <w:t>4.1</w:t>
      </w:r>
      <w:r>
        <w:rPr>
          <w:rFonts w:ascii="Times New Roman" w:cs="Times New Roman"/>
          <w:color w:val="auto"/>
          <w:sz w:val="24"/>
        </w:rPr>
        <w:t>投标人编写的投标文件应</w:t>
      </w:r>
      <w:r>
        <w:rPr>
          <w:rFonts w:ascii="Times New Roman" w:cs="Times New Roman"/>
          <w:color w:val="auto"/>
          <w:sz w:val="24"/>
          <w:lang w:val="en-US"/>
        </w:rPr>
        <w:t>主要</w:t>
      </w:r>
      <w:r>
        <w:rPr>
          <w:rFonts w:ascii="Times New Roman" w:cs="Times New Roman"/>
          <w:color w:val="auto"/>
          <w:sz w:val="24"/>
        </w:rPr>
        <w:t>包括下列内容：</w:t>
      </w:r>
      <w:r>
        <w:rPr>
          <w:rFonts w:hint="eastAsia" w:ascii="Times New Roman" w:cs="Times New Roman"/>
          <w:color w:val="auto"/>
          <w:sz w:val="24"/>
        </w:rPr>
        <w:t>（</w:t>
      </w:r>
      <w:r>
        <w:rPr>
          <w:rFonts w:hint="eastAsia" w:ascii="Times New Roman" w:cs="Times New Roman"/>
          <w:color w:val="auto"/>
          <w:sz w:val="24"/>
          <w:lang w:val="en-US"/>
        </w:rPr>
        <w:t>包含但不限于</w:t>
      </w:r>
      <w:r>
        <w:rPr>
          <w:rFonts w:hint="eastAsia" w:ascii="Times New Roman" w:cs="Times New Roman"/>
          <w:color w:val="auto"/>
          <w:sz w:val="24"/>
        </w:rPr>
        <w:t>）</w:t>
      </w:r>
    </w:p>
    <w:p w14:paraId="27298086">
      <w:pPr>
        <w:pStyle w:val="14"/>
        <w:spacing w:before="2" w:line="360" w:lineRule="auto"/>
        <w:ind w:left="0" w:firstLine="597"/>
        <w:rPr>
          <w:color w:val="auto"/>
        </w:rPr>
      </w:pPr>
      <w:r>
        <w:rPr>
          <w:color w:val="auto"/>
        </w:rPr>
        <w:t>1、投标函</w:t>
      </w:r>
    </w:p>
    <w:p w14:paraId="2029EA8A">
      <w:pPr>
        <w:pStyle w:val="14"/>
        <w:spacing w:before="2" w:line="360" w:lineRule="auto"/>
        <w:ind w:left="0" w:firstLine="597"/>
        <w:rPr>
          <w:color w:val="auto"/>
        </w:rPr>
      </w:pPr>
      <w:r>
        <w:rPr>
          <w:color w:val="auto"/>
        </w:rPr>
        <w:t>2、法定代表人资格证明书或法定代表人授权委托书</w:t>
      </w:r>
    </w:p>
    <w:p w14:paraId="5D3F8CD7">
      <w:pPr>
        <w:pStyle w:val="14"/>
        <w:spacing w:before="2" w:line="360" w:lineRule="auto"/>
        <w:ind w:left="0" w:firstLine="597"/>
        <w:rPr>
          <w:color w:val="auto"/>
        </w:rPr>
      </w:pPr>
      <w:r>
        <w:rPr>
          <w:color w:val="auto"/>
        </w:rPr>
        <w:t>3、开标一览表</w:t>
      </w:r>
    </w:p>
    <w:p w14:paraId="4DC3E70D">
      <w:pPr>
        <w:pStyle w:val="14"/>
        <w:spacing w:before="2" w:line="360" w:lineRule="auto"/>
        <w:ind w:left="0" w:firstLine="597"/>
        <w:rPr>
          <w:color w:val="auto"/>
          <w:lang w:val="en-US"/>
        </w:rPr>
      </w:pPr>
      <w:r>
        <w:rPr>
          <w:rFonts w:hint="eastAsia"/>
          <w:color w:val="auto"/>
          <w:lang w:val="en-US"/>
        </w:rPr>
        <w:t>4</w:t>
      </w:r>
      <w:r>
        <w:rPr>
          <w:color w:val="auto"/>
          <w:lang w:val="en-US"/>
        </w:rPr>
        <w:t>、产品规格报价明细表；</w:t>
      </w:r>
    </w:p>
    <w:p w14:paraId="7F1AA7B2">
      <w:pPr>
        <w:pStyle w:val="14"/>
        <w:spacing w:before="2" w:line="360" w:lineRule="auto"/>
        <w:ind w:left="0" w:firstLine="597"/>
        <w:rPr>
          <w:color w:val="auto"/>
        </w:rPr>
      </w:pPr>
      <w:r>
        <w:rPr>
          <w:rFonts w:hint="eastAsia"/>
          <w:color w:val="auto"/>
          <w:lang w:val="en-US"/>
        </w:rPr>
        <w:t>5</w:t>
      </w:r>
      <w:r>
        <w:rPr>
          <w:color w:val="auto"/>
          <w:lang w:val="en-US"/>
        </w:rPr>
        <w:t>、</w:t>
      </w:r>
      <w:r>
        <w:rPr>
          <w:rFonts w:hint="eastAsia"/>
          <w:color w:val="auto"/>
          <w:lang w:val="en-US"/>
        </w:rPr>
        <w:t>核心设备规格型号一览表</w:t>
      </w:r>
      <w:r>
        <w:rPr>
          <w:color w:val="auto"/>
          <w:lang w:val="en-US"/>
        </w:rPr>
        <w:t>（</w:t>
      </w:r>
      <w:r>
        <w:rPr>
          <w:color w:val="auto"/>
        </w:rPr>
        <w:t>格式附后</w:t>
      </w:r>
      <w:r>
        <w:rPr>
          <w:color w:val="auto"/>
          <w:lang w:val="en-US"/>
        </w:rPr>
        <w:t>）</w:t>
      </w:r>
    </w:p>
    <w:p w14:paraId="3F7A1539">
      <w:pPr>
        <w:pStyle w:val="14"/>
        <w:spacing w:before="2" w:line="360" w:lineRule="auto"/>
        <w:ind w:left="0" w:firstLine="597"/>
        <w:rPr>
          <w:rFonts w:hint="eastAsia"/>
          <w:color w:val="auto"/>
        </w:rPr>
      </w:pPr>
      <w:r>
        <w:rPr>
          <w:rFonts w:hint="eastAsia"/>
          <w:color w:val="auto"/>
          <w:lang w:val="en-US"/>
        </w:rPr>
        <w:t>6</w:t>
      </w:r>
      <w:r>
        <w:rPr>
          <w:color w:val="auto"/>
        </w:rPr>
        <w:t>、投标人资质证明文件，包括：</w:t>
      </w:r>
      <w:r>
        <w:rPr>
          <w:rFonts w:hint="eastAsia"/>
          <w:color w:val="auto"/>
        </w:rPr>
        <w:t>（</w:t>
      </w:r>
      <w:r>
        <w:rPr>
          <w:rFonts w:hint="eastAsia"/>
          <w:color w:val="auto"/>
          <w:lang w:val="en-US"/>
        </w:rPr>
        <w:t>但不限于</w:t>
      </w:r>
      <w:r>
        <w:rPr>
          <w:rFonts w:hint="eastAsia"/>
          <w:color w:val="auto"/>
        </w:rPr>
        <w:t>）</w:t>
      </w:r>
    </w:p>
    <w:p w14:paraId="7B437C29">
      <w:pPr>
        <w:pStyle w:val="14"/>
        <w:spacing w:before="2" w:line="360" w:lineRule="auto"/>
        <w:ind w:left="0" w:firstLine="597"/>
        <w:rPr>
          <w:rFonts w:hint="eastAsia"/>
          <w:color w:val="auto"/>
          <w:lang w:val="en-US"/>
        </w:rPr>
      </w:pPr>
      <w:r>
        <w:rPr>
          <w:color w:val="auto"/>
          <w:lang w:val="en-US"/>
        </w:rPr>
        <w:t>（1）关于资格的声明函</w:t>
      </w:r>
    </w:p>
    <w:p w14:paraId="352A019A">
      <w:pPr>
        <w:pStyle w:val="14"/>
        <w:spacing w:before="2" w:line="360" w:lineRule="auto"/>
        <w:ind w:left="0" w:firstLine="597"/>
        <w:rPr>
          <w:rFonts w:hint="eastAsia"/>
          <w:color w:val="auto"/>
          <w:lang w:val="en-US"/>
        </w:rPr>
      </w:pPr>
      <w:r>
        <w:rPr>
          <w:rFonts w:hint="eastAsia"/>
          <w:color w:val="auto"/>
          <w:lang w:val="en-US"/>
        </w:rPr>
        <w:t>（2）法人营业执照或其他资格证明</w:t>
      </w:r>
    </w:p>
    <w:p w14:paraId="76AB57F9">
      <w:pPr>
        <w:pStyle w:val="14"/>
        <w:spacing w:before="2" w:line="360" w:lineRule="auto"/>
        <w:ind w:left="0" w:firstLine="597"/>
        <w:rPr>
          <w:rFonts w:hint="eastAsia"/>
          <w:color w:val="auto"/>
          <w:lang w:val="en-US"/>
        </w:rPr>
      </w:pPr>
      <w:r>
        <w:rPr>
          <w:rFonts w:hint="eastAsia"/>
          <w:color w:val="auto"/>
          <w:lang w:val="en-US"/>
        </w:rPr>
        <w:t>（3）法定代表人授权书</w:t>
      </w:r>
    </w:p>
    <w:p w14:paraId="08BB0A5F">
      <w:pPr>
        <w:pStyle w:val="14"/>
        <w:spacing w:before="2" w:line="360" w:lineRule="auto"/>
        <w:ind w:left="0" w:firstLine="597"/>
        <w:rPr>
          <w:rFonts w:hint="eastAsia"/>
          <w:color w:val="auto"/>
          <w:lang w:val="en-US"/>
        </w:rPr>
      </w:pPr>
      <w:r>
        <w:rPr>
          <w:rFonts w:hint="eastAsia"/>
          <w:color w:val="auto"/>
          <w:lang w:val="en-US"/>
        </w:rPr>
        <w:t>（4）供应商财务状况报告（提供上年度财务审计报告或财务报表）</w:t>
      </w:r>
    </w:p>
    <w:p w14:paraId="61249774">
      <w:pPr>
        <w:pStyle w:val="14"/>
        <w:spacing w:before="2" w:line="360" w:lineRule="auto"/>
        <w:ind w:left="0" w:firstLine="597"/>
        <w:rPr>
          <w:rFonts w:hint="eastAsia"/>
          <w:color w:val="auto"/>
          <w:lang w:val="en-US"/>
        </w:rPr>
      </w:pPr>
      <w:r>
        <w:rPr>
          <w:rFonts w:hint="eastAsia"/>
          <w:color w:val="auto"/>
          <w:lang w:val="en-US"/>
        </w:rPr>
        <w:t>（5）社会保障资金缴纳记录（提供近半年社保缴纳凭证）</w:t>
      </w:r>
    </w:p>
    <w:p w14:paraId="6D8DB9DD">
      <w:pPr>
        <w:pStyle w:val="14"/>
        <w:spacing w:before="2" w:line="360" w:lineRule="auto"/>
        <w:ind w:left="0" w:firstLine="597"/>
        <w:rPr>
          <w:rFonts w:hint="eastAsia"/>
          <w:color w:val="auto"/>
          <w:lang w:val="en-US"/>
        </w:rPr>
      </w:pPr>
      <w:r>
        <w:rPr>
          <w:rFonts w:hint="eastAsia"/>
          <w:color w:val="auto"/>
          <w:lang w:val="en-US"/>
        </w:rPr>
        <w:t>（6）依法缴纳税收的证明材料（提供近半年完税证明）</w:t>
      </w:r>
    </w:p>
    <w:p w14:paraId="76C15478">
      <w:pPr>
        <w:pStyle w:val="14"/>
        <w:spacing w:before="2" w:line="360" w:lineRule="auto"/>
        <w:ind w:left="0" w:firstLine="597"/>
        <w:rPr>
          <w:rFonts w:hint="eastAsia"/>
          <w:color w:val="auto"/>
          <w:lang w:val="en-US"/>
        </w:rPr>
      </w:pPr>
      <w:r>
        <w:rPr>
          <w:rFonts w:hint="eastAsia"/>
          <w:color w:val="auto"/>
          <w:lang w:val="en-US"/>
        </w:rPr>
        <w:t>（7）具备履行合同所必需的设备和专业技术能力的书面声明</w:t>
      </w:r>
    </w:p>
    <w:p w14:paraId="145E6CB8">
      <w:pPr>
        <w:pStyle w:val="14"/>
        <w:spacing w:before="2" w:line="360" w:lineRule="auto"/>
        <w:ind w:left="0" w:firstLine="597"/>
        <w:rPr>
          <w:rFonts w:hint="eastAsia"/>
          <w:color w:val="auto"/>
          <w:lang w:val="en-US"/>
        </w:rPr>
      </w:pPr>
      <w:r>
        <w:rPr>
          <w:rFonts w:hint="eastAsia"/>
          <w:color w:val="auto"/>
          <w:lang w:val="en-US"/>
        </w:rPr>
        <w:t>（8） 参加本次采购活动前三年内，在经营活动中没有重大违法记录的书面声明</w:t>
      </w:r>
    </w:p>
    <w:p w14:paraId="7921BE1F">
      <w:pPr>
        <w:pStyle w:val="14"/>
        <w:spacing w:before="2" w:line="360" w:lineRule="auto"/>
        <w:ind w:left="0" w:firstLine="597"/>
        <w:rPr>
          <w:rFonts w:hint="eastAsia"/>
          <w:color w:val="auto"/>
          <w:lang w:val="en-US"/>
        </w:rPr>
      </w:pPr>
      <w:r>
        <w:rPr>
          <w:rFonts w:hint="eastAsia"/>
          <w:color w:val="auto"/>
          <w:lang w:val="en-US"/>
        </w:rPr>
        <w:t>（9）未参与本项目整体设计、规范编制或者项目管理、监理、检测等服务、与参与本次政府采购活动的其他供应商不存在法人(单位负责人)为同一人或者直接控股、管理关系的（提供承诺书）</w:t>
      </w:r>
    </w:p>
    <w:p w14:paraId="5AA6DAE2">
      <w:pPr>
        <w:pStyle w:val="14"/>
        <w:spacing w:before="2" w:line="360" w:lineRule="auto"/>
        <w:ind w:left="0" w:firstLine="597"/>
        <w:rPr>
          <w:rFonts w:hint="eastAsia"/>
          <w:color w:val="auto"/>
          <w:lang w:val="en-US"/>
        </w:rPr>
      </w:pPr>
      <w:r>
        <w:rPr>
          <w:rFonts w:hint="eastAsia"/>
          <w:color w:val="auto"/>
          <w:lang w:val="en-US"/>
        </w:rPr>
        <w:t>（10）投标保证金（提供汇款凭证）</w:t>
      </w:r>
    </w:p>
    <w:p w14:paraId="5B034F70">
      <w:pPr>
        <w:pStyle w:val="14"/>
        <w:spacing w:before="2" w:line="360" w:lineRule="auto"/>
        <w:ind w:left="0" w:firstLine="597"/>
        <w:rPr>
          <w:color w:val="auto"/>
          <w:lang w:val="en-US"/>
        </w:rPr>
      </w:pPr>
      <w:r>
        <w:rPr>
          <w:rFonts w:hint="eastAsia"/>
          <w:color w:val="auto"/>
          <w:lang w:val="en-US"/>
        </w:rPr>
        <w:t>（11）信用信息查询截图（包含不限于信用中国网站（重大税收违法案件当事人名单查询）、中国政府采购网（政府采购严重违法失信名单查询）、中国执行信息公开网（失信被执行人名单查询）、国家企业信用信息公示系统（行政处罚信息、列入经营异常名录信息、列入严重违法失信名单（黑名单）信息）、裁判文书网（行贿犯罪记录查询））</w:t>
      </w:r>
      <w:r>
        <w:rPr>
          <w:color w:val="auto"/>
          <w:lang w:val="en-US"/>
        </w:rPr>
        <w:t>；</w:t>
      </w:r>
    </w:p>
    <w:p w14:paraId="6082064A">
      <w:pPr>
        <w:pStyle w:val="14"/>
        <w:spacing w:before="2" w:line="360" w:lineRule="auto"/>
        <w:ind w:left="0" w:firstLine="597"/>
        <w:rPr>
          <w:color w:val="auto"/>
          <w:lang w:val="en-US"/>
        </w:rPr>
      </w:pPr>
      <w:r>
        <w:rPr>
          <w:color w:val="auto"/>
          <w:lang w:val="en-US"/>
        </w:rPr>
        <w:t>（</w:t>
      </w:r>
      <w:r>
        <w:rPr>
          <w:rFonts w:hint="eastAsia"/>
          <w:color w:val="auto"/>
          <w:lang w:val="en-US"/>
        </w:rPr>
        <w:t>12</w:t>
      </w:r>
      <w:r>
        <w:rPr>
          <w:color w:val="auto"/>
          <w:lang w:val="en-US"/>
        </w:rPr>
        <w:t>）投标单位（供应商）《反商业贿赂承诺书》；</w:t>
      </w:r>
    </w:p>
    <w:p w14:paraId="1D9EDAF8">
      <w:pPr>
        <w:pStyle w:val="14"/>
        <w:spacing w:before="2" w:line="360" w:lineRule="auto"/>
        <w:ind w:left="0" w:firstLine="597"/>
        <w:rPr>
          <w:color w:val="auto"/>
          <w:lang w:val="en-US"/>
        </w:rPr>
      </w:pPr>
      <w:r>
        <w:rPr>
          <w:color w:val="auto"/>
          <w:lang w:val="en-US"/>
        </w:rPr>
        <w:t>（</w:t>
      </w:r>
      <w:r>
        <w:rPr>
          <w:rFonts w:hint="eastAsia"/>
          <w:color w:val="auto"/>
          <w:lang w:val="en-US"/>
        </w:rPr>
        <w:t>13</w:t>
      </w:r>
      <w:r>
        <w:rPr>
          <w:color w:val="auto"/>
          <w:lang w:val="en-US"/>
        </w:rPr>
        <w:t>）未组成联合体进行投标的声明。</w:t>
      </w:r>
    </w:p>
    <w:p w14:paraId="31220732">
      <w:pPr>
        <w:pStyle w:val="14"/>
        <w:spacing w:before="2" w:line="360" w:lineRule="auto"/>
        <w:ind w:left="0" w:firstLine="597"/>
        <w:rPr>
          <w:rFonts w:hint="eastAsia"/>
          <w:color w:val="auto"/>
          <w:lang w:val="en-US"/>
        </w:rPr>
      </w:pPr>
      <w:r>
        <w:rPr>
          <w:color w:val="auto"/>
          <w:lang w:val="en-US"/>
        </w:rPr>
        <w:t>（</w:t>
      </w:r>
      <w:r>
        <w:rPr>
          <w:rFonts w:hint="eastAsia"/>
          <w:color w:val="auto"/>
          <w:lang w:val="en-US"/>
        </w:rPr>
        <w:t>14</w:t>
      </w:r>
      <w:r>
        <w:rPr>
          <w:color w:val="auto"/>
          <w:lang w:val="en-US"/>
        </w:rPr>
        <w:t>）其它补充资料</w:t>
      </w:r>
    </w:p>
    <w:p w14:paraId="45C3FB47">
      <w:pPr>
        <w:spacing w:line="360" w:lineRule="auto"/>
        <w:ind w:firstLine="480" w:firstLineChars="200"/>
        <w:rPr>
          <w:rFonts w:ascii="Times New Roman" w:cs="Times New Roman"/>
          <w:color w:val="auto"/>
          <w:sz w:val="24"/>
          <w:lang w:val="en-US"/>
        </w:rPr>
      </w:pPr>
      <w:r>
        <w:rPr>
          <w:rFonts w:hint="eastAsia" w:ascii="Times New Roman" w:hAnsi="Times New Roman" w:cs="Times New Roman"/>
          <w:color w:val="auto"/>
          <w:sz w:val="24"/>
          <w:lang w:val="en-US"/>
        </w:rPr>
        <w:t>7</w:t>
      </w:r>
      <w:r>
        <w:rPr>
          <w:rFonts w:ascii="Times New Roman" w:cs="Times New Roman"/>
          <w:color w:val="auto"/>
          <w:sz w:val="24"/>
          <w:lang w:val="en-US"/>
        </w:rPr>
        <w:t>、技术及商务响应（偏离）表；</w:t>
      </w:r>
    </w:p>
    <w:p w14:paraId="188ECA83">
      <w:pPr>
        <w:spacing w:line="360" w:lineRule="auto"/>
        <w:ind w:firstLine="480" w:firstLineChars="200"/>
        <w:rPr>
          <w:color w:val="auto"/>
          <w:lang w:val="en-US"/>
        </w:rPr>
      </w:pPr>
      <w:r>
        <w:rPr>
          <w:rFonts w:hint="eastAsia" w:ascii="Times New Roman" w:hAnsi="Times New Roman" w:cs="Times New Roman"/>
          <w:color w:val="auto"/>
          <w:sz w:val="24"/>
          <w:lang w:val="en-US"/>
        </w:rPr>
        <w:t>8</w:t>
      </w:r>
      <w:r>
        <w:rPr>
          <w:rFonts w:ascii="Times New Roman" w:cs="Times New Roman"/>
          <w:color w:val="auto"/>
          <w:sz w:val="24"/>
          <w:lang w:val="en-US"/>
        </w:rPr>
        <w:t>、产品</w:t>
      </w:r>
      <w:r>
        <w:rPr>
          <w:rFonts w:ascii="Times New Roman" w:cs="Times New Roman"/>
          <w:color w:val="auto"/>
          <w:sz w:val="24"/>
        </w:rPr>
        <w:t>配置及性能指标；</w:t>
      </w:r>
    </w:p>
    <w:p w14:paraId="6C98699C">
      <w:pPr>
        <w:spacing w:line="360" w:lineRule="auto"/>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rPr>
        <w:t>9</w:t>
      </w:r>
      <w:r>
        <w:rPr>
          <w:rFonts w:ascii="Times New Roman" w:cs="Times New Roman"/>
          <w:color w:val="auto"/>
          <w:sz w:val="24"/>
          <w:lang w:val="en-US"/>
        </w:rPr>
        <w:t>、质量保证措施；</w:t>
      </w:r>
    </w:p>
    <w:p w14:paraId="7AAF43D0">
      <w:pPr>
        <w:spacing w:line="360" w:lineRule="auto"/>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rPr>
        <w:t>10</w:t>
      </w:r>
      <w:r>
        <w:rPr>
          <w:rFonts w:ascii="Times New Roman" w:cs="Times New Roman"/>
          <w:color w:val="auto"/>
          <w:sz w:val="24"/>
          <w:lang w:val="en-US"/>
        </w:rPr>
        <w:t>、</w:t>
      </w:r>
      <w:r>
        <w:rPr>
          <w:rFonts w:ascii="Times New Roman" w:cs="Times New Roman"/>
          <w:color w:val="auto"/>
          <w:sz w:val="24"/>
        </w:rPr>
        <w:t>货物供应</w:t>
      </w:r>
      <w:r>
        <w:rPr>
          <w:rFonts w:hint="eastAsia" w:ascii="Times New Roman" w:cs="Times New Roman"/>
          <w:color w:val="auto"/>
          <w:sz w:val="24"/>
          <w:lang w:val="en-US"/>
        </w:rPr>
        <w:t>服务方案</w:t>
      </w:r>
      <w:r>
        <w:rPr>
          <w:rFonts w:ascii="Times New Roman" w:cs="Times New Roman"/>
          <w:color w:val="auto"/>
          <w:sz w:val="24"/>
        </w:rPr>
        <w:t>；</w:t>
      </w:r>
    </w:p>
    <w:p w14:paraId="0F6D55B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1</w:t>
      </w:r>
      <w:r>
        <w:rPr>
          <w:rFonts w:ascii="Times New Roman" w:cs="Times New Roman"/>
          <w:color w:val="auto"/>
          <w:sz w:val="24"/>
          <w:lang w:val="en-US"/>
        </w:rPr>
        <w:t>、</w:t>
      </w:r>
      <w:r>
        <w:rPr>
          <w:rFonts w:ascii="Times New Roman" w:cs="Times New Roman"/>
          <w:color w:val="auto"/>
          <w:sz w:val="24"/>
        </w:rPr>
        <w:t>售后服务；</w:t>
      </w:r>
    </w:p>
    <w:p w14:paraId="6DEC596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2</w:t>
      </w:r>
      <w:r>
        <w:rPr>
          <w:rFonts w:ascii="Times New Roman" w:cs="Times New Roman"/>
          <w:color w:val="auto"/>
          <w:sz w:val="24"/>
          <w:lang w:val="en-US"/>
        </w:rPr>
        <w:t>、</w:t>
      </w:r>
      <w:r>
        <w:rPr>
          <w:rFonts w:ascii="Times New Roman" w:cs="Times New Roman"/>
          <w:color w:val="auto"/>
          <w:sz w:val="24"/>
        </w:rPr>
        <w:t>项目的业绩；</w:t>
      </w:r>
    </w:p>
    <w:p w14:paraId="258B938F">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3</w:t>
      </w:r>
      <w:r>
        <w:rPr>
          <w:rFonts w:ascii="Times New Roman" w:cs="Times New Roman"/>
          <w:color w:val="auto"/>
          <w:sz w:val="24"/>
          <w:lang w:val="en-US"/>
        </w:rPr>
        <w:t>、提供其它有利于投标的资料；</w:t>
      </w:r>
    </w:p>
    <w:p w14:paraId="7EA3EF41">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具体编制顺序严格按附件中投标文件编制顺序进行</w:t>
      </w:r>
      <w:r>
        <w:rPr>
          <w:rFonts w:ascii="Times New Roman" w:cs="Times New Roman"/>
          <w:color w:val="auto"/>
          <w:sz w:val="24"/>
          <w:lang w:val="en-US"/>
        </w:rPr>
        <w:t>编制</w:t>
      </w:r>
      <w:r>
        <w:rPr>
          <w:rFonts w:ascii="Times New Roman" w:cs="Times New Roman"/>
          <w:color w:val="auto"/>
          <w:sz w:val="24"/>
        </w:rPr>
        <w:t>。</w:t>
      </w:r>
    </w:p>
    <w:p w14:paraId="70E063C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5</w:t>
      </w:r>
      <w:r>
        <w:rPr>
          <w:rFonts w:ascii="Times New Roman" w:cs="Times New Roman"/>
          <w:color w:val="auto"/>
          <w:sz w:val="24"/>
        </w:rPr>
        <w:t>．投标文件格式</w:t>
      </w:r>
    </w:p>
    <w:p w14:paraId="4DEF581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5.1 </w:t>
      </w:r>
      <w:r>
        <w:rPr>
          <w:rFonts w:ascii="Times New Roman" w:cs="Times New Roman"/>
          <w:color w:val="auto"/>
          <w:sz w:val="24"/>
        </w:rPr>
        <w:t>投标方应按</w:t>
      </w:r>
      <w:r>
        <w:rPr>
          <w:rFonts w:hint="eastAsia" w:ascii="Times New Roman" w:cs="Times New Roman"/>
          <w:color w:val="auto"/>
          <w:sz w:val="24"/>
        </w:rPr>
        <w:t>采购文件</w:t>
      </w:r>
      <w:r>
        <w:rPr>
          <w:rFonts w:ascii="Times New Roman" w:cs="Times New Roman"/>
          <w:color w:val="auto"/>
          <w:sz w:val="24"/>
        </w:rPr>
        <w:t>范本格式中提供的投标文件格式认真填写投标</w:t>
      </w:r>
      <w:r>
        <w:rPr>
          <w:rFonts w:ascii="Times New Roman" w:cs="Times New Roman"/>
          <w:color w:val="auto"/>
          <w:sz w:val="24"/>
          <w:lang w:val="en-US"/>
        </w:rPr>
        <w:t>函</w:t>
      </w:r>
      <w:r>
        <w:rPr>
          <w:rFonts w:ascii="Times New Roman" w:cs="Times New Roman"/>
          <w:color w:val="auto"/>
          <w:sz w:val="24"/>
        </w:rPr>
        <w:t>、开标一览表、产品规格报价明细表等，并</w:t>
      </w:r>
      <w:r>
        <w:rPr>
          <w:rFonts w:ascii="Times New Roman" w:cs="Times New Roman"/>
          <w:color w:val="auto"/>
          <w:sz w:val="24"/>
          <w:lang w:val="en-US"/>
        </w:rPr>
        <w:t>按表格要求</w:t>
      </w:r>
      <w:r>
        <w:rPr>
          <w:rFonts w:ascii="Times New Roman" w:cs="Times New Roman"/>
          <w:color w:val="auto"/>
          <w:sz w:val="24"/>
        </w:rPr>
        <w:t>注明投标货物的名称、货物</w:t>
      </w:r>
      <w:r>
        <w:rPr>
          <w:rFonts w:ascii="Times New Roman" w:cs="Times New Roman"/>
          <w:color w:val="auto"/>
          <w:sz w:val="24"/>
          <w:lang w:val="en-US"/>
        </w:rPr>
        <w:t>规格及型号</w:t>
      </w:r>
      <w:r>
        <w:rPr>
          <w:rFonts w:ascii="Times New Roman" w:cs="Times New Roman"/>
          <w:color w:val="auto"/>
          <w:sz w:val="24"/>
        </w:rPr>
        <w:t>、原产地、数量和价格等。</w:t>
      </w:r>
    </w:p>
    <w:p w14:paraId="6AB7B6F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w:t>
      </w:r>
      <w:r>
        <w:rPr>
          <w:rFonts w:ascii="Times New Roman" w:cs="Times New Roman"/>
          <w:color w:val="auto"/>
          <w:sz w:val="24"/>
        </w:rPr>
        <w:t>投标报价</w:t>
      </w:r>
    </w:p>
    <w:p w14:paraId="39B2DE3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6.1</w:t>
      </w:r>
      <w:r>
        <w:rPr>
          <w:rFonts w:ascii="Times New Roman" w:cs="Times New Roman"/>
          <w:color w:val="auto"/>
          <w:sz w:val="24"/>
        </w:rPr>
        <w:t>投标人须在</w:t>
      </w:r>
      <w:r>
        <w:rPr>
          <w:rFonts w:ascii="Times New Roman" w:cs="Times New Roman"/>
          <w:color w:val="auto"/>
          <w:sz w:val="24"/>
          <w:lang w:val="en-US"/>
        </w:rPr>
        <w:t>产品规格</w:t>
      </w:r>
      <w:r>
        <w:rPr>
          <w:rFonts w:ascii="Times New Roman" w:cs="Times New Roman"/>
          <w:color w:val="auto"/>
          <w:sz w:val="24"/>
        </w:rPr>
        <w:t>报价</w:t>
      </w:r>
      <w:r>
        <w:rPr>
          <w:rFonts w:ascii="Times New Roman" w:cs="Times New Roman"/>
          <w:color w:val="auto"/>
          <w:sz w:val="24"/>
          <w:lang w:val="en-US"/>
        </w:rPr>
        <w:t>明细</w:t>
      </w:r>
      <w:r>
        <w:rPr>
          <w:rFonts w:ascii="Times New Roman" w:cs="Times New Roman"/>
          <w:color w:val="auto"/>
          <w:sz w:val="24"/>
        </w:rPr>
        <w:t>表上标明单价和总价。</w:t>
      </w:r>
    </w:p>
    <w:p w14:paraId="08CF0C9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投标文件中开标一览表（报价表）内容与投标文件中相应内容不一致的，以开标一览表（报价表）为准；大写金额和小写金额不一致的，以大写金额为准；单价金额小数点或者百分比有明显错位的，以开标一览表的总价为准，并修改单价；总价金额与按单价汇总金额不一致的，以单价金额计算结果为准。</w:t>
      </w:r>
    </w:p>
    <w:p w14:paraId="77B6EBCF">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同时出现两种以上不一致的，按照规定的顺序修正。修正后的报价按照规定经投标人确认后产生约束力，投标人不确认的，其投标无效。</w:t>
      </w:r>
    </w:p>
    <w:p w14:paraId="7A421D40">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投标人应标明其提供的所有货物及其相关工作范围内所有费用的总价，采购人不接受有任何选择性的报价。</w:t>
      </w:r>
    </w:p>
    <w:p w14:paraId="4B51C40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6.2</w:t>
      </w:r>
      <w:r>
        <w:rPr>
          <w:rFonts w:ascii="Times New Roman" w:cs="Times New Roman"/>
          <w:color w:val="auto"/>
          <w:sz w:val="24"/>
        </w:rPr>
        <w:t>投标时应注意下列几点：</w:t>
      </w:r>
    </w:p>
    <w:p w14:paraId="2B1B4B7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6.2.1</w:t>
      </w:r>
      <w:r>
        <w:rPr>
          <w:rFonts w:hint="eastAsia" w:ascii="Times New Roman" w:cs="Times New Roman"/>
          <w:color w:val="auto"/>
          <w:sz w:val="24"/>
        </w:rPr>
        <w:t>采购文件</w:t>
      </w:r>
      <w:r>
        <w:rPr>
          <w:rFonts w:ascii="Times New Roman" w:cs="Times New Roman"/>
          <w:color w:val="auto"/>
          <w:sz w:val="24"/>
        </w:rPr>
        <w:t>中特别要求的备品备件、易损件和专用工具的费用；</w:t>
      </w:r>
    </w:p>
    <w:p w14:paraId="4BF01EB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6.2.2</w:t>
      </w:r>
      <w:r>
        <w:rPr>
          <w:rFonts w:hint="eastAsia" w:ascii="Times New Roman" w:cs="Times New Roman"/>
          <w:color w:val="auto"/>
          <w:sz w:val="24"/>
        </w:rPr>
        <w:t>采购文件</w:t>
      </w:r>
      <w:r>
        <w:rPr>
          <w:rFonts w:ascii="Times New Roman" w:cs="Times New Roman"/>
          <w:color w:val="auto"/>
          <w:sz w:val="24"/>
        </w:rPr>
        <w:t>中特别要求的安装、调试、培训、运输、保险及其它附带服务的全部费用；</w:t>
      </w:r>
    </w:p>
    <w:p w14:paraId="31EF136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6.2.3</w:t>
      </w:r>
      <w:r>
        <w:rPr>
          <w:rFonts w:ascii="Times New Roman" w:cs="Times New Roman"/>
          <w:color w:val="auto"/>
          <w:sz w:val="24"/>
        </w:rPr>
        <w:t>投标人提供的在中华人民共和国制造的货物，其货物的投标价即交货价</w:t>
      </w:r>
      <w:r>
        <w:rPr>
          <w:rFonts w:ascii="Times New Roman" w:cs="Times New Roman"/>
          <w:color w:val="auto"/>
          <w:sz w:val="24"/>
          <w:lang w:val="en-US"/>
        </w:rPr>
        <w:t>中</w:t>
      </w:r>
      <w:r>
        <w:rPr>
          <w:rFonts w:ascii="Times New Roman" w:cs="Times New Roman"/>
          <w:color w:val="auto"/>
          <w:sz w:val="24"/>
        </w:rPr>
        <w:t>包括</w:t>
      </w:r>
      <w:r>
        <w:rPr>
          <w:rFonts w:ascii="Times New Roman" w:cs="Times New Roman"/>
          <w:color w:val="auto"/>
          <w:sz w:val="24"/>
          <w:lang w:val="en-US"/>
        </w:rPr>
        <w:t>但不限于以下费用</w:t>
      </w:r>
      <w:r>
        <w:rPr>
          <w:rFonts w:ascii="Times New Roman" w:hAnsi="Times New Roman" w:cs="Times New Roman"/>
          <w:color w:val="auto"/>
          <w:sz w:val="24"/>
          <w:lang w:val="en-US"/>
        </w:rPr>
        <w:t>:</w:t>
      </w:r>
      <w:r>
        <w:rPr>
          <w:rFonts w:ascii="Times New Roman" w:cs="Times New Roman"/>
          <w:color w:val="auto"/>
          <w:sz w:val="24"/>
          <w:lang w:val="en-US"/>
        </w:rPr>
        <w:t>货物</w:t>
      </w:r>
      <w:r>
        <w:rPr>
          <w:rFonts w:ascii="Times New Roman" w:cs="Times New Roman"/>
          <w:color w:val="auto"/>
          <w:sz w:val="24"/>
        </w:rPr>
        <w:t>制造、</w:t>
      </w:r>
      <w:r>
        <w:rPr>
          <w:rFonts w:ascii="Times New Roman" w:cs="Times New Roman"/>
          <w:color w:val="auto"/>
          <w:sz w:val="24"/>
          <w:lang w:val="en-US"/>
        </w:rPr>
        <w:t>运输、包装、保险、安装调试、后期服务、利润、税金等全部费用</w:t>
      </w:r>
      <w:r>
        <w:rPr>
          <w:rFonts w:ascii="Times New Roman" w:cs="Times New Roman"/>
          <w:color w:val="auto"/>
          <w:sz w:val="24"/>
        </w:rPr>
        <w:t>。</w:t>
      </w:r>
    </w:p>
    <w:p w14:paraId="0F8781D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7.</w:t>
      </w:r>
      <w:r>
        <w:rPr>
          <w:rFonts w:ascii="Times New Roman" w:cs="Times New Roman"/>
          <w:color w:val="auto"/>
          <w:sz w:val="24"/>
        </w:rPr>
        <w:t>投标报价的货币单位</w:t>
      </w:r>
    </w:p>
    <w:p w14:paraId="4E61EE3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7.1</w:t>
      </w:r>
      <w:r>
        <w:rPr>
          <w:rFonts w:ascii="Times New Roman" w:cs="Times New Roman"/>
          <w:color w:val="auto"/>
          <w:sz w:val="24"/>
        </w:rPr>
        <w:t>投标报价单位为人民币。</w:t>
      </w:r>
    </w:p>
    <w:p w14:paraId="07D1C1E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8</w:t>
      </w:r>
      <w:r>
        <w:rPr>
          <w:rFonts w:ascii="Times New Roman" w:cs="Times New Roman"/>
          <w:color w:val="auto"/>
          <w:sz w:val="24"/>
        </w:rPr>
        <w:t>．投标文件规定的技术文件</w:t>
      </w:r>
    </w:p>
    <w:p w14:paraId="0E2D3A5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8.1</w:t>
      </w:r>
      <w:r>
        <w:rPr>
          <w:rFonts w:ascii="Times New Roman" w:cs="Times New Roman"/>
          <w:color w:val="auto"/>
          <w:sz w:val="24"/>
        </w:rPr>
        <w:t>投标人须提交证明拟供货物和服务符合</w:t>
      </w:r>
      <w:r>
        <w:rPr>
          <w:rFonts w:hint="eastAsia" w:ascii="Times New Roman" w:cs="Times New Roman"/>
          <w:color w:val="auto"/>
          <w:sz w:val="24"/>
        </w:rPr>
        <w:t>采购文件</w:t>
      </w:r>
      <w:r>
        <w:rPr>
          <w:rFonts w:ascii="Times New Roman" w:cs="Times New Roman"/>
          <w:color w:val="auto"/>
          <w:sz w:val="24"/>
        </w:rPr>
        <w:t>规定的技术文件，作为投标文件的一部分。</w:t>
      </w:r>
    </w:p>
    <w:p w14:paraId="233C063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8.2</w:t>
      </w:r>
      <w:r>
        <w:rPr>
          <w:rFonts w:ascii="Times New Roman" w:cs="Times New Roman"/>
          <w:color w:val="auto"/>
          <w:sz w:val="24"/>
        </w:rPr>
        <w:t>上述文件可以是文字资料、图纸和数据，并提供：</w:t>
      </w:r>
    </w:p>
    <w:p w14:paraId="52B30A5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rPr>
        <w:t>1</w:t>
      </w:r>
      <w:r>
        <w:rPr>
          <w:rFonts w:ascii="Times New Roman" w:cs="Times New Roman"/>
          <w:color w:val="auto"/>
          <w:sz w:val="24"/>
        </w:rPr>
        <w:t>）货物主要技术及性能特点的详细描述；</w:t>
      </w:r>
    </w:p>
    <w:p w14:paraId="5450B14F">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rPr>
        <w:t>2</w:t>
      </w:r>
      <w:r>
        <w:rPr>
          <w:rFonts w:ascii="Times New Roman" w:cs="Times New Roman"/>
          <w:color w:val="auto"/>
          <w:sz w:val="24"/>
        </w:rPr>
        <w:t>）货物的详细资料，包括检验报告等；</w:t>
      </w:r>
    </w:p>
    <w:p w14:paraId="22226989">
      <w:pPr>
        <w:spacing w:line="360" w:lineRule="auto"/>
        <w:ind w:firstLine="480" w:firstLineChars="200"/>
        <w:rPr>
          <w:rFonts w:hint="eastAsia" w:ascii="Times New Roman" w:hAnsi="Times New Roman" w:cs="Times New Roman"/>
          <w:color w:val="auto"/>
          <w:sz w:val="24"/>
        </w:rPr>
      </w:pPr>
      <w:r>
        <w:rPr>
          <w:rFonts w:ascii="Times New Roman" w:hAnsi="Times New Roman" w:cs="Times New Roman"/>
          <w:color w:val="auto"/>
          <w:sz w:val="24"/>
          <w:lang w:val="en-US"/>
        </w:rPr>
        <w:t>9.</w:t>
      </w:r>
      <w:r>
        <w:rPr>
          <w:rFonts w:ascii="Times New Roman" w:cs="Times New Roman"/>
          <w:color w:val="auto"/>
          <w:sz w:val="24"/>
        </w:rPr>
        <w:t>投标有效期</w:t>
      </w:r>
      <w:r>
        <w:rPr>
          <w:rFonts w:hint="eastAsia" w:ascii="Times New Roman" w:cs="Times New Roman"/>
          <w:color w:val="auto"/>
          <w:sz w:val="24"/>
        </w:rPr>
        <w:t>：</w:t>
      </w:r>
    </w:p>
    <w:p w14:paraId="6F030481">
      <w:pPr>
        <w:pStyle w:val="5"/>
        <w:ind w:left="0" w:firstLine="480" w:firstLineChars="200"/>
        <w:jc w:val="both"/>
        <w:rPr>
          <w:rFonts w:hAnsi="宋体"/>
          <w:b w:val="0"/>
          <w:bCs w:val="0"/>
          <w:color w:val="auto"/>
          <w:sz w:val="24"/>
          <w:szCs w:val="22"/>
          <w:lang w:val="en-US"/>
        </w:rPr>
      </w:pPr>
      <w:r>
        <w:rPr>
          <w:rFonts w:hAnsi="宋体"/>
          <w:b w:val="0"/>
          <w:bCs w:val="0"/>
          <w:color w:val="auto"/>
          <w:sz w:val="24"/>
          <w:szCs w:val="22"/>
          <w:lang w:val="en-US"/>
        </w:rPr>
        <w:t>投标有效期</w:t>
      </w:r>
      <w:r>
        <w:rPr>
          <w:rFonts w:hint="eastAsia" w:hAnsi="宋体"/>
          <w:b w:val="0"/>
          <w:bCs w:val="0"/>
          <w:color w:val="auto"/>
          <w:sz w:val="24"/>
          <w:szCs w:val="22"/>
          <w:lang w:val="en-US"/>
        </w:rPr>
        <w:t>9</w:t>
      </w:r>
      <w:r>
        <w:rPr>
          <w:rFonts w:hAnsi="宋体"/>
          <w:b w:val="0"/>
          <w:bCs w:val="0"/>
          <w:color w:val="auto"/>
          <w:sz w:val="24"/>
          <w:szCs w:val="22"/>
          <w:lang w:val="en-US"/>
        </w:rPr>
        <w:t>0天；</w:t>
      </w:r>
    </w:p>
    <w:p w14:paraId="02BC8210">
      <w:pPr>
        <w:rPr>
          <w:rFonts w:ascii="Times New Roman" w:hAnsi="Times New Roman" w:cs="Times New Roman"/>
          <w:color w:val="auto"/>
        </w:rPr>
      </w:pPr>
    </w:p>
    <w:p w14:paraId="7417FC1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10.1</w:t>
      </w:r>
      <w:r>
        <w:rPr>
          <w:rFonts w:ascii="Times New Roman" w:cs="Times New Roman"/>
          <w:color w:val="auto"/>
          <w:sz w:val="24"/>
        </w:rPr>
        <w:t>　投标文件应清楚工整，一般不准修改。个别非实质性修改之处必须由投标人的法定代表人或</w:t>
      </w:r>
      <w:r>
        <w:rPr>
          <w:rFonts w:ascii="Times New Roman" w:cs="Times New Roman"/>
          <w:color w:val="auto"/>
          <w:sz w:val="24"/>
          <w:lang w:val="en-US"/>
        </w:rPr>
        <w:t>委托代理人</w:t>
      </w:r>
      <w:r>
        <w:rPr>
          <w:rFonts w:ascii="Times New Roman" w:cs="Times New Roman"/>
          <w:color w:val="auto"/>
          <w:sz w:val="24"/>
        </w:rPr>
        <w:t>在修改的每一页上签字或盖投标单位公章后</w:t>
      </w:r>
      <w:r>
        <w:rPr>
          <w:rFonts w:ascii="Times New Roman" w:cs="Times New Roman"/>
          <w:color w:val="auto"/>
          <w:sz w:val="24"/>
          <w:lang w:val="en-US"/>
        </w:rPr>
        <w:t>方才</w:t>
      </w:r>
      <w:r>
        <w:rPr>
          <w:rFonts w:ascii="Times New Roman" w:cs="Times New Roman"/>
          <w:color w:val="auto"/>
          <w:sz w:val="24"/>
        </w:rPr>
        <w:t>有效。</w:t>
      </w:r>
    </w:p>
    <w:p w14:paraId="3E136E8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10.2</w:t>
      </w:r>
      <w:r>
        <w:rPr>
          <w:rFonts w:ascii="Times New Roman" w:cs="Times New Roman"/>
          <w:color w:val="auto"/>
          <w:sz w:val="24"/>
        </w:rPr>
        <w:t>　投标文件应由法定代表人或</w:t>
      </w:r>
      <w:r>
        <w:rPr>
          <w:rFonts w:ascii="Times New Roman" w:cs="Times New Roman"/>
          <w:color w:val="auto"/>
          <w:sz w:val="24"/>
          <w:lang w:val="en-US"/>
        </w:rPr>
        <w:t>委托代理人</w:t>
      </w:r>
      <w:r>
        <w:rPr>
          <w:rFonts w:ascii="Times New Roman" w:cs="Times New Roman"/>
          <w:color w:val="auto"/>
          <w:sz w:val="24"/>
        </w:rPr>
        <w:t>在</w:t>
      </w:r>
      <w:r>
        <w:rPr>
          <w:rFonts w:hint="eastAsia" w:ascii="Times New Roman" w:cs="Times New Roman"/>
          <w:color w:val="auto"/>
          <w:sz w:val="24"/>
          <w:lang w:val="en-US"/>
        </w:rPr>
        <w:t>规定位置签字或盖章</w:t>
      </w:r>
      <w:r>
        <w:rPr>
          <w:rFonts w:ascii="Times New Roman" w:cs="Times New Roman"/>
          <w:color w:val="auto"/>
          <w:sz w:val="24"/>
        </w:rPr>
        <w:t>，投标文件方为有效。</w:t>
      </w:r>
    </w:p>
    <w:p w14:paraId="031DD99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10.3  </w:t>
      </w:r>
      <w:r>
        <w:rPr>
          <w:rFonts w:ascii="Times New Roman" w:cs="Times New Roman"/>
          <w:color w:val="auto"/>
          <w:sz w:val="24"/>
        </w:rPr>
        <w:t>电报、电话、传真、电子邮件等形式的投标概不接受。</w:t>
      </w:r>
    </w:p>
    <w:p w14:paraId="7394AAE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11</w:t>
      </w:r>
      <w:r>
        <w:rPr>
          <w:rFonts w:ascii="Times New Roman" w:cs="Times New Roman"/>
          <w:color w:val="auto"/>
          <w:sz w:val="24"/>
        </w:rPr>
        <w:t>．投标保证金</w:t>
      </w:r>
    </w:p>
    <w:p w14:paraId="7306984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投标保证金</w:t>
      </w:r>
      <w:r>
        <w:rPr>
          <w:rFonts w:ascii="Times New Roman" w:cs="Times New Roman"/>
          <w:color w:val="auto"/>
          <w:sz w:val="24"/>
          <w:lang w:val="en-US"/>
        </w:rPr>
        <w:t>的</w:t>
      </w:r>
      <w:r>
        <w:rPr>
          <w:rFonts w:ascii="Times New Roman" w:cs="Times New Roman"/>
          <w:color w:val="auto"/>
          <w:sz w:val="24"/>
        </w:rPr>
        <w:t>有效期应不低于投标有效期。</w:t>
      </w:r>
    </w:p>
    <w:p w14:paraId="47A6DF14">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2</w:t>
      </w:r>
      <w:r>
        <w:rPr>
          <w:rFonts w:ascii="Times New Roman" w:cs="Times New Roman"/>
          <w:color w:val="auto"/>
          <w:sz w:val="24"/>
        </w:rPr>
        <w:t>投标保证金：在投标截止时间前将本项目投标保证金</w:t>
      </w:r>
      <w:r>
        <w:rPr>
          <w:rFonts w:ascii="Times New Roman" w:cs="Times New Roman"/>
          <w:color w:val="auto"/>
          <w:sz w:val="24"/>
          <w:lang w:val="en-US"/>
        </w:rPr>
        <w:t>提</w:t>
      </w:r>
      <w:r>
        <w:rPr>
          <w:rFonts w:ascii="Times New Roman" w:cs="Times New Roman"/>
          <w:color w:val="auto"/>
          <w:sz w:val="24"/>
        </w:rPr>
        <w:t>交</w:t>
      </w:r>
      <w:r>
        <w:rPr>
          <w:rFonts w:ascii="Times New Roman" w:cs="Times New Roman"/>
          <w:color w:val="auto"/>
          <w:sz w:val="24"/>
          <w:lang w:val="en-US"/>
        </w:rPr>
        <w:t>至</w:t>
      </w:r>
      <w:r>
        <w:rPr>
          <w:rFonts w:ascii="Times New Roman" w:cs="Times New Roman"/>
          <w:color w:val="auto"/>
          <w:sz w:val="24"/>
        </w:rPr>
        <w:t>采购代理机构</w:t>
      </w:r>
      <w:r>
        <w:rPr>
          <w:rFonts w:ascii="Times New Roman" w:cs="Times New Roman"/>
          <w:color w:val="auto"/>
          <w:sz w:val="24"/>
          <w:lang w:val="en-US"/>
        </w:rPr>
        <w:t>。</w:t>
      </w:r>
    </w:p>
    <w:p w14:paraId="59FE27AB">
      <w:pPr>
        <w:spacing w:line="360" w:lineRule="auto"/>
        <w:ind w:firstLine="1080" w:firstLineChars="450"/>
        <w:rPr>
          <w:rFonts w:ascii="Times New Roman" w:hAnsi="Times New Roman" w:cs="Times New Roman"/>
          <w:color w:val="auto"/>
          <w:sz w:val="24"/>
          <w:lang w:val="en-US"/>
        </w:rPr>
      </w:pPr>
      <w:r>
        <w:rPr>
          <w:rFonts w:ascii="Times New Roman" w:cs="Times New Roman"/>
          <w:color w:val="auto"/>
          <w:sz w:val="24"/>
        </w:rPr>
        <w:t>投标保证金提交形式：转账</w:t>
      </w:r>
      <w:r>
        <w:rPr>
          <w:rFonts w:hint="eastAsia" w:ascii="Times New Roman" w:cs="Times New Roman"/>
          <w:color w:val="auto"/>
          <w:sz w:val="24"/>
        </w:rPr>
        <w:t>、</w:t>
      </w:r>
      <w:r>
        <w:rPr>
          <w:rFonts w:hint="eastAsia" w:ascii="Times New Roman" w:cs="Times New Roman"/>
          <w:color w:val="auto"/>
          <w:sz w:val="24"/>
          <w:lang w:val="en-US"/>
        </w:rPr>
        <w:t>电汇、支票、保函等</w:t>
      </w:r>
    </w:p>
    <w:p w14:paraId="1CED85B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备注：办理投标保证金退付手续须</w:t>
      </w:r>
      <w:r>
        <w:rPr>
          <w:rFonts w:ascii="Times New Roman" w:cs="Times New Roman"/>
          <w:color w:val="auto"/>
          <w:sz w:val="24"/>
          <w:lang w:val="en-US"/>
        </w:rPr>
        <w:t>提交</w:t>
      </w:r>
      <w:r>
        <w:rPr>
          <w:rFonts w:ascii="Times New Roman" w:cs="Times New Roman"/>
          <w:color w:val="auto"/>
          <w:sz w:val="24"/>
        </w:rPr>
        <w:t>的资料：</w:t>
      </w:r>
      <w:r>
        <w:rPr>
          <w:rFonts w:ascii="Times New Roman" w:hAnsi="Times New Roman" w:cs="Times New Roman"/>
          <w:color w:val="auto"/>
          <w:sz w:val="24"/>
        </w:rPr>
        <w:t>1</w:t>
      </w:r>
      <w:r>
        <w:rPr>
          <w:rFonts w:ascii="Times New Roman" w:cs="Times New Roman"/>
          <w:color w:val="auto"/>
          <w:sz w:val="24"/>
        </w:rPr>
        <w:t>、</w:t>
      </w:r>
      <w:r>
        <w:rPr>
          <w:rFonts w:hint="eastAsia" w:ascii="Times New Roman" w:cs="Times New Roman"/>
          <w:color w:val="auto"/>
          <w:sz w:val="24"/>
        </w:rPr>
        <w:t>授权委托书（附身份证复印件）</w:t>
      </w:r>
      <w:r>
        <w:rPr>
          <w:rFonts w:ascii="Times New Roman" w:cs="Times New Roman"/>
          <w:color w:val="auto"/>
          <w:sz w:val="24"/>
        </w:rPr>
        <w:t>；</w:t>
      </w:r>
      <w:r>
        <w:rPr>
          <w:rFonts w:ascii="Times New Roman" w:hAnsi="Times New Roman" w:cs="Times New Roman"/>
          <w:color w:val="auto"/>
          <w:sz w:val="24"/>
        </w:rPr>
        <w:t>2</w:t>
      </w:r>
      <w:r>
        <w:rPr>
          <w:rFonts w:ascii="Times New Roman" w:cs="Times New Roman"/>
          <w:color w:val="auto"/>
          <w:sz w:val="24"/>
        </w:rPr>
        <w:t>、转账凭证。请各投标人在开标结束后尽快</w:t>
      </w:r>
      <w:r>
        <w:rPr>
          <w:rFonts w:ascii="Times New Roman" w:cs="Times New Roman"/>
          <w:color w:val="auto"/>
          <w:sz w:val="24"/>
          <w:lang w:val="en-US"/>
        </w:rPr>
        <w:t>提交</w:t>
      </w:r>
      <w:r>
        <w:rPr>
          <w:rFonts w:ascii="Times New Roman" w:cs="Times New Roman"/>
          <w:color w:val="auto"/>
          <w:sz w:val="24"/>
        </w:rPr>
        <w:t>以上资料到我公司办理保证金退</w:t>
      </w:r>
      <w:r>
        <w:rPr>
          <w:rFonts w:ascii="Times New Roman" w:cs="Times New Roman"/>
          <w:color w:val="auto"/>
          <w:sz w:val="24"/>
          <w:lang w:val="en-US"/>
        </w:rPr>
        <w:t>还</w:t>
      </w:r>
      <w:r>
        <w:rPr>
          <w:rFonts w:ascii="Times New Roman" w:cs="Times New Roman"/>
          <w:color w:val="auto"/>
          <w:sz w:val="24"/>
        </w:rPr>
        <w:t>事宜。</w:t>
      </w:r>
    </w:p>
    <w:p w14:paraId="778F34D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rPr>
        <w:t>采购人应在《中标通知书》发出后</w:t>
      </w:r>
      <w:r>
        <w:rPr>
          <w:rFonts w:ascii="Times New Roman" w:hAnsi="Times New Roman" w:cs="Times New Roman"/>
          <w:color w:val="auto"/>
          <w:sz w:val="24"/>
        </w:rPr>
        <w:t>5</w:t>
      </w:r>
      <w:r>
        <w:rPr>
          <w:rFonts w:ascii="Times New Roman" w:cs="Times New Roman"/>
          <w:color w:val="auto"/>
          <w:sz w:val="24"/>
        </w:rPr>
        <w:t>个工作日内无息退还未成交供应商的投标保证金；在采购合同签订</w:t>
      </w:r>
      <w:r>
        <w:rPr>
          <w:rFonts w:ascii="Times New Roman" w:cs="Times New Roman"/>
          <w:color w:val="auto"/>
          <w:sz w:val="24"/>
          <w:lang w:val="en-US"/>
        </w:rPr>
        <w:t>后</w:t>
      </w:r>
      <w:r>
        <w:rPr>
          <w:rFonts w:ascii="Times New Roman" w:hAnsi="Times New Roman" w:cs="Times New Roman"/>
          <w:color w:val="auto"/>
          <w:sz w:val="24"/>
        </w:rPr>
        <w:t>5</w:t>
      </w:r>
      <w:r>
        <w:rPr>
          <w:rFonts w:ascii="Times New Roman" w:cs="Times New Roman"/>
          <w:color w:val="auto"/>
          <w:sz w:val="24"/>
        </w:rPr>
        <w:t>个工作日内无息退还中标人的投标</w:t>
      </w:r>
      <w:r>
        <w:rPr>
          <w:rFonts w:ascii="Times New Roman" w:cs="Times New Roman"/>
          <w:color w:val="auto"/>
          <w:sz w:val="24"/>
          <w:lang w:val="en-US"/>
        </w:rPr>
        <w:t>保证金</w:t>
      </w:r>
      <w:r>
        <w:rPr>
          <w:rFonts w:ascii="Times New Roman" w:cs="Times New Roman"/>
          <w:color w:val="auto"/>
          <w:sz w:val="24"/>
        </w:rPr>
        <w:t>。</w:t>
      </w:r>
    </w:p>
    <w:p w14:paraId="776D18C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ascii="Times New Roman" w:cs="Times New Roman"/>
          <w:color w:val="auto"/>
          <w:sz w:val="24"/>
        </w:rPr>
        <w:t>未按</w:t>
      </w:r>
      <w:r>
        <w:rPr>
          <w:rFonts w:hint="eastAsia" w:ascii="Times New Roman" w:cs="Times New Roman"/>
          <w:color w:val="auto"/>
          <w:sz w:val="24"/>
        </w:rPr>
        <w:t>采购文件</w:t>
      </w:r>
      <w:r>
        <w:rPr>
          <w:rFonts w:ascii="Times New Roman" w:cs="Times New Roman"/>
          <w:color w:val="auto"/>
          <w:sz w:val="24"/>
        </w:rPr>
        <w:t>规定提交投标保证金的，采购人应当拒绝接受投标人的投标文件，视为无效投标。</w:t>
      </w:r>
    </w:p>
    <w:p w14:paraId="4F4338F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5 </w:t>
      </w:r>
      <w:r>
        <w:rPr>
          <w:rFonts w:ascii="Times New Roman" w:cs="Times New Roman"/>
          <w:color w:val="auto"/>
          <w:sz w:val="24"/>
        </w:rPr>
        <w:t>下列任何情况发生时，投标报价保证金将被没收。</w:t>
      </w:r>
    </w:p>
    <w:p w14:paraId="3A5FE1D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5.1</w:t>
      </w:r>
      <w:r>
        <w:rPr>
          <w:rFonts w:ascii="Times New Roman" w:cs="Times New Roman"/>
          <w:color w:val="auto"/>
          <w:sz w:val="24"/>
        </w:rPr>
        <w:t>投标有效期内投标人撤销投标文件的，采购人或者采购代理机构可以不退还投标保证金。</w:t>
      </w:r>
    </w:p>
    <w:p w14:paraId="536D803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5.2 </w:t>
      </w:r>
      <w:r>
        <w:rPr>
          <w:rFonts w:ascii="Times New Roman" w:cs="Times New Roman"/>
          <w:color w:val="auto"/>
          <w:sz w:val="24"/>
        </w:rPr>
        <w:t>中标方在规定期限内未能按规定与采购人签订合同的。</w:t>
      </w:r>
    </w:p>
    <w:p w14:paraId="201D867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1</w:t>
      </w:r>
      <w:r>
        <w:rPr>
          <w:rFonts w:ascii="Times New Roman" w:hAnsi="Times New Roman" w:cs="Times New Roman"/>
          <w:color w:val="auto"/>
          <w:sz w:val="24"/>
        </w:rPr>
        <w:t>.</w:t>
      </w:r>
      <w:r>
        <w:rPr>
          <w:rFonts w:ascii="Times New Roman" w:hAnsi="Times New Roman" w:cs="Times New Roman"/>
          <w:color w:val="auto"/>
          <w:sz w:val="24"/>
          <w:lang w:val="en-US"/>
        </w:rPr>
        <w:t xml:space="preserve">5.3 </w:t>
      </w:r>
      <w:r>
        <w:rPr>
          <w:rFonts w:ascii="Times New Roman" w:cs="Times New Roman"/>
          <w:color w:val="auto"/>
          <w:sz w:val="24"/>
        </w:rPr>
        <w:t>投标人串通投标，其投标无效。</w:t>
      </w:r>
    </w:p>
    <w:p w14:paraId="0C42938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                         </w:t>
      </w:r>
      <w:r>
        <w:rPr>
          <w:rFonts w:ascii="Times New Roman" w:cs="Times New Roman"/>
          <w:color w:val="auto"/>
          <w:sz w:val="24"/>
        </w:rPr>
        <w:t>投标文件的递交</w:t>
      </w:r>
    </w:p>
    <w:p w14:paraId="4FE7A80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12. </w:t>
      </w:r>
      <w:r>
        <w:rPr>
          <w:rFonts w:ascii="Times New Roman" w:cs="Times New Roman"/>
          <w:color w:val="auto"/>
          <w:sz w:val="24"/>
        </w:rPr>
        <w:t>投标文件的标记</w:t>
      </w:r>
    </w:p>
    <w:p w14:paraId="2F965B1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12.1</w:t>
      </w:r>
      <w:r>
        <w:rPr>
          <w:rFonts w:ascii="Times New Roman" w:cs="Times New Roman"/>
          <w:color w:val="auto"/>
          <w:sz w:val="24"/>
        </w:rPr>
        <w:t>　任何不完整或不满足</w:t>
      </w:r>
      <w:r>
        <w:rPr>
          <w:rFonts w:hint="eastAsia" w:ascii="Times New Roman" w:cs="Times New Roman"/>
          <w:color w:val="auto"/>
          <w:sz w:val="24"/>
        </w:rPr>
        <w:t>采购文件</w:t>
      </w:r>
      <w:r>
        <w:rPr>
          <w:rFonts w:ascii="Times New Roman" w:cs="Times New Roman"/>
          <w:color w:val="auto"/>
          <w:sz w:val="24"/>
        </w:rPr>
        <w:t>要求的投标文件</w:t>
      </w:r>
      <w:r>
        <w:rPr>
          <w:rFonts w:hint="eastAsia" w:ascii="Times New Roman" w:cs="Times New Roman"/>
          <w:color w:val="auto"/>
          <w:sz w:val="24"/>
          <w:lang w:val="en-US"/>
        </w:rPr>
        <w:t>采购人有权</w:t>
      </w:r>
      <w:r>
        <w:rPr>
          <w:rFonts w:ascii="Times New Roman" w:cs="Times New Roman"/>
          <w:color w:val="auto"/>
          <w:sz w:val="24"/>
        </w:rPr>
        <w:t>拒绝。</w:t>
      </w:r>
    </w:p>
    <w:p w14:paraId="0534D96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13. </w:t>
      </w:r>
      <w:r>
        <w:rPr>
          <w:rFonts w:ascii="Times New Roman" w:cs="Times New Roman"/>
          <w:color w:val="auto"/>
          <w:sz w:val="24"/>
        </w:rPr>
        <w:t>投标截止时间</w:t>
      </w:r>
    </w:p>
    <w:p w14:paraId="713FC6F0">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 xml:space="preserve">13.1  </w:t>
      </w:r>
      <w:r>
        <w:rPr>
          <w:rFonts w:ascii="Times New Roman" w:cs="Times New Roman"/>
          <w:color w:val="auto"/>
          <w:sz w:val="24"/>
        </w:rPr>
        <w:t>投标文件的递交不得迟于</w:t>
      </w:r>
      <w:r>
        <w:rPr>
          <w:rFonts w:hint="eastAsia" w:ascii="Times New Roman" w:cs="Times New Roman"/>
          <w:color w:val="auto"/>
          <w:sz w:val="24"/>
        </w:rPr>
        <w:t>采购文件</w:t>
      </w:r>
      <w:r>
        <w:rPr>
          <w:rFonts w:ascii="Times New Roman" w:cs="Times New Roman"/>
          <w:color w:val="auto"/>
          <w:sz w:val="24"/>
        </w:rPr>
        <w:t>规定的</w:t>
      </w:r>
      <w:r>
        <w:rPr>
          <w:rFonts w:ascii="Times New Roman" w:cs="Times New Roman"/>
          <w:color w:val="auto"/>
          <w:sz w:val="24"/>
          <w:lang w:val="en-US"/>
        </w:rPr>
        <w:t>投标</w:t>
      </w:r>
      <w:r>
        <w:rPr>
          <w:rFonts w:ascii="Times New Roman" w:cs="Times New Roman"/>
          <w:color w:val="auto"/>
          <w:sz w:val="24"/>
        </w:rPr>
        <w:t>截止时间，</w:t>
      </w:r>
      <w:r>
        <w:rPr>
          <w:rFonts w:ascii="Times New Roman" w:cs="Times New Roman"/>
          <w:color w:val="auto"/>
          <w:sz w:val="24"/>
          <w:lang w:val="en-US"/>
        </w:rPr>
        <w:t>本次投标为</w:t>
      </w:r>
      <w:r>
        <w:rPr>
          <w:rFonts w:hint="eastAsia" w:ascii="Times New Roman" w:cs="Times New Roman"/>
          <w:color w:val="auto"/>
          <w:sz w:val="24"/>
          <w:lang w:val="en-US"/>
        </w:rPr>
        <w:t>线上</w:t>
      </w:r>
      <w:r>
        <w:rPr>
          <w:rFonts w:ascii="Times New Roman" w:cs="Times New Roman"/>
          <w:color w:val="auto"/>
          <w:sz w:val="24"/>
          <w:lang w:val="en-US"/>
        </w:rPr>
        <w:t>投标；</w:t>
      </w:r>
      <w:r>
        <w:rPr>
          <w:rFonts w:ascii="Times New Roman" w:cs="Times New Roman"/>
          <w:color w:val="auto"/>
          <w:sz w:val="24"/>
        </w:rPr>
        <w:t>在</w:t>
      </w:r>
      <w:r>
        <w:rPr>
          <w:rFonts w:ascii="Times New Roman" w:cs="Times New Roman"/>
          <w:color w:val="auto"/>
          <w:sz w:val="24"/>
          <w:lang w:val="en-US"/>
        </w:rPr>
        <w:t>投标截止时间后</w:t>
      </w:r>
      <w:r>
        <w:rPr>
          <w:rFonts w:hint="eastAsia" w:ascii="Times New Roman" w:cs="Times New Roman"/>
          <w:color w:val="auto"/>
          <w:sz w:val="24"/>
          <w:lang w:val="en-US"/>
        </w:rPr>
        <w:t>递交或上传的</w:t>
      </w:r>
      <w:r>
        <w:rPr>
          <w:rFonts w:ascii="Times New Roman" w:cs="Times New Roman"/>
          <w:color w:val="auto"/>
          <w:sz w:val="24"/>
        </w:rPr>
        <w:t>投标文件，为无效投标，投标文件将一律</w:t>
      </w:r>
      <w:r>
        <w:rPr>
          <w:rFonts w:ascii="Times New Roman" w:cs="Times New Roman"/>
          <w:color w:val="auto"/>
          <w:sz w:val="24"/>
          <w:lang w:val="en-US"/>
        </w:rPr>
        <w:t>被拒绝。</w:t>
      </w:r>
    </w:p>
    <w:p w14:paraId="0A8A4AED">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 xml:space="preserve">13.2  </w:t>
      </w:r>
      <w:r>
        <w:rPr>
          <w:rFonts w:ascii="Times New Roman" w:cs="Times New Roman"/>
          <w:color w:val="auto"/>
          <w:sz w:val="24"/>
          <w:lang w:val="en-US"/>
        </w:rPr>
        <w:t>如出现因</w:t>
      </w:r>
      <w:r>
        <w:rPr>
          <w:rFonts w:hint="eastAsia" w:ascii="Times New Roman" w:cs="Times New Roman"/>
          <w:color w:val="auto"/>
          <w:sz w:val="24"/>
          <w:lang w:val="en-US"/>
        </w:rPr>
        <w:t>采购文件</w:t>
      </w:r>
      <w:r>
        <w:rPr>
          <w:rFonts w:ascii="Times New Roman" w:cs="Times New Roman"/>
          <w:color w:val="auto"/>
          <w:sz w:val="24"/>
          <w:lang w:val="en-US"/>
        </w:rPr>
        <w:t>的修改而推迟投标截止时间的，投标人应在</w:t>
      </w:r>
      <w:r>
        <w:rPr>
          <w:rFonts w:hint="eastAsia" w:ascii="Times New Roman" w:cs="Times New Roman"/>
          <w:color w:val="auto"/>
          <w:sz w:val="24"/>
          <w:lang w:val="en-US"/>
        </w:rPr>
        <w:t>采购文件</w:t>
      </w:r>
      <w:r>
        <w:rPr>
          <w:rFonts w:ascii="Times New Roman" w:cs="Times New Roman"/>
          <w:color w:val="auto"/>
          <w:sz w:val="24"/>
          <w:lang w:val="en-US"/>
        </w:rPr>
        <w:t>变更中重新规定的投标截止时间前递交</w:t>
      </w:r>
      <w:r>
        <w:rPr>
          <w:rFonts w:hint="eastAsia" w:ascii="Times New Roman" w:cs="Times New Roman"/>
          <w:color w:val="auto"/>
          <w:sz w:val="24"/>
          <w:lang w:val="en-US"/>
        </w:rPr>
        <w:t>或上传</w:t>
      </w:r>
      <w:r>
        <w:rPr>
          <w:rFonts w:ascii="Times New Roman" w:cs="Times New Roman"/>
          <w:color w:val="auto"/>
          <w:sz w:val="24"/>
          <w:lang w:val="en-US"/>
        </w:rPr>
        <w:t>投标文件。</w:t>
      </w:r>
    </w:p>
    <w:p w14:paraId="3D56BAE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                           </w:t>
      </w:r>
      <w:r>
        <w:rPr>
          <w:rFonts w:ascii="Times New Roman" w:cs="Times New Roman"/>
          <w:color w:val="auto"/>
          <w:sz w:val="24"/>
        </w:rPr>
        <w:t>第四章</w:t>
      </w:r>
      <w:r>
        <w:rPr>
          <w:rFonts w:ascii="Times New Roman" w:hAnsi="Times New Roman" w:cs="Times New Roman"/>
          <w:color w:val="auto"/>
          <w:sz w:val="24"/>
        </w:rPr>
        <w:t xml:space="preserve"> </w:t>
      </w:r>
      <w:r>
        <w:rPr>
          <w:rFonts w:ascii="Times New Roman" w:cs="Times New Roman"/>
          <w:color w:val="auto"/>
          <w:sz w:val="24"/>
        </w:rPr>
        <w:t>评标委员会</w:t>
      </w:r>
    </w:p>
    <w:p w14:paraId="3C8E679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15</w:t>
      </w:r>
      <w:r>
        <w:rPr>
          <w:rFonts w:ascii="Times New Roman" w:cs="Times New Roman"/>
          <w:color w:val="auto"/>
          <w:sz w:val="24"/>
        </w:rPr>
        <w:t>、评标委员会组成</w:t>
      </w:r>
    </w:p>
    <w:p w14:paraId="689A5B8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5</w:t>
      </w:r>
      <w:r>
        <w:rPr>
          <w:rFonts w:ascii="Times New Roman" w:hAnsi="Times New Roman" w:cs="Times New Roman"/>
          <w:color w:val="auto"/>
          <w:sz w:val="24"/>
        </w:rPr>
        <w:t>.1</w:t>
      </w:r>
      <w:r>
        <w:rPr>
          <w:rFonts w:ascii="Times New Roman" w:hAnsi="Times New Roman" w:cs="Times New Roman"/>
          <w:color w:val="auto"/>
          <w:sz w:val="24"/>
          <w:lang w:val="en-US"/>
        </w:rPr>
        <w:t xml:space="preserve"> </w:t>
      </w:r>
      <w:r>
        <w:rPr>
          <w:rFonts w:ascii="Times New Roman" w:cs="Times New Roman"/>
          <w:color w:val="auto"/>
          <w:sz w:val="24"/>
        </w:rPr>
        <w:t>由采购人将根据《中华人民共和国政府采购法》规定，依法组建本次招标的评标委员会，负责组织本次招标的评标活动。评标委员会负责向采购人推荐拟中标人或者根据采购人的授权直接确定中标人。</w:t>
      </w:r>
    </w:p>
    <w:p w14:paraId="6ECF80C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本</w:t>
      </w:r>
      <w:r>
        <w:rPr>
          <w:rFonts w:hint="eastAsia" w:ascii="Times New Roman" w:cs="Times New Roman"/>
          <w:color w:val="auto"/>
          <w:sz w:val="24"/>
        </w:rPr>
        <w:t>采购文件</w:t>
      </w:r>
      <w:r>
        <w:rPr>
          <w:rFonts w:ascii="Times New Roman" w:cs="Times New Roman"/>
          <w:color w:val="auto"/>
          <w:sz w:val="24"/>
        </w:rPr>
        <w:t>中所指的评标委员会及其成员，适用于公开招标（</w:t>
      </w:r>
      <w:r>
        <w:rPr>
          <w:rFonts w:ascii="Times New Roman" w:cs="Times New Roman"/>
          <w:color w:val="auto"/>
          <w:sz w:val="24"/>
          <w:lang w:val="en-US"/>
        </w:rPr>
        <w:t>或</w:t>
      </w:r>
      <w:r>
        <w:rPr>
          <w:rFonts w:ascii="Times New Roman" w:cs="Times New Roman"/>
          <w:color w:val="auto"/>
          <w:sz w:val="24"/>
        </w:rPr>
        <w:t>邀请招标）的采购方式。本</w:t>
      </w:r>
      <w:r>
        <w:rPr>
          <w:rFonts w:hint="eastAsia" w:ascii="Times New Roman" w:cs="Times New Roman"/>
          <w:color w:val="auto"/>
          <w:sz w:val="24"/>
        </w:rPr>
        <w:t>采购文件</w:t>
      </w:r>
      <w:r>
        <w:rPr>
          <w:rFonts w:ascii="Times New Roman" w:cs="Times New Roman"/>
          <w:color w:val="auto"/>
          <w:sz w:val="24"/>
        </w:rPr>
        <w:t>中对评标委员会及其成员的要求，同时适用于采取</w:t>
      </w:r>
      <w:r>
        <w:rPr>
          <w:rFonts w:hint="eastAsia" w:ascii="Times New Roman" w:cs="Times New Roman"/>
          <w:color w:val="auto"/>
          <w:sz w:val="24"/>
          <w:lang w:val="en-US"/>
        </w:rPr>
        <w:t>公开招标</w:t>
      </w:r>
      <w:r>
        <w:rPr>
          <w:rFonts w:ascii="Times New Roman" w:cs="Times New Roman"/>
          <w:color w:val="auto"/>
          <w:sz w:val="24"/>
        </w:rPr>
        <w:t>、竞争性谈判、询价或单一来源采购方式时依法组成的评审小组及其成员。</w:t>
      </w:r>
    </w:p>
    <w:p w14:paraId="3D058EC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5</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评标委员会的成员于开标前，从</w:t>
      </w:r>
      <w:r>
        <w:rPr>
          <w:rFonts w:ascii="Times New Roman" w:cs="Times New Roman"/>
          <w:color w:val="auto"/>
          <w:sz w:val="24"/>
          <w:lang w:val="en-US"/>
        </w:rPr>
        <w:t>政府采购</w:t>
      </w:r>
      <w:r>
        <w:rPr>
          <w:rFonts w:ascii="Times New Roman" w:cs="Times New Roman"/>
          <w:color w:val="auto"/>
          <w:sz w:val="24"/>
        </w:rPr>
        <w:t>专家库中采取随机抽取的方式确定；对于技术复杂、专业性要求较高或者国家有特殊要求的招标项目，抽取的专家不能满足评标工作需要时，将采取直接确定的方式选定评标委员会的人选；评标委员会成员名单在中标结果确定前保密。</w:t>
      </w:r>
    </w:p>
    <w:p w14:paraId="7CE30AF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5</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rPr>
        <w:t>评标委员会由有关技术、经济等方面的专家和采购人熟悉相关业务的代表人员组成，成员为</w:t>
      </w:r>
      <w:r>
        <w:rPr>
          <w:rFonts w:ascii="Times New Roman" w:cs="Times New Roman"/>
          <w:color w:val="auto"/>
          <w:sz w:val="24"/>
          <w:lang w:val="en-US"/>
        </w:rPr>
        <w:t>五</w:t>
      </w:r>
      <w:r>
        <w:rPr>
          <w:rFonts w:ascii="Times New Roman" w:cs="Times New Roman"/>
          <w:color w:val="auto"/>
          <w:sz w:val="24"/>
        </w:rPr>
        <w:t>人及以上的单数，其中技术、经济等方面的成员人数不少于成员总数的三分之二。</w:t>
      </w:r>
    </w:p>
    <w:p w14:paraId="3580A2D4">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评标委员会专家的条件和回避规定</w:t>
      </w:r>
    </w:p>
    <w:p w14:paraId="701287C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评标委员会专家应符合下列条件：</w:t>
      </w:r>
    </w:p>
    <w:p w14:paraId="4E2B4B7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1.1 </w:t>
      </w:r>
      <w:r>
        <w:rPr>
          <w:rFonts w:ascii="Times New Roman" w:cs="Times New Roman"/>
          <w:color w:val="auto"/>
          <w:sz w:val="24"/>
        </w:rPr>
        <w:t>熟悉有关和招标投标的法律法规；</w:t>
      </w:r>
    </w:p>
    <w:p w14:paraId="5CA38CE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1.2 </w:t>
      </w:r>
      <w:r>
        <w:rPr>
          <w:rFonts w:ascii="Times New Roman" w:cs="Times New Roman"/>
          <w:color w:val="auto"/>
          <w:sz w:val="24"/>
        </w:rPr>
        <w:t>在相关专业领域工作满八年并具有高级职称或者同等专业水平；</w:t>
      </w:r>
    </w:p>
    <w:p w14:paraId="4758827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1.3 </w:t>
      </w:r>
      <w:r>
        <w:rPr>
          <w:rFonts w:ascii="Times New Roman" w:cs="Times New Roman"/>
          <w:color w:val="auto"/>
          <w:sz w:val="24"/>
        </w:rPr>
        <w:t>熟悉有关招标投标的法律法规，并具有与招标项目相关的实践经验；</w:t>
      </w:r>
    </w:p>
    <w:p w14:paraId="766ACE5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1.4 </w:t>
      </w:r>
      <w:r>
        <w:rPr>
          <w:rFonts w:ascii="Times New Roman" w:cs="Times New Roman"/>
          <w:color w:val="auto"/>
          <w:sz w:val="24"/>
        </w:rPr>
        <w:t>能够认真、公正、诚实、廉洁的履行职责。</w:t>
      </w:r>
    </w:p>
    <w:p w14:paraId="6828BFE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有下列情形之一的，不得担任评标委员会成员：</w:t>
      </w:r>
    </w:p>
    <w:p w14:paraId="77119EC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2.1 </w:t>
      </w:r>
      <w:r>
        <w:rPr>
          <w:rFonts w:ascii="Times New Roman" w:cs="Times New Roman"/>
          <w:color w:val="auto"/>
          <w:sz w:val="24"/>
        </w:rPr>
        <w:t>与投标人或者投标人主要负责人有近亲关系的或有利害关系的；</w:t>
      </w:r>
    </w:p>
    <w:p w14:paraId="62E7E81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2.2 </w:t>
      </w:r>
      <w:r>
        <w:rPr>
          <w:rFonts w:ascii="Times New Roman" w:cs="Times New Roman"/>
          <w:color w:val="auto"/>
          <w:sz w:val="24"/>
        </w:rPr>
        <w:t>与项目主管部门或者行政监督部门的人员有近亲关系的或有利害关系的；</w:t>
      </w:r>
    </w:p>
    <w:p w14:paraId="6E96A1E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2.3 </w:t>
      </w:r>
      <w:r>
        <w:rPr>
          <w:rFonts w:ascii="Times New Roman" w:cs="Times New Roman"/>
          <w:color w:val="auto"/>
          <w:sz w:val="24"/>
        </w:rPr>
        <w:t>与投标人有经济利益关系，可能影响对投标公正评标的；</w:t>
      </w:r>
    </w:p>
    <w:p w14:paraId="0D27E01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6</w:t>
      </w:r>
      <w:r>
        <w:rPr>
          <w:rFonts w:ascii="Times New Roman" w:hAnsi="Times New Roman" w:cs="Times New Roman"/>
          <w:color w:val="auto"/>
          <w:sz w:val="24"/>
        </w:rPr>
        <w:t>.</w:t>
      </w:r>
      <w:r>
        <w:rPr>
          <w:rFonts w:ascii="Times New Roman" w:hAnsi="Times New Roman" w:cs="Times New Roman"/>
          <w:color w:val="auto"/>
          <w:sz w:val="24"/>
          <w:lang w:val="en-US"/>
        </w:rPr>
        <w:t xml:space="preserve">2.4 </w:t>
      </w:r>
      <w:r>
        <w:rPr>
          <w:rFonts w:ascii="Times New Roman" w:cs="Times New Roman"/>
          <w:color w:val="auto"/>
          <w:sz w:val="24"/>
        </w:rPr>
        <w:t>曾因在招标、评标以及其他与招标、投标有关活动中从事违法行为而受过行政处罚或刑事处罚的。</w:t>
      </w:r>
    </w:p>
    <w:p w14:paraId="6D5B7CA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7</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评标委员会成员有前款规定情形之一的，应当主动提出回避。</w:t>
      </w:r>
    </w:p>
    <w:p w14:paraId="76050B8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hAnsi="Times New Roman" w:cs="Times New Roman"/>
          <w:color w:val="auto"/>
          <w:sz w:val="24"/>
          <w:lang w:val="en-US"/>
        </w:rPr>
        <w:t>8</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评标委员会成员应熟悉并认真研究</w:t>
      </w:r>
      <w:r>
        <w:rPr>
          <w:rFonts w:hint="eastAsia" w:ascii="Times New Roman" w:cs="Times New Roman"/>
          <w:color w:val="auto"/>
          <w:sz w:val="24"/>
        </w:rPr>
        <w:t>采购文件</w:t>
      </w:r>
      <w:r>
        <w:rPr>
          <w:rFonts w:ascii="Times New Roman" w:cs="Times New Roman"/>
          <w:color w:val="auto"/>
          <w:sz w:val="24"/>
        </w:rPr>
        <w:t>，至少应了解和熟悉以下内容：</w:t>
      </w:r>
    </w:p>
    <w:p w14:paraId="3BADBAA3">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8</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lang w:val="en-US"/>
        </w:rPr>
        <w:t>招标目的。</w:t>
      </w:r>
    </w:p>
    <w:p w14:paraId="3F925CBB">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8</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lang w:val="en-US"/>
        </w:rPr>
        <w:t>招标项目的范围、性质。</w:t>
      </w:r>
    </w:p>
    <w:p w14:paraId="03CA41C6">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8</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hint="eastAsia" w:ascii="Times New Roman" w:cs="Times New Roman"/>
          <w:color w:val="auto"/>
          <w:sz w:val="24"/>
          <w:lang w:val="en-US"/>
        </w:rPr>
        <w:t>采购文件</w:t>
      </w:r>
      <w:r>
        <w:rPr>
          <w:rFonts w:ascii="Times New Roman" w:cs="Times New Roman"/>
          <w:color w:val="auto"/>
          <w:sz w:val="24"/>
          <w:lang w:val="en-US"/>
        </w:rPr>
        <w:t>中规定的主要技术要求、标准和商务条款。</w:t>
      </w:r>
    </w:p>
    <w:p w14:paraId="29A60324">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8</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hint="eastAsia" w:ascii="Times New Roman" w:cs="Times New Roman"/>
          <w:color w:val="auto"/>
          <w:sz w:val="24"/>
          <w:lang w:val="en-US"/>
        </w:rPr>
        <w:t>采购文件</w:t>
      </w:r>
      <w:r>
        <w:rPr>
          <w:rFonts w:ascii="Times New Roman" w:cs="Times New Roman"/>
          <w:color w:val="auto"/>
          <w:sz w:val="24"/>
          <w:lang w:val="en-US"/>
        </w:rPr>
        <w:t>规定的评标原则、评标标准、评标方法和在评标过程中应考虑的相关因素。</w:t>
      </w:r>
    </w:p>
    <w:p w14:paraId="62F70456">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rPr>
        <w:t>1</w:t>
      </w:r>
      <w:r>
        <w:rPr>
          <w:rFonts w:ascii="Times New Roman" w:hAnsi="Times New Roman" w:cs="Times New Roman"/>
          <w:color w:val="auto"/>
          <w:sz w:val="24"/>
          <w:lang w:val="en-US"/>
        </w:rPr>
        <w:t>9</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lang w:val="en-US"/>
        </w:rPr>
        <w:t>采购人应当向评标委员会提供评标所需的重要信息和数据。</w:t>
      </w:r>
    </w:p>
    <w:p w14:paraId="343E973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评标委员会及其成员应当履行的义务：</w:t>
      </w:r>
    </w:p>
    <w:p w14:paraId="4D68220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遵纪守法，客观、公正、廉洁地履行职责；</w:t>
      </w:r>
    </w:p>
    <w:p w14:paraId="2236F2D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按照</w:t>
      </w:r>
      <w:r>
        <w:rPr>
          <w:rFonts w:hint="eastAsia" w:ascii="Times New Roman" w:cs="Times New Roman"/>
          <w:color w:val="auto"/>
          <w:sz w:val="24"/>
        </w:rPr>
        <w:t>采购文件</w:t>
      </w:r>
      <w:r>
        <w:rPr>
          <w:rFonts w:ascii="Times New Roman" w:cs="Times New Roman"/>
          <w:color w:val="auto"/>
          <w:sz w:val="24"/>
        </w:rPr>
        <w:t>规定的评标方法和标准进行评标，严格履行签字确认手续，</w:t>
      </w:r>
      <w:r>
        <w:rPr>
          <w:rFonts w:ascii="Times New Roman" w:hAnsi="Times New Roman" w:cs="Times New Roman"/>
          <w:color w:val="auto"/>
          <w:sz w:val="24"/>
        </w:rPr>
        <w:t xml:space="preserve"> </w:t>
      </w:r>
      <w:r>
        <w:rPr>
          <w:rFonts w:ascii="Times New Roman" w:cs="Times New Roman"/>
          <w:color w:val="auto"/>
          <w:sz w:val="24"/>
        </w:rPr>
        <w:t>对评标意见承担个人责任；</w:t>
      </w:r>
    </w:p>
    <w:p w14:paraId="73F4528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rPr>
        <w:t>对评标过程和结果，以及供应商的商业秘密保密；</w:t>
      </w:r>
    </w:p>
    <w:p w14:paraId="5FACF5C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ascii="Times New Roman" w:cs="Times New Roman"/>
          <w:color w:val="auto"/>
          <w:sz w:val="24"/>
        </w:rPr>
        <w:t>参与评标报告的起草；</w:t>
      </w:r>
    </w:p>
    <w:p w14:paraId="17687DF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5 </w:t>
      </w:r>
      <w:r>
        <w:rPr>
          <w:rFonts w:ascii="Times New Roman" w:cs="Times New Roman"/>
          <w:color w:val="auto"/>
          <w:sz w:val="24"/>
        </w:rPr>
        <w:t>配合财政部门的投诉处理工作；</w:t>
      </w:r>
    </w:p>
    <w:p w14:paraId="3D3E959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20</w:t>
      </w:r>
      <w:r>
        <w:rPr>
          <w:rFonts w:ascii="Times New Roman" w:hAnsi="Times New Roman" w:cs="Times New Roman"/>
          <w:color w:val="auto"/>
          <w:sz w:val="24"/>
        </w:rPr>
        <w:t>.</w:t>
      </w:r>
      <w:r>
        <w:rPr>
          <w:rFonts w:ascii="Times New Roman" w:hAnsi="Times New Roman" w:cs="Times New Roman"/>
          <w:color w:val="auto"/>
          <w:sz w:val="24"/>
          <w:lang w:val="en-US"/>
        </w:rPr>
        <w:t xml:space="preserve">6 </w:t>
      </w:r>
      <w:r>
        <w:rPr>
          <w:rFonts w:ascii="Times New Roman" w:cs="Times New Roman"/>
          <w:color w:val="auto"/>
          <w:sz w:val="24"/>
        </w:rPr>
        <w:t>配合采购人答复投标人提出的质疑。</w:t>
      </w:r>
    </w:p>
    <w:p w14:paraId="06E7B1E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评标委员会及其成员应注意事项：</w:t>
      </w:r>
    </w:p>
    <w:p w14:paraId="54D2761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评标委员会应当客观、公正地履行职责，遵守职业道德，不得与任何投标人或者与招标结果有利害关系的人员进行私下接触，须响应前款</w:t>
      </w:r>
      <w:r>
        <w:rPr>
          <w:rFonts w:ascii="Times New Roman" w:hAnsi="Times New Roman" w:cs="Times New Roman"/>
          <w:color w:val="auto"/>
          <w:sz w:val="24"/>
        </w:rPr>
        <w:t>“</w:t>
      </w:r>
      <w:r>
        <w:rPr>
          <w:rFonts w:ascii="Times New Roman" w:cs="Times New Roman"/>
          <w:color w:val="auto"/>
          <w:sz w:val="24"/>
        </w:rPr>
        <w:t>第三部分</w:t>
      </w:r>
      <w:r>
        <w:rPr>
          <w:rFonts w:ascii="Times New Roman" w:hAnsi="Times New Roman" w:cs="Times New Roman"/>
          <w:color w:val="auto"/>
          <w:sz w:val="24"/>
        </w:rPr>
        <w:t>”</w:t>
      </w:r>
      <w:r>
        <w:rPr>
          <w:rFonts w:ascii="Times New Roman" w:cs="Times New Roman"/>
          <w:color w:val="auto"/>
          <w:sz w:val="24"/>
        </w:rPr>
        <w:t>中</w:t>
      </w:r>
    </w:p>
    <w:p w14:paraId="39D2464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 xml:space="preserve">8.1 </w:t>
      </w:r>
      <w:r>
        <w:rPr>
          <w:rFonts w:ascii="Times New Roman" w:cs="Times New Roman"/>
          <w:color w:val="auto"/>
          <w:sz w:val="24"/>
        </w:rPr>
        <w:t>条款之规定要求。</w:t>
      </w:r>
    </w:p>
    <w:p w14:paraId="65FD341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评标委员会应当遵循独立评标的原则，按照《中华人民共和国政府采购法》，要以</w:t>
      </w:r>
      <w:r>
        <w:rPr>
          <w:rFonts w:hint="eastAsia" w:ascii="Times New Roman" w:cs="Times New Roman"/>
          <w:color w:val="auto"/>
          <w:sz w:val="24"/>
        </w:rPr>
        <w:t>采购文件</w:t>
      </w:r>
      <w:r>
        <w:rPr>
          <w:rFonts w:ascii="Times New Roman" w:cs="Times New Roman"/>
          <w:color w:val="auto"/>
          <w:sz w:val="24"/>
        </w:rPr>
        <w:t>为评标的唯一依据，不做标书以外无关问题讨论和将</w:t>
      </w:r>
      <w:r>
        <w:rPr>
          <w:rFonts w:hint="eastAsia" w:ascii="Times New Roman" w:cs="Times New Roman"/>
          <w:color w:val="auto"/>
          <w:sz w:val="24"/>
        </w:rPr>
        <w:t>采购文件</w:t>
      </w:r>
      <w:r>
        <w:rPr>
          <w:rFonts w:ascii="Times New Roman" w:cs="Times New Roman"/>
          <w:color w:val="auto"/>
          <w:sz w:val="24"/>
        </w:rPr>
        <w:t>中没有规定的标准和方法不得作为评标的依据。应本着</w:t>
      </w:r>
      <w:r>
        <w:rPr>
          <w:rFonts w:ascii="Times New Roman" w:hAnsi="Times New Roman" w:cs="Times New Roman"/>
          <w:color w:val="auto"/>
          <w:sz w:val="24"/>
        </w:rPr>
        <w:t>“</w:t>
      </w:r>
      <w:r>
        <w:rPr>
          <w:rFonts w:ascii="Times New Roman" w:cs="Times New Roman"/>
          <w:color w:val="auto"/>
          <w:sz w:val="24"/>
        </w:rPr>
        <w:t>实事求是、公正诚信</w:t>
      </w:r>
      <w:r>
        <w:rPr>
          <w:rFonts w:ascii="Times New Roman" w:hAnsi="Times New Roman" w:cs="Times New Roman"/>
          <w:color w:val="auto"/>
          <w:sz w:val="24"/>
        </w:rPr>
        <w:t>”</w:t>
      </w:r>
      <w:r>
        <w:rPr>
          <w:rFonts w:ascii="Times New Roman" w:cs="Times New Roman"/>
          <w:color w:val="auto"/>
          <w:sz w:val="24"/>
        </w:rPr>
        <w:t>的原则，根据</w:t>
      </w:r>
      <w:r>
        <w:rPr>
          <w:rFonts w:hint="eastAsia" w:ascii="Times New Roman" w:cs="Times New Roman"/>
          <w:color w:val="auto"/>
          <w:sz w:val="24"/>
        </w:rPr>
        <w:t>采购文件</w:t>
      </w:r>
      <w:r>
        <w:rPr>
          <w:rFonts w:ascii="Times New Roman" w:cs="Times New Roman"/>
          <w:color w:val="auto"/>
          <w:sz w:val="24"/>
        </w:rPr>
        <w:t>规定的评标标准和方法，对投标人的投标文件进行系统地评标和比较。并按要求做好相关书面原始署名记录。</w:t>
      </w:r>
    </w:p>
    <w:p w14:paraId="7ECC40F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rPr>
        <w:t>评标委员会应当客观、公正地履行职责。评标时，严禁存在个人印象、个人关系或带有明显倾向性的行为发生。否则，经核实后，采购人将有权予以制止此类行为的发生，责成其修正不果的，将做为不良记录记录在案，并按相关政策法规的规定和程序，向财政监管部门提出处罚建议意见。</w:t>
      </w:r>
    </w:p>
    <w:p w14:paraId="1AC216B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ascii="Times New Roman" w:cs="Times New Roman"/>
          <w:color w:val="auto"/>
          <w:sz w:val="24"/>
        </w:rPr>
        <w:t>评标委员会成员和与本次评标活动有关的工作人员，不得透露对投标文件的评标和比较、中标候选人的推荐情况以及与评标有关的其他情况。</w:t>
      </w:r>
    </w:p>
    <w:p w14:paraId="7E54B9B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21</w:t>
      </w:r>
      <w:r>
        <w:rPr>
          <w:rFonts w:ascii="Times New Roman" w:hAnsi="Times New Roman" w:cs="Times New Roman"/>
          <w:color w:val="auto"/>
          <w:sz w:val="24"/>
        </w:rPr>
        <w:t>.</w:t>
      </w:r>
      <w:r>
        <w:rPr>
          <w:rFonts w:ascii="Times New Roman" w:hAnsi="Times New Roman" w:cs="Times New Roman"/>
          <w:color w:val="auto"/>
          <w:sz w:val="24"/>
          <w:lang w:val="en-US"/>
        </w:rPr>
        <w:t xml:space="preserve">5 </w:t>
      </w:r>
      <w:r>
        <w:rPr>
          <w:rFonts w:ascii="Times New Roman" w:cs="Times New Roman"/>
          <w:color w:val="auto"/>
          <w:sz w:val="24"/>
        </w:rPr>
        <w:t>除法律需要外，自开标直至宣布中标及签订合同为止，有关投标文件的审查、澄清、评定及关于评标的建议等情况，评标委员会及其成员任何人均不得以任何形式泄露，评标过程中如有不明事宜，需要投标人进行解释的，只能由评标委员会各成员进行询标（答疑）。</w:t>
      </w:r>
    </w:p>
    <w:p w14:paraId="4ED56A9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22</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与评标活动有关的工作人员，自开标之日期起至定标日止，在此期间任何监标人、采购人代表、特邀代表、工作人员及供应商不得干扰评标委员会正常及其它评标工作，否则，采购人将有权取消其权利资格。</w:t>
      </w:r>
    </w:p>
    <w:p w14:paraId="7742A95C">
      <w:pPr>
        <w:pStyle w:val="2"/>
        <w:spacing w:before="2"/>
        <w:ind w:left="0" w:leftChars="0" w:right="0" w:rightChars="0"/>
        <w:rPr>
          <w:color w:val="auto"/>
        </w:rPr>
      </w:pPr>
    </w:p>
    <w:p w14:paraId="1A323F06">
      <w:pPr>
        <w:pStyle w:val="2"/>
        <w:spacing w:before="2"/>
        <w:ind w:left="0" w:leftChars="0" w:right="0" w:rightChars="0"/>
        <w:rPr>
          <w:color w:val="auto"/>
        </w:rPr>
      </w:pPr>
      <w:r>
        <w:rPr>
          <w:color w:val="auto"/>
        </w:rPr>
        <w:t>第五部分 开标 评标 定标说明</w:t>
      </w:r>
    </w:p>
    <w:p w14:paraId="06043F09">
      <w:pPr>
        <w:pStyle w:val="4"/>
        <w:ind w:right="0"/>
        <w:rPr>
          <w:color w:val="auto"/>
          <w:sz w:val="24"/>
        </w:rPr>
      </w:pPr>
      <w:r>
        <w:rPr>
          <w:color w:val="auto"/>
          <w:sz w:val="24"/>
        </w:rPr>
        <w:t>第一章 开</w:t>
      </w:r>
      <w:r>
        <w:rPr>
          <w:color w:val="auto"/>
          <w:sz w:val="24"/>
        </w:rPr>
        <w:tab/>
      </w:r>
      <w:r>
        <w:rPr>
          <w:color w:val="auto"/>
          <w:sz w:val="24"/>
        </w:rPr>
        <w:t>标</w:t>
      </w:r>
    </w:p>
    <w:p w14:paraId="6E70620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开标</w:t>
      </w:r>
    </w:p>
    <w:p w14:paraId="45D312E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本次招标按</w:t>
      </w:r>
      <w:r>
        <w:rPr>
          <w:rFonts w:hint="eastAsia" w:ascii="Times New Roman" w:cs="Times New Roman"/>
          <w:color w:val="auto"/>
          <w:sz w:val="24"/>
        </w:rPr>
        <w:t>采购文件</w:t>
      </w:r>
      <w:r>
        <w:rPr>
          <w:rFonts w:ascii="Times New Roman" w:cs="Times New Roman"/>
          <w:color w:val="auto"/>
          <w:sz w:val="24"/>
          <w:lang w:val="en-US"/>
        </w:rPr>
        <w:t>中</w:t>
      </w:r>
      <w:r>
        <w:rPr>
          <w:rFonts w:ascii="Times New Roman" w:cs="Times New Roman"/>
          <w:color w:val="auto"/>
          <w:sz w:val="24"/>
        </w:rPr>
        <w:t>规定的时间和地点进行公开开标，允许投标人的法定代表人或其</w:t>
      </w:r>
      <w:r>
        <w:rPr>
          <w:rFonts w:ascii="Times New Roman" w:cs="Times New Roman"/>
          <w:color w:val="auto"/>
          <w:sz w:val="24"/>
          <w:lang w:val="en-US"/>
        </w:rPr>
        <w:t>委托代理人</w:t>
      </w:r>
      <w:r>
        <w:rPr>
          <w:rFonts w:ascii="Times New Roman" w:cs="Times New Roman"/>
          <w:color w:val="auto"/>
          <w:sz w:val="24"/>
        </w:rPr>
        <w:t>参加开标</w:t>
      </w:r>
      <w:r>
        <w:rPr>
          <w:rFonts w:hint="eastAsia" w:ascii="Times New Roman" w:cs="Times New Roman"/>
          <w:color w:val="auto"/>
          <w:sz w:val="24"/>
          <w:lang w:val="en-US"/>
        </w:rPr>
        <w:t>会议</w:t>
      </w:r>
      <w:r>
        <w:rPr>
          <w:rFonts w:ascii="Times New Roman" w:cs="Times New Roman"/>
          <w:color w:val="auto"/>
          <w:sz w:val="24"/>
        </w:rPr>
        <w:t>。</w:t>
      </w:r>
    </w:p>
    <w:p w14:paraId="1FAA597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为了体现投标人的合法权益，和确保评标工作的公平、公正，如果评标委员会成员及其他与会人员与其他投标人有利害关系的，在开</w:t>
      </w:r>
      <w:r>
        <w:rPr>
          <w:rFonts w:ascii="Times New Roman" w:cs="Times New Roman"/>
          <w:color w:val="auto"/>
          <w:sz w:val="24"/>
          <w:lang w:val="en-US"/>
        </w:rPr>
        <w:t>评</w:t>
      </w:r>
      <w:r>
        <w:rPr>
          <w:rFonts w:ascii="Times New Roman" w:cs="Times New Roman"/>
          <w:color w:val="auto"/>
          <w:sz w:val="24"/>
        </w:rPr>
        <w:t>标现场以举手示意的方式向采购人申请其回避。如现场不提请采购人申请其回避的，则视同无利害关系。</w:t>
      </w:r>
    </w:p>
    <w:p w14:paraId="15C95B5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lang w:val="en-US"/>
        </w:rPr>
        <w:t>各</w:t>
      </w:r>
      <w:r>
        <w:rPr>
          <w:rFonts w:ascii="Times New Roman" w:cs="Times New Roman"/>
          <w:color w:val="auto"/>
          <w:sz w:val="24"/>
        </w:rPr>
        <w:t>投标人</w:t>
      </w:r>
      <w:r>
        <w:rPr>
          <w:rFonts w:ascii="Times New Roman" w:cs="Times New Roman"/>
          <w:color w:val="auto"/>
          <w:sz w:val="24"/>
          <w:lang w:val="en-US"/>
        </w:rPr>
        <w:t>如对本次招标过程存有异议</w:t>
      </w:r>
      <w:r>
        <w:rPr>
          <w:rFonts w:ascii="Times New Roman" w:cs="Times New Roman"/>
          <w:color w:val="auto"/>
          <w:sz w:val="24"/>
        </w:rPr>
        <w:t>，</w:t>
      </w:r>
      <w:r>
        <w:rPr>
          <w:rFonts w:ascii="Times New Roman" w:cs="Times New Roman"/>
          <w:color w:val="auto"/>
          <w:sz w:val="24"/>
          <w:lang w:val="en-US"/>
        </w:rPr>
        <w:t>应及时提出以便进行答疑回复；</w:t>
      </w:r>
      <w:r>
        <w:rPr>
          <w:rFonts w:ascii="Times New Roman" w:cs="Times New Roman"/>
          <w:color w:val="auto"/>
          <w:sz w:val="24"/>
        </w:rPr>
        <w:t>如</w:t>
      </w:r>
      <w:r>
        <w:rPr>
          <w:rFonts w:ascii="Times New Roman" w:cs="Times New Roman"/>
          <w:color w:val="auto"/>
          <w:sz w:val="24"/>
          <w:lang w:val="en-US"/>
        </w:rPr>
        <w:t>待评标结果产生</w:t>
      </w:r>
      <w:r>
        <w:rPr>
          <w:rFonts w:ascii="Times New Roman" w:cs="Times New Roman"/>
          <w:color w:val="auto"/>
          <w:sz w:val="24"/>
        </w:rPr>
        <w:t>后发生的</w:t>
      </w:r>
      <w:r>
        <w:rPr>
          <w:rFonts w:ascii="Times New Roman" w:cs="Times New Roman"/>
          <w:color w:val="auto"/>
          <w:sz w:val="24"/>
          <w:lang w:val="en-US"/>
        </w:rPr>
        <w:t>恶意</w:t>
      </w:r>
      <w:r>
        <w:rPr>
          <w:rFonts w:ascii="Times New Roman" w:cs="Times New Roman"/>
          <w:color w:val="auto"/>
          <w:sz w:val="24"/>
        </w:rPr>
        <w:t>质疑或投诉事项，</w:t>
      </w:r>
      <w:r>
        <w:rPr>
          <w:rFonts w:hint="eastAsia" w:ascii="Times New Roman" w:cs="Times New Roman"/>
          <w:color w:val="auto"/>
          <w:sz w:val="24"/>
          <w:lang w:val="en-US" w:eastAsia="zh-CN"/>
        </w:rPr>
        <w:t>新疆国恩工程管理有限公司</w:t>
      </w:r>
      <w:r>
        <w:rPr>
          <w:rFonts w:ascii="Times New Roman" w:cs="Times New Roman"/>
          <w:color w:val="auto"/>
          <w:sz w:val="24"/>
        </w:rPr>
        <w:t>将不予采信。</w:t>
      </w:r>
    </w:p>
    <w:p w14:paraId="16917FB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ascii="Times New Roman" w:cs="Times New Roman"/>
          <w:color w:val="auto"/>
          <w:sz w:val="24"/>
        </w:rPr>
        <w:t>投标人资格审查</w:t>
      </w:r>
    </w:p>
    <w:p w14:paraId="4B63D20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4.1 </w:t>
      </w:r>
      <w:r>
        <w:rPr>
          <w:rFonts w:ascii="Times New Roman" w:cs="Times New Roman"/>
          <w:color w:val="auto"/>
          <w:sz w:val="24"/>
        </w:rPr>
        <w:t>各投标人的资格审查</w:t>
      </w:r>
      <w:r>
        <w:rPr>
          <w:rFonts w:ascii="Times New Roman" w:cs="Times New Roman"/>
          <w:color w:val="auto"/>
          <w:sz w:val="24"/>
          <w:lang w:val="en-US"/>
        </w:rPr>
        <w:t>资料</w:t>
      </w:r>
      <w:r>
        <w:rPr>
          <w:rFonts w:hint="eastAsia" w:ascii="Times New Roman" w:cs="Times New Roman"/>
          <w:color w:val="auto"/>
          <w:sz w:val="24"/>
          <w:lang w:val="en-US"/>
        </w:rPr>
        <w:t>交由招标人或招标代理机构审核，审核合格后为有效投标人</w:t>
      </w:r>
      <w:r>
        <w:rPr>
          <w:rFonts w:ascii="Times New Roman" w:cs="Times New Roman"/>
          <w:color w:val="auto"/>
          <w:sz w:val="24"/>
        </w:rPr>
        <w:t>。</w:t>
      </w:r>
    </w:p>
    <w:p w14:paraId="47D15E39">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4.2 </w:t>
      </w:r>
      <w:r>
        <w:rPr>
          <w:rFonts w:ascii="Times New Roman" w:cs="Times New Roman"/>
          <w:color w:val="auto"/>
          <w:sz w:val="24"/>
        </w:rPr>
        <w:t>依据</w:t>
      </w:r>
      <w:r>
        <w:rPr>
          <w:rFonts w:hint="eastAsia" w:ascii="Times New Roman" w:cs="Times New Roman"/>
          <w:color w:val="auto"/>
          <w:sz w:val="24"/>
        </w:rPr>
        <w:t>采购文件</w:t>
      </w:r>
      <w:r>
        <w:rPr>
          <w:rFonts w:ascii="Times New Roman" w:cs="Times New Roman"/>
          <w:color w:val="auto"/>
          <w:sz w:val="24"/>
        </w:rPr>
        <w:t>规定</w:t>
      </w:r>
      <w:r>
        <w:rPr>
          <w:rFonts w:ascii="Times New Roman" w:cs="Times New Roman"/>
          <w:color w:val="auto"/>
          <w:sz w:val="24"/>
          <w:lang w:val="en-US"/>
        </w:rPr>
        <w:t>对各投标人的</w:t>
      </w:r>
      <w:r>
        <w:rPr>
          <w:rFonts w:ascii="Times New Roman" w:cs="Times New Roman"/>
          <w:color w:val="auto"/>
          <w:sz w:val="24"/>
        </w:rPr>
        <w:t>投保保证金缴纳情况等进行审查。凡不符合前款</w:t>
      </w:r>
      <w:r>
        <w:rPr>
          <w:rFonts w:ascii="Times New Roman" w:hAnsi="Times New Roman" w:cs="Times New Roman"/>
          <w:color w:val="auto"/>
          <w:sz w:val="24"/>
        </w:rPr>
        <w:t>“</w:t>
      </w:r>
      <w:r>
        <w:rPr>
          <w:rFonts w:ascii="Times New Roman" w:cs="Times New Roman"/>
          <w:color w:val="auto"/>
          <w:sz w:val="24"/>
        </w:rPr>
        <w:t>第四部分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 xml:space="preserve"> 1.2 </w:t>
      </w:r>
      <w:r>
        <w:rPr>
          <w:rFonts w:ascii="Times New Roman" w:cs="Times New Roman"/>
          <w:color w:val="auto"/>
          <w:sz w:val="24"/>
        </w:rPr>
        <w:t>条款之规定要求的，</w:t>
      </w:r>
      <w:r>
        <w:rPr>
          <w:rFonts w:ascii="Times New Roman" w:hAnsi="Times New Roman" w:cs="Times New Roman"/>
          <w:color w:val="auto"/>
          <w:sz w:val="24"/>
        </w:rPr>
        <w:t xml:space="preserve"> </w:t>
      </w:r>
      <w:r>
        <w:rPr>
          <w:rFonts w:ascii="Times New Roman" w:cs="Times New Roman"/>
          <w:color w:val="auto"/>
          <w:sz w:val="24"/>
          <w:lang w:val="en-US"/>
        </w:rPr>
        <w:t>其投标将被直接拒绝。</w:t>
      </w:r>
    </w:p>
    <w:p w14:paraId="25E29974">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4.4 </w:t>
      </w:r>
      <w:r>
        <w:rPr>
          <w:rFonts w:ascii="Times New Roman" w:cs="Times New Roman"/>
          <w:color w:val="auto"/>
          <w:sz w:val="24"/>
        </w:rPr>
        <w:t>投标人资格审查</w:t>
      </w:r>
      <w:r>
        <w:rPr>
          <w:rFonts w:ascii="Times New Roman" w:cs="Times New Roman"/>
          <w:color w:val="auto"/>
          <w:sz w:val="24"/>
          <w:lang w:val="en-US"/>
        </w:rPr>
        <w:t>合格后方可进入到</w:t>
      </w:r>
      <w:r>
        <w:rPr>
          <w:rFonts w:ascii="Times New Roman" w:cs="Times New Roman"/>
          <w:color w:val="auto"/>
          <w:sz w:val="24"/>
        </w:rPr>
        <w:t>投标文件初步审查审查</w:t>
      </w:r>
      <w:r>
        <w:rPr>
          <w:rFonts w:ascii="Times New Roman" w:cs="Times New Roman"/>
          <w:color w:val="auto"/>
          <w:sz w:val="24"/>
          <w:lang w:val="en-US"/>
        </w:rPr>
        <w:t>阶段。</w:t>
      </w:r>
    </w:p>
    <w:p w14:paraId="15FA48B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4.3 </w:t>
      </w:r>
      <w:r>
        <w:rPr>
          <w:rFonts w:ascii="Times New Roman" w:cs="Times New Roman"/>
          <w:color w:val="auto"/>
          <w:sz w:val="24"/>
        </w:rPr>
        <w:t>资格审查合格的供应商不足法定数量时，可以比照</w:t>
      </w:r>
      <w:r>
        <w:rPr>
          <w:rFonts w:ascii="Times New Roman" w:hAnsi="Times New Roman" w:cs="Times New Roman"/>
          <w:color w:val="auto"/>
          <w:sz w:val="24"/>
        </w:rPr>
        <w:t>“</w:t>
      </w:r>
      <w:r>
        <w:rPr>
          <w:rFonts w:ascii="Times New Roman" w:cs="Times New Roman"/>
          <w:color w:val="auto"/>
          <w:sz w:val="24"/>
        </w:rPr>
        <w:t>第五部分</w:t>
      </w:r>
      <w:r>
        <w:rPr>
          <w:rFonts w:ascii="Times New Roman" w:hAnsi="Times New Roman" w:cs="Times New Roman"/>
          <w:color w:val="auto"/>
          <w:sz w:val="24"/>
        </w:rPr>
        <w:t xml:space="preserve">” </w:t>
      </w:r>
      <w:r>
        <w:rPr>
          <w:rFonts w:ascii="Times New Roman" w:cs="Times New Roman"/>
          <w:color w:val="auto"/>
          <w:sz w:val="24"/>
        </w:rPr>
        <w:t>中</w:t>
      </w:r>
      <w:r>
        <w:rPr>
          <w:rFonts w:ascii="Times New Roman" w:hAnsi="Times New Roman" w:cs="Times New Roman"/>
          <w:color w:val="auto"/>
          <w:sz w:val="24"/>
        </w:rPr>
        <w:t xml:space="preserve"> 23.</w:t>
      </w:r>
      <w:r>
        <w:rPr>
          <w:rFonts w:ascii="Times New Roman" w:hAnsi="Times New Roman" w:cs="Times New Roman"/>
          <w:color w:val="auto"/>
          <w:sz w:val="24"/>
          <w:lang w:val="en-US"/>
        </w:rPr>
        <w:t>6</w:t>
      </w:r>
      <w:r>
        <w:rPr>
          <w:rFonts w:ascii="Times New Roman" w:hAnsi="Times New Roman" w:cs="Times New Roman"/>
          <w:color w:val="auto"/>
          <w:sz w:val="24"/>
        </w:rPr>
        <w:t xml:space="preserve"> </w:t>
      </w:r>
      <w:r>
        <w:rPr>
          <w:rFonts w:ascii="Times New Roman" w:cs="Times New Roman"/>
          <w:color w:val="auto"/>
          <w:sz w:val="24"/>
        </w:rPr>
        <w:t>条款中的</w:t>
      </w:r>
      <w:r>
        <w:rPr>
          <w:rFonts w:ascii="Times New Roman" w:hAnsi="Times New Roman" w:cs="Times New Roman"/>
          <w:color w:val="auto"/>
          <w:sz w:val="24"/>
        </w:rPr>
        <w:t xml:space="preserve"> 23.</w:t>
      </w:r>
      <w:r>
        <w:rPr>
          <w:rFonts w:ascii="Times New Roman" w:hAnsi="Times New Roman" w:cs="Times New Roman"/>
          <w:color w:val="auto"/>
          <w:sz w:val="24"/>
          <w:lang w:val="en-US"/>
        </w:rPr>
        <w:t>6</w:t>
      </w:r>
      <w:r>
        <w:rPr>
          <w:rFonts w:ascii="Times New Roman" w:hAnsi="Times New Roman" w:cs="Times New Roman"/>
          <w:color w:val="auto"/>
          <w:sz w:val="24"/>
        </w:rPr>
        <w:t xml:space="preserve">.2 </w:t>
      </w:r>
      <w:r>
        <w:rPr>
          <w:rFonts w:ascii="Times New Roman" w:cs="Times New Roman"/>
          <w:color w:val="auto"/>
          <w:sz w:val="24"/>
        </w:rPr>
        <w:t>条款和</w:t>
      </w:r>
      <w:r>
        <w:rPr>
          <w:rFonts w:ascii="Times New Roman" w:hAnsi="Times New Roman" w:cs="Times New Roman"/>
          <w:color w:val="auto"/>
          <w:sz w:val="24"/>
        </w:rPr>
        <w:t xml:space="preserve"> 23.</w:t>
      </w:r>
      <w:r>
        <w:rPr>
          <w:rFonts w:ascii="Times New Roman" w:hAnsi="Times New Roman" w:cs="Times New Roman"/>
          <w:color w:val="auto"/>
          <w:sz w:val="24"/>
          <w:lang w:val="en-US"/>
        </w:rPr>
        <w:t>6</w:t>
      </w:r>
      <w:r>
        <w:rPr>
          <w:rFonts w:ascii="Times New Roman" w:hAnsi="Times New Roman" w:cs="Times New Roman"/>
          <w:color w:val="auto"/>
          <w:sz w:val="24"/>
        </w:rPr>
        <w:t xml:space="preserve">.3 </w:t>
      </w:r>
      <w:r>
        <w:rPr>
          <w:rFonts w:ascii="Times New Roman" w:cs="Times New Roman"/>
          <w:color w:val="auto"/>
          <w:sz w:val="24"/>
        </w:rPr>
        <w:t>条款之规定执行。</w:t>
      </w:r>
    </w:p>
    <w:p w14:paraId="3E4EE93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5 </w:t>
      </w:r>
      <w:r>
        <w:rPr>
          <w:rFonts w:ascii="Times New Roman" w:cs="Times New Roman"/>
          <w:color w:val="auto"/>
          <w:sz w:val="24"/>
        </w:rPr>
        <w:t>投标文件响应性审查</w:t>
      </w:r>
    </w:p>
    <w:p w14:paraId="3BC4EC3A">
      <w:pPr>
        <w:spacing w:line="360" w:lineRule="auto"/>
        <w:rPr>
          <w:rFonts w:ascii="Times New Roman" w:hAnsi="Times New Roman" w:cs="Times New Roman"/>
          <w:color w:val="auto"/>
          <w:sz w:val="24"/>
          <w:lang w:val="en-US"/>
        </w:rPr>
      </w:pPr>
      <w:r>
        <w:rPr>
          <w:rFonts w:ascii="Times New Roman" w:hAnsi="Times New Roman" w:cs="Times New Roman"/>
          <w:color w:val="auto"/>
          <w:sz w:val="24"/>
          <w:lang w:val="en-US"/>
        </w:rPr>
        <w:t xml:space="preserve">    23</w:t>
      </w:r>
      <w:r>
        <w:rPr>
          <w:rFonts w:ascii="Times New Roman" w:hAnsi="Times New Roman" w:cs="Times New Roman"/>
          <w:color w:val="auto"/>
          <w:sz w:val="24"/>
        </w:rPr>
        <w:t>.</w:t>
      </w:r>
      <w:r>
        <w:rPr>
          <w:rFonts w:ascii="Times New Roman" w:hAnsi="Times New Roman" w:cs="Times New Roman"/>
          <w:color w:val="auto"/>
          <w:sz w:val="24"/>
          <w:lang w:val="en-US"/>
        </w:rPr>
        <w:t xml:space="preserve">5.1 </w:t>
      </w:r>
      <w:r>
        <w:rPr>
          <w:rFonts w:ascii="Times New Roman" w:cs="Times New Roman"/>
          <w:color w:val="auto"/>
          <w:sz w:val="24"/>
        </w:rPr>
        <w:t>开标后，采购人将组织对投标文件进行审查，</w:t>
      </w:r>
      <w:r>
        <w:rPr>
          <w:rFonts w:ascii="Times New Roman" w:cs="Times New Roman"/>
          <w:color w:val="auto"/>
          <w:sz w:val="24"/>
          <w:lang w:val="en-US"/>
        </w:rPr>
        <w:t>包括</w:t>
      </w:r>
      <w:r>
        <w:rPr>
          <w:rFonts w:ascii="Times New Roman" w:cs="Times New Roman"/>
          <w:color w:val="auto"/>
          <w:sz w:val="24"/>
        </w:rPr>
        <w:t>响应程度初步审查</w:t>
      </w:r>
      <w:r>
        <w:rPr>
          <w:rFonts w:ascii="Times New Roman" w:cs="Times New Roman"/>
          <w:color w:val="auto"/>
          <w:sz w:val="24"/>
          <w:lang w:val="en-US"/>
        </w:rPr>
        <w:t>阶段</w:t>
      </w:r>
      <w:r>
        <w:rPr>
          <w:rFonts w:ascii="Times New Roman" w:cs="Times New Roman"/>
          <w:color w:val="auto"/>
          <w:sz w:val="24"/>
        </w:rPr>
        <w:t>（</w:t>
      </w:r>
      <w:r>
        <w:rPr>
          <w:rFonts w:ascii="Times New Roman" w:cs="Times New Roman"/>
          <w:color w:val="auto"/>
          <w:sz w:val="24"/>
          <w:lang w:val="en-US"/>
        </w:rPr>
        <w:t>资格性审查和符合性审查）和</w:t>
      </w:r>
      <w:r>
        <w:rPr>
          <w:rFonts w:ascii="Times New Roman" w:cs="Times New Roman"/>
          <w:color w:val="auto"/>
          <w:sz w:val="24"/>
        </w:rPr>
        <w:t>技术商务</w:t>
      </w:r>
      <w:r>
        <w:rPr>
          <w:rFonts w:ascii="Times New Roman" w:cs="Times New Roman"/>
          <w:color w:val="auto"/>
          <w:sz w:val="24"/>
          <w:lang w:val="en-US"/>
        </w:rPr>
        <w:t>详细评审阶段；</w:t>
      </w:r>
      <w:r>
        <w:rPr>
          <w:rFonts w:ascii="Times New Roman" w:cs="Times New Roman"/>
          <w:color w:val="auto"/>
          <w:sz w:val="24"/>
        </w:rPr>
        <w:t>投标文件响应程度初步审查通过的投标企业，进入下一步详细评审阶段，未通过投标文件响应程度初步审查的企业，其投标作为无效标，不进入后期评审阶段；</w:t>
      </w:r>
      <w:r>
        <w:rPr>
          <w:rFonts w:ascii="Times New Roman" w:cs="Times New Roman"/>
          <w:color w:val="auto"/>
          <w:sz w:val="24"/>
          <w:lang w:val="en-US"/>
        </w:rPr>
        <w:t>具体评审详见</w:t>
      </w:r>
      <w:r>
        <w:rPr>
          <w:rFonts w:ascii="Times New Roman" w:cs="Times New Roman"/>
          <w:color w:val="auto"/>
          <w:sz w:val="24"/>
        </w:rPr>
        <w:t>投标文件《</w:t>
      </w:r>
      <w:r>
        <w:rPr>
          <w:rFonts w:hint="eastAsia" w:ascii="Times New Roman" w:cs="Times New Roman"/>
          <w:color w:val="auto"/>
          <w:sz w:val="24"/>
        </w:rPr>
        <w:t>投标文件初步审查表</w:t>
      </w:r>
      <w:r>
        <w:rPr>
          <w:rFonts w:ascii="Times New Roman" w:cs="Times New Roman"/>
          <w:color w:val="auto"/>
          <w:sz w:val="24"/>
        </w:rPr>
        <w:t>》、《</w:t>
      </w:r>
      <w:r>
        <w:rPr>
          <w:rFonts w:hint="eastAsia" w:ascii="Times New Roman" w:cs="Times New Roman"/>
          <w:color w:val="auto"/>
          <w:sz w:val="24"/>
          <w:lang w:val="en-US"/>
        </w:rPr>
        <w:t>详细评审</w:t>
      </w:r>
      <w:r>
        <w:rPr>
          <w:rFonts w:ascii="Times New Roman" w:cs="Times New Roman"/>
          <w:color w:val="auto"/>
          <w:sz w:val="24"/>
        </w:rPr>
        <w:t>明细表》。</w:t>
      </w:r>
    </w:p>
    <w:p w14:paraId="617073A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5.2 </w:t>
      </w:r>
      <w:r>
        <w:rPr>
          <w:rFonts w:ascii="Times New Roman" w:cs="Times New Roman"/>
          <w:color w:val="auto"/>
          <w:sz w:val="24"/>
        </w:rPr>
        <w:t>评标委员会将确定每一投标人是否对投标文件的要求做出了实质性响应，而没有重大偏离。实质性响应的投标是指符合</w:t>
      </w:r>
      <w:r>
        <w:rPr>
          <w:rFonts w:hint="eastAsia" w:ascii="Times New Roman" w:cs="Times New Roman"/>
          <w:color w:val="auto"/>
          <w:sz w:val="24"/>
        </w:rPr>
        <w:t>采购文件</w:t>
      </w:r>
      <w:r>
        <w:rPr>
          <w:rFonts w:ascii="Times New Roman" w:cs="Times New Roman"/>
          <w:color w:val="auto"/>
          <w:sz w:val="24"/>
        </w:rPr>
        <w:t>的所有条款、条件和规定且没有重大偏离和保留的投标。</w:t>
      </w:r>
    </w:p>
    <w:p w14:paraId="3A1A86C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5.3 </w:t>
      </w:r>
      <w:r>
        <w:rPr>
          <w:rFonts w:ascii="Times New Roman" w:cs="Times New Roman"/>
          <w:color w:val="auto"/>
          <w:sz w:val="24"/>
        </w:rPr>
        <w:t>评标委员会判断投标文件的响应性仅基于投标文件本身而不靠外部证据。</w:t>
      </w:r>
    </w:p>
    <w:p w14:paraId="47987F6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5.4 </w:t>
      </w:r>
      <w:r>
        <w:rPr>
          <w:rFonts w:ascii="Times New Roman" w:cs="Times New Roman"/>
          <w:color w:val="auto"/>
          <w:sz w:val="24"/>
        </w:rPr>
        <w:t>评标委员会将拒绝被确定为非实质性响应的投标。投标人不能通过修正或撤回不符合之处而使其投标成为实质性响应的投标。</w:t>
      </w:r>
    </w:p>
    <w:p w14:paraId="37D2E35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6 </w:t>
      </w:r>
      <w:r>
        <w:rPr>
          <w:rFonts w:ascii="Times New Roman" w:cs="Times New Roman"/>
          <w:color w:val="auto"/>
          <w:sz w:val="24"/>
        </w:rPr>
        <w:t>投标登记确认的审查</w:t>
      </w:r>
    </w:p>
    <w:p w14:paraId="05635D36">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6.1 </w:t>
      </w:r>
      <w:r>
        <w:rPr>
          <w:rFonts w:ascii="Times New Roman" w:cs="Times New Roman"/>
          <w:color w:val="auto"/>
          <w:sz w:val="24"/>
          <w:lang w:val="en-US"/>
        </w:rPr>
        <w:t>投标人应按</w:t>
      </w:r>
      <w:r>
        <w:rPr>
          <w:rFonts w:hint="eastAsia" w:ascii="Times New Roman" w:cs="Times New Roman"/>
          <w:color w:val="auto"/>
          <w:sz w:val="24"/>
          <w:lang w:val="en-US"/>
        </w:rPr>
        <w:t>采购文件</w:t>
      </w:r>
      <w:r>
        <w:rPr>
          <w:rFonts w:ascii="Times New Roman" w:cs="Times New Roman"/>
          <w:color w:val="auto"/>
          <w:sz w:val="24"/>
          <w:lang w:val="en-US"/>
        </w:rPr>
        <w:t>要求</w:t>
      </w:r>
      <w:r>
        <w:rPr>
          <w:rFonts w:hint="eastAsia" w:ascii="Times New Roman" w:cs="Times New Roman"/>
          <w:color w:val="auto"/>
          <w:sz w:val="24"/>
          <w:lang w:val="en-US"/>
        </w:rPr>
        <w:t>递交</w:t>
      </w:r>
      <w:r>
        <w:rPr>
          <w:rFonts w:ascii="Times New Roman" w:cs="Times New Roman"/>
          <w:color w:val="auto"/>
          <w:sz w:val="24"/>
          <w:lang w:val="en-US"/>
        </w:rPr>
        <w:t>投标文件，否则，其投标将直接被拒绝</w:t>
      </w:r>
      <w:r>
        <w:rPr>
          <w:rFonts w:ascii="Times New Roman" w:cs="Times New Roman"/>
          <w:color w:val="auto"/>
          <w:sz w:val="24"/>
        </w:rPr>
        <w:t>。</w:t>
      </w:r>
    </w:p>
    <w:p w14:paraId="0F9794D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6.2 </w:t>
      </w:r>
      <w:r>
        <w:rPr>
          <w:rFonts w:ascii="Times New Roman" w:cs="Times New Roman"/>
          <w:color w:val="auto"/>
          <w:sz w:val="24"/>
        </w:rPr>
        <w:t>在</w:t>
      </w:r>
      <w:r>
        <w:rPr>
          <w:rFonts w:hint="eastAsia" w:ascii="Times New Roman" w:cs="Times New Roman"/>
          <w:color w:val="auto"/>
          <w:sz w:val="24"/>
        </w:rPr>
        <w:t>采购文件</w:t>
      </w:r>
      <w:r>
        <w:rPr>
          <w:rFonts w:ascii="Times New Roman" w:cs="Times New Roman"/>
          <w:color w:val="auto"/>
          <w:sz w:val="24"/>
        </w:rPr>
        <w:t>及程序符合法律规定的前提下，对</w:t>
      </w:r>
      <w:r>
        <w:rPr>
          <w:rFonts w:hint="eastAsia" w:ascii="Times New Roman" w:cs="Times New Roman"/>
          <w:color w:val="auto"/>
          <w:sz w:val="24"/>
        </w:rPr>
        <w:t>采购文件</w:t>
      </w:r>
      <w:r>
        <w:rPr>
          <w:rFonts w:ascii="Times New Roman" w:cs="Times New Roman"/>
          <w:color w:val="auto"/>
          <w:sz w:val="24"/>
        </w:rPr>
        <w:t>做出实质性响应的供应商只有两家时，且是第一次开标，采购人应中止</w:t>
      </w:r>
      <w:r>
        <w:rPr>
          <w:rFonts w:hint="eastAsia" w:ascii="Times New Roman" w:cs="Times New Roman"/>
          <w:color w:val="auto"/>
          <w:sz w:val="24"/>
          <w:lang w:val="en-US"/>
        </w:rPr>
        <w:t>采购</w:t>
      </w:r>
      <w:r>
        <w:rPr>
          <w:rFonts w:ascii="Times New Roman" w:cs="Times New Roman"/>
          <w:color w:val="auto"/>
          <w:sz w:val="24"/>
        </w:rPr>
        <w:t>，重新组织采购；如果是第</w:t>
      </w:r>
      <w:r>
        <w:rPr>
          <w:rFonts w:hint="eastAsia" w:ascii="Times New Roman" w:cs="Times New Roman"/>
          <w:color w:val="auto"/>
          <w:sz w:val="24"/>
          <w:lang w:val="en-US"/>
        </w:rPr>
        <w:t>二</w:t>
      </w:r>
      <w:r>
        <w:rPr>
          <w:rFonts w:hint="eastAsia" w:ascii="Times New Roman" w:cs="Times New Roman"/>
          <w:color w:val="auto"/>
          <w:sz w:val="24"/>
        </w:rPr>
        <w:t>次</w:t>
      </w:r>
      <w:r>
        <w:rPr>
          <w:rFonts w:ascii="Times New Roman" w:cs="Times New Roman"/>
          <w:color w:val="auto"/>
          <w:sz w:val="24"/>
        </w:rPr>
        <w:t>开标，按照公开、公平和竞争的原则，采购人可以提出转竞争性谈判方式进行，</w:t>
      </w:r>
      <w:r>
        <w:rPr>
          <w:rFonts w:hint="eastAsia" w:ascii="Times New Roman" w:cs="Times New Roman"/>
          <w:color w:val="auto"/>
          <w:sz w:val="24"/>
          <w:lang w:val="en-US"/>
        </w:rPr>
        <w:t>经批准</w:t>
      </w:r>
      <w:r>
        <w:rPr>
          <w:rFonts w:ascii="Times New Roman" w:cs="Times New Roman"/>
          <w:color w:val="auto"/>
          <w:sz w:val="24"/>
        </w:rPr>
        <w:t>后，按批准后的采购方式继续开标。反之，则应直接作废标处理，并依法重新组织采购。</w:t>
      </w:r>
    </w:p>
    <w:p w14:paraId="16B62F2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6.3 </w:t>
      </w:r>
      <w:r>
        <w:rPr>
          <w:rFonts w:hint="eastAsia" w:ascii="Times New Roman" w:hAnsi="Times New Roman" w:cs="Times New Roman"/>
          <w:color w:val="auto"/>
          <w:sz w:val="24"/>
          <w:lang w:val="en-US"/>
        </w:rPr>
        <w:t>评审后</w:t>
      </w:r>
      <w:r>
        <w:rPr>
          <w:rFonts w:ascii="Times New Roman" w:cs="Times New Roman"/>
          <w:color w:val="auto"/>
          <w:sz w:val="24"/>
        </w:rPr>
        <w:t>如果合格供应商只有一家时，且是第一次开标，采购人应中止</w:t>
      </w:r>
      <w:r>
        <w:rPr>
          <w:rFonts w:hint="eastAsia" w:ascii="Times New Roman" w:cs="Times New Roman"/>
          <w:color w:val="auto"/>
          <w:sz w:val="24"/>
          <w:lang w:val="en-US"/>
        </w:rPr>
        <w:t>采购</w:t>
      </w:r>
      <w:r>
        <w:rPr>
          <w:rFonts w:ascii="Times New Roman" w:cs="Times New Roman"/>
          <w:color w:val="auto"/>
          <w:sz w:val="24"/>
        </w:rPr>
        <w:t>，重新组织采购；如果是第</w:t>
      </w:r>
      <w:r>
        <w:rPr>
          <w:rFonts w:hint="eastAsia" w:ascii="Times New Roman" w:cs="Times New Roman"/>
          <w:color w:val="auto"/>
          <w:sz w:val="24"/>
          <w:lang w:val="en-US"/>
        </w:rPr>
        <w:t>二</w:t>
      </w:r>
      <w:r>
        <w:rPr>
          <w:rFonts w:hint="eastAsia" w:ascii="Times New Roman" w:cs="Times New Roman"/>
          <w:color w:val="auto"/>
          <w:sz w:val="24"/>
        </w:rPr>
        <w:t>次</w:t>
      </w:r>
      <w:r>
        <w:rPr>
          <w:rFonts w:ascii="Times New Roman" w:cs="Times New Roman"/>
          <w:color w:val="auto"/>
          <w:sz w:val="24"/>
        </w:rPr>
        <w:t>开标，采购人和投标商既没有过不良行为记录，也不存在明显或恶意的投标倾向性行为，采购人可以申请单一来源方式采购，经批准后，按批准后的采购方式依法按程序组织采购。反之，则应直接作废标处理，并依法重新组织采购。</w:t>
      </w:r>
    </w:p>
    <w:p w14:paraId="3DBC566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7 </w:t>
      </w:r>
      <w:r>
        <w:rPr>
          <w:rFonts w:ascii="Times New Roman" w:cs="Times New Roman"/>
          <w:color w:val="auto"/>
          <w:sz w:val="24"/>
        </w:rPr>
        <w:t>评标前的意见征求</w:t>
      </w:r>
    </w:p>
    <w:p w14:paraId="2099255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7.1 </w:t>
      </w:r>
      <w:r>
        <w:rPr>
          <w:rFonts w:ascii="Times New Roman" w:cs="Times New Roman"/>
          <w:color w:val="auto"/>
          <w:sz w:val="24"/>
        </w:rPr>
        <w:t>严格在</w:t>
      </w:r>
      <w:r>
        <w:rPr>
          <w:rFonts w:hint="eastAsia" w:ascii="Times New Roman" w:cs="Times New Roman"/>
          <w:color w:val="auto"/>
          <w:sz w:val="24"/>
        </w:rPr>
        <w:t>采购文件</w:t>
      </w:r>
      <w:r>
        <w:rPr>
          <w:rFonts w:ascii="Times New Roman" w:cs="Times New Roman"/>
          <w:color w:val="auto"/>
          <w:sz w:val="24"/>
        </w:rPr>
        <w:t>的规定范围内，由采购人现场以书面的方式，征求采购人代表对本次评标委员会评标时应注意的事项及意见建议，并签字确认。</w:t>
      </w:r>
    </w:p>
    <w:p w14:paraId="7C3DF27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7.2 </w:t>
      </w:r>
      <w:r>
        <w:rPr>
          <w:rFonts w:ascii="Times New Roman" w:cs="Times New Roman"/>
          <w:color w:val="auto"/>
          <w:sz w:val="24"/>
        </w:rPr>
        <w:t>由采购人本次项目承办责任人严格按照</w:t>
      </w:r>
      <w:r>
        <w:rPr>
          <w:rFonts w:hint="eastAsia" w:ascii="Times New Roman" w:cs="Times New Roman"/>
          <w:color w:val="auto"/>
          <w:sz w:val="24"/>
        </w:rPr>
        <w:t>采购文件</w:t>
      </w:r>
      <w:r>
        <w:rPr>
          <w:rFonts w:ascii="Times New Roman" w:cs="Times New Roman"/>
          <w:color w:val="auto"/>
          <w:sz w:val="24"/>
        </w:rPr>
        <w:t>的规定范围，核实并提出是否采信的意见并签字确认。</w:t>
      </w:r>
    </w:p>
    <w:p w14:paraId="3C1F17C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23</w:t>
      </w:r>
      <w:r>
        <w:rPr>
          <w:rFonts w:ascii="Times New Roman" w:hAnsi="Times New Roman" w:cs="Times New Roman"/>
          <w:color w:val="auto"/>
          <w:sz w:val="24"/>
        </w:rPr>
        <w:t>.</w:t>
      </w:r>
      <w:r>
        <w:rPr>
          <w:rFonts w:ascii="Times New Roman" w:hAnsi="Times New Roman" w:cs="Times New Roman"/>
          <w:color w:val="auto"/>
          <w:sz w:val="24"/>
          <w:lang w:val="en-US"/>
        </w:rPr>
        <w:t xml:space="preserve">7.3 </w:t>
      </w:r>
      <w:r>
        <w:rPr>
          <w:rFonts w:ascii="Times New Roman" w:cs="Times New Roman"/>
          <w:color w:val="auto"/>
          <w:sz w:val="24"/>
        </w:rPr>
        <w:t>由采购人将可采信的上述意见建议，现场向评标委员会及成员提出可以予以采纳的决定。反之，则不予采纳。</w:t>
      </w:r>
    </w:p>
    <w:p w14:paraId="3938F771">
      <w:pPr>
        <w:pStyle w:val="4"/>
        <w:ind w:right="0"/>
        <w:rPr>
          <w:color w:val="auto"/>
          <w:sz w:val="24"/>
        </w:rPr>
      </w:pPr>
      <w:r>
        <w:rPr>
          <w:color w:val="auto"/>
          <w:sz w:val="24"/>
        </w:rPr>
        <w:t>第二章 评</w:t>
      </w:r>
      <w:r>
        <w:rPr>
          <w:color w:val="auto"/>
          <w:sz w:val="24"/>
        </w:rPr>
        <w:tab/>
      </w:r>
      <w:r>
        <w:rPr>
          <w:color w:val="auto"/>
          <w:sz w:val="24"/>
        </w:rPr>
        <w:t>标</w:t>
      </w:r>
    </w:p>
    <w:p w14:paraId="73FD6F4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 </w:t>
      </w:r>
      <w:r>
        <w:rPr>
          <w:rFonts w:ascii="Times New Roman" w:cs="Times New Roman"/>
          <w:color w:val="auto"/>
          <w:sz w:val="24"/>
        </w:rPr>
        <w:t>开标报价</w:t>
      </w:r>
    </w:p>
    <w:p w14:paraId="347F2D4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1 </w:t>
      </w:r>
      <w:r>
        <w:rPr>
          <w:rFonts w:ascii="Times New Roman" w:cs="Times New Roman"/>
          <w:color w:val="auto"/>
          <w:sz w:val="24"/>
        </w:rPr>
        <w:t>评标依据</w:t>
      </w:r>
    </w:p>
    <w:p w14:paraId="0BCD3B42">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1.1 </w:t>
      </w:r>
      <w:r>
        <w:rPr>
          <w:rFonts w:hint="eastAsia" w:ascii="Times New Roman" w:cs="Times New Roman"/>
          <w:color w:val="auto"/>
          <w:sz w:val="24"/>
        </w:rPr>
        <w:t>采购文件</w:t>
      </w:r>
      <w:r>
        <w:rPr>
          <w:rFonts w:ascii="Times New Roman" w:cs="Times New Roman"/>
          <w:color w:val="auto"/>
          <w:sz w:val="24"/>
        </w:rPr>
        <w:t>是评标的唯一依据。评标委员会评标要依据采购人的</w:t>
      </w:r>
      <w:r>
        <w:rPr>
          <w:rFonts w:hint="eastAsia" w:ascii="Times New Roman" w:cs="Times New Roman"/>
          <w:color w:val="auto"/>
          <w:sz w:val="24"/>
        </w:rPr>
        <w:t>采购文件</w:t>
      </w:r>
      <w:r>
        <w:rPr>
          <w:rFonts w:ascii="Times New Roman" w:cs="Times New Roman"/>
          <w:color w:val="auto"/>
          <w:sz w:val="24"/>
        </w:rPr>
        <w:t>和投标人的投标文件进行比较与评标。</w:t>
      </w:r>
    </w:p>
    <w:p w14:paraId="352D2B4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1.2 </w:t>
      </w:r>
      <w:r>
        <w:rPr>
          <w:rFonts w:hint="eastAsia" w:ascii="Times New Roman" w:cs="Times New Roman"/>
          <w:color w:val="auto"/>
          <w:sz w:val="24"/>
        </w:rPr>
        <w:t>采购文件</w:t>
      </w:r>
      <w:r>
        <w:rPr>
          <w:rFonts w:ascii="Times New Roman" w:cs="Times New Roman"/>
          <w:color w:val="auto"/>
          <w:sz w:val="24"/>
        </w:rPr>
        <w:t>中的主要产品</w:t>
      </w:r>
      <w:r>
        <w:rPr>
          <w:rFonts w:hint="eastAsia" w:ascii="Times New Roman" w:cs="Times New Roman"/>
          <w:color w:val="auto"/>
          <w:sz w:val="24"/>
        </w:rPr>
        <w:t>（核心产品）</w:t>
      </w:r>
      <w:r>
        <w:rPr>
          <w:rFonts w:ascii="Times New Roman" w:cs="Times New Roman"/>
          <w:color w:val="auto"/>
          <w:sz w:val="24"/>
        </w:rPr>
        <w:t>，提供相同品牌产品且通过资格审查、符合性审查的不同投标人，按一家投标人计算，评审后得分最高的同品牌投标人获得中标人推荐资格。</w:t>
      </w:r>
    </w:p>
    <w:p w14:paraId="5AE87E4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1.3 </w:t>
      </w:r>
      <w:r>
        <w:rPr>
          <w:rFonts w:ascii="Times New Roman" w:cs="Times New Roman"/>
          <w:color w:val="auto"/>
          <w:sz w:val="24"/>
        </w:rPr>
        <w:t>当发现投标人的投标文件有以下情形时，将认定为有串标嫌疑而对其予以废标：总报价相近，但其中分项报价不合理，且没有合理解释的；总报价相近，</w:t>
      </w:r>
      <w:r>
        <w:rPr>
          <w:rFonts w:ascii="Times New Roman" w:hAnsi="Times New Roman" w:cs="Times New Roman"/>
          <w:color w:val="auto"/>
          <w:sz w:val="24"/>
        </w:rPr>
        <w:t xml:space="preserve"> </w:t>
      </w:r>
      <w:r>
        <w:rPr>
          <w:rFonts w:ascii="Times New Roman" w:cs="Times New Roman"/>
          <w:color w:val="auto"/>
          <w:sz w:val="24"/>
        </w:rPr>
        <w:t>且其中款项报价雷同，又提不出计算依据的；总报价相近，数项子目单价完全相同，</w:t>
      </w:r>
      <w:r>
        <w:rPr>
          <w:rFonts w:ascii="Times New Roman" w:hAnsi="Times New Roman" w:cs="Times New Roman"/>
          <w:color w:val="auto"/>
          <w:sz w:val="24"/>
        </w:rPr>
        <w:t xml:space="preserve"> </w:t>
      </w:r>
      <w:r>
        <w:rPr>
          <w:rFonts w:ascii="Times New Roman" w:cs="Times New Roman"/>
          <w:color w:val="auto"/>
          <w:sz w:val="24"/>
        </w:rPr>
        <w:t>且提不出合理的单价组成的；总报价相近，主要材料设备价格极其相近的；总价相</w:t>
      </w:r>
      <w:r>
        <w:rPr>
          <w:color w:val="auto"/>
        </w:rPr>
        <w:fldChar w:fldCharType="begin"/>
      </w:r>
      <w:r>
        <w:rPr>
          <w:color w:val="auto"/>
        </w:rPr>
        <w:instrText xml:space="preserve"> HYPERLINK "http://www.shenmeshi.com/Education/Education_20070429223431.html" \h </w:instrText>
      </w:r>
      <w:r>
        <w:rPr>
          <w:color w:val="auto"/>
        </w:rPr>
        <w:fldChar w:fldCharType="separate"/>
      </w:r>
      <w:r>
        <w:rPr>
          <w:rFonts w:ascii="Times New Roman" w:cs="Times New Roman"/>
          <w:color w:val="auto"/>
          <w:sz w:val="24"/>
        </w:rPr>
        <w:t>同，没有成本分析</w:t>
      </w:r>
      <w:r>
        <w:rPr>
          <w:rFonts w:ascii="Times New Roman" w:cs="Times New Roman"/>
          <w:color w:val="auto"/>
          <w:sz w:val="24"/>
        </w:rPr>
        <w:fldChar w:fldCharType="end"/>
      </w:r>
      <w:r>
        <w:rPr>
          <w:rFonts w:ascii="Times New Roman" w:cs="Times New Roman"/>
          <w:color w:val="auto"/>
          <w:sz w:val="24"/>
        </w:rPr>
        <w:t>，分项乱调的；几个投标人的</w:t>
      </w:r>
      <w:r>
        <w:rPr>
          <w:color w:val="auto"/>
        </w:rPr>
        <w:fldChar w:fldCharType="begin"/>
      </w:r>
      <w:r>
        <w:rPr>
          <w:color w:val="auto"/>
        </w:rPr>
        <w:instrText xml:space="preserve"> HYPERLINK "http://www.shenmeshi.com/Science/Index.html" \h </w:instrText>
      </w:r>
      <w:r>
        <w:rPr>
          <w:color w:val="auto"/>
        </w:rPr>
        <w:fldChar w:fldCharType="separate"/>
      </w:r>
      <w:r>
        <w:rPr>
          <w:rFonts w:ascii="Times New Roman" w:cs="Times New Roman"/>
          <w:color w:val="auto"/>
          <w:sz w:val="24"/>
        </w:rPr>
        <w:t>技术</w:t>
      </w:r>
      <w:r>
        <w:rPr>
          <w:rFonts w:ascii="Times New Roman" w:cs="Times New Roman"/>
          <w:color w:val="auto"/>
          <w:sz w:val="24"/>
        </w:rPr>
        <w:fldChar w:fldCharType="end"/>
      </w:r>
      <w:r>
        <w:rPr>
          <w:rFonts w:ascii="Times New Roman" w:cs="Times New Roman"/>
          <w:color w:val="auto"/>
          <w:sz w:val="24"/>
        </w:rPr>
        <w:t>标都雷同的。</w:t>
      </w:r>
    </w:p>
    <w:p w14:paraId="76D121B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1.4 </w:t>
      </w:r>
      <w:r>
        <w:rPr>
          <w:rFonts w:ascii="Times New Roman" w:cs="Times New Roman"/>
          <w:color w:val="auto"/>
          <w:sz w:val="24"/>
        </w:rPr>
        <w:t>本次评标采取</w:t>
      </w:r>
      <w:r>
        <w:rPr>
          <w:rFonts w:hint="eastAsia" w:ascii="Times New Roman" w:cs="Times New Roman"/>
          <w:color w:val="auto"/>
          <w:sz w:val="24"/>
        </w:rPr>
        <w:t>综合评分法</w:t>
      </w:r>
      <w:r>
        <w:rPr>
          <w:rFonts w:ascii="Times New Roman" w:cs="Times New Roman"/>
          <w:color w:val="auto"/>
          <w:sz w:val="24"/>
        </w:rPr>
        <w:t>。</w:t>
      </w:r>
    </w:p>
    <w:p w14:paraId="7AABB80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2 </w:t>
      </w:r>
      <w:r>
        <w:rPr>
          <w:rFonts w:ascii="Times New Roman" w:cs="Times New Roman"/>
          <w:color w:val="auto"/>
          <w:sz w:val="24"/>
        </w:rPr>
        <w:t>评标过程的保密性</w:t>
      </w:r>
    </w:p>
    <w:p w14:paraId="59688AC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2.1  </w:t>
      </w:r>
      <w:r>
        <w:rPr>
          <w:rFonts w:ascii="Times New Roman" w:cs="Times New Roman"/>
          <w:color w:val="auto"/>
          <w:sz w:val="24"/>
        </w:rPr>
        <w:t>所有与本次招标及评标有关的人员，均不得向供应商及与招标项目无关的其他人员，透露与评标有关的资料以及授予合同的意见等。</w:t>
      </w:r>
    </w:p>
    <w:p w14:paraId="6812DD6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2.2 </w:t>
      </w:r>
      <w:r>
        <w:rPr>
          <w:rFonts w:ascii="Times New Roman" w:cs="Times New Roman"/>
          <w:color w:val="auto"/>
          <w:sz w:val="24"/>
        </w:rPr>
        <w:t>在评标过程中，供应商试图在投标文件审查、报价、询标（答疑）、</w:t>
      </w:r>
    </w:p>
    <w:p w14:paraId="5EA73881">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澄清、比较及授予合同方面向采购人员施加影响的任何行为，都可能导致其投标文件被拒绝。</w:t>
      </w:r>
    </w:p>
    <w:p w14:paraId="16103A2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2.3 </w:t>
      </w:r>
      <w:r>
        <w:rPr>
          <w:rFonts w:ascii="Times New Roman" w:cs="Times New Roman"/>
          <w:color w:val="auto"/>
          <w:sz w:val="24"/>
        </w:rPr>
        <w:t>开标后直到授予投标人合同为止，凡是属于审查、报价、询标（答疑）、澄清、评价和比较的有关资料以及授标建议等，评标委员会成员或参与评标的有关工作人员均不得向投标人或其他无关的人员透露，违者给予警告、取消担任评标委员会成员的资格，不得再参加任何投标项目的评标。</w:t>
      </w:r>
    </w:p>
    <w:p w14:paraId="30184F7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2.4 </w:t>
      </w:r>
      <w:r>
        <w:rPr>
          <w:rFonts w:ascii="Times New Roman" w:cs="Times New Roman"/>
          <w:color w:val="auto"/>
          <w:sz w:val="24"/>
        </w:rPr>
        <w:t>投标人在评标过程中，所进行的力图影响评标结果的不符合《政府采购法》及本次招标有关规定的活动，将被取消中标资格。</w:t>
      </w:r>
    </w:p>
    <w:p w14:paraId="520D6B2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 </w:t>
      </w:r>
      <w:r>
        <w:rPr>
          <w:rFonts w:ascii="Times New Roman" w:cs="Times New Roman"/>
          <w:color w:val="auto"/>
          <w:sz w:val="24"/>
        </w:rPr>
        <w:t>评标有关规定要求</w:t>
      </w:r>
    </w:p>
    <w:p w14:paraId="57BCAB8F">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3.1 </w:t>
      </w:r>
      <w:r>
        <w:rPr>
          <w:rFonts w:ascii="Times New Roman" w:cs="Times New Roman"/>
          <w:color w:val="auto"/>
          <w:sz w:val="24"/>
        </w:rPr>
        <w:t>参加本次评标的专家成员及其他与会人员</w:t>
      </w:r>
      <w:r>
        <w:rPr>
          <w:rFonts w:ascii="Times New Roman" w:cs="Times New Roman"/>
          <w:color w:val="auto"/>
          <w:sz w:val="24"/>
          <w:lang w:val="en-US"/>
        </w:rPr>
        <w:t>应</w:t>
      </w:r>
      <w:r>
        <w:rPr>
          <w:rFonts w:ascii="Times New Roman" w:cs="Times New Roman"/>
          <w:color w:val="auto"/>
          <w:sz w:val="24"/>
        </w:rPr>
        <w:t>严格遵守前款</w:t>
      </w:r>
      <w:r>
        <w:rPr>
          <w:rFonts w:ascii="Times New Roman" w:hAnsi="Times New Roman" w:cs="Times New Roman"/>
          <w:color w:val="auto"/>
          <w:sz w:val="24"/>
        </w:rPr>
        <w:t>“</w:t>
      </w:r>
      <w:r>
        <w:rPr>
          <w:rFonts w:ascii="Times New Roman" w:cs="Times New Roman"/>
          <w:color w:val="auto"/>
          <w:sz w:val="24"/>
        </w:rPr>
        <w:t>第三部分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10.</w:t>
      </w:r>
      <w:r>
        <w:rPr>
          <w:rFonts w:ascii="Times New Roman" w:hAnsi="Times New Roman" w:cs="Times New Roman"/>
          <w:color w:val="auto"/>
          <w:sz w:val="24"/>
          <w:lang w:val="en-US"/>
        </w:rPr>
        <w:t>4</w:t>
      </w:r>
      <w:r>
        <w:rPr>
          <w:rFonts w:ascii="Times New Roman" w:cs="Times New Roman"/>
          <w:color w:val="auto"/>
          <w:sz w:val="24"/>
        </w:rPr>
        <w:t>条款之规定进行评标。</w:t>
      </w:r>
    </w:p>
    <w:p w14:paraId="2280F53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3.2 </w:t>
      </w:r>
      <w:r>
        <w:rPr>
          <w:rFonts w:ascii="Times New Roman" w:cs="Times New Roman"/>
          <w:color w:val="auto"/>
          <w:sz w:val="24"/>
        </w:rPr>
        <w:t>评标、报价、询标（答疑）、澄清应按照投标人递交投标文件的正顺序进行。</w:t>
      </w:r>
    </w:p>
    <w:p w14:paraId="32FB09E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3.3 </w:t>
      </w:r>
      <w:r>
        <w:rPr>
          <w:rFonts w:ascii="Times New Roman" w:cs="Times New Roman"/>
          <w:color w:val="auto"/>
          <w:sz w:val="24"/>
        </w:rPr>
        <w:t>评标委员会成员和与本次评标活动有关的工作人员，应遵循前款</w:t>
      </w:r>
      <w:r>
        <w:rPr>
          <w:rFonts w:ascii="Times New Roman" w:hAnsi="Times New Roman" w:cs="Times New Roman"/>
          <w:color w:val="auto"/>
          <w:sz w:val="24"/>
        </w:rPr>
        <w:t>“</w:t>
      </w:r>
      <w:r>
        <w:rPr>
          <w:rFonts w:ascii="Times New Roman" w:cs="Times New Roman"/>
          <w:color w:val="auto"/>
          <w:sz w:val="24"/>
        </w:rPr>
        <w:t>第四部分</w:t>
      </w:r>
      <w:r>
        <w:rPr>
          <w:rFonts w:ascii="Times New Roman" w:hAnsi="Times New Roman" w:cs="Times New Roman"/>
          <w:color w:val="auto"/>
          <w:sz w:val="24"/>
        </w:rPr>
        <w:t>”“</w:t>
      </w:r>
      <w:r>
        <w:rPr>
          <w:rFonts w:ascii="Times New Roman" w:cs="Times New Roman"/>
          <w:color w:val="auto"/>
          <w:sz w:val="24"/>
        </w:rPr>
        <w:t>第四章</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 xml:space="preserve"> 21 </w:t>
      </w:r>
      <w:r>
        <w:rPr>
          <w:rFonts w:ascii="Times New Roman" w:cs="Times New Roman"/>
          <w:color w:val="auto"/>
          <w:sz w:val="24"/>
        </w:rPr>
        <w:t>条款和</w:t>
      </w:r>
      <w:r>
        <w:rPr>
          <w:rFonts w:ascii="Times New Roman" w:hAnsi="Times New Roman" w:cs="Times New Roman"/>
          <w:color w:val="auto"/>
          <w:sz w:val="24"/>
        </w:rPr>
        <w:t xml:space="preserve"> 22.</w:t>
      </w:r>
      <w:r>
        <w:rPr>
          <w:rFonts w:ascii="Times New Roman" w:cs="Times New Roman"/>
          <w:color w:val="auto"/>
          <w:sz w:val="24"/>
        </w:rPr>
        <w:t>条款之规定。</w:t>
      </w:r>
    </w:p>
    <w:p w14:paraId="1AC71F3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3.4 </w:t>
      </w:r>
      <w:r>
        <w:rPr>
          <w:rFonts w:ascii="Times New Roman" w:cs="Times New Roman"/>
          <w:color w:val="auto"/>
          <w:sz w:val="24"/>
        </w:rPr>
        <w:t>评标现场凡供应商提供所涉及的投标资料，严格按照前款</w:t>
      </w:r>
      <w:r>
        <w:rPr>
          <w:rFonts w:ascii="Times New Roman" w:hAnsi="Times New Roman" w:cs="Times New Roman"/>
          <w:color w:val="auto"/>
          <w:sz w:val="24"/>
        </w:rPr>
        <w:t>“</w:t>
      </w:r>
      <w:r>
        <w:rPr>
          <w:rFonts w:ascii="Times New Roman" w:cs="Times New Roman"/>
          <w:color w:val="auto"/>
          <w:sz w:val="24"/>
        </w:rPr>
        <w:t>第三部分</w:t>
      </w:r>
      <w:r>
        <w:rPr>
          <w:rFonts w:ascii="Times New Roman" w:hAnsi="Times New Roman" w:cs="Times New Roman"/>
          <w:color w:val="auto"/>
          <w:sz w:val="24"/>
        </w:rPr>
        <w:t xml:space="preserve">” </w:t>
      </w:r>
      <w:r>
        <w:rPr>
          <w:rFonts w:ascii="Times New Roman" w:cs="Times New Roman"/>
          <w:color w:val="auto"/>
          <w:sz w:val="24"/>
        </w:rPr>
        <w:t>中</w:t>
      </w:r>
      <w:r>
        <w:rPr>
          <w:rFonts w:ascii="Times New Roman" w:hAnsi="Times New Roman" w:cs="Times New Roman"/>
          <w:color w:val="auto"/>
          <w:sz w:val="24"/>
        </w:rPr>
        <w:t xml:space="preserve"> 10.4 </w:t>
      </w:r>
      <w:r>
        <w:rPr>
          <w:rFonts w:ascii="Times New Roman" w:cs="Times New Roman"/>
          <w:color w:val="auto"/>
          <w:sz w:val="24"/>
        </w:rPr>
        <w:t>条款执行。</w:t>
      </w:r>
    </w:p>
    <w:p w14:paraId="44CF531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3.5 </w:t>
      </w:r>
      <w:r>
        <w:rPr>
          <w:rFonts w:ascii="Times New Roman" w:cs="Times New Roman"/>
          <w:color w:val="auto"/>
          <w:sz w:val="24"/>
        </w:rPr>
        <w:t>采购人要对当事双方的评标、报价、询标（答疑）、澄清等，做好书面记录，经评标委员会、投标人确认的记录与</w:t>
      </w:r>
      <w:r>
        <w:rPr>
          <w:rFonts w:hint="eastAsia" w:ascii="Times New Roman" w:cs="Times New Roman"/>
          <w:color w:val="auto"/>
          <w:sz w:val="24"/>
        </w:rPr>
        <w:t>采购文件</w:t>
      </w:r>
      <w:r>
        <w:rPr>
          <w:rFonts w:ascii="Times New Roman" w:cs="Times New Roman"/>
          <w:color w:val="auto"/>
          <w:sz w:val="24"/>
        </w:rPr>
        <w:t>、投标人投标文件具有同等法律地位；也是供应商一旦中标后，与采购人签订中标合同和发生质疑或投诉事项时的重要法律依据。</w:t>
      </w:r>
    </w:p>
    <w:p w14:paraId="3CB23FB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3.6 </w:t>
      </w:r>
      <w:r>
        <w:rPr>
          <w:rFonts w:ascii="Times New Roman" w:cs="Times New Roman"/>
          <w:color w:val="auto"/>
          <w:sz w:val="24"/>
        </w:rPr>
        <w:t>评标委员会各成员应在采购人规定时间内阅读和熟悉</w:t>
      </w:r>
      <w:r>
        <w:rPr>
          <w:rFonts w:hint="eastAsia" w:ascii="Times New Roman" w:cs="Times New Roman"/>
          <w:color w:val="auto"/>
          <w:sz w:val="24"/>
        </w:rPr>
        <w:t>采购文件</w:t>
      </w:r>
      <w:r>
        <w:rPr>
          <w:rFonts w:ascii="Times New Roman" w:cs="Times New Roman"/>
          <w:color w:val="auto"/>
          <w:sz w:val="24"/>
        </w:rPr>
        <w:t>，当要提出</w:t>
      </w:r>
      <w:r>
        <w:rPr>
          <w:rFonts w:hint="eastAsia" w:ascii="Times New Roman" w:cs="Times New Roman"/>
          <w:color w:val="auto"/>
          <w:sz w:val="24"/>
        </w:rPr>
        <w:t>采购文件</w:t>
      </w:r>
      <w:r>
        <w:rPr>
          <w:rFonts w:ascii="Times New Roman" w:cs="Times New Roman"/>
          <w:color w:val="auto"/>
          <w:sz w:val="24"/>
        </w:rPr>
        <w:t>疑问事项时，应由采购人本次招标项目的责任人作为主体解答者，解答不清的，由会议主持进行补充解答。</w:t>
      </w:r>
    </w:p>
    <w:p w14:paraId="5FF8E22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 </w:t>
      </w:r>
      <w:r>
        <w:rPr>
          <w:rFonts w:ascii="Times New Roman" w:cs="Times New Roman"/>
          <w:color w:val="auto"/>
          <w:sz w:val="24"/>
        </w:rPr>
        <w:t>报价</w:t>
      </w:r>
    </w:p>
    <w:p w14:paraId="7734152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 </w:t>
      </w:r>
      <w:r>
        <w:rPr>
          <w:rFonts w:ascii="Times New Roman" w:cs="Times New Roman"/>
          <w:color w:val="auto"/>
          <w:sz w:val="24"/>
        </w:rPr>
        <w:t>投标报价的审查和原则要求</w:t>
      </w:r>
    </w:p>
    <w:p w14:paraId="66835B7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4.1.1 </w:t>
      </w:r>
      <w:r>
        <w:rPr>
          <w:rFonts w:ascii="Times New Roman" w:cs="Times New Roman"/>
          <w:color w:val="auto"/>
          <w:sz w:val="24"/>
        </w:rPr>
        <w:t>采购人应须对评标委员会确定为实质上响应</w:t>
      </w:r>
      <w:r>
        <w:rPr>
          <w:rFonts w:hint="eastAsia" w:ascii="Times New Roman" w:cs="Times New Roman"/>
          <w:color w:val="auto"/>
          <w:sz w:val="24"/>
        </w:rPr>
        <w:t>采购文件</w:t>
      </w:r>
      <w:r>
        <w:rPr>
          <w:rFonts w:ascii="Times New Roman" w:cs="Times New Roman"/>
          <w:color w:val="auto"/>
          <w:sz w:val="24"/>
        </w:rPr>
        <w:t>要求的投标文件中的价格进行审核，检查看其是否有计算和累加上的错误。</w:t>
      </w:r>
    </w:p>
    <w:p w14:paraId="6210B3C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4.1.2 </w:t>
      </w:r>
      <w:r>
        <w:rPr>
          <w:rFonts w:ascii="Times New Roman" w:cs="Times New Roman"/>
          <w:color w:val="auto"/>
          <w:sz w:val="24"/>
        </w:rPr>
        <w:t>修正错误的原则。如大写金额与小写金额不一致的，以大写金额为准；总价金额与按单价汇总金额不一致的，以单价金额计算结果为准；单价金额小数点有明显错位的，以总价为准，并修改单价；对不同文字文本投标文件的解释发生异议的，以中文文本为准。按上述原则调整后的价格为评标价，对供应商具有约束力。如果供应商不接受修正后的价格，则其报价将被拒绝，其投标报价保证金将被没收。</w:t>
      </w:r>
    </w:p>
    <w:p w14:paraId="63C3839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4.1.3 </w:t>
      </w:r>
      <w:r>
        <w:rPr>
          <w:rFonts w:ascii="Times New Roman" w:cs="Times New Roman"/>
          <w:color w:val="auto"/>
          <w:sz w:val="24"/>
          <w:lang w:val="en-US"/>
        </w:rPr>
        <w:t>开标时进行</w:t>
      </w:r>
      <w:r>
        <w:rPr>
          <w:rFonts w:ascii="Times New Roman" w:cs="Times New Roman"/>
          <w:color w:val="auto"/>
          <w:sz w:val="24"/>
        </w:rPr>
        <w:t>公开唱标</w:t>
      </w:r>
      <w:r>
        <w:rPr>
          <w:rFonts w:ascii="Times New Roman" w:cs="Times New Roman"/>
          <w:color w:val="auto"/>
          <w:sz w:val="24"/>
          <w:lang w:val="en-US"/>
        </w:rPr>
        <w:t>并由各投标人进行确认</w:t>
      </w:r>
      <w:r>
        <w:rPr>
          <w:rFonts w:ascii="Times New Roman" w:cs="Times New Roman"/>
          <w:color w:val="auto"/>
          <w:sz w:val="24"/>
        </w:rPr>
        <w:t>；报价采用一次性报价方式，不接受</w:t>
      </w:r>
      <w:r>
        <w:rPr>
          <w:rFonts w:hint="eastAsia" w:ascii="Times New Roman" w:cs="Times New Roman"/>
          <w:color w:val="auto"/>
          <w:sz w:val="24"/>
          <w:lang w:val="en-US"/>
        </w:rPr>
        <w:t>二</w:t>
      </w:r>
      <w:r>
        <w:rPr>
          <w:rFonts w:hint="eastAsia" w:ascii="Times New Roman" w:cs="Times New Roman"/>
          <w:color w:val="auto"/>
          <w:sz w:val="24"/>
        </w:rPr>
        <w:t>次</w:t>
      </w:r>
      <w:r>
        <w:rPr>
          <w:rFonts w:ascii="Times New Roman" w:cs="Times New Roman"/>
          <w:color w:val="auto"/>
          <w:sz w:val="24"/>
        </w:rPr>
        <w:t>提供，否则，将直接取消其投标报价资格。</w:t>
      </w:r>
    </w:p>
    <w:p w14:paraId="07F6784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4.1.4 </w:t>
      </w:r>
      <w:r>
        <w:rPr>
          <w:rFonts w:ascii="Times New Roman" w:cs="Times New Roman"/>
          <w:color w:val="auto"/>
          <w:sz w:val="24"/>
        </w:rPr>
        <w:t>投标人的报价均应报出拟提供货物的单价和总价。</w:t>
      </w:r>
    </w:p>
    <w:p w14:paraId="10995BE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4.1.5 </w:t>
      </w:r>
      <w:r>
        <w:rPr>
          <w:rFonts w:ascii="Times New Roman" w:cs="Times New Roman"/>
          <w:color w:val="auto"/>
          <w:sz w:val="24"/>
        </w:rPr>
        <w:t>各投标人须</w:t>
      </w:r>
      <w:r>
        <w:rPr>
          <w:rFonts w:ascii="Times New Roman" w:cs="Times New Roman"/>
          <w:color w:val="auto"/>
          <w:sz w:val="24"/>
          <w:lang w:val="en-US"/>
        </w:rPr>
        <w:t>在</w:t>
      </w:r>
      <w:r>
        <w:rPr>
          <w:rFonts w:ascii="Times New Roman" w:cs="Times New Roman"/>
          <w:color w:val="auto"/>
          <w:sz w:val="24"/>
        </w:rPr>
        <w:t>采购人规定的时间</w:t>
      </w:r>
      <w:r>
        <w:rPr>
          <w:rFonts w:ascii="Times New Roman" w:cs="Times New Roman"/>
          <w:color w:val="auto"/>
          <w:sz w:val="24"/>
          <w:lang w:val="en-US"/>
        </w:rPr>
        <w:t>内</w:t>
      </w:r>
      <w:r>
        <w:rPr>
          <w:rFonts w:ascii="Times New Roman" w:cs="Times New Roman"/>
          <w:color w:val="auto"/>
          <w:sz w:val="24"/>
        </w:rPr>
        <w:t>进行报价，严格遵守前款</w:t>
      </w:r>
      <w:r>
        <w:rPr>
          <w:rFonts w:ascii="Times New Roman" w:hAnsi="Times New Roman" w:cs="Times New Roman"/>
          <w:color w:val="auto"/>
          <w:sz w:val="24"/>
        </w:rPr>
        <w:t>“</w:t>
      </w:r>
      <w:r>
        <w:rPr>
          <w:rFonts w:ascii="Times New Roman" w:cs="Times New Roman"/>
          <w:color w:val="auto"/>
          <w:sz w:val="24"/>
        </w:rPr>
        <w:t>第三部分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10.</w:t>
      </w:r>
      <w:r>
        <w:rPr>
          <w:rFonts w:ascii="Times New Roman" w:hAnsi="Times New Roman" w:cs="Times New Roman"/>
          <w:color w:val="auto"/>
          <w:sz w:val="24"/>
          <w:lang w:val="en-US"/>
        </w:rPr>
        <w:t>6</w:t>
      </w:r>
      <w:r>
        <w:rPr>
          <w:rFonts w:ascii="Times New Roman" w:cs="Times New Roman"/>
          <w:color w:val="auto"/>
          <w:sz w:val="24"/>
        </w:rPr>
        <w:t>条款之规定。</w:t>
      </w:r>
    </w:p>
    <w:p w14:paraId="1A6FABD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4.2 </w:t>
      </w:r>
      <w:r>
        <w:rPr>
          <w:rFonts w:ascii="Times New Roman" w:cs="Times New Roman"/>
          <w:color w:val="auto"/>
          <w:sz w:val="24"/>
        </w:rPr>
        <w:t>唱标、记标</w:t>
      </w:r>
    </w:p>
    <w:p w14:paraId="38790A36">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4.2.1 </w:t>
      </w:r>
      <w:r>
        <w:rPr>
          <w:rFonts w:ascii="Times New Roman" w:cs="Times New Roman"/>
          <w:color w:val="auto"/>
          <w:sz w:val="24"/>
        </w:rPr>
        <w:t>采购人对投标报价登记确认、资格资质审查合格，及对</w:t>
      </w:r>
      <w:r>
        <w:rPr>
          <w:rFonts w:hint="eastAsia" w:ascii="Times New Roman" w:cs="Times New Roman"/>
          <w:color w:val="auto"/>
          <w:sz w:val="24"/>
        </w:rPr>
        <w:t>采购文件</w:t>
      </w:r>
      <w:r>
        <w:rPr>
          <w:rFonts w:ascii="Times New Roman" w:cs="Times New Roman"/>
          <w:color w:val="auto"/>
          <w:sz w:val="24"/>
        </w:rPr>
        <w:t>做出实质性响应的供应商的报价，要给予每个正在参加评标的供应商相同的机会，并对报价采取公开的方式，按照供应商</w:t>
      </w:r>
      <w:r>
        <w:rPr>
          <w:rFonts w:hint="eastAsia" w:ascii="Times New Roman" w:cs="Times New Roman"/>
          <w:color w:val="auto"/>
          <w:sz w:val="24"/>
        </w:rPr>
        <w:t>现场</w:t>
      </w:r>
      <w:r>
        <w:rPr>
          <w:rFonts w:ascii="Times New Roman" w:cs="Times New Roman"/>
          <w:color w:val="auto"/>
          <w:sz w:val="24"/>
        </w:rPr>
        <w:t>递交投标文件的正顺序，采取书面记录方式，在</w:t>
      </w:r>
      <w:r>
        <w:rPr>
          <w:rFonts w:hint="eastAsia" w:ascii="Times New Roman" w:cs="Times New Roman"/>
          <w:color w:val="auto"/>
          <w:sz w:val="24"/>
        </w:rPr>
        <w:t>现场</w:t>
      </w:r>
      <w:r>
        <w:rPr>
          <w:rFonts w:ascii="Times New Roman" w:cs="Times New Roman"/>
          <w:color w:val="auto"/>
          <w:sz w:val="24"/>
        </w:rPr>
        <w:t>开标现场当场进行唱标公布。该报价只允许有一个报价，投标人任何有选择性的报价将不予接受。</w:t>
      </w:r>
    </w:p>
    <w:p w14:paraId="0D556A0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4.2.2 </w:t>
      </w:r>
      <w:r>
        <w:rPr>
          <w:rFonts w:ascii="Times New Roman" w:cs="Times New Roman"/>
          <w:color w:val="auto"/>
          <w:sz w:val="24"/>
        </w:rPr>
        <w:t>报价以供应商提交的投标文件中</w:t>
      </w:r>
      <w:r>
        <w:rPr>
          <w:rFonts w:ascii="Times New Roman" w:hAnsi="Times New Roman" w:cs="Times New Roman"/>
          <w:color w:val="auto"/>
          <w:sz w:val="24"/>
        </w:rPr>
        <w:t>“</w:t>
      </w:r>
      <w:r>
        <w:rPr>
          <w:rFonts w:ascii="Times New Roman" w:cs="Times New Roman"/>
          <w:color w:val="auto"/>
          <w:sz w:val="24"/>
        </w:rPr>
        <w:t>开标一览表</w:t>
      </w:r>
      <w:r>
        <w:rPr>
          <w:rFonts w:ascii="Times New Roman" w:hAnsi="Times New Roman" w:cs="Times New Roman"/>
          <w:color w:val="auto"/>
          <w:sz w:val="24"/>
        </w:rPr>
        <w:t>”</w:t>
      </w:r>
      <w:r>
        <w:rPr>
          <w:rFonts w:ascii="Times New Roman" w:cs="Times New Roman"/>
          <w:color w:val="auto"/>
          <w:sz w:val="24"/>
        </w:rPr>
        <w:t>的内容为准。</w:t>
      </w:r>
    </w:p>
    <w:p w14:paraId="1A98B66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4.2.3 </w:t>
      </w:r>
      <w:r>
        <w:rPr>
          <w:rFonts w:ascii="Times New Roman" w:cs="Times New Roman"/>
          <w:color w:val="auto"/>
          <w:sz w:val="24"/>
        </w:rPr>
        <w:t>唱标和记标的顺序，按照投标人</w:t>
      </w:r>
      <w:r>
        <w:rPr>
          <w:rFonts w:hint="eastAsia" w:ascii="Times New Roman" w:cs="Times New Roman"/>
          <w:color w:val="auto"/>
          <w:sz w:val="24"/>
        </w:rPr>
        <w:t>现场</w:t>
      </w:r>
      <w:r>
        <w:rPr>
          <w:rFonts w:ascii="Times New Roman" w:cs="Times New Roman"/>
          <w:color w:val="auto"/>
          <w:sz w:val="24"/>
        </w:rPr>
        <w:t>递交投标文件的正顺序依次进行。</w:t>
      </w:r>
    </w:p>
    <w:p w14:paraId="041B3B85">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4.3 </w:t>
      </w:r>
      <w:r>
        <w:rPr>
          <w:rFonts w:ascii="Times New Roman" w:cs="Times New Roman"/>
          <w:color w:val="auto"/>
          <w:sz w:val="24"/>
        </w:rPr>
        <w:t>最终报价是否均超过采购预算的审查确认</w:t>
      </w:r>
    </w:p>
    <w:p w14:paraId="6D6ED038">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4.3.1 </w:t>
      </w:r>
      <w:r>
        <w:rPr>
          <w:rFonts w:ascii="Times New Roman" w:cs="Times New Roman"/>
          <w:color w:val="auto"/>
          <w:sz w:val="24"/>
        </w:rPr>
        <w:t>报价唱标结束后，采购人须根据《中华人民共和国政府采购法》及</w:t>
      </w:r>
      <w:r>
        <w:rPr>
          <w:rFonts w:hint="eastAsia" w:ascii="Times New Roman" w:cs="Times New Roman"/>
          <w:color w:val="auto"/>
          <w:sz w:val="24"/>
        </w:rPr>
        <w:t>采购文件</w:t>
      </w:r>
      <w:r>
        <w:rPr>
          <w:rFonts w:ascii="Times New Roman" w:cs="Times New Roman"/>
          <w:color w:val="auto"/>
          <w:sz w:val="24"/>
          <w:lang w:val="en-US"/>
        </w:rPr>
        <w:t>的规定，按照最终报价不接受超过采购预算的原则，对最终报价是否均超过采购预算进行审查确认，并在开标现场公布结果。</w:t>
      </w:r>
    </w:p>
    <w:p w14:paraId="6EB641E8">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 xml:space="preserve">24.4.3.2 </w:t>
      </w:r>
      <w:r>
        <w:rPr>
          <w:rFonts w:ascii="Times New Roman" w:cs="Times New Roman"/>
          <w:color w:val="auto"/>
          <w:sz w:val="24"/>
          <w:lang w:val="en-US"/>
        </w:rPr>
        <w:t>唱标结束后，如所有报价均超过采购预算，且采购人不能支付时，采购人现场应宣布本次招标废标。出现此种情况时，评标委员会有权决定拒绝所有的投标文件。</w:t>
      </w:r>
    </w:p>
    <w:p w14:paraId="6FC0E6B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5 </w:t>
      </w:r>
      <w:r>
        <w:rPr>
          <w:rFonts w:ascii="Times New Roman" w:cs="Times New Roman"/>
          <w:color w:val="auto"/>
          <w:sz w:val="24"/>
        </w:rPr>
        <w:t>评标程序</w:t>
      </w:r>
    </w:p>
    <w:p w14:paraId="34CDF929">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24.5.1 </w:t>
      </w:r>
      <w:r>
        <w:rPr>
          <w:rFonts w:ascii="Times New Roman" w:cs="Times New Roman"/>
          <w:color w:val="auto"/>
          <w:sz w:val="24"/>
        </w:rPr>
        <w:t>评标委员会及其成员应当遵循独立评标的原则，按照独立初审、单独（或集中）询标（答疑）、独立综合评审、独立推荐拟中标候选人、集体定标、出具评标报告的工作程序进行。</w:t>
      </w:r>
    </w:p>
    <w:p w14:paraId="4B2B1B4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24.5.2 </w:t>
      </w:r>
      <w:r>
        <w:rPr>
          <w:rFonts w:ascii="Times New Roman" w:cs="Times New Roman"/>
          <w:color w:val="auto"/>
          <w:sz w:val="24"/>
        </w:rPr>
        <w:t>评标委员会应单独（或集中）与资格资质审查合格的投标人分别进行技术和商务评审与比较。</w:t>
      </w:r>
    </w:p>
    <w:p w14:paraId="502DF04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24.5.3 </w:t>
      </w:r>
      <w:r>
        <w:rPr>
          <w:rFonts w:ascii="Times New Roman" w:cs="Times New Roman"/>
          <w:color w:val="auto"/>
          <w:sz w:val="24"/>
        </w:rPr>
        <w:t>按照采购人规定程序，评标当事双方应本着</w:t>
      </w:r>
      <w:r>
        <w:rPr>
          <w:rFonts w:ascii="Times New Roman" w:hAnsi="Times New Roman" w:cs="Times New Roman"/>
          <w:color w:val="auto"/>
          <w:sz w:val="24"/>
        </w:rPr>
        <w:t>“</w:t>
      </w:r>
      <w:r>
        <w:rPr>
          <w:rFonts w:ascii="Times New Roman" w:cs="Times New Roman"/>
          <w:color w:val="auto"/>
          <w:sz w:val="24"/>
        </w:rPr>
        <w:t>实事求是、公正诚信</w:t>
      </w:r>
      <w:r>
        <w:rPr>
          <w:rFonts w:ascii="Times New Roman" w:hAnsi="Times New Roman" w:cs="Times New Roman"/>
          <w:color w:val="auto"/>
          <w:sz w:val="24"/>
        </w:rPr>
        <w:t xml:space="preserve">” </w:t>
      </w:r>
      <w:r>
        <w:rPr>
          <w:rFonts w:ascii="Times New Roman" w:cs="Times New Roman"/>
          <w:color w:val="auto"/>
          <w:sz w:val="24"/>
        </w:rPr>
        <w:t>的原则，以采购人的</w:t>
      </w:r>
      <w:r>
        <w:rPr>
          <w:rFonts w:hint="eastAsia" w:ascii="Times New Roman" w:cs="Times New Roman"/>
          <w:color w:val="auto"/>
          <w:sz w:val="24"/>
        </w:rPr>
        <w:t>采购文件</w:t>
      </w:r>
      <w:r>
        <w:rPr>
          <w:rFonts w:ascii="Times New Roman" w:cs="Times New Roman"/>
          <w:color w:val="auto"/>
          <w:sz w:val="24"/>
        </w:rPr>
        <w:t>为评标的唯一依据，不允许做</w:t>
      </w:r>
      <w:r>
        <w:rPr>
          <w:rFonts w:hint="eastAsia" w:ascii="Times New Roman" w:cs="Times New Roman"/>
          <w:color w:val="auto"/>
          <w:sz w:val="24"/>
        </w:rPr>
        <w:t>采购文件</w:t>
      </w:r>
      <w:r>
        <w:rPr>
          <w:rFonts w:ascii="Times New Roman" w:cs="Times New Roman"/>
          <w:color w:val="auto"/>
          <w:sz w:val="24"/>
        </w:rPr>
        <w:t>以外无关问题讨论；评标委员会成员可以采取单独（或集中）的方式与供应商分别逐一进行评标、询标（答疑）、澄清。</w:t>
      </w:r>
    </w:p>
    <w:p w14:paraId="63D73E1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5.5 </w:t>
      </w:r>
      <w:r>
        <w:rPr>
          <w:rFonts w:ascii="Times New Roman" w:cs="Times New Roman"/>
          <w:color w:val="auto"/>
          <w:sz w:val="24"/>
        </w:rPr>
        <w:t>询标（答疑）、澄清</w:t>
      </w:r>
    </w:p>
    <w:p w14:paraId="51F44CA3">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24.5.5.1 </w:t>
      </w:r>
      <w:r>
        <w:rPr>
          <w:rFonts w:ascii="Times New Roman" w:cs="Times New Roman"/>
          <w:color w:val="auto"/>
          <w:sz w:val="24"/>
        </w:rPr>
        <w:t>在评标过程中，评标委员会各成员如对投标文件中含义不明确、同类问题表述不一致或者有明显文字和计算错误的内容，需要供应商进行必要澄清、说明或者纠正</w:t>
      </w:r>
      <w:r>
        <w:rPr>
          <w:rFonts w:ascii="Times New Roman" w:cs="Times New Roman"/>
          <w:color w:val="auto"/>
          <w:sz w:val="24"/>
          <w:lang w:val="en-US"/>
        </w:rPr>
        <w:t>的</w:t>
      </w:r>
      <w:r>
        <w:rPr>
          <w:rFonts w:ascii="Times New Roman" w:cs="Times New Roman"/>
          <w:color w:val="auto"/>
          <w:sz w:val="24"/>
        </w:rPr>
        <w:t>，</w:t>
      </w:r>
      <w:r>
        <w:rPr>
          <w:rFonts w:ascii="Times New Roman" w:cs="Times New Roman"/>
          <w:color w:val="auto"/>
          <w:sz w:val="24"/>
          <w:lang w:val="en-US"/>
        </w:rPr>
        <w:t>各投标人应按</w:t>
      </w:r>
      <w:r>
        <w:rPr>
          <w:rFonts w:ascii="Times New Roman" w:cs="Times New Roman"/>
          <w:color w:val="auto"/>
          <w:sz w:val="24"/>
        </w:rPr>
        <w:t>采购人</w:t>
      </w:r>
      <w:r>
        <w:rPr>
          <w:rFonts w:ascii="Times New Roman" w:cs="Times New Roman"/>
          <w:color w:val="auto"/>
          <w:sz w:val="24"/>
          <w:lang w:val="en-US"/>
        </w:rPr>
        <w:t>的</w:t>
      </w:r>
      <w:r>
        <w:rPr>
          <w:rFonts w:ascii="Times New Roman" w:cs="Times New Roman"/>
          <w:color w:val="auto"/>
          <w:sz w:val="24"/>
        </w:rPr>
        <w:t>规定作出必要的澄清、说明或者补正，和分别单独（或集中）进行询标（答疑）。</w:t>
      </w:r>
    </w:p>
    <w:p w14:paraId="556DE1F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24.5.5.2 </w:t>
      </w:r>
      <w:r>
        <w:rPr>
          <w:rFonts w:ascii="Times New Roman" w:cs="Times New Roman"/>
          <w:color w:val="auto"/>
          <w:sz w:val="24"/>
        </w:rPr>
        <w:t>为有助于对投标文件进行审查、评估和比较，评标委员会及其成员将对认为需要投标人进行询标（答疑）、澄清等时，投标人有责任按照采购人通知的时间、地点进行询标（答疑）和澄清。询标（答疑）和澄清时，投标人代表应作书面记录，并对重要内容做出书面答复。</w:t>
      </w:r>
    </w:p>
    <w:p w14:paraId="5FC04A5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24.5.5.3 </w:t>
      </w:r>
      <w:r>
        <w:rPr>
          <w:rFonts w:ascii="Times New Roman" w:cs="Times New Roman"/>
          <w:color w:val="auto"/>
          <w:sz w:val="24"/>
        </w:rPr>
        <w:t>评标委员会在初步评审的基础上，单独（或集体）讨论、分析、综合各种因素后，可决定是否与各投标人再次进行询标（答疑）。</w:t>
      </w:r>
    </w:p>
    <w:p w14:paraId="4F4F82CC">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24.5.5.4 </w:t>
      </w:r>
      <w:r>
        <w:rPr>
          <w:rFonts w:ascii="Times New Roman" w:cs="Times New Roman"/>
          <w:color w:val="auto"/>
          <w:sz w:val="24"/>
        </w:rPr>
        <w:t>采购人要对供应商的澄清、说明或者补正采用</w:t>
      </w:r>
      <w:r>
        <w:rPr>
          <w:rFonts w:hint="eastAsia" w:ascii="Times New Roman" w:cs="Times New Roman"/>
          <w:color w:val="auto"/>
          <w:sz w:val="24"/>
        </w:rPr>
        <w:t>现场</w:t>
      </w:r>
      <w:r>
        <w:rPr>
          <w:rFonts w:ascii="Times New Roman" w:cs="Times New Roman"/>
          <w:color w:val="auto"/>
          <w:sz w:val="24"/>
          <w:lang w:val="en-US"/>
        </w:rPr>
        <w:t>递交</w:t>
      </w:r>
      <w:r>
        <w:rPr>
          <w:rFonts w:ascii="Times New Roman" w:cs="Times New Roman"/>
          <w:color w:val="auto"/>
          <w:sz w:val="24"/>
        </w:rPr>
        <w:t>形式，由采购人做好书面记录，并由其法定代表人或授权的代表签字或加盖公章，其澄清、说明或者补正不得超出投标报价文件的范围或者改变其实质性内容，并作为投标文件的组成部分。</w:t>
      </w:r>
    </w:p>
    <w:p w14:paraId="519D39A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24.5.5.5</w:t>
      </w:r>
      <w:r>
        <w:rPr>
          <w:rFonts w:ascii="Times New Roman" w:cs="Times New Roman"/>
          <w:color w:val="auto"/>
          <w:sz w:val="24"/>
        </w:rPr>
        <w:t>投标人拒不进行澄清、说明或者补正的，或者不能在采购人规定时间内做出书面澄清、说明或者补正的，评标委员会将取消其继续参加评标的资格。</w:t>
      </w:r>
    </w:p>
    <w:p w14:paraId="296DA47E">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24.5.5.6</w:t>
      </w:r>
      <w:r>
        <w:rPr>
          <w:rFonts w:ascii="Times New Roman" w:cs="Times New Roman"/>
          <w:color w:val="auto"/>
          <w:sz w:val="24"/>
        </w:rPr>
        <w:t>参加投标的供应商应当对评标（审）的承诺和最终报价以书面形式确认，并由其法定代表人（或其授权人）签署或加盖公章。</w:t>
      </w:r>
    </w:p>
    <w:p w14:paraId="457D81F0">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24</w:t>
      </w:r>
      <w:r>
        <w:rPr>
          <w:rFonts w:ascii="Times New Roman" w:hAnsi="Times New Roman" w:cs="Times New Roman"/>
          <w:color w:val="auto"/>
          <w:sz w:val="24"/>
        </w:rPr>
        <w:t>.</w:t>
      </w:r>
      <w:r>
        <w:rPr>
          <w:rFonts w:ascii="Times New Roman" w:hAnsi="Times New Roman" w:cs="Times New Roman"/>
          <w:color w:val="auto"/>
          <w:sz w:val="24"/>
          <w:lang w:val="en-US"/>
        </w:rPr>
        <w:t xml:space="preserve">5.6 </w:t>
      </w:r>
      <w:r>
        <w:rPr>
          <w:rFonts w:ascii="Times New Roman" w:cs="Times New Roman"/>
          <w:color w:val="auto"/>
          <w:sz w:val="24"/>
        </w:rPr>
        <w:t>符合性审查</w:t>
      </w:r>
    </w:p>
    <w:p w14:paraId="25524A5B">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24.5.6.1 </w:t>
      </w:r>
      <w:r>
        <w:rPr>
          <w:rFonts w:ascii="Times New Roman" w:cs="Times New Roman"/>
          <w:color w:val="auto"/>
          <w:sz w:val="24"/>
        </w:rPr>
        <w:t>评标委员会应依据</w:t>
      </w:r>
      <w:r>
        <w:rPr>
          <w:rFonts w:hint="eastAsia" w:ascii="Times New Roman" w:cs="Times New Roman"/>
          <w:color w:val="auto"/>
          <w:sz w:val="24"/>
        </w:rPr>
        <w:t>采购文件</w:t>
      </w:r>
      <w:r>
        <w:rPr>
          <w:rFonts w:ascii="Times New Roman" w:cs="Times New Roman"/>
          <w:color w:val="auto"/>
          <w:sz w:val="24"/>
        </w:rPr>
        <w:t>的规定，对投标人报价文件的有效性、完整性和对</w:t>
      </w:r>
      <w:r>
        <w:rPr>
          <w:rFonts w:hint="eastAsia" w:ascii="Times New Roman" w:cs="Times New Roman"/>
          <w:color w:val="auto"/>
          <w:sz w:val="24"/>
        </w:rPr>
        <w:t>采购文件</w:t>
      </w:r>
      <w:r>
        <w:rPr>
          <w:rFonts w:ascii="Times New Roman" w:cs="Times New Roman"/>
          <w:color w:val="auto"/>
          <w:sz w:val="24"/>
        </w:rPr>
        <w:t>的响应程度进行审查，以确定是否对</w:t>
      </w:r>
      <w:r>
        <w:rPr>
          <w:rFonts w:hint="eastAsia" w:ascii="Times New Roman" w:cs="Times New Roman"/>
          <w:color w:val="auto"/>
          <w:sz w:val="24"/>
        </w:rPr>
        <w:t>采购文件</w:t>
      </w:r>
      <w:r>
        <w:rPr>
          <w:rFonts w:ascii="Times New Roman" w:cs="Times New Roman"/>
          <w:color w:val="auto"/>
          <w:sz w:val="24"/>
        </w:rPr>
        <w:t>的要求做出实质性响应，对</w:t>
      </w:r>
      <w:r>
        <w:rPr>
          <w:rFonts w:hint="eastAsia" w:ascii="Times New Roman" w:cs="Times New Roman"/>
          <w:color w:val="auto"/>
          <w:sz w:val="24"/>
        </w:rPr>
        <w:t>采购文件</w:t>
      </w:r>
      <w:r>
        <w:rPr>
          <w:rFonts w:ascii="Times New Roman" w:cs="Times New Roman"/>
          <w:color w:val="auto"/>
          <w:sz w:val="24"/>
        </w:rPr>
        <w:t>的要求未做出实质性响应的投标人，不得进入具体评标程序。</w:t>
      </w:r>
    </w:p>
    <w:p w14:paraId="3B0748E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24.5.6.2 </w:t>
      </w:r>
      <w:r>
        <w:rPr>
          <w:rFonts w:ascii="Times New Roman" w:cs="Times New Roman"/>
          <w:color w:val="auto"/>
          <w:sz w:val="24"/>
        </w:rPr>
        <w:t>评标委员会应当根据</w:t>
      </w:r>
      <w:r>
        <w:rPr>
          <w:rFonts w:hint="eastAsia" w:ascii="Times New Roman" w:cs="Times New Roman"/>
          <w:color w:val="auto"/>
          <w:sz w:val="24"/>
        </w:rPr>
        <w:t>采购文件</w:t>
      </w:r>
      <w:r>
        <w:rPr>
          <w:rFonts w:ascii="Times New Roman" w:cs="Times New Roman"/>
          <w:color w:val="auto"/>
          <w:sz w:val="24"/>
        </w:rPr>
        <w:t>，审查并逐项列出每一个投标文件的全部投标偏差。投标偏差分为重大偏差和细微偏差。</w:t>
      </w:r>
    </w:p>
    <w:p w14:paraId="54756FF5">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rPr>
        <w:t>1</w:t>
      </w:r>
      <w:r>
        <w:rPr>
          <w:rFonts w:ascii="Times New Roman" w:cs="Times New Roman"/>
          <w:color w:val="auto"/>
          <w:sz w:val="24"/>
        </w:rPr>
        <w:t>）细微偏差是指投标实质上响应了</w:t>
      </w:r>
      <w:r>
        <w:rPr>
          <w:rFonts w:hint="eastAsia" w:ascii="Times New Roman" w:cs="Times New Roman"/>
          <w:color w:val="auto"/>
          <w:sz w:val="24"/>
        </w:rPr>
        <w:t>采购文件</w:t>
      </w:r>
      <w:r>
        <w:rPr>
          <w:rFonts w:ascii="Times New Roman" w:cs="Times New Roman"/>
          <w:color w:val="auto"/>
          <w:sz w:val="24"/>
        </w:rPr>
        <w:t>要求，但在个别地方存在漏项或者提供了不完整的技术信息和数据等情况，并且补正这些遗漏或不完整不会对其他投标人造成不公平的结果。细微偏差不影响投标文件的有效性。</w:t>
      </w:r>
    </w:p>
    <w:p w14:paraId="6C2B240F">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2</w:t>
      </w:r>
      <w:r>
        <w:rPr>
          <w:rFonts w:ascii="Times New Roman" w:cs="Times New Roman"/>
          <w:color w:val="auto"/>
          <w:sz w:val="24"/>
        </w:rPr>
        <w:t>）应当要求存在细小偏差的投标人在评标结束前以书面形式予以补正。拒绝补正的，在综合评审时可以对细微偏差作不利于该投标人的量化。</w:t>
      </w:r>
    </w:p>
    <w:p w14:paraId="44D150E9">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3</w:t>
      </w:r>
      <w:r>
        <w:rPr>
          <w:rFonts w:ascii="Times New Roman" w:cs="Times New Roman"/>
          <w:color w:val="auto"/>
          <w:sz w:val="24"/>
        </w:rPr>
        <w:t>）重大偏离或保留系指影响到</w:t>
      </w:r>
      <w:r>
        <w:rPr>
          <w:rFonts w:hint="eastAsia" w:ascii="Times New Roman" w:cs="Times New Roman"/>
          <w:color w:val="auto"/>
          <w:sz w:val="24"/>
        </w:rPr>
        <w:t>采购文件</w:t>
      </w:r>
      <w:r>
        <w:rPr>
          <w:rFonts w:ascii="Times New Roman" w:cs="Times New Roman"/>
          <w:color w:val="auto"/>
          <w:sz w:val="24"/>
        </w:rPr>
        <w:t>规定的</w:t>
      </w:r>
      <w:r>
        <w:rPr>
          <w:rFonts w:ascii="Times New Roman" w:cs="Times New Roman"/>
          <w:color w:val="auto"/>
          <w:sz w:val="24"/>
          <w:lang w:val="en-US"/>
        </w:rPr>
        <w:t>供货、</w:t>
      </w:r>
      <w:r>
        <w:rPr>
          <w:rFonts w:ascii="Times New Roman" w:cs="Times New Roman"/>
          <w:color w:val="auto"/>
          <w:sz w:val="24"/>
        </w:rPr>
        <w:t>服务范围和质量，或限制了采购人的权力和义务的规定，而纠正这些偏离将影响到其他提交实质性响应的投标人的公平竞争地位。主要表现有投标文件没有按照</w:t>
      </w:r>
      <w:r>
        <w:rPr>
          <w:rFonts w:hint="eastAsia" w:ascii="Times New Roman" w:cs="Times New Roman"/>
          <w:color w:val="auto"/>
          <w:sz w:val="24"/>
        </w:rPr>
        <w:t>采购文件</w:t>
      </w:r>
      <w:r>
        <w:rPr>
          <w:rFonts w:ascii="Times New Roman" w:cs="Times New Roman"/>
          <w:color w:val="auto"/>
          <w:sz w:val="24"/>
        </w:rPr>
        <w:t>要求提供投标保证金的，</w:t>
      </w:r>
      <w:r>
        <w:rPr>
          <w:rFonts w:ascii="Times New Roman" w:hAnsi="Times New Roman" w:cs="Times New Roman"/>
          <w:color w:val="auto"/>
          <w:sz w:val="24"/>
        </w:rPr>
        <w:t xml:space="preserve"> </w:t>
      </w:r>
      <w:r>
        <w:rPr>
          <w:rFonts w:ascii="Times New Roman" w:cs="Times New Roman"/>
          <w:color w:val="auto"/>
          <w:sz w:val="24"/>
        </w:rPr>
        <w:t>投标文件没有</w:t>
      </w:r>
      <w:r>
        <w:rPr>
          <w:rFonts w:ascii="Times New Roman" w:cs="Times New Roman"/>
          <w:color w:val="auto"/>
          <w:sz w:val="24"/>
          <w:lang w:val="en-US"/>
        </w:rPr>
        <w:t>按</w:t>
      </w:r>
      <w:r>
        <w:rPr>
          <w:rFonts w:hint="eastAsia" w:ascii="Times New Roman" w:cs="Times New Roman"/>
          <w:color w:val="auto"/>
          <w:sz w:val="24"/>
          <w:lang w:val="en-US"/>
        </w:rPr>
        <w:t>采购文件</w:t>
      </w:r>
      <w:r>
        <w:rPr>
          <w:rFonts w:ascii="Times New Roman" w:cs="Times New Roman"/>
          <w:color w:val="auto"/>
          <w:sz w:val="24"/>
          <w:lang w:val="en-US"/>
        </w:rPr>
        <w:t>要求进行签章或盖章的</w:t>
      </w:r>
      <w:r>
        <w:rPr>
          <w:rFonts w:ascii="Times New Roman" w:cs="Times New Roman"/>
          <w:color w:val="auto"/>
          <w:sz w:val="24"/>
        </w:rPr>
        <w:t>，投标文件中附有采购人不能接受的条件的，和不符合</w:t>
      </w:r>
      <w:r>
        <w:rPr>
          <w:rFonts w:hint="eastAsia" w:ascii="Times New Roman" w:cs="Times New Roman"/>
          <w:color w:val="auto"/>
          <w:sz w:val="24"/>
        </w:rPr>
        <w:t>采购文件</w:t>
      </w:r>
      <w:r>
        <w:rPr>
          <w:rFonts w:ascii="Times New Roman" w:cs="Times New Roman"/>
          <w:color w:val="auto"/>
          <w:sz w:val="24"/>
        </w:rPr>
        <w:t>中规定的其他实质性要求的等。</w:t>
      </w:r>
    </w:p>
    <w:p w14:paraId="57E36FC2">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4</w:t>
      </w:r>
      <w:r>
        <w:rPr>
          <w:rFonts w:ascii="Times New Roman" w:cs="Times New Roman"/>
          <w:color w:val="auto"/>
          <w:sz w:val="24"/>
        </w:rPr>
        <w:t>）发现有重大偏差时，评标委员会及其成员应按</w:t>
      </w:r>
      <w:r>
        <w:rPr>
          <w:rFonts w:hint="eastAsia" w:ascii="Times New Roman" w:cs="Times New Roman"/>
          <w:color w:val="auto"/>
          <w:sz w:val="24"/>
        </w:rPr>
        <w:t>采购文件</w:t>
      </w:r>
      <w:r>
        <w:rPr>
          <w:rFonts w:ascii="Times New Roman" w:cs="Times New Roman"/>
          <w:color w:val="auto"/>
          <w:sz w:val="24"/>
        </w:rPr>
        <w:t>中的规定，可以取消其投标的权利。</w:t>
      </w:r>
    </w:p>
    <w:p w14:paraId="69FBB92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24.5.6.3 </w:t>
      </w:r>
      <w:r>
        <w:rPr>
          <w:rFonts w:ascii="Times New Roman" w:cs="Times New Roman"/>
          <w:color w:val="auto"/>
          <w:sz w:val="24"/>
        </w:rPr>
        <w:t>进行符合性审查时，评标委员会应当审查每一个投标文件是否对</w:t>
      </w:r>
      <w:r>
        <w:rPr>
          <w:rFonts w:hint="eastAsia" w:ascii="Times New Roman" w:cs="Times New Roman"/>
          <w:color w:val="auto"/>
          <w:sz w:val="24"/>
        </w:rPr>
        <w:t>采购文件</w:t>
      </w:r>
      <w:r>
        <w:rPr>
          <w:rFonts w:ascii="Times New Roman" w:cs="Times New Roman"/>
          <w:color w:val="auto"/>
          <w:sz w:val="24"/>
        </w:rPr>
        <w:t>提出的所有实质性要求和条件作出响应。未能实质上响应的，视情况按照</w:t>
      </w:r>
      <w:r>
        <w:rPr>
          <w:rFonts w:hint="eastAsia" w:ascii="Times New Roman" w:cs="Times New Roman"/>
          <w:color w:val="auto"/>
          <w:sz w:val="24"/>
        </w:rPr>
        <w:t>采购文件</w:t>
      </w:r>
      <w:r>
        <w:rPr>
          <w:rFonts w:ascii="Times New Roman" w:cs="Times New Roman"/>
          <w:color w:val="auto"/>
          <w:sz w:val="24"/>
        </w:rPr>
        <w:t>的规定，应不得进入综合评审程序。主要有下列情况：</w:t>
      </w:r>
    </w:p>
    <w:p w14:paraId="28C7B3FC">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1.投标文件组成是否完整，主要内容是否齐全；</w:t>
      </w:r>
    </w:p>
    <w:p w14:paraId="154D3C93">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2.投标文件是否按采购文件要求进行签字或盖章；</w:t>
      </w:r>
    </w:p>
    <w:p w14:paraId="55814E30">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3.投标报价是否高于采购文件公布的采购预算金额（或最高限价）；</w:t>
      </w:r>
    </w:p>
    <w:p w14:paraId="37005711">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4.投标文件载明的投标有效期是否满足采购文件要求；</w:t>
      </w:r>
    </w:p>
    <w:p w14:paraId="693AEF47">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5.投标文件载明的质量要求、质保期是否满足采购文件要求；</w:t>
      </w:r>
    </w:p>
    <w:p w14:paraId="05AEA657">
      <w:pPr>
        <w:spacing w:line="360" w:lineRule="auto"/>
        <w:ind w:firstLine="480" w:firstLineChars="200"/>
        <w:rPr>
          <w:rFonts w:hint="eastAsia" w:ascii="Times New Roman" w:hAnsi="Times New Roman" w:cs="Times New Roman"/>
          <w:color w:val="auto"/>
          <w:sz w:val="24"/>
          <w:lang w:val="en-US"/>
        </w:rPr>
      </w:pPr>
      <w:r>
        <w:rPr>
          <w:rFonts w:hint="eastAsia" w:ascii="Times New Roman" w:hAnsi="Times New Roman" w:cs="Times New Roman"/>
          <w:color w:val="auto"/>
          <w:sz w:val="24"/>
          <w:lang w:val="en-US"/>
        </w:rPr>
        <w:t>6.投标文件是否附有招标人不能接受的条件；</w:t>
      </w:r>
    </w:p>
    <w:p w14:paraId="6CFBF04F">
      <w:pPr>
        <w:spacing w:line="360" w:lineRule="auto"/>
        <w:ind w:firstLine="480" w:firstLineChars="200"/>
        <w:rPr>
          <w:rFonts w:ascii="Times New Roman" w:hAnsi="Times New Roman" w:cs="Times New Roman"/>
          <w:color w:val="auto"/>
          <w:sz w:val="24"/>
          <w:lang w:val="en-US"/>
        </w:rPr>
      </w:pPr>
      <w:r>
        <w:rPr>
          <w:rFonts w:hint="eastAsia" w:ascii="Times New Roman" w:hAnsi="Times New Roman" w:cs="Times New Roman"/>
          <w:color w:val="auto"/>
          <w:sz w:val="24"/>
          <w:lang w:val="en-US"/>
        </w:rPr>
        <w:t>7.是否符合法律、法规和采购文件中规定的其他实质性要求；</w:t>
      </w:r>
    </w:p>
    <w:p w14:paraId="4E09133A">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24.5.7 </w:t>
      </w:r>
      <w:r>
        <w:rPr>
          <w:rFonts w:ascii="Times New Roman" w:cs="Times New Roman"/>
          <w:color w:val="auto"/>
          <w:sz w:val="24"/>
        </w:rPr>
        <w:t>评标委员会根据上述规定否决不合格投标或者界定为废标后，因有效投标不足三个使得投标明显缺乏竞争性时，根据《中华人民共和国政府采购法》及</w:t>
      </w:r>
      <w:r>
        <w:rPr>
          <w:rFonts w:hint="eastAsia" w:ascii="Times New Roman" w:cs="Times New Roman"/>
          <w:color w:val="auto"/>
          <w:sz w:val="24"/>
        </w:rPr>
        <w:t>采购文件</w:t>
      </w:r>
      <w:r>
        <w:rPr>
          <w:rFonts w:ascii="Times New Roman" w:cs="Times New Roman"/>
          <w:color w:val="auto"/>
          <w:sz w:val="24"/>
        </w:rPr>
        <w:t>的相关规定，可以作出废标处理，并由采购人依法重新组织采购活动。</w:t>
      </w:r>
    </w:p>
    <w:p w14:paraId="0F270C28">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综合评审</w:t>
      </w:r>
    </w:p>
    <w:p w14:paraId="7DFBF0AB">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评标委员会各成员应当遵循独立评审原则，按照</w:t>
      </w:r>
      <w:r>
        <w:rPr>
          <w:rFonts w:hint="eastAsia" w:ascii="Times New Roman" w:cs="Times New Roman"/>
          <w:color w:val="auto"/>
          <w:sz w:val="24"/>
        </w:rPr>
        <w:t>采购文件</w:t>
      </w:r>
      <w:r>
        <w:rPr>
          <w:rFonts w:ascii="Times New Roman" w:cs="Times New Roman"/>
          <w:color w:val="auto"/>
          <w:sz w:val="24"/>
        </w:rPr>
        <w:t>的评标方法和标准，对资质资格资质检查和复合性检查合格的投标文件的商务和技术进行评估，综合比较与评价。并应当以书面方式发表各自（或集体）的具体综合评审意见。</w:t>
      </w:r>
    </w:p>
    <w:p w14:paraId="24CA0DA5">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评估和综合比较与评价，应当严格按照采购人设计格式要求，做好书面原始署名记录，连同书面评标报告提交采购人。</w:t>
      </w:r>
    </w:p>
    <w:p w14:paraId="0B5F039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w:t>
      </w:r>
      <w:r>
        <w:rPr>
          <w:rFonts w:hint="eastAsia" w:ascii="Times New Roman" w:hAnsi="Times New Roman" w:cs="Times New Roman"/>
          <w:color w:val="auto"/>
          <w:sz w:val="24"/>
          <w:lang w:val="en-US"/>
        </w:rPr>
        <w:t>公开招标</w:t>
      </w:r>
      <w:r>
        <w:rPr>
          <w:rFonts w:ascii="Times New Roman" w:hAnsi="Times New Roman" w:cs="Times New Roman"/>
          <w:color w:val="auto"/>
          <w:sz w:val="24"/>
        </w:rPr>
        <w:t>”</w:t>
      </w:r>
      <w:r>
        <w:rPr>
          <w:rFonts w:ascii="Times New Roman" w:cs="Times New Roman"/>
          <w:color w:val="auto"/>
          <w:sz w:val="24"/>
        </w:rPr>
        <w:t>应当载明投标人的投标项目、所作的任何修正、对商业偏差的调整、对技术偏差的调整、对各评审因素的评估，以及对每一投标的最终评标结果。</w:t>
      </w:r>
    </w:p>
    <w:p w14:paraId="6BC91CF9">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综合评审记录要突出重点、抓住关键（核心）、真实准确、简明扼要，体现公平、公正、合理。否则，经核实后，将按前款</w:t>
      </w:r>
      <w:r>
        <w:rPr>
          <w:rFonts w:ascii="Times New Roman" w:hAnsi="Times New Roman" w:cs="Times New Roman"/>
          <w:color w:val="auto"/>
          <w:sz w:val="24"/>
        </w:rPr>
        <w:t>“</w:t>
      </w:r>
      <w:r>
        <w:rPr>
          <w:rFonts w:ascii="Times New Roman" w:cs="Times New Roman"/>
          <w:color w:val="auto"/>
          <w:sz w:val="24"/>
        </w:rPr>
        <w:t>第四部分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w:t>
      </w:r>
      <w:r>
        <w:rPr>
          <w:rFonts w:ascii="Times New Roman" w:cs="Times New Roman"/>
          <w:color w:val="auto"/>
          <w:sz w:val="24"/>
        </w:rPr>
        <w:t>第四章</w:t>
      </w:r>
      <w:r>
        <w:rPr>
          <w:rFonts w:ascii="Times New Roman" w:hAnsi="Times New Roman" w:cs="Times New Roman"/>
          <w:color w:val="auto"/>
          <w:sz w:val="24"/>
        </w:rPr>
        <w:t xml:space="preserve">” </w:t>
      </w:r>
      <w:r>
        <w:rPr>
          <w:rFonts w:ascii="Times New Roman" w:cs="Times New Roman"/>
          <w:color w:val="auto"/>
          <w:sz w:val="24"/>
        </w:rPr>
        <w:t>的</w:t>
      </w:r>
      <w:r>
        <w:rPr>
          <w:rFonts w:ascii="Times New Roman" w:hAnsi="Times New Roman" w:cs="Times New Roman"/>
          <w:color w:val="auto"/>
          <w:sz w:val="24"/>
        </w:rPr>
        <w:t>21.3</w:t>
      </w:r>
      <w:r>
        <w:rPr>
          <w:rFonts w:ascii="Times New Roman" w:cs="Times New Roman"/>
          <w:color w:val="auto"/>
          <w:sz w:val="24"/>
        </w:rPr>
        <w:t>条款之规定执行。</w:t>
      </w:r>
    </w:p>
    <w:p w14:paraId="42EAC694">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24.5.8.</w:t>
      </w:r>
      <w:r>
        <w:rPr>
          <w:rFonts w:ascii="Times New Roman" w:hAnsi="Times New Roman" w:cs="Times New Roman"/>
          <w:color w:val="auto"/>
          <w:sz w:val="24"/>
          <w:lang w:val="en-US"/>
        </w:rPr>
        <w:t>5</w:t>
      </w:r>
      <w:r>
        <w:rPr>
          <w:rFonts w:ascii="Times New Roman" w:hAnsi="Times New Roman" w:cs="Times New Roman"/>
          <w:color w:val="auto"/>
          <w:sz w:val="24"/>
        </w:rPr>
        <w:t xml:space="preserve"> </w:t>
      </w:r>
      <w:r>
        <w:rPr>
          <w:rFonts w:ascii="Times New Roman" w:cs="Times New Roman"/>
          <w:color w:val="auto"/>
          <w:sz w:val="24"/>
        </w:rPr>
        <w:t>比较与评价</w:t>
      </w:r>
    </w:p>
    <w:p w14:paraId="33E0CEF3">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综合评标时，评标委员会各成员应当</w:t>
      </w:r>
      <w:r>
        <w:rPr>
          <w:rFonts w:ascii="Times New Roman" w:cs="Times New Roman"/>
          <w:color w:val="auto"/>
          <w:sz w:val="24"/>
          <w:lang w:val="en-US"/>
        </w:rPr>
        <w:t>独立</w:t>
      </w:r>
      <w:r>
        <w:rPr>
          <w:rFonts w:ascii="Times New Roman" w:cs="Times New Roman"/>
          <w:color w:val="auto"/>
          <w:sz w:val="24"/>
        </w:rPr>
        <w:t>对每一个有效投标人投标文件，</w:t>
      </w:r>
      <w:r>
        <w:rPr>
          <w:rFonts w:ascii="Times New Roman" w:hAnsi="Times New Roman" w:cs="Times New Roman"/>
          <w:color w:val="auto"/>
          <w:sz w:val="24"/>
        </w:rPr>
        <w:t xml:space="preserve"> </w:t>
      </w:r>
      <w:r>
        <w:rPr>
          <w:rFonts w:ascii="Times New Roman" w:cs="Times New Roman"/>
          <w:color w:val="auto"/>
          <w:sz w:val="24"/>
        </w:rPr>
        <w:t>根据</w:t>
      </w:r>
      <w:r>
        <w:rPr>
          <w:rFonts w:hint="eastAsia" w:ascii="Times New Roman" w:cs="Times New Roman"/>
          <w:color w:val="auto"/>
          <w:sz w:val="24"/>
        </w:rPr>
        <w:t>采购文件</w:t>
      </w:r>
      <w:r>
        <w:rPr>
          <w:rFonts w:ascii="Times New Roman" w:cs="Times New Roman"/>
          <w:color w:val="auto"/>
          <w:sz w:val="24"/>
        </w:rPr>
        <w:t>中要求的产品价格、</w:t>
      </w:r>
      <w:r>
        <w:rPr>
          <w:rFonts w:ascii="Times New Roman" w:cs="Times New Roman"/>
          <w:color w:val="auto"/>
          <w:sz w:val="24"/>
          <w:lang w:val="en-US"/>
        </w:rPr>
        <w:t>产品</w:t>
      </w:r>
      <w:r>
        <w:rPr>
          <w:rFonts w:ascii="Times New Roman" w:cs="Times New Roman"/>
          <w:color w:val="auto"/>
          <w:sz w:val="24"/>
        </w:rPr>
        <w:t>选型、配置及性能指标、</w:t>
      </w:r>
      <w:r>
        <w:rPr>
          <w:rFonts w:ascii="Times New Roman" w:cs="Times New Roman"/>
          <w:color w:val="auto"/>
          <w:sz w:val="24"/>
          <w:lang w:val="en-US"/>
        </w:rPr>
        <w:t>质量保证措施、</w:t>
      </w:r>
      <w:r>
        <w:rPr>
          <w:rFonts w:ascii="Times New Roman" w:cs="Times New Roman"/>
          <w:color w:val="auto"/>
          <w:sz w:val="24"/>
        </w:rPr>
        <w:t>货物供应、售后服务、类似项目业绩</w:t>
      </w:r>
      <w:r>
        <w:rPr>
          <w:rFonts w:ascii="Times New Roman" w:cs="Times New Roman"/>
          <w:color w:val="auto"/>
          <w:sz w:val="24"/>
          <w:lang w:val="en-US"/>
        </w:rPr>
        <w:t>等</w:t>
      </w:r>
      <w:r>
        <w:rPr>
          <w:rFonts w:ascii="Times New Roman" w:cs="Times New Roman"/>
          <w:color w:val="auto"/>
          <w:sz w:val="24"/>
        </w:rPr>
        <w:t>因素</w:t>
      </w:r>
      <w:r>
        <w:rPr>
          <w:rFonts w:ascii="Times New Roman" w:cs="Times New Roman"/>
          <w:color w:val="auto"/>
          <w:sz w:val="24"/>
          <w:lang w:val="en-US"/>
        </w:rPr>
        <w:t>进行</w:t>
      </w:r>
      <w:r>
        <w:rPr>
          <w:rFonts w:ascii="Times New Roman" w:cs="Times New Roman"/>
          <w:color w:val="auto"/>
          <w:sz w:val="24"/>
        </w:rPr>
        <w:t>比较与</w:t>
      </w:r>
      <w:r>
        <w:rPr>
          <w:rFonts w:ascii="Times New Roman" w:cs="Times New Roman"/>
          <w:color w:val="auto"/>
          <w:sz w:val="24"/>
          <w:lang w:val="en-US"/>
        </w:rPr>
        <w:t>及具体</w:t>
      </w:r>
      <w:r>
        <w:rPr>
          <w:rFonts w:ascii="Times New Roman" w:cs="Times New Roman"/>
          <w:color w:val="auto"/>
          <w:sz w:val="24"/>
        </w:rPr>
        <w:t>评估。</w:t>
      </w:r>
    </w:p>
    <w:p w14:paraId="72B5F8DD">
      <w:pPr>
        <w:spacing w:line="360" w:lineRule="auto"/>
        <w:ind w:firstLine="440" w:firstLineChars="200"/>
        <w:rPr>
          <w:rFonts w:ascii="Times New Roman" w:hAnsi="Times New Roman" w:cs="Times New Roman"/>
          <w:color w:val="auto"/>
          <w:sz w:val="24"/>
        </w:rPr>
      </w:pPr>
      <w:r>
        <w:rPr>
          <w:rFonts w:hint="eastAsia" w:ascii="Times New Roman" w:cs="Times New Roman"/>
          <w:color w:val="auto"/>
          <w:lang w:val="en-US"/>
        </w:rPr>
        <w:t>公开招标</w:t>
      </w:r>
      <w:r>
        <w:rPr>
          <w:rFonts w:ascii="Times New Roman" w:cs="Times New Roman"/>
          <w:color w:val="auto"/>
          <w:sz w:val="24"/>
        </w:rPr>
        <w:t>的原则、方法和标准</w:t>
      </w:r>
    </w:p>
    <w:p w14:paraId="1F3038F9">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采用</w:t>
      </w:r>
      <w:r>
        <w:rPr>
          <w:rFonts w:hint="eastAsia" w:ascii="Times New Roman" w:cs="Times New Roman"/>
          <w:color w:val="auto"/>
          <w:sz w:val="24"/>
          <w:lang w:val="en-US"/>
        </w:rPr>
        <w:t>综合评估</w:t>
      </w:r>
      <w:r>
        <w:rPr>
          <w:rFonts w:ascii="Times New Roman" w:cs="Times New Roman"/>
          <w:color w:val="auto"/>
          <w:sz w:val="24"/>
        </w:rPr>
        <w:t>，是指在最大限度地满足</w:t>
      </w:r>
      <w:r>
        <w:rPr>
          <w:rFonts w:hint="eastAsia" w:ascii="Times New Roman" w:cs="Times New Roman"/>
          <w:color w:val="auto"/>
          <w:sz w:val="24"/>
        </w:rPr>
        <w:t>采购文件</w:t>
      </w:r>
      <w:r>
        <w:rPr>
          <w:rFonts w:ascii="Times New Roman" w:cs="Times New Roman"/>
          <w:color w:val="auto"/>
          <w:sz w:val="24"/>
        </w:rPr>
        <w:t>实质性要求前提下，按照</w:t>
      </w:r>
      <w:r>
        <w:rPr>
          <w:rFonts w:hint="eastAsia" w:ascii="Times New Roman" w:cs="Times New Roman"/>
          <w:color w:val="auto"/>
          <w:sz w:val="24"/>
        </w:rPr>
        <w:t>采购文件</w:t>
      </w:r>
      <w:r>
        <w:rPr>
          <w:rFonts w:ascii="Times New Roman" w:cs="Times New Roman"/>
          <w:color w:val="auto"/>
          <w:sz w:val="24"/>
        </w:rPr>
        <w:t>中规定的各项因素进行综合评审后，以评分得分最高的投标人作为中标候选人或者中标人的评标方法。</w:t>
      </w:r>
    </w:p>
    <w:p w14:paraId="7D4BA730">
      <w:pPr>
        <w:spacing w:line="360" w:lineRule="auto"/>
        <w:ind w:firstLine="480" w:firstLineChars="200"/>
        <w:rPr>
          <w:rFonts w:ascii="Times New Roman" w:hAnsi="Times New Roman" w:cs="Times New Roman"/>
          <w:color w:val="auto"/>
          <w:sz w:val="24"/>
        </w:rPr>
      </w:pPr>
      <w:r>
        <w:rPr>
          <w:rFonts w:hint="eastAsia" w:ascii="Times New Roman" w:cs="Times New Roman"/>
          <w:color w:val="auto"/>
          <w:sz w:val="24"/>
          <w:lang w:val="en-US"/>
        </w:rPr>
        <w:t>综合评估法</w:t>
      </w:r>
      <w:r>
        <w:rPr>
          <w:rFonts w:ascii="Times New Roman" w:cs="Times New Roman"/>
          <w:color w:val="auto"/>
          <w:sz w:val="24"/>
        </w:rPr>
        <w:t>：评标委员会成员应按照独立综合评审原则，根据对</w:t>
      </w:r>
      <w:r>
        <w:rPr>
          <w:rFonts w:hint="eastAsia" w:ascii="Times New Roman" w:cs="Times New Roman"/>
          <w:color w:val="auto"/>
          <w:sz w:val="24"/>
        </w:rPr>
        <w:t>采购文件</w:t>
      </w:r>
      <w:r>
        <w:rPr>
          <w:rFonts w:ascii="Times New Roman" w:cs="Times New Roman"/>
          <w:color w:val="auto"/>
          <w:sz w:val="24"/>
        </w:rPr>
        <w:t>的响应程度和具体评标情况，独立对具体投标文件的商务和技术指标进行评估和综合比较与评价后，独立（或集体）发表综合评审（议）意见，对每一个投标人做出打分决定；经采购人核对和汇总后，按得高分原则，由高到低进行排序后，最后根据评标委员会各成员签署的打分结果，得出评标结论。</w:t>
      </w:r>
    </w:p>
    <w:p w14:paraId="7ED3CCE1">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评标时，评标委员会各成员应当独立对每个有效投标人的投标文件进行评价、打分，然后由采购人核对汇总出每个投标人每项评分因素的得分。</w:t>
      </w:r>
    </w:p>
    <w:p w14:paraId="7762BA48">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综合评分，应严格遵守前款</w:t>
      </w:r>
      <w:r>
        <w:rPr>
          <w:rFonts w:ascii="Times New Roman" w:hAnsi="Times New Roman" w:cs="Times New Roman"/>
          <w:color w:val="auto"/>
          <w:sz w:val="24"/>
        </w:rPr>
        <w:t xml:space="preserve">“24.5.8 </w:t>
      </w:r>
      <w:r>
        <w:rPr>
          <w:rFonts w:ascii="Times New Roman" w:cs="Times New Roman"/>
          <w:color w:val="auto"/>
          <w:sz w:val="24"/>
        </w:rPr>
        <w:t>综合评审</w:t>
      </w:r>
      <w:r>
        <w:rPr>
          <w:rFonts w:ascii="Times New Roman" w:hAnsi="Times New Roman" w:cs="Times New Roman"/>
          <w:color w:val="auto"/>
          <w:sz w:val="24"/>
        </w:rPr>
        <w:t>”</w:t>
      </w:r>
      <w:r>
        <w:rPr>
          <w:rFonts w:ascii="Times New Roman" w:cs="Times New Roman"/>
          <w:color w:val="auto"/>
          <w:sz w:val="24"/>
        </w:rPr>
        <w:t>条款之规定。否则，</w:t>
      </w:r>
      <w:r>
        <w:rPr>
          <w:rFonts w:ascii="Times New Roman" w:hAnsi="Times New Roman" w:cs="Times New Roman"/>
          <w:color w:val="auto"/>
          <w:sz w:val="24"/>
        </w:rPr>
        <w:t xml:space="preserve"> </w:t>
      </w:r>
      <w:r>
        <w:rPr>
          <w:rFonts w:ascii="Times New Roman" w:cs="Times New Roman"/>
          <w:color w:val="auto"/>
          <w:sz w:val="24"/>
        </w:rPr>
        <w:t>经核实后，将按前款</w:t>
      </w:r>
      <w:r>
        <w:rPr>
          <w:rFonts w:ascii="Times New Roman" w:hAnsi="Times New Roman" w:cs="Times New Roman"/>
          <w:color w:val="auto"/>
          <w:sz w:val="24"/>
        </w:rPr>
        <w:t>“</w:t>
      </w:r>
      <w:r>
        <w:rPr>
          <w:rFonts w:ascii="Times New Roman" w:cs="Times New Roman"/>
          <w:color w:val="auto"/>
          <w:sz w:val="24"/>
        </w:rPr>
        <w:t>第四部分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w:t>
      </w:r>
      <w:r>
        <w:rPr>
          <w:rFonts w:ascii="Times New Roman" w:cs="Times New Roman"/>
          <w:color w:val="auto"/>
          <w:sz w:val="24"/>
        </w:rPr>
        <w:t>第四章</w:t>
      </w:r>
      <w:r>
        <w:rPr>
          <w:rFonts w:ascii="Times New Roman" w:hAnsi="Times New Roman" w:cs="Times New Roman"/>
          <w:color w:val="auto"/>
          <w:sz w:val="24"/>
        </w:rPr>
        <w:t>”</w:t>
      </w:r>
      <w:r>
        <w:rPr>
          <w:rFonts w:ascii="Times New Roman" w:cs="Times New Roman"/>
          <w:color w:val="auto"/>
          <w:sz w:val="24"/>
        </w:rPr>
        <w:t>的</w:t>
      </w:r>
      <w:r>
        <w:rPr>
          <w:rFonts w:ascii="Times New Roman" w:hAnsi="Times New Roman" w:cs="Times New Roman"/>
          <w:color w:val="auto"/>
          <w:sz w:val="24"/>
        </w:rPr>
        <w:t>21.3</w:t>
      </w:r>
      <w:r>
        <w:rPr>
          <w:rFonts w:ascii="Times New Roman" w:cs="Times New Roman"/>
          <w:color w:val="auto"/>
          <w:sz w:val="24"/>
        </w:rPr>
        <w:t>条款之规定执行。</w:t>
      </w:r>
    </w:p>
    <w:p w14:paraId="3EACCC3E">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评标委员会各成员要按照采购人规定格式，将每一个投标人的综合评审意见、打分结果、推荐理由等进行署名原始记录。</w:t>
      </w:r>
    </w:p>
    <w:p w14:paraId="79D0F0B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综合评分主要包括技术、商务、报价等指标</w:t>
      </w:r>
    </w:p>
    <w:p w14:paraId="1F9C1FCA">
      <w:pPr>
        <w:spacing w:line="360" w:lineRule="auto"/>
        <w:rPr>
          <w:rFonts w:ascii="Times New Roman" w:hAnsi="Times New Roman" w:cs="Times New Roman"/>
          <w:color w:val="auto"/>
          <w:sz w:val="24"/>
        </w:rPr>
      </w:pPr>
      <w:r>
        <w:rPr>
          <w:rFonts w:ascii="Times New Roman" w:hAnsi="Times New Roman" w:cs="Times New Roman"/>
          <w:color w:val="auto"/>
          <w:sz w:val="24"/>
          <w:lang w:val="en-US"/>
        </w:rPr>
        <w:t xml:space="preserve">         1</w:t>
      </w:r>
      <w:r>
        <w:rPr>
          <w:rFonts w:ascii="Times New Roman" w:cs="Times New Roman"/>
          <w:color w:val="auto"/>
          <w:sz w:val="24"/>
          <w:lang w:val="en-US"/>
        </w:rPr>
        <w:t>、</w:t>
      </w:r>
      <w:r>
        <w:rPr>
          <w:rFonts w:ascii="Times New Roman" w:cs="Times New Roman"/>
          <w:color w:val="auto"/>
          <w:sz w:val="24"/>
        </w:rPr>
        <w:t>技术部分主要包括：技术</w:t>
      </w:r>
      <w:r>
        <w:rPr>
          <w:rFonts w:hint="eastAsia" w:ascii="Times New Roman" w:cs="Times New Roman"/>
          <w:color w:val="auto"/>
          <w:sz w:val="24"/>
        </w:rPr>
        <w:t>参数</w:t>
      </w:r>
      <w:r>
        <w:rPr>
          <w:rFonts w:ascii="Times New Roman" w:cs="Times New Roman"/>
          <w:color w:val="auto"/>
          <w:sz w:val="24"/>
        </w:rPr>
        <w:t>、质量管理与措施</w:t>
      </w:r>
      <w:r>
        <w:rPr>
          <w:rFonts w:ascii="Times New Roman" w:cs="Times New Roman"/>
          <w:color w:val="auto"/>
          <w:sz w:val="24"/>
          <w:lang w:val="en-US"/>
        </w:rPr>
        <w:t>等</w:t>
      </w:r>
      <w:r>
        <w:rPr>
          <w:rFonts w:ascii="Times New Roman" w:cs="Times New Roman"/>
          <w:color w:val="auto"/>
          <w:sz w:val="24"/>
        </w:rPr>
        <w:t>指标。</w:t>
      </w:r>
    </w:p>
    <w:p w14:paraId="567F582B">
      <w:pPr>
        <w:spacing w:line="360" w:lineRule="auto"/>
        <w:rPr>
          <w:rFonts w:ascii="Times New Roman" w:hAnsi="Times New Roman" w:cs="Times New Roman"/>
          <w:color w:val="auto"/>
          <w:sz w:val="24"/>
        </w:rPr>
      </w:pPr>
      <w:r>
        <w:rPr>
          <w:rFonts w:ascii="Times New Roman" w:hAnsi="Times New Roman" w:cs="Times New Roman"/>
          <w:color w:val="auto"/>
          <w:sz w:val="24"/>
          <w:lang w:val="en-US"/>
        </w:rPr>
        <w:t xml:space="preserve">         2</w:t>
      </w:r>
      <w:r>
        <w:rPr>
          <w:rFonts w:ascii="Times New Roman" w:cs="Times New Roman"/>
          <w:color w:val="auto"/>
          <w:sz w:val="24"/>
          <w:lang w:val="en-US"/>
        </w:rPr>
        <w:t>、</w:t>
      </w:r>
      <w:r>
        <w:rPr>
          <w:rFonts w:ascii="Times New Roman" w:cs="Times New Roman"/>
          <w:color w:val="auto"/>
          <w:sz w:val="24"/>
        </w:rPr>
        <w:t>商务部分主要包括：标函质量、财务能力和状况、售后服务</w:t>
      </w:r>
      <w:r>
        <w:rPr>
          <w:rFonts w:hint="eastAsia" w:ascii="Times New Roman" w:cs="Times New Roman"/>
          <w:color w:val="auto"/>
          <w:sz w:val="24"/>
        </w:rPr>
        <w:t>、</w:t>
      </w:r>
      <w:r>
        <w:rPr>
          <w:rFonts w:ascii="Times New Roman" w:cs="Times New Roman"/>
          <w:color w:val="auto"/>
          <w:sz w:val="24"/>
        </w:rPr>
        <w:t>项目业绩等指标。</w:t>
      </w:r>
    </w:p>
    <w:p w14:paraId="6CA379D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     </w:t>
      </w:r>
      <w:r>
        <w:rPr>
          <w:rFonts w:ascii="Times New Roman" w:hAnsi="Times New Roman" w:cs="Times New Roman"/>
          <w:color w:val="auto"/>
          <w:sz w:val="24"/>
        </w:rPr>
        <w:t>3</w:t>
      </w:r>
      <w:r>
        <w:rPr>
          <w:rFonts w:ascii="Times New Roman" w:cs="Times New Roman"/>
          <w:color w:val="auto"/>
          <w:sz w:val="24"/>
        </w:rPr>
        <w:t>、报价：有效投标人的</w:t>
      </w:r>
      <w:r>
        <w:rPr>
          <w:rFonts w:hint="eastAsia" w:ascii="Times New Roman" w:cs="Times New Roman"/>
          <w:color w:val="auto"/>
          <w:sz w:val="24"/>
        </w:rPr>
        <w:t>投标</w:t>
      </w:r>
      <w:r>
        <w:rPr>
          <w:rFonts w:ascii="Times New Roman" w:cs="Times New Roman"/>
          <w:color w:val="auto"/>
          <w:sz w:val="24"/>
        </w:rPr>
        <w:t>报价。</w:t>
      </w:r>
    </w:p>
    <w:p w14:paraId="3018A178">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 xml:space="preserve">     </w:t>
      </w:r>
      <w:r>
        <w:rPr>
          <w:rFonts w:ascii="Times New Roman" w:hAnsi="Times New Roman" w:cs="Times New Roman"/>
          <w:color w:val="auto"/>
          <w:sz w:val="24"/>
        </w:rPr>
        <w:t>4</w:t>
      </w:r>
      <w:r>
        <w:rPr>
          <w:rFonts w:ascii="Times New Roman" w:cs="Times New Roman"/>
          <w:color w:val="auto"/>
          <w:sz w:val="24"/>
        </w:rPr>
        <w:t>、综合评分具体指标和标准，见《评标（分）记录明细表》。</w:t>
      </w:r>
    </w:p>
    <w:p w14:paraId="6D8CCF70">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综合评分原则</w:t>
      </w:r>
    </w:p>
    <w:p w14:paraId="46593F66">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1</w:t>
      </w:r>
      <w:r>
        <w:rPr>
          <w:rFonts w:ascii="Times New Roman" w:cs="Times New Roman"/>
          <w:color w:val="auto"/>
          <w:sz w:val="24"/>
        </w:rPr>
        <w:t>）评标委员会对所报产品价格、</w:t>
      </w:r>
      <w:r>
        <w:rPr>
          <w:rFonts w:ascii="Times New Roman" w:cs="Times New Roman"/>
          <w:color w:val="auto"/>
          <w:sz w:val="24"/>
          <w:lang w:val="en-US"/>
        </w:rPr>
        <w:t>产品</w:t>
      </w:r>
      <w:r>
        <w:rPr>
          <w:rFonts w:ascii="Times New Roman" w:cs="Times New Roman"/>
          <w:color w:val="auto"/>
          <w:sz w:val="24"/>
        </w:rPr>
        <w:t>选型、配置及性能指标、</w:t>
      </w:r>
      <w:r>
        <w:rPr>
          <w:rFonts w:ascii="Times New Roman" w:cs="Times New Roman"/>
          <w:color w:val="auto"/>
          <w:sz w:val="24"/>
          <w:lang w:val="en-US"/>
        </w:rPr>
        <w:t>质量保证措施、</w:t>
      </w:r>
      <w:r>
        <w:rPr>
          <w:rFonts w:ascii="Times New Roman" w:cs="Times New Roman"/>
          <w:color w:val="auto"/>
          <w:sz w:val="24"/>
        </w:rPr>
        <w:t>货物供应、售后服务、类似项目的业绩</w:t>
      </w:r>
      <w:r>
        <w:rPr>
          <w:rFonts w:ascii="Times New Roman" w:cs="Times New Roman"/>
          <w:color w:val="auto"/>
          <w:sz w:val="24"/>
          <w:lang w:val="en-US"/>
        </w:rPr>
        <w:t>等</w:t>
      </w:r>
      <w:r>
        <w:rPr>
          <w:rFonts w:ascii="Times New Roman" w:cs="Times New Roman"/>
          <w:color w:val="auto"/>
          <w:sz w:val="24"/>
        </w:rPr>
        <w:t>因素</w:t>
      </w:r>
      <w:r>
        <w:rPr>
          <w:rFonts w:ascii="Times New Roman" w:cs="Times New Roman"/>
          <w:color w:val="auto"/>
          <w:sz w:val="24"/>
          <w:lang w:val="en-US"/>
        </w:rPr>
        <w:t>进行</w:t>
      </w:r>
      <w:r>
        <w:rPr>
          <w:rFonts w:ascii="Times New Roman" w:cs="Times New Roman"/>
          <w:color w:val="auto"/>
          <w:sz w:val="24"/>
        </w:rPr>
        <w:t>比较与</w:t>
      </w:r>
      <w:r>
        <w:rPr>
          <w:rFonts w:ascii="Times New Roman" w:cs="Times New Roman"/>
          <w:color w:val="auto"/>
          <w:sz w:val="24"/>
          <w:lang w:val="en-US"/>
        </w:rPr>
        <w:t>及具体</w:t>
      </w:r>
      <w:r>
        <w:rPr>
          <w:rFonts w:ascii="Times New Roman" w:cs="Times New Roman"/>
          <w:color w:val="auto"/>
          <w:sz w:val="24"/>
        </w:rPr>
        <w:t>评估等因素进行比较与评价，并进行打分和汇总。详见《评标（分）记录明细表》。</w:t>
      </w:r>
    </w:p>
    <w:p w14:paraId="2DD2A9F7">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2</w:t>
      </w:r>
      <w:r>
        <w:rPr>
          <w:rFonts w:ascii="Times New Roman" w:cs="Times New Roman"/>
          <w:color w:val="auto"/>
          <w:sz w:val="24"/>
        </w:rPr>
        <w:t>）评标委员会小组成员评标、打分时不得协商，应独立完成。</w:t>
      </w:r>
    </w:p>
    <w:p w14:paraId="0E6AAF0F">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3</w:t>
      </w:r>
      <w:r>
        <w:rPr>
          <w:rFonts w:ascii="Times New Roman" w:cs="Times New Roman"/>
          <w:color w:val="auto"/>
          <w:sz w:val="24"/>
        </w:rPr>
        <w:t>）未满足</w:t>
      </w:r>
      <w:r>
        <w:rPr>
          <w:rFonts w:hint="eastAsia" w:ascii="Times New Roman" w:cs="Times New Roman"/>
          <w:color w:val="auto"/>
          <w:sz w:val="24"/>
        </w:rPr>
        <w:t>采购文件</w:t>
      </w:r>
      <w:r>
        <w:rPr>
          <w:rFonts w:ascii="Times New Roman" w:cs="Times New Roman"/>
          <w:color w:val="auto"/>
          <w:sz w:val="24"/>
        </w:rPr>
        <w:t>要求的投标人，不予评分。</w:t>
      </w:r>
    </w:p>
    <w:p w14:paraId="241408AF">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4</w:t>
      </w:r>
      <w:r>
        <w:rPr>
          <w:rFonts w:ascii="Times New Roman" w:cs="Times New Roman"/>
          <w:color w:val="auto"/>
          <w:sz w:val="24"/>
        </w:rPr>
        <w:t>）评标打分应当按照技术部分、商务部分、报价部分的顺序进行，打分可保留两位小数。</w:t>
      </w:r>
    </w:p>
    <w:p w14:paraId="72C0E002">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5</w:t>
      </w:r>
      <w:r>
        <w:rPr>
          <w:rFonts w:ascii="Times New Roman" w:cs="Times New Roman"/>
          <w:color w:val="auto"/>
          <w:sz w:val="24"/>
        </w:rPr>
        <w:t>）技术、商务部分应按各小项分档打分，投标文件中各小项指标相近的，打分应属同一档次。在采购人同意的情况下，允许评标委员会小组各成员根据</w:t>
      </w:r>
      <w:r>
        <w:rPr>
          <w:rFonts w:hint="eastAsia" w:ascii="Times New Roman" w:cs="Times New Roman"/>
          <w:color w:val="auto"/>
          <w:sz w:val="24"/>
        </w:rPr>
        <w:t>采购文件</w:t>
      </w:r>
      <w:r>
        <w:rPr>
          <w:rFonts w:ascii="Times New Roman" w:cs="Times New Roman"/>
          <w:color w:val="auto"/>
          <w:sz w:val="24"/>
        </w:rPr>
        <w:t>部分要求的技术、功能和《评标（分）记录明细表》表格部分的性能指标要求，可以按各投标文件（投标书和产品技术说明书）实际情况在档次打分范围内调整分值。</w:t>
      </w:r>
    </w:p>
    <w:p w14:paraId="0FBF58DE">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6</w:t>
      </w:r>
      <w:r>
        <w:rPr>
          <w:rFonts w:ascii="Times New Roman" w:cs="Times New Roman"/>
          <w:color w:val="auto"/>
          <w:sz w:val="24"/>
        </w:rPr>
        <w:t>）打分采取百分制：</w:t>
      </w:r>
      <w:r>
        <w:rPr>
          <w:rFonts w:hint="eastAsia" w:ascii="Times New Roman" w:cs="Times New Roman"/>
          <w:color w:val="auto"/>
          <w:sz w:val="24"/>
        </w:rPr>
        <w:t>详见详细评审明细表</w:t>
      </w:r>
      <w:r>
        <w:rPr>
          <w:rFonts w:ascii="Times New Roman" w:cs="Times New Roman"/>
          <w:color w:val="auto"/>
          <w:sz w:val="24"/>
        </w:rPr>
        <w:t>；</w:t>
      </w:r>
    </w:p>
    <w:p w14:paraId="47BAD60A">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7</w:t>
      </w:r>
      <w:r>
        <w:rPr>
          <w:rFonts w:ascii="Times New Roman" w:cs="Times New Roman"/>
          <w:color w:val="auto"/>
          <w:sz w:val="24"/>
        </w:rPr>
        <w:t>）采购人核对汇总评标委员会各成员评分时，将计算出每一个投标人技术部分和商务部分所得分数的合计数后，再计算出其合计数的算术平均数，加上该投标人报价部分的得分后，即为该投标人的最后综合得分。</w:t>
      </w:r>
    </w:p>
    <w:p w14:paraId="52AA9C64">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8</w:t>
      </w:r>
      <w:r>
        <w:rPr>
          <w:rFonts w:ascii="Times New Roman" w:cs="Times New Roman"/>
          <w:color w:val="auto"/>
          <w:sz w:val="24"/>
        </w:rPr>
        <w:t>）由采购人核对录入和汇总计算出每一个投标人的所得分数值，并由高到底排序后，须有评标委员会小组各成员署名确认。如出现得分相同的，应按投标人的报价由低到高顺序排列；得分且其报价相等的，则按核心技术指标优劣顺序排列。价格、技术指标的高低或优劣由评标委员各成员确认评定。</w:t>
      </w:r>
    </w:p>
    <w:p w14:paraId="36AB1282">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w:t>
      </w:r>
      <w:r>
        <w:rPr>
          <w:rFonts w:ascii="Times New Roman" w:hAnsi="Times New Roman" w:cs="Times New Roman"/>
          <w:color w:val="auto"/>
          <w:sz w:val="24"/>
          <w:lang w:val="en-US"/>
        </w:rPr>
        <w:t>8</w:t>
      </w:r>
      <w:r>
        <w:rPr>
          <w:rFonts w:ascii="Times New Roman" w:cs="Times New Roman"/>
          <w:color w:val="auto"/>
          <w:sz w:val="24"/>
        </w:rPr>
        <w:t>）若发现打分有误或者有差错的，或发现存在个人印象或带有明显倾向性时，</w:t>
      </w:r>
      <w:r>
        <w:rPr>
          <w:rFonts w:ascii="Times New Roman" w:hAnsi="Times New Roman" w:cs="Times New Roman"/>
          <w:color w:val="auto"/>
          <w:sz w:val="24"/>
        </w:rPr>
        <w:t xml:space="preserve"> </w:t>
      </w:r>
      <w:r>
        <w:rPr>
          <w:rFonts w:ascii="Times New Roman" w:cs="Times New Roman"/>
          <w:color w:val="auto"/>
          <w:sz w:val="24"/>
        </w:rPr>
        <w:t>采购人将按前款</w:t>
      </w:r>
      <w:r>
        <w:rPr>
          <w:rFonts w:ascii="Times New Roman" w:hAnsi="Times New Roman" w:cs="Times New Roman"/>
          <w:color w:val="auto"/>
          <w:sz w:val="24"/>
        </w:rPr>
        <w:t>“</w:t>
      </w:r>
      <w:r>
        <w:rPr>
          <w:rFonts w:ascii="Times New Roman" w:cs="Times New Roman"/>
          <w:color w:val="auto"/>
          <w:sz w:val="24"/>
        </w:rPr>
        <w:t>第四部分</w:t>
      </w:r>
      <w:r>
        <w:rPr>
          <w:rFonts w:ascii="Times New Roman" w:hAnsi="Times New Roman" w:cs="Times New Roman"/>
          <w:color w:val="auto"/>
          <w:sz w:val="24"/>
        </w:rPr>
        <w:t>”</w:t>
      </w:r>
      <w:r>
        <w:rPr>
          <w:rFonts w:ascii="Times New Roman" w:cs="Times New Roman"/>
          <w:color w:val="auto"/>
          <w:sz w:val="24"/>
        </w:rPr>
        <w:t>中</w:t>
      </w:r>
      <w:r>
        <w:rPr>
          <w:rFonts w:ascii="Times New Roman" w:hAnsi="Times New Roman" w:cs="Times New Roman"/>
          <w:color w:val="auto"/>
          <w:sz w:val="24"/>
        </w:rPr>
        <w:t>“</w:t>
      </w:r>
      <w:r>
        <w:rPr>
          <w:rFonts w:ascii="Times New Roman" w:cs="Times New Roman"/>
          <w:color w:val="auto"/>
          <w:sz w:val="24"/>
        </w:rPr>
        <w:t>第四章</w:t>
      </w:r>
      <w:r>
        <w:rPr>
          <w:rFonts w:ascii="Times New Roman" w:hAnsi="Times New Roman" w:cs="Times New Roman"/>
          <w:color w:val="auto"/>
          <w:sz w:val="24"/>
        </w:rPr>
        <w:t>”</w:t>
      </w:r>
      <w:r>
        <w:rPr>
          <w:rFonts w:ascii="Times New Roman" w:cs="Times New Roman"/>
          <w:color w:val="auto"/>
          <w:sz w:val="24"/>
        </w:rPr>
        <w:t>的</w:t>
      </w:r>
      <w:r>
        <w:rPr>
          <w:rFonts w:ascii="Times New Roman" w:hAnsi="Times New Roman" w:cs="Times New Roman"/>
          <w:color w:val="auto"/>
          <w:sz w:val="24"/>
        </w:rPr>
        <w:t>21.3</w:t>
      </w:r>
      <w:r>
        <w:rPr>
          <w:rFonts w:ascii="Times New Roman" w:cs="Times New Roman"/>
          <w:color w:val="auto"/>
          <w:sz w:val="24"/>
        </w:rPr>
        <w:t>条款之规定执行。</w:t>
      </w:r>
    </w:p>
    <w:p w14:paraId="560586D4">
      <w:pPr>
        <w:spacing w:line="360" w:lineRule="auto"/>
        <w:ind w:firstLine="480" w:firstLineChars="200"/>
        <w:rPr>
          <w:rFonts w:ascii="Times New Roman" w:hAnsi="Times New Roman" w:cs="Times New Roman"/>
          <w:color w:val="auto"/>
          <w:sz w:val="24"/>
        </w:rPr>
      </w:pPr>
      <w:r>
        <w:rPr>
          <w:rFonts w:ascii="Times New Roman" w:cs="Times New Roman"/>
          <w:color w:val="auto"/>
          <w:sz w:val="24"/>
        </w:rPr>
        <w:t>《评标（分）记录明细表》</w:t>
      </w:r>
    </w:p>
    <w:p w14:paraId="01B877C7">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rPr>
        <w:t>1</w:t>
      </w:r>
      <w:r>
        <w:rPr>
          <w:rFonts w:ascii="Times New Roman" w:cs="Times New Roman"/>
          <w:color w:val="auto"/>
          <w:sz w:val="24"/>
        </w:rPr>
        <w:t>、明细表包括技术部分、商务部分、报价部分、评审分标准、具体评审意见、综合评审意见、分数标准、得分、其他等组成。</w:t>
      </w:r>
    </w:p>
    <w:p w14:paraId="162D5086">
      <w:pPr>
        <w:spacing w:line="360" w:lineRule="auto"/>
        <w:ind w:firstLine="480" w:firstLineChars="200"/>
        <w:rPr>
          <w:rFonts w:ascii="Times New Roman" w:hAnsi="Times New Roman" w:cs="Times New Roman"/>
          <w:color w:val="auto"/>
        </w:rPr>
      </w:pPr>
      <w:r>
        <w:rPr>
          <w:rFonts w:ascii="Times New Roman" w:hAnsi="Times New Roman" w:cs="Times New Roman"/>
          <w:color w:val="auto"/>
          <w:sz w:val="24"/>
        </w:rPr>
        <w:t>2</w:t>
      </w:r>
      <w:r>
        <w:rPr>
          <w:rFonts w:ascii="Times New Roman" w:cs="Times New Roman"/>
          <w:color w:val="auto"/>
          <w:sz w:val="24"/>
        </w:rPr>
        <w:t>、评标委员会各成员记录原则上不允许有涂改、划擦等，如有应按规定修正。不允许在采购人核对汇总且确认之后，在未经许可时，不能再要回重新记录。</w:t>
      </w:r>
    </w:p>
    <w:p w14:paraId="37B22DD2">
      <w:pPr>
        <w:rPr>
          <w:color w:val="auto"/>
          <w:sz w:val="30"/>
          <w:szCs w:val="30"/>
        </w:rPr>
      </w:pPr>
      <w:r>
        <w:rPr>
          <w:color w:val="auto"/>
          <w:sz w:val="30"/>
          <w:szCs w:val="30"/>
        </w:rPr>
        <w:br w:type="page"/>
      </w:r>
    </w:p>
    <w:p w14:paraId="5CBF846A">
      <w:pPr>
        <w:pStyle w:val="5"/>
        <w:ind w:left="0"/>
        <w:rPr>
          <w:b w:val="0"/>
          <w:bCs w:val="0"/>
          <w:color w:val="auto"/>
          <w:sz w:val="30"/>
          <w:szCs w:val="30"/>
        </w:rPr>
      </w:pPr>
      <w:r>
        <w:rPr>
          <w:color w:val="auto"/>
          <w:sz w:val="30"/>
          <w:szCs w:val="30"/>
        </w:rPr>
        <w:t>投标文件初步审查表</w:t>
      </w:r>
    </w:p>
    <w:p w14:paraId="2C7B61AC">
      <w:pPr>
        <w:widowControl/>
        <w:kinsoku w:val="0"/>
        <w:adjustRightInd w:val="0"/>
        <w:snapToGrid w:val="0"/>
        <w:spacing w:line="141" w:lineRule="exact"/>
        <w:jc w:val="left"/>
        <w:textAlignment w:val="baseline"/>
        <w:rPr>
          <w:rFonts w:ascii="Arial" w:hAnsi="Arial" w:eastAsia="Arial" w:cs="Arial"/>
          <w:snapToGrid w:val="0"/>
          <w:color w:val="auto"/>
          <w:kern w:val="0"/>
          <w:sz w:val="21"/>
          <w:szCs w:val="21"/>
          <w:highlight w:val="none"/>
          <w:lang w:val="en-US" w:eastAsia="en-US" w:bidi="ar-SA"/>
        </w:rPr>
      </w:pPr>
    </w:p>
    <w:tbl>
      <w:tblPr>
        <w:tblStyle w:val="81"/>
        <w:tblW w:w="96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1"/>
        <w:gridCol w:w="1834"/>
        <w:gridCol w:w="5714"/>
        <w:gridCol w:w="782"/>
      </w:tblGrid>
      <w:tr w14:paraId="2F5C0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331" w:type="dxa"/>
            <w:vAlign w:val="top"/>
          </w:tcPr>
          <w:p w14:paraId="4C248A6E">
            <w:pPr>
              <w:kinsoku w:val="0"/>
              <w:autoSpaceDE w:val="0"/>
              <w:autoSpaceDN w:val="0"/>
              <w:adjustRightInd w:val="0"/>
              <w:snapToGrid w:val="0"/>
              <w:spacing w:before="236" w:line="232" w:lineRule="auto"/>
              <w:ind w:left="466"/>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kern w:val="0"/>
                <w:sz w:val="24"/>
                <w:szCs w:val="24"/>
                <w:highlight w:val="none"/>
                <w:lang w:val="en-US" w:eastAsia="en-US" w:bidi="ar-SA"/>
              </w:rPr>
              <w:t>项目</w:t>
            </w:r>
          </w:p>
        </w:tc>
        <w:tc>
          <w:tcPr>
            <w:tcW w:w="1834" w:type="dxa"/>
            <w:vAlign w:val="top"/>
          </w:tcPr>
          <w:p w14:paraId="4EA7CF91">
            <w:pPr>
              <w:kinsoku w:val="0"/>
              <w:autoSpaceDE w:val="0"/>
              <w:autoSpaceDN w:val="0"/>
              <w:adjustRightInd w:val="0"/>
              <w:snapToGrid w:val="0"/>
              <w:spacing w:before="236" w:line="231" w:lineRule="auto"/>
              <w:ind w:left="505"/>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spacing w:val="4"/>
                <w:kern w:val="0"/>
                <w:sz w:val="24"/>
                <w:szCs w:val="24"/>
                <w:highlight w:val="none"/>
                <w:lang w:val="en-US" w:eastAsia="en-US" w:bidi="ar-SA"/>
              </w:rPr>
              <w:t>评审因素</w:t>
            </w:r>
          </w:p>
        </w:tc>
        <w:tc>
          <w:tcPr>
            <w:tcW w:w="5714" w:type="dxa"/>
            <w:vAlign w:val="top"/>
          </w:tcPr>
          <w:p w14:paraId="0ACEE33F">
            <w:pPr>
              <w:kinsoku w:val="0"/>
              <w:autoSpaceDE w:val="0"/>
              <w:autoSpaceDN w:val="0"/>
              <w:adjustRightInd w:val="0"/>
              <w:snapToGrid w:val="0"/>
              <w:spacing w:before="236" w:line="231" w:lineRule="auto"/>
              <w:ind w:left="2449"/>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spacing w:val="4"/>
                <w:kern w:val="0"/>
                <w:sz w:val="24"/>
                <w:szCs w:val="24"/>
                <w:highlight w:val="none"/>
                <w:lang w:val="en-US" w:eastAsia="en-US" w:bidi="ar-SA"/>
              </w:rPr>
              <w:t>评审标准</w:t>
            </w:r>
          </w:p>
        </w:tc>
        <w:tc>
          <w:tcPr>
            <w:tcW w:w="782" w:type="dxa"/>
            <w:vAlign w:val="top"/>
          </w:tcPr>
          <w:p w14:paraId="7C2D9EE8">
            <w:pPr>
              <w:kinsoku w:val="0"/>
              <w:autoSpaceDE w:val="0"/>
              <w:autoSpaceDN w:val="0"/>
              <w:adjustRightInd w:val="0"/>
              <w:snapToGrid w:val="0"/>
              <w:spacing w:before="44" w:line="233" w:lineRule="auto"/>
              <w:ind w:left="193"/>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
                <w:kern w:val="0"/>
                <w:sz w:val="24"/>
                <w:szCs w:val="24"/>
                <w:highlight w:val="none"/>
                <w:lang w:val="en-US" w:eastAsia="en-US" w:bidi="ar-SA"/>
              </w:rPr>
              <w:t>是否</w:t>
            </w:r>
          </w:p>
          <w:p w14:paraId="70AB4DC3">
            <w:pPr>
              <w:kinsoku w:val="0"/>
              <w:autoSpaceDE w:val="0"/>
              <w:autoSpaceDN w:val="0"/>
              <w:adjustRightInd w:val="0"/>
              <w:snapToGrid w:val="0"/>
              <w:spacing w:before="18" w:line="224" w:lineRule="auto"/>
              <w:ind w:left="19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
                <w:kern w:val="0"/>
                <w:sz w:val="24"/>
                <w:szCs w:val="24"/>
                <w:highlight w:val="none"/>
                <w:lang w:val="en-US" w:eastAsia="en-US" w:bidi="ar-SA"/>
              </w:rPr>
              <w:t>符合</w:t>
            </w:r>
          </w:p>
        </w:tc>
      </w:tr>
      <w:tr w14:paraId="7E23C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3" w:hRule="atLeast"/>
        </w:trPr>
        <w:tc>
          <w:tcPr>
            <w:tcW w:w="1331" w:type="dxa"/>
            <w:vMerge w:val="restart"/>
            <w:vAlign w:val="top"/>
          </w:tcPr>
          <w:p w14:paraId="470F9AD0">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79EAA76D">
            <w:pPr>
              <w:kinsoku w:val="0"/>
              <w:autoSpaceDE w:val="0"/>
              <w:autoSpaceDN w:val="0"/>
              <w:adjustRightInd w:val="0"/>
              <w:snapToGrid w:val="0"/>
              <w:spacing w:before="0" w:line="240" w:lineRule="auto"/>
              <w:ind w:left="0" w:right="0" w:firstLine="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具有独立承担民事责任的能力</w:t>
            </w:r>
          </w:p>
        </w:tc>
        <w:tc>
          <w:tcPr>
            <w:tcW w:w="5714" w:type="dxa"/>
            <w:vAlign w:val="top"/>
          </w:tcPr>
          <w:p w14:paraId="33A9C0F4">
            <w:pPr>
              <w:kinsoku w:val="0"/>
              <w:autoSpaceDE w:val="0"/>
              <w:autoSpaceDN w:val="0"/>
              <w:adjustRightInd w:val="0"/>
              <w:snapToGrid w:val="0"/>
              <w:spacing w:before="249" w:line="230" w:lineRule="auto"/>
              <w:ind w:left="119"/>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提供有效的营业执照复印件</w:t>
            </w:r>
          </w:p>
        </w:tc>
        <w:tc>
          <w:tcPr>
            <w:tcW w:w="782" w:type="dxa"/>
            <w:vAlign w:val="top"/>
          </w:tcPr>
          <w:p w14:paraId="221AFE5B">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7B341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331" w:type="dxa"/>
            <w:vMerge w:val="continue"/>
            <w:vAlign w:val="top"/>
          </w:tcPr>
          <w:p w14:paraId="5C293C1D">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3F336C15">
            <w:pPr>
              <w:kinsoku w:val="0"/>
              <w:autoSpaceDE w:val="0"/>
              <w:autoSpaceDN w:val="0"/>
              <w:adjustRightInd w:val="0"/>
              <w:snapToGrid w:val="0"/>
              <w:spacing w:before="0" w:line="240" w:lineRule="auto"/>
              <w:ind w:left="0" w:right="0" w:firstLine="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具有健全的财务</w:t>
            </w:r>
            <w:r>
              <w:rPr>
                <w:rFonts w:hint="eastAsia" w:ascii="宋体" w:hAnsi="宋体" w:eastAsia="宋体" w:cs="宋体"/>
                <w:snapToGrid w:val="0"/>
                <w:color w:val="auto"/>
                <w:spacing w:val="4"/>
                <w:kern w:val="0"/>
                <w:sz w:val="24"/>
                <w:szCs w:val="24"/>
                <w:highlight w:val="none"/>
                <w:lang w:val="en-US" w:eastAsia="en-US" w:bidi="ar-SA"/>
              </w:rPr>
              <w:t>会计制度</w:t>
            </w:r>
          </w:p>
        </w:tc>
        <w:tc>
          <w:tcPr>
            <w:tcW w:w="5714" w:type="dxa"/>
            <w:vAlign w:val="top"/>
          </w:tcPr>
          <w:p w14:paraId="140B681B">
            <w:pPr>
              <w:kinsoku w:val="0"/>
              <w:autoSpaceDE w:val="0"/>
              <w:autoSpaceDN w:val="0"/>
              <w:adjustRightInd w:val="0"/>
              <w:snapToGrid w:val="0"/>
              <w:spacing w:before="35" w:line="240" w:lineRule="auto"/>
              <w:ind w:left="117" w:right="103" w:firstLine="1"/>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5"/>
                <w:kern w:val="0"/>
                <w:sz w:val="24"/>
                <w:szCs w:val="24"/>
                <w:highlight w:val="none"/>
                <w:lang w:val="en-US" w:eastAsia="en-US" w:bidi="ar-SA"/>
              </w:rPr>
              <w:t>提供</w:t>
            </w:r>
            <w:r>
              <w:rPr>
                <w:rFonts w:hint="eastAsia" w:ascii="宋体" w:hAnsi="宋体" w:eastAsia="宋体" w:cs="宋体"/>
                <w:snapToGrid w:val="0"/>
                <w:color w:val="auto"/>
                <w:spacing w:val="5"/>
                <w:kern w:val="0"/>
                <w:sz w:val="24"/>
                <w:szCs w:val="24"/>
                <w:highlight w:val="none"/>
                <w:lang w:val="en-US" w:eastAsia="zh-CN" w:bidi="ar-SA"/>
              </w:rPr>
              <w:t>2025</w:t>
            </w:r>
            <w:r>
              <w:rPr>
                <w:rFonts w:hint="eastAsia" w:ascii="宋体" w:hAnsi="宋体" w:eastAsia="宋体" w:cs="宋体"/>
                <w:snapToGrid w:val="0"/>
                <w:color w:val="auto"/>
                <w:spacing w:val="5"/>
                <w:kern w:val="0"/>
                <w:sz w:val="24"/>
                <w:szCs w:val="24"/>
                <w:highlight w:val="none"/>
                <w:lang w:val="en-US" w:eastAsia="en-US" w:bidi="ar-SA"/>
              </w:rPr>
              <w:t>年度</w:t>
            </w:r>
            <w:r>
              <w:rPr>
                <w:rFonts w:hint="eastAsia" w:ascii="宋体" w:hAnsi="宋体" w:eastAsia="宋体" w:cs="宋体"/>
                <w:snapToGrid w:val="0"/>
                <w:color w:val="auto"/>
                <w:spacing w:val="5"/>
                <w:kern w:val="0"/>
                <w:sz w:val="24"/>
                <w:szCs w:val="24"/>
                <w:highlight w:val="none"/>
                <w:lang w:val="en-US" w:eastAsia="zh-CN" w:bidi="ar-SA"/>
              </w:rPr>
              <w:t>财务审计报告</w:t>
            </w:r>
            <w:r>
              <w:rPr>
                <w:rFonts w:hint="eastAsia" w:ascii="宋体" w:hAnsi="宋体" w:eastAsia="宋体" w:cs="宋体"/>
                <w:snapToGrid w:val="0"/>
                <w:color w:val="auto"/>
                <w:spacing w:val="5"/>
                <w:kern w:val="0"/>
                <w:sz w:val="24"/>
                <w:szCs w:val="24"/>
                <w:highlight w:val="none"/>
                <w:lang w:val="en-US" w:eastAsia="en-US" w:bidi="ar-SA"/>
              </w:rPr>
              <w:t>或财务报表</w:t>
            </w:r>
            <w:r>
              <w:rPr>
                <w:rFonts w:hint="eastAsia" w:ascii="宋体" w:hAnsi="宋体" w:eastAsia="宋体" w:cs="宋体"/>
                <w:snapToGrid w:val="0"/>
                <w:color w:val="auto"/>
                <w:spacing w:val="5"/>
                <w:kern w:val="0"/>
                <w:sz w:val="24"/>
                <w:szCs w:val="24"/>
                <w:highlight w:val="none"/>
                <w:lang w:val="en-US" w:eastAsia="zh-CN" w:bidi="ar-SA"/>
              </w:rPr>
              <w:t>（成立时间不足的提供成立至今的财务报表）</w:t>
            </w:r>
            <w:r>
              <w:rPr>
                <w:rFonts w:hint="eastAsia" w:ascii="宋体" w:hAnsi="宋体" w:eastAsia="宋体" w:cs="宋体"/>
                <w:snapToGrid w:val="0"/>
                <w:color w:val="auto"/>
                <w:spacing w:val="5"/>
                <w:kern w:val="0"/>
                <w:sz w:val="24"/>
                <w:szCs w:val="24"/>
                <w:highlight w:val="none"/>
                <w:lang w:val="en-US" w:eastAsia="en-US" w:bidi="ar-SA"/>
              </w:rPr>
              <w:t>或其基本开户银</w:t>
            </w:r>
            <w:r>
              <w:rPr>
                <w:rFonts w:hint="eastAsia" w:ascii="宋体" w:hAnsi="宋体" w:eastAsia="宋体" w:cs="宋体"/>
                <w:snapToGrid w:val="0"/>
                <w:color w:val="auto"/>
                <w:spacing w:val="11"/>
                <w:kern w:val="0"/>
                <w:sz w:val="24"/>
                <w:szCs w:val="24"/>
                <w:highlight w:val="none"/>
                <w:lang w:val="en-US" w:eastAsia="en-US" w:bidi="ar-SA"/>
              </w:rPr>
              <w:t>行出具的资信证明复印件（资信证明出具时间须在本项目采</w:t>
            </w:r>
            <w:r>
              <w:rPr>
                <w:rFonts w:hint="eastAsia" w:ascii="宋体" w:hAnsi="宋体" w:eastAsia="宋体" w:cs="宋体"/>
                <w:snapToGrid w:val="0"/>
                <w:color w:val="auto"/>
                <w:spacing w:val="8"/>
                <w:kern w:val="0"/>
                <w:sz w:val="24"/>
                <w:szCs w:val="24"/>
                <w:highlight w:val="none"/>
                <w:lang w:val="en-US" w:eastAsia="en-US" w:bidi="ar-SA"/>
              </w:rPr>
              <w:t>购公告发布之后，响应文件递交截止时间之前）。</w:t>
            </w:r>
          </w:p>
        </w:tc>
        <w:tc>
          <w:tcPr>
            <w:tcW w:w="782" w:type="dxa"/>
            <w:vAlign w:val="top"/>
          </w:tcPr>
          <w:p w14:paraId="40C19885">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53C97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331" w:type="dxa"/>
            <w:vMerge w:val="continue"/>
            <w:vAlign w:val="top"/>
          </w:tcPr>
          <w:p w14:paraId="201E55B6">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473DED7A">
            <w:pPr>
              <w:kinsoku w:val="0"/>
              <w:autoSpaceDE w:val="0"/>
              <w:autoSpaceDN w:val="0"/>
              <w:adjustRightInd w:val="0"/>
              <w:snapToGrid w:val="0"/>
              <w:spacing w:before="0" w:line="240" w:lineRule="auto"/>
              <w:ind w:left="0" w:right="0" w:firstLine="0"/>
              <w:jc w:val="left"/>
              <w:textAlignment w:val="baseline"/>
              <w:rPr>
                <w:rFonts w:hint="eastAsia" w:ascii="宋体" w:hAnsi="宋体" w:eastAsia="宋体" w:cs="宋体"/>
                <w:snapToGrid w:val="0"/>
                <w:color w:val="auto"/>
                <w:spacing w:val="7"/>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本项目的特定资格要求</w:t>
            </w:r>
          </w:p>
        </w:tc>
        <w:tc>
          <w:tcPr>
            <w:tcW w:w="5714" w:type="dxa"/>
            <w:vAlign w:val="top"/>
          </w:tcPr>
          <w:p w14:paraId="5B4FE74C">
            <w:pPr>
              <w:kinsoku w:val="0"/>
              <w:autoSpaceDE w:val="0"/>
              <w:autoSpaceDN w:val="0"/>
              <w:adjustRightInd w:val="0"/>
              <w:snapToGrid w:val="0"/>
              <w:spacing w:before="35" w:line="240" w:lineRule="auto"/>
              <w:ind w:left="117" w:right="103" w:firstLine="1"/>
              <w:jc w:val="both"/>
              <w:textAlignment w:val="baseline"/>
              <w:rPr>
                <w:rFonts w:hint="eastAsia" w:ascii="宋体" w:hAnsi="宋体" w:eastAsia="宋体" w:cs="宋体"/>
                <w:snapToGrid w:val="0"/>
                <w:color w:val="auto"/>
                <w:spacing w:val="5"/>
                <w:kern w:val="0"/>
                <w:sz w:val="24"/>
                <w:szCs w:val="24"/>
                <w:highlight w:val="none"/>
                <w:lang w:val="en-US" w:eastAsia="en-US" w:bidi="ar-SA"/>
              </w:rPr>
            </w:pPr>
            <w:r>
              <w:rPr>
                <w:rFonts w:hint="eastAsia" w:ascii="宋体" w:hAnsi="宋体" w:eastAsia="宋体" w:cs="宋体"/>
                <w:snapToGrid w:val="0"/>
                <w:color w:val="auto"/>
                <w:spacing w:val="5"/>
                <w:kern w:val="0"/>
                <w:sz w:val="24"/>
                <w:szCs w:val="24"/>
                <w:highlight w:val="none"/>
                <w:lang w:val="en-US" w:eastAsia="en-US" w:bidi="ar-SA"/>
              </w:rPr>
              <w:t>投标供应商是生产企业的需提供加盖公章的生产许可证、农药登记证、执行标准；代理经销商投标需提供农药经营许可证和加盖生产企业公章的农药登记证、生产许可证、执行标准，肥料产品需提供肥料登记证或网站备案文件。</w:t>
            </w:r>
          </w:p>
        </w:tc>
        <w:tc>
          <w:tcPr>
            <w:tcW w:w="782" w:type="dxa"/>
            <w:vAlign w:val="top"/>
          </w:tcPr>
          <w:p w14:paraId="7CE09E67">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715D1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31" w:type="dxa"/>
            <w:vMerge w:val="continue"/>
            <w:vAlign w:val="top"/>
          </w:tcPr>
          <w:p w14:paraId="2CF35B49">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45C023E6">
            <w:pPr>
              <w:kinsoku w:val="0"/>
              <w:autoSpaceDE w:val="0"/>
              <w:autoSpaceDN w:val="0"/>
              <w:adjustRightInd w:val="0"/>
              <w:snapToGrid w:val="0"/>
              <w:spacing w:before="0" w:line="240" w:lineRule="auto"/>
              <w:ind w:left="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具有履行合同所</w:t>
            </w:r>
          </w:p>
          <w:p w14:paraId="2292B8DA">
            <w:pPr>
              <w:kinsoku w:val="0"/>
              <w:autoSpaceDE w:val="0"/>
              <w:autoSpaceDN w:val="0"/>
              <w:adjustRightInd w:val="0"/>
              <w:snapToGrid w:val="0"/>
              <w:spacing w:before="24" w:line="231" w:lineRule="auto"/>
              <w:ind w:left="193"/>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必需的设备和专业技术能力</w:t>
            </w:r>
          </w:p>
        </w:tc>
        <w:tc>
          <w:tcPr>
            <w:tcW w:w="5714" w:type="dxa"/>
            <w:vAlign w:val="top"/>
          </w:tcPr>
          <w:p w14:paraId="2A145247">
            <w:pPr>
              <w:kinsoku w:val="0"/>
              <w:autoSpaceDE w:val="0"/>
              <w:autoSpaceDN w:val="0"/>
              <w:adjustRightInd w:val="0"/>
              <w:snapToGrid w:val="0"/>
              <w:spacing w:before="304" w:line="229" w:lineRule="auto"/>
              <w:ind w:left="118"/>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供应商提供书面声明或相关证明材料</w:t>
            </w:r>
          </w:p>
        </w:tc>
        <w:tc>
          <w:tcPr>
            <w:tcW w:w="782" w:type="dxa"/>
            <w:vAlign w:val="top"/>
          </w:tcPr>
          <w:p w14:paraId="147B2CE6">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11063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7" w:hRule="atLeast"/>
        </w:trPr>
        <w:tc>
          <w:tcPr>
            <w:tcW w:w="1331" w:type="dxa"/>
            <w:vMerge w:val="continue"/>
            <w:vAlign w:val="top"/>
          </w:tcPr>
          <w:p w14:paraId="1BCDCE5B">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69D28CE2">
            <w:pPr>
              <w:widowControl/>
              <w:kinsoku w:val="0"/>
              <w:adjustRightInd w:val="0"/>
              <w:snapToGrid w:val="0"/>
              <w:spacing w:line="254"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722DAA85">
            <w:pPr>
              <w:widowControl/>
              <w:kinsoku w:val="0"/>
              <w:adjustRightInd w:val="0"/>
              <w:snapToGrid w:val="0"/>
              <w:spacing w:line="255"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2A9DAF2C">
            <w:pPr>
              <w:kinsoku w:val="0"/>
              <w:autoSpaceDE w:val="0"/>
              <w:autoSpaceDN w:val="0"/>
              <w:adjustRightInd w:val="0"/>
              <w:snapToGrid w:val="0"/>
              <w:spacing w:before="0" w:line="240" w:lineRule="auto"/>
              <w:ind w:left="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有依法缴纳税收</w:t>
            </w:r>
          </w:p>
          <w:p w14:paraId="683CC335">
            <w:pPr>
              <w:kinsoku w:val="0"/>
              <w:autoSpaceDE w:val="0"/>
              <w:autoSpaceDN w:val="0"/>
              <w:adjustRightInd w:val="0"/>
              <w:snapToGrid w:val="0"/>
              <w:spacing w:before="21" w:line="229" w:lineRule="auto"/>
              <w:ind w:left="19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和社会保障资金</w:t>
            </w:r>
            <w:r>
              <w:rPr>
                <w:rFonts w:hint="eastAsia" w:ascii="宋体" w:hAnsi="宋体" w:eastAsia="宋体" w:cs="宋体"/>
                <w:snapToGrid w:val="0"/>
                <w:color w:val="auto"/>
                <w:spacing w:val="4"/>
                <w:kern w:val="0"/>
                <w:sz w:val="24"/>
                <w:szCs w:val="24"/>
                <w:highlight w:val="none"/>
                <w:lang w:val="en-US" w:eastAsia="en-US" w:bidi="ar-SA"/>
              </w:rPr>
              <w:t>的良好记录</w:t>
            </w:r>
          </w:p>
        </w:tc>
        <w:tc>
          <w:tcPr>
            <w:tcW w:w="5714" w:type="dxa"/>
            <w:vAlign w:val="top"/>
          </w:tcPr>
          <w:p w14:paraId="174E303B">
            <w:pPr>
              <w:kinsoku w:val="0"/>
              <w:autoSpaceDE w:val="0"/>
              <w:autoSpaceDN w:val="0"/>
              <w:adjustRightInd w:val="0"/>
              <w:snapToGrid w:val="0"/>
              <w:spacing w:before="33" w:line="231" w:lineRule="auto"/>
              <w:ind w:left="122"/>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（1）提供依法缴纳税收证明；</w:t>
            </w:r>
          </w:p>
          <w:p w14:paraId="03A6C128">
            <w:pPr>
              <w:kinsoku w:val="0"/>
              <w:autoSpaceDE w:val="0"/>
              <w:autoSpaceDN w:val="0"/>
              <w:adjustRightInd w:val="0"/>
              <w:snapToGrid w:val="0"/>
              <w:spacing w:before="22" w:line="251" w:lineRule="auto"/>
              <w:ind w:left="117" w:right="106" w:firstLine="4"/>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6"/>
                <w:kern w:val="0"/>
                <w:sz w:val="24"/>
                <w:szCs w:val="24"/>
                <w:highlight w:val="none"/>
                <w:lang w:val="en-US" w:eastAsia="en-US" w:bidi="ar-SA"/>
              </w:rPr>
              <w:t>（2）提供社会保险登记证或社保机构出具的近半年内任一月</w:t>
            </w:r>
            <w:r>
              <w:rPr>
                <w:rFonts w:hint="eastAsia" w:ascii="宋体" w:hAnsi="宋体" w:eastAsia="宋体" w:cs="宋体"/>
                <w:snapToGrid w:val="0"/>
                <w:color w:val="auto"/>
                <w:spacing w:val="8"/>
                <w:kern w:val="0"/>
                <w:sz w:val="24"/>
                <w:szCs w:val="24"/>
                <w:highlight w:val="none"/>
                <w:lang w:val="en-US" w:eastAsia="en-US" w:bidi="ar-SA"/>
              </w:rPr>
              <w:t>社保缴纳证明或社保缴纳凭证</w:t>
            </w:r>
          </w:p>
          <w:p w14:paraId="68236343">
            <w:pPr>
              <w:kinsoku w:val="0"/>
              <w:autoSpaceDE w:val="0"/>
              <w:autoSpaceDN w:val="0"/>
              <w:adjustRightInd w:val="0"/>
              <w:snapToGrid w:val="0"/>
              <w:spacing w:line="251" w:lineRule="auto"/>
              <w:ind w:left="121" w:right="106" w:firstLine="1"/>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6"/>
                <w:kern w:val="0"/>
                <w:sz w:val="24"/>
                <w:szCs w:val="24"/>
                <w:highlight w:val="none"/>
                <w:lang w:val="en-US" w:eastAsia="en-US" w:bidi="ar-SA"/>
              </w:rPr>
              <w:t>（3）供应商是其他组织和自然人的，需要提供近半年内任意</w:t>
            </w:r>
            <w:r>
              <w:rPr>
                <w:rFonts w:hint="eastAsia" w:ascii="宋体" w:hAnsi="宋体" w:eastAsia="宋体" w:cs="宋体"/>
                <w:snapToGrid w:val="0"/>
                <w:color w:val="auto"/>
                <w:spacing w:val="8"/>
                <w:kern w:val="0"/>
                <w:sz w:val="24"/>
                <w:szCs w:val="24"/>
                <w:highlight w:val="none"/>
                <w:lang w:val="en-US" w:eastAsia="en-US" w:bidi="ar-SA"/>
              </w:rPr>
              <w:t>一个月的缴纳税收和社会保险的凭据</w:t>
            </w:r>
          </w:p>
          <w:p w14:paraId="067712B8">
            <w:pPr>
              <w:kinsoku w:val="0"/>
              <w:autoSpaceDE w:val="0"/>
              <w:autoSpaceDN w:val="0"/>
              <w:adjustRightInd w:val="0"/>
              <w:snapToGrid w:val="0"/>
              <w:spacing w:line="233" w:lineRule="auto"/>
              <w:ind w:left="119" w:right="103" w:firstLine="2"/>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（4）依法免税或不需要缴纳社会保障资金</w:t>
            </w:r>
            <w:r>
              <w:rPr>
                <w:rFonts w:hint="eastAsia" w:ascii="宋体" w:hAnsi="宋体" w:eastAsia="宋体" w:cs="宋体"/>
                <w:snapToGrid w:val="0"/>
                <w:color w:val="auto"/>
                <w:spacing w:val="6"/>
                <w:kern w:val="0"/>
                <w:sz w:val="24"/>
                <w:szCs w:val="24"/>
                <w:highlight w:val="none"/>
                <w:lang w:val="en-US" w:eastAsia="en-US" w:bidi="ar-SA"/>
              </w:rPr>
              <w:t>的供应商，应提供</w:t>
            </w:r>
            <w:r>
              <w:rPr>
                <w:rFonts w:hint="eastAsia" w:ascii="宋体" w:hAnsi="宋体" w:eastAsia="宋体" w:cs="宋体"/>
                <w:snapToGrid w:val="0"/>
                <w:color w:val="auto"/>
                <w:spacing w:val="9"/>
                <w:kern w:val="0"/>
                <w:sz w:val="24"/>
                <w:szCs w:val="24"/>
                <w:highlight w:val="none"/>
                <w:lang w:val="en-US" w:eastAsia="en-US" w:bidi="ar-SA"/>
              </w:rPr>
              <w:t>相应文件证明其依法免税或不需要缴纳社会保</w:t>
            </w:r>
            <w:r>
              <w:rPr>
                <w:rFonts w:hint="eastAsia" w:ascii="宋体" w:hAnsi="宋体" w:eastAsia="宋体" w:cs="宋体"/>
                <w:snapToGrid w:val="0"/>
                <w:color w:val="auto"/>
                <w:spacing w:val="8"/>
                <w:kern w:val="0"/>
                <w:sz w:val="24"/>
                <w:szCs w:val="24"/>
                <w:highlight w:val="none"/>
                <w:lang w:val="en-US" w:eastAsia="en-US" w:bidi="ar-SA"/>
              </w:rPr>
              <w:t>障资金。</w:t>
            </w:r>
          </w:p>
        </w:tc>
        <w:tc>
          <w:tcPr>
            <w:tcW w:w="782" w:type="dxa"/>
            <w:vAlign w:val="top"/>
          </w:tcPr>
          <w:p w14:paraId="612EEFDE">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0B214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331" w:type="dxa"/>
            <w:vMerge w:val="continue"/>
            <w:vAlign w:val="top"/>
          </w:tcPr>
          <w:p w14:paraId="1072A237">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3C0F9A33">
            <w:pPr>
              <w:kinsoku w:val="0"/>
              <w:autoSpaceDE w:val="0"/>
              <w:autoSpaceDN w:val="0"/>
              <w:adjustRightInd w:val="0"/>
              <w:snapToGrid w:val="0"/>
              <w:spacing w:before="0" w:line="240" w:lineRule="auto"/>
              <w:ind w:left="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参加政府采购活</w:t>
            </w:r>
          </w:p>
          <w:p w14:paraId="03E4A614">
            <w:pPr>
              <w:kinsoku w:val="0"/>
              <w:autoSpaceDE w:val="0"/>
              <w:autoSpaceDN w:val="0"/>
              <w:adjustRightInd w:val="0"/>
              <w:snapToGrid w:val="0"/>
              <w:spacing w:before="23" w:line="228" w:lineRule="auto"/>
              <w:ind w:left="12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
                <w:kern w:val="0"/>
                <w:sz w:val="24"/>
                <w:szCs w:val="24"/>
                <w:highlight w:val="none"/>
                <w:lang w:val="en-US" w:eastAsia="en-US" w:bidi="ar-SA"/>
              </w:rPr>
              <w:t>动前三年内，在经</w:t>
            </w:r>
            <w:r>
              <w:rPr>
                <w:rFonts w:hint="eastAsia" w:ascii="宋体" w:hAnsi="宋体" w:eastAsia="宋体" w:cs="宋体"/>
                <w:snapToGrid w:val="0"/>
                <w:color w:val="auto"/>
                <w:spacing w:val="7"/>
                <w:kern w:val="0"/>
                <w:sz w:val="24"/>
                <w:szCs w:val="24"/>
                <w:highlight w:val="none"/>
                <w:lang w:val="en-US" w:eastAsia="en-US" w:bidi="ar-SA"/>
              </w:rPr>
              <w:t>营活动中没有重</w:t>
            </w:r>
            <w:r>
              <w:rPr>
                <w:rFonts w:hint="eastAsia" w:ascii="宋体" w:hAnsi="宋体" w:eastAsia="宋体" w:cs="宋体"/>
                <w:snapToGrid w:val="0"/>
                <w:color w:val="auto"/>
                <w:spacing w:val="6"/>
                <w:kern w:val="0"/>
                <w:sz w:val="24"/>
                <w:szCs w:val="24"/>
                <w:highlight w:val="none"/>
                <w:lang w:val="en-US" w:eastAsia="en-US" w:bidi="ar-SA"/>
              </w:rPr>
              <w:t>大违法记录</w:t>
            </w:r>
          </w:p>
        </w:tc>
        <w:tc>
          <w:tcPr>
            <w:tcW w:w="5714" w:type="dxa"/>
            <w:vAlign w:val="top"/>
          </w:tcPr>
          <w:p w14:paraId="77C7F823">
            <w:pPr>
              <w:widowControl/>
              <w:kinsoku w:val="0"/>
              <w:adjustRightInd w:val="0"/>
              <w:snapToGrid w:val="0"/>
              <w:spacing w:line="373"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06B31367">
            <w:pPr>
              <w:kinsoku w:val="0"/>
              <w:autoSpaceDE w:val="0"/>
              <w:autoSpaceDN w:val="0"/>
              <w:adjustRightInd w:val="0"/>
              <w:snapToGrid w:val="0"/>
              <w:spacing w:before="65" w:line="229" w:lineRule="auto"/>
              <w:ind w:left="11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9"/>
                <w:kern w:val="0"/>
                <w:sz w:val="24"/>
                <w:szCs w:val="24"/>
                <w:highlight w:val="none"/>
                <w:lang w:val="en-US" w:eastAsia="en-US" w:bidi="ar-SA"/>
              </w:rPr>
              <w:t>按</w:t>
            </w:r>
            <w:r>
              <w:rPr>
                <w:rFonts w:hint="eastAsia" w:ascii="宋体" w:hAnsi="宋体" w:eastAsia="宋体" w:cs="宋体"/>
                <w:snapToGrid w:val="0"/>
                <w:color w:val="auto"/>
                <w:spacing w:val="9"/>
                <w:kern w:val="0"/>
                <w:sz w:val="24"/>
                <w:szCs w:val="24"/>
                <w:highlight w:val="none"/>
                <w:lang w:val="en-US" w:eastAsia="zh-CN" w:bidi="ar-SA"/>
              </w:rPr>
              <w:t>招标</w:t>
            </w:r>
            <w:r>
              <w:rPr>
                <w:rFonts w:hint="eastAsia" w:ascii="宋体" w:hAnsi="宋体" w:eastAsia="宋体" w:cs="宋体"/>
                <w:snapToGrid w:val="0"/>
                <w:color w:val="auto"/>
                <w:spacing w:val="9"/>
                <w:kern w:val="0"/>
                <w:sz w:val="24"/>
                <w:szCs w:val="24"/>
                <w:highlight w:val="none"/>
                <w:lang w:val="en-US" w:eastAsia="en-US" w:bidi="ar-SA"/>
              </w:rPr>
              <w:t>文件规定格式完整提供</w:t>
            </w:r>
          </w:p>
        </w:tc>
        <w:tc>
          <w:tcPr>
            <w:tcW w:w="782" w:type="dxa"/>
            <w:vAlign w:val="top"/>
          </w:tcPr>
          <w:p w14:paraId="59FC09BB">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714BE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331" w:type="dxa"/>
            <w:vMerge w:val="continue"/>
            <w:vAlign w:val="top"/>
          </w:tcPr>
          <w:p w14:paraId="41C60F9F">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50D7CCB3">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17BBD4DB">
            <w:pPr>
              <w:kinsoku w:val="0"/>
              <w:autoSpaceDE w:val="0"/>
              <w:autoSpaceDN w:val="0"/>
              <w:adjustRightInd w:val="0"/>
              <w:snapToGrid w:val="0"/>
              <w:spacing w:before="0" w:line="240" w:lineRule="auto"/>
              <w:ind w:left="0" w:right="0" w:firstLine="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企业信用信息查</w:t>
            </w:r>
            <w:r>
              <w:rPr>
                <w:rFonts w:hint="eastAsia" w:ascii="宋体" w:hAnsi="宋体" w:eastAsia="宋体" w:cs="宋体"/>
                <w:snapToGrid w:val="0"/>
                <w:color w:val="auto"/>
                <w:kern w:val="0"/>
                <w:sz w:val="24"/>
                <w:szCs w:val="24"/>
                <w:highlight w:val="none"/>
                <w:lang w:val="en-US" w:eastAsia="en-US" w:bidi="ar-SA"/>
              </w:rPr>
              <w:t>询</w:t>
            </w:r>
          </w:p>
        </w:tc>
        <w:tc>
          <w:tcPr>
            <w:tcW w:w="5714" w:type="dxa"/>
            <w:vAlign w:val="top"/>
          </w:tcPr>
          <w:p w14:paraId="4A01B3F7">
            <w:pPr>
              <w:kinsoku w:val="0"/>
              <w:autoSpaceDE w:val="0"/>
              <w:autoSpaceDN w:val="0"/>
              <w:adjustRightInd w:val="0"/>
              <w:snapToGrid w:val="0"/>
              <w:spacing w:before="34" w:line="242" w:lineRule="auto"/>
              <w:ind w:left="117" w:right="104"/>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5"/>
                <w:kern w:val="0"/>
                <w:sz w:val="24"/>
                <w:szCs w:val="24"/>
                <w:highlight w:val="none"/>
                <w:lang w:val="en-US" w:eastAsia="en-US" w:bidi="ar-SA"/>
              </w:rPr>
              <w:t>供应商未被“信用中</w:t>
            </w:r>
            <w:r>
              <w:rPr>
                <w:rFonts w:hint="eastAsia" w:ascii="宋体" w:hAnsi="宋体" w:eastAsia="宋体" w:cs="宋体"/>
                <w:snapToGrid w:val="0"/>
                <w:color w:val="auto"/>
                <w:spacing w:val="-53"/>
                <w:kern w:val="0"/>
                <w:sz w:val="24"/>
                <w:szCs w:val="24"/>
                <w:highlight w:val="none"/>
                <w:lang w:val="en-US" w:eastAsia="en-US" w:bidi="ar-SA"/>
              </w:rPr>
              <w:t xml:space="preserve"> </w:t>
            </w:r>
            <w:r>
              <w:rPr>
                <w:rFonts w:hint="eastAsia" w:ascii="宋体" w:hAnsi="宋体" w:eastAsia="宋体" w:cs="宋体"/>
                <w:snapToGrid w:val="0"/>
                <w:color w:val="auto"/>
                <w:spacing w:val="5"/>
                <w:kern w:val="0"/>
                <w:sz w:val="24"/>
                <w:szCs w:val="24"/>
                <w:highlight w:val="none"/>
                <w:lang w:val="en-US" w:eastAsia="en-US" w:bidi="ar-SA"/>
              </w:rPr>
              <w:t>国</w:t>
            </w:r>
            <w:r>
              <w:rPr>
                <w:rFonts w:hint="eastAsia" w:ascii="宋体" w:hAnsi="宋体" w:eastAsia="宋体" w:cs="宋体"/>
                <w:snapToGrid w:val="0"/>
                <w:color w:val="auto"/>
                <w:spacing w:val="-70"/>
                <w:kern w:val="0"/>
                <w:sz w:val="24"/>
                <w:szCs w:val="24"/>
                <w:highlight w:val="none"/>
                <w:lang w:val="en-US" w:eastAsia="en-US" w:bidi="ar-SA"/>
              </w:rPr>
              <w:t xml:space="preserve"> </w:t>
            </w:r>
            <w:r>
              <w:rPr>
                <w:rFonts w:hint="eastAsia" w:ascii="宋体" w:hAnsi="宋体" w:eastAsia="宋体" w:cs="宋体"/>
                <w:snapToGrid w:val="0"/>
                <w:color w:val="auto"/>
                <w:spacing w:val="5"/>
                <w:kern w:val="0"/>
                <w:sz w:val="24"/>
                <w:szCs w:val="24"/>
                <w:highlight w:val="none"/>
                <w:lang w:val="en-US" w:eastAsia="en-US" w:bidi="ar-SA"/>
              </w:rPr>
              <w:t>”或“</w:t>
            </w:r>
            <w:r>
              <w:rPr>
                <w:rFonts w:hint="eastAsia" w:ascii="宋体" w:hAnsi="宋体" w:eastAsia="宋体" w:cs="宋体"/>
                <w:snapToGrid w:val="0"/>
                <w:color w:val="auto"/>
                <w:spacing w:val="-57"/>
                <w:kern w:val="0"/>
                <w:sz w:val="24"/>
                <w:szCs w:val="24"/>
                <w:highlight w:val="none"/>
                <w:lang w:val="en-US" w:eastAsia="en-US" w:bidi="ar-SA"/>
              </w:rPr>
              <w:t xml:space="preserve"> </w:t>
            </w:r>
            <w:r>
              <w:rPr>
                <w:rFonts w:hint="eastAsia" w:ascii="宋体" w:hAnsi="宋体" w:eastAsia="宋体" w:cs="宋体"/>
                <w:snapToGrid w:val="0"/>
                <w:color w:val="auto"/>
                <w:spacing w:val="5"/>
                <w:kern w:val="0"/>
                <w:sz w:val="24"/>
                <w:szCs w:val="24"/>
                <w:highlight w:val="none"/>
                <w:lang w:val="en-US" w:eastAsia="en-US" w:bidi="ar-SA"/>
              </w:rPr>
              <w:t>中国执行信息公开网</w:t>
            </w:r>
            <w:r>
              <w:rPr>
                <w:rFonts w:hint="eastAsia" w:ascii="宋体" w:hAnsi="宋体" w:eastAsia="宋体" w:cs="宋体"/>
                <w:snapToGrid w:val="0"/>
                <w:color w:val="auto"/>
                <w:spacing w:val="-68"/>
                <w:kern w:val="0"/>
                <w:sz w:val="24"/>
                <w:szCs w:val="24"/>
                <w:highlight w:val="none"/>
                <w:lang w:val="en-US" w:eastAsia="en-US" w:bidi="ar-SA"/>
              </w:rPr>
              <w:t xml:space="preserve"> </w:t>
            </w:r>
            <w:r>
              <w:rPr>
                <w:rFonts w:hint="eastAsia" w:ascii="宋体" w:hAnsi="宋体" w:eastAsia="宋体" w:cs="宋体"/>
                <w:snapToGrid w:val="0"/>
                <w:color w:val="auto"/>
                <w:spacing w:val="5"/>
                <w:kern w:val="0"/>
                <w:sz w:val="24"/>
                <w:szCs w:val="24"/>
                <w:highlight w:val="none"/>
                <w:lang w:val="en-US" w:eastAsia="en-US" w:bidi="ar-SA"/>
              </w:rPr>
              <w:t>”网站及</w:t>
            </w:r>
            <w:r>
              <w:rPr>
                <w:rFonts w:hint="eastAsia" w:ascii="宋体" w:hAnsi="宋体" w:eastAsia="宋体" w:cs="宋体"/>
                <w:snapToGrid w:val="0"/>
                <w:color w:val="auto"/>
                <w:spacing w:val="11"/>
                <w:kern w:val="0"/>
                <w:sz w:val="24"/>
                <w:szCs w:val="24"/>
                <w:highlight w:val="none"/>
                <w:lang w:val="en-US" w:eastAsia="en-US" w:bidi="ar-SA"/>
              </w:rPr>
              <w:t>中国政府采购网列入被列入失信被执行人、重大税收违法案件当事人名单的供应商、列入政府采购严重违法失信行为记</w:t>
            </w:r>
            <w:r>
              <w:rPr>
                <w:rFonts w:hint="eastAsia" w:ascii="宋体" w:hAnsi="宋体" w:eastAsia="宋体" w:cs="宋体"/>
                <w:snapToGrid w:val="0"/>
                <w:color w:val="auto"/>
                <w:spacing w:val="7"/>
                <w:kern w:val="0"/>
                <w:sz w:val="24"/>
                <w:szCs w:val="24"/>
                <w:highlight w:val="none"/>
                <w:lang w:val="en-US" w:eastAsia="en-US" w:bidi="ar-SA"/>
              </w:rPr>
              <w:t>录名单（</w:t>
            </w:r>
            <w:r>
              <w:rPr>
                <w:rFonts w:hint="eastAsia" w:ascii="宋体" w:hAnsi="宋体" w:eastAsia="宋体" w:cs="宋体"/>
                <w:snapToGrid w:val="0"/>
                <w:color w:val="auto"/>
                <w:spacing w:val="7"/>
                <w:kern w:val="0"/>
                <w:sz w:val="24"/>
                <w:szCs w:val="24"/>
                <w:highlight w:val="none"/>
                <w:lang w:val="en-US" w:eastAsia="zh-CN" w:bidi="ar-SA"/>
              </w:rPr>
              <w:t>以评审小组</w:t>
            </w:r>
            <w:r>
              <w:rPr>
                <w:rFonts w:hint="eastAsia" w:ascii="宋体" w:hAnsi="宋体" w:eastAsia="宋体" w:cs="宋体"/>
                <w:snapToGrid w:val="0"/>
                <w:color w:val="auto"/>
                <w:spacing w:val="7"/>
                <w:kern w:val="0"/>
                <w:sz w:val="24"/>
                <w:szCs w:val="24"/>
                <w:highlight w:val="none"/>
                <w:lang w:val="en-US" w:eastAsia="en-US" w:bidi="ar-SA"/>
              </w:rPr>
              <w:t>现场查询为准）</w:t>
            </w:r>
          </w:p>
        </w:tc>
        <w:tc>
          <w:tcPr>
            <w:tcW w:w="782" w:type="dxa"/>
            <w:vAlign w:val="top"/>
          </w:tcPr>
          <w:p w14:paraId="564A3600">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1C6C6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restart"/>
            <w:tcBorders>
              <w:bottom w:val="nil"/>
            </w:tcBorders>
            <w:vAlign w:val="top"/>
          </w:tcPr>
          <w:p w14:paraId="4C1784C5">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1B3A5353">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273AD083">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04EB7D0C">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4C1B0877">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4C60BA1F">
            <w:pPr>
              <w:widowControl/>
              <w:kinsoku w:val="0"/>
              <w:adjustRightInd w:val="0"/>
              <w:snapToGrid w:val="0"/>
              <w:spacing w:line="242"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670E08C9">
            <w:pPr>
              <w:widowControl/>
              <w:kinsoku w:val="0"/>
              <w:adjustRightInd w:val="0"/>
              <w:snapToGrid w:val="0"/>
              <w:spacing w:line="243"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32A99091">
            <w:pPr>
              <w:widowControl/>
              <w:kinsoku w:val="0"/>
              <w:adjustRightInd w:val="0"/>
              <w:snapToGrid w:val="0"/>
              <w:spacing w:line="243"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5CDD64FE">
            <w:pPr>
              <w:widowControl/>
              <w:kinsoku w:val="0"/>
              <w:adjustRightInd w:val="0"/>
              <w:snapToGrid w:val="0"/>
              <w:spacing w:line="243" w:lineRule="auto"/>
              <w:jc w:val="left"/>
              <w:textAlignment w:val="baseline"/>
              <w:rPr>
                <w:rFonts w:hint="eastAsia" w:ascii="宋体" w:hAnsi="宋体" w:eastAsia="宋体" w:cs="宋体"/>
                <w:snapToGrid w:val="0"/>
                <w:color w:val="auto"/>
                <w:kern w:val="0"/>
                <w:sz w:val="24"/>
                <w:szCs w:val="24"/>
                <w:highlight w:val="none"/>
                <w:lang w:val="en-US" w:eastAsia="en-US" w:bidi="ar-SA"/>
              </w:rPr>
            </w:pPr>
          </w:p>
          <w:p w14:paraId="6782C573">
            <w:pPr>
              <w:kinsoku w:val="0"/>
              <w:autoSpaceDE w:val="0"/>
              <w:autoSpaceDN w:val="0"/>
              <w:adjustRightInd w:val="0"/>
              <w:snapToGrid w:val="0"/>
              <w:spacing w:before="65" w:line="229" w:lineRule="auto"/>
              <w:ind w:left="153"/>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b/>
                <w:bCs/>
                <w:snapToGrid w:val="0"/>
                <w:color w:val="auto"/>
                <w:spacing w:val="4"/>
                <w:kern w:val="0"/>
                <w:sz w:val="24"/>
                <w:szCs w:val="24"/>
                <w:highlight w:val="none"/>
                <w:lang w:val="en-US" w:eastAsia="en-US" w:bidi="ar-SA"/>
              </w:rPr>
              <w:t>符合性审查</w:t>
            </w:r>
          </w:p>
        </w:tc>
        <w:tc>
          <w:tcPr>
            <w:tcW w:w="1834" w:type="dxa"/>
            <w:vAlign w:val="top"/>
          </w:tcPr>
          <w:p w14:paraId="046229EB">
            <w:pPr>
              <w:kinsoku w:val="0"/>
              <w:autoSpaceDE w:val="0"/>
              <w:autoSpaceDN w:val="0"/>
              <w:adjustRightInd w:val="0"/>
              <w:snapToGrid w:val="0"/>
              <w:spacing w:before="183" w:line="231" w:lineRule="auto"/>
              <w:ind w:left="302"/>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6"/>
                <w:kern w:val="0"/>
                <w:sz w:val="24"/>
                <w:szCs w:val="24"/>
                <w:highlight w:val="none"/>
                <w:lang w:val="en-US" w:eastAsia="en-US" w:bidi="ar-SA"/>
              </w:rPr>
              <w:t>响应文件格式</w:t>
            </w:r>
          </w:p>
        </w:tc>
        <w:tc>
          <w:tcPr>
            <w:tcW w:w="5714" w:type="dxa"/>
            <w:vAlign w:val="top"/>
          </w:tcPr>
          <w:p w14:paraId="6BC001EA">
            <w:pPr>
              <w:kinsoku w:val="0"/>
              <w:autoSpaceDE w:val="0"/>
              <w:autoSpaceDN w:val="0"/>
              <w:adjustRightInd w:val="0"/>
              <w:snapToGrid w:val="0"/>
              <w:spacing w:before="183" w:line="229" w:lineRule="auto"/>
              <w:ind w:left="124"/>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响应文件字迹清晰可辨。</w:t>
            </w:r>
          </w:p>
        </w:tc>
        <w:tc>
          <w:tcPr>
            <w:tcW w:w="782" w:type="dxa"/>
            <w:vAlign w:val="top"/>
          </w:tcPr>
          <w:p w14:paraId="004799BB">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447D7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continue"/>
            <w:tcBorders>
              <w:top w:val="nil"/>
              <w:bottom w:val="nil"/>
            </w:tcBorders>
            <w:vAlign w:val="top"/>
          </w:tcPr>
          <w:p w14:paraId="5C676829">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5D26B46A">
            <w:pPr>
              <w:kinsoku w:val="0"/>
              <w:autoSpaceDE w:val="0"/>
              <w:autoSpaceDN w:val="0"/>
              <w:adjustRightInd w:val="0"/>
              <w:snapToGrid w:val="0"/>
              <w:spacing w:before="182" w:line="231" w:lineRule="auto"/>
              <w:ind w:left="295"/>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授权委托</w:t>
            </w:r>
          </w:p>
        </w:tc>
        <w:tc>
          <w:tcPr>
            <w:tcW w:w="5714" w:type="dxa"/>
            <w:vAlign w:val="top"/>
          </w:tcPr>
          <w:p w14:paraId="2CFE0442">
            <w:pPr>
              <w:kinsoku w:val="0"/>
              <w:autoSpaceDE w:val="0"/>
              <w:autoSpaceDN w:val="0"/>
              <w:adjustRightInd w:val="0"/>
              <w:snapToGrid w:val="0"/>
              <w:spacing w:before="48" w:line="237" w:lineRule="auto"/>
              <w:ind w:left="117" w:right="104" w:firstLine="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1"/>
                <w:kern w:val="0"/>
                <w:sz w:val="24"/>
                <w:szCs w:val="24"/>
                <w:highlight w:val="none"/>
                <w:lang w:val="en-US" w:eastAsia="en-US" w:bidi="ar-SA"/>
              </w:rPr>
              <w:t>响应文件提供法定代表人授权委托书或提供</w:t>
            </w:r>
            <w:r>
              <w:rPr>
                <w:rFonts w:hint="eastAsia" w:ascii="宋体" w:hAnsi="宋体" w:eastAsia="宋体" w:cs="宋体"/>
                <w:snapToGrid w:val="0"/>
                <w:color w:val="auto"/>
                <w:spacing w:val="10"/>
                <w:kern w:val="0"/>
                <w:sz w:val="24"/>
                <w:szCs w:val="24"/>
                <w:highlight w:val="none"/>
                <w:lang w:val="en-US" w:eastAsia="en-US" w:bidi="ar-SA"/>
              </w:rPr>
              <w:t>法定代表人身份</w:t>
            </w:r>
            <w:r>
              <w:rPr>
                <w:rFonts w:hint="eastAsia" w:ascii="宋体" w:hAnsi="宋体" w:eastAsia="宋体" w:cs="宋体"/>
                <w:snapToGrid w:val="0"/>
                <w:color w:val="auto"/>
                <w:spacing w:val="2"/>
                <w:kern w:val="0"/>
                <w:sz w:val="24"/>
                <w:szCs w:val="24"/>
                <w:highlight w:val="none"/>
                <w:lang w:val="en-US" w:eastAsia="en-US" w:bidi="ar-SA"/>
              </w:rPr>
              <w:t>证明</w:t>
            </w:r>
          </w:p>
        </w:tc>
        <w:tc>
          <w:tcPr>
            <w:tcW w:w="782" w:type="dxa"/>
            <w:vAlign w:val="top"/>
          </w:tcPr>
          <w:p w14:paraId="48F6CCEA">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4C249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continue"/>
            <w:tcBorders>
              <w:top w:val="nil"/>
              <w:bottom w:val="nil"/>
            </w:tcBorders>
            <w:vAlign w:val="top"/>
          </w:tcPr>
          <w:p w14:paraId="502E28BE">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6C360CBE">
            <w:pPr>
              <w:kinsoku w:val="0"/>
              <w:autoSpaceDE w:val="0"/>
              <w:autoSpaceDN w:val="0"/>
              <w:adjustRightInd w:val="0"/>
              <w:snapToGrid w:val="0"/>
              <w:spacing w:before="184" w:line="231" w:lineRule="auto"/>
              <w:ind w:left="512"/>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4"/>
                <w:kern w:val="0"/>
                <w:sz w:val="24"/>
                <w:szCs w:val="24"/>
                <w:highlight w:val="none"/>
                <w:lang w:val="en-US" w:eastAsia="en-US" w:bidi="ar-SA"/>
              </w:rPr>
              <w:t>签字盖章</w:t>
            </w:r>
          </w:p>
        </w:tc>
        <w:tc>
          <w:tcPr>
            <w:tcW w:w="5714" w:type="dxa"/>
            <w:vAlign w:val="top"/>
          </w:tcPr>
          <w:p w14:paraId="6C13E70F">
            <w:pPr>
              <w:kinsoku w:val="0"/>
              <w:autoSpaceDE w:val="0"/>
              <w:autoSpaceDN w:val="0"/>
              <w:adjustRightInd w:val="0"/>
              <w:snapToGrid w:val="0"/>
              <w:spacing w:before="48" w:line="237" w:lineRule="auto"/>
              <w:ind w:left="118" w:right="104" w:firstLine="5"/>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1"/>
                <w:kern w:val="0"/>
                <w:sz w:val="24"/>
                <w:szCs w:val="24"/>
                <w:highlight w:val="none"/>
                <w:lang w:val="en-US" w:eastAsia="en-US" w:bidi="ar-SA"/>
              </w:rPr>
              <w:t>响应文件上法定代表人或其授权代理人的签</w:t>
            </w:r>
            <w:r>
              <w:rPr>
                <w:rFonts w:hint="eastAsia" w:ascii="宋体" w:hAnsi="宋体" w:eastAsia="宋体" w:cs="宋体"/>
                <w:snapToGrid w:val="0"/>
                <w:color w:val="auto"/>
                <w:spacing w:val="10"/>
                <w:kern w:val="0"/>
                <w:sz w:val="24"/>
                <w:szCs w:val="24"/>
                <w:highlight w:val="none"/>
                <w:lang w:val="en-US" w:eastAsia="en-US" w:bidi="ar-SA"/>
              </w:rPr>
              <w:t>字、供应商的单</w:t>
            </w:r>
            <w:r>
              <w:rPr>
                <w:rFonts w:hint="eastAsia" w:ascii="宋体" w:hAnsi="宋体" w:eastAsia="宋体" w:cs="宋体"/>
                <w:snapToGrid w:val="0"/>
                <w:color w:val="auto"/>
                <w:spacing w:val="8"/>
                <w:kern w:val="0"/>
                <w:sz w:val="24"/>
                <w:szCs w:val="24"/>
                <w:highlight w:val="none"/>
                <w:lang w:val="en-US" w:eastAsia="en-US" w:bidi="ar-SA"/>
              </w:rPr>
              <w:t>位章齐全符合</w:t>
            </w:r>
            <w:r>
              <w:rPr>
                <w:rFonts w:hint="eastAsia" w:cs="宋体"/>
                <w:snapToGrid w:val="0"/>
                <w:color w:val="auto"/>
                <w:spacing w:val="8"/>
                <w:kern w:val="0"/>
                <w:sz w:val="24"/>
                <w:szCs w:val="24"/>
                <w:highlight w:val="none"/>
                <w:lang w:val="en-US" w:eastAsia="zh-CN" w:bidi="ar-SA"/>
              </w:rPr>
              <w:t>招标</w:t>
            </w:r>
            <w:r>
              <w:rPr>
                <w:rFonts w:hint="eastAsia" w:ascii="宋体" w:hAnsi="宋体" w:eastAsia="宋体" w:cs="宋体"/>
                <w:snapToGrid w:val="0"/>
                <w:color w:val="auto"/>
                <w:spacing w:val="8"/>
                <w:kern w:val="0"/>
                <w:sz w:val="24"/>
                <w:szCs w:val="24"/>
                <w:highlight w:val="none"/>
                <w:lang w:val="en-US" w:eastAsia="en-US" w:bidi="ar-SA"/>
              </w:rPr>
              <w:t>文件规定</w:t>
            </w:r>
          </w:p>
        </w:tc>
        <w:tc>
          <w:tcPr>
            <w:tcW w:w="782" w:type="dxa"/>
            <w:vAlign w:val="top"/>
          </w:tcPr>
          <w:p w14:paraId="7FAB374F">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56DE0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continue"/>
            <w:tcBorders>
              <w:top w:val="nil"/>
              <w:bottom w:val="nil"/>
            </w:tcBorders>
            <w:vAlign w:val="top"/>
          </w:tcPr>
          <w:p w14:paraId="51187DB7">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457425F1">
            <w:pPr>
              <w:kinsoku w:val="0"/>
              <w:autoSpaceDE w:val="0"/>
              <w:autoSpaceDN w:val="0"/>
              <w:adjustRightInd w:val="0"/>
              <w:snapToGrid w:val="0"/>
              <w:spacing w:before="183" w:line="231" w:lineRule="auto"/>
              <w:ind w:left="400"/>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权利与义务</w:t>
            </w:r>
          </w:p>
        </w:tc>
        <w:tc>
          <w:tcPr>
            <w:tcW w:w="5714" w:type="dxa"/>
            <w:vAlign w:val="top"/>
          </w:tcPr>
          <w:p w14:paraId="56905CE8">
            <w:pPr>
              <w:kinsoku w:val="0"/>
              <w:autoSpaceDE w:val="0"/>
              <w:autoSpaceDN w:val="0"/>
              <w:adjustRightInd w:val="0"/>
              <w:snapToGrid w:val="0"/>
              <w:spacing w:before="46" w:line="238" w:lineRule="auto"/>
              <w:ind w:left="117" w:right="104" w:firstLine="6"/>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1"/>
                <w:kern w:val="0"/>
                <w:sz w:val="24"/>
                <w:szCs w:val="24"/>
                <w:highlight w:val="none"/>
                <w:lang w:val="en-US" w:eastAsia="en-US" w:bidi="ar-SA"/>
              </w:rPr>
              <w:t>响应文件未附有采购人不能接受的条件或不</w:t>
            </w:r>
            <w:r>
              <w:rPr>
                <w:rFonts w:hint="eastAsia" w:ascii="宋体" w:hAnsi="宋体" w:eastAsia="宋体" w:cs="宋体"/>
                <w:snapToGrid w:val="0"/>
                <w:color w:val="auto"/>
                <w:spacing w:val="10"/>
                <w:kern w:val="0"/>
                <w:sz w:val="24"/>
                <w:szCs w:val="24"/>
                <w:highlight w:val="none"/>
                <w:lang w:val="en-US" w:eastAsia="en-US" w:bidi="ar-SA"/>
              </w:rPr>
              <w:t>符合</w:t>
            </w:r>
            <w:r>
              <w:rPr>
                <w:rFonts w:hint="eastAsia" w:ascii="宋体" w:hAnsi="宋体" w:eastAsia="宋体" w:cs="宋体"/>
                <w:snapToGrid w:val="0"/>
                <w:color w:val="auto"/>
                <w:spacing w:val="10"/>
                <w:kern w:val="0"/>
                <w:sz w:val="24"/>
                <w:szCs w:val="24"/>
                <w:highlight w:val="none"/>
                <w:lang w:val="en-US" w:eastAsia="zh-CN" w:bidi="ar-SA"/>
              </w:rPr>
              <w:t>招标</w:t>
            </w:r>
            <w:r>
              <w:rPr>
                <w:rFonts w:hint="eastAsia" w:ascii="宋体" w:hAnsi="宋体" w:eastAsia="宋体" w:cs="宋体"/>
                <w:snapToGrid w:val="0"/>
                <w:color w:val="auto"/>
                <w:spacing w:val="7"/>
                <w:kern w:val="0"/>
                <w:sz w:val="24"/>
                <w:szCs w:val="24"/>
                <w:highlight w:val="none"/>
                <w:lang w:val="en-US" w:eastAsia="en-US" w:bidi="ar-SA"/>
              </w:rPr>
              <w:t>文件的其他要求</w:t>
            </w:r>
          </w:p>
        </w:tc>
        <w:tc>
          <w:tcPr>
            <w:tcW w:w="782" w:type="dxa"/>
            <w:vAlign w:val="top"/>
          </w:tcPr>
          <w:p w14:paraId="24F1EB07">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29D039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continue"/>
            <w:tcBorders>
              <w:top w:val="nil"/>
              <w:bottom w:val="nil"/>
            </w:tcBorders>
            <w:vAlign w:val="top"/>
          </w:tcPr>
          <w:p w14:paraId="3147FD35">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7AF30087">
            <w:pPr>
              <w:kinsoku w:val="0"/>
              <w:autoSpaceDE w:val="0"/>
              <w:autoSpaceDN w:val="0"/>
              <w:adjustRightInd w:val="0"/>
              <w:snapToGrid w:val="0"/>
              <w:spacing w:before="182" w:line="231" w:lineRule="auto"/>
              <w:ind w:left="50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报价唯一</w:t>
            </w:r>
          </w:p>
        </w:tc>
        <w:tc>
          <w:tcPr>
            <w:tcW w:w="5714" w:type="dxa"/>
            <w:vAlign w:val="top"/>
          </w:tcPr>
          <w:p w14:paraId="6B6CBDE8">
            <w:pPr>
              <w:kinsoku w:val="0"/>
              <w:autoSpaceDE w:val="0"/>
              <w:autoSpaceDN w:val="0"/>
              <w:adjustRightInd w:val="0"/>
              <w:snapToGrid w:val="0"/>
              <w:spacing w:before="182" w:line="230" w:lineRule="auto"/>
              <w:ind w:left="11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报价唯一且不超过最高限价</w:t>
            </w:r>
          </w:p>
        </w:tc>
        <w:tc>
          <w:tcPr>
            <w:tcW w:w="782" w:type="dxa"/>
            <w:vAlign w:val="top"/>
          </w:tcPr>
          <w:p w14:paraId="3BE80AE6">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34EEF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31" w:type="dxa"/>
            <w:vMerge w:val="continue"/>
            <w:tcBorders>
              <w:top w:val="nil"/>
              <w:bottom w:val="nil"/>
            </w:tcBorders>
            <w:vAlign w:val="top"/>
          </w:tcPr>
          <w:p w14:paraId="0E191856">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7AFD6B33">
            <w:pPr>
              <w:kinsoku w:val="0"/>
              <w:autoSpaceDE w:val="0"/>
              <w:autoSpaceDN w:val="0"/>
              <w:adjustRightInd w:val="0"/>
              <w:snapToGrid w:val="0"/>
              <w:spacing w:before="183" w:line="231" w:lineRule="auto"/>
              <w:ind w:left="19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6"/>
                <w:kern w:val="0"/>
                <w:sz w:val="24"/>
                <w:szCs w:val="24"/>
                <w:highlight w:val="none"/>
                <w:lang w:val="en-US" w:eastAsia="en-US" w:bidi="ar-SA"/>
              </w:rPr>
              <w:t>响应文件有效期</w:t>
            </w:r>
          </w:p>
        </w:tc>
        <w:tc>
          <w:tcPr>
            <w:tcW w:w="5714" w:type="dxa"/>
            <w:vAlign w:val="top"/>
          </w:tcPr>
          <w:p w14:paraId="4F179283">
            <w:pPr>
              <w:kinsoku w:val="0"/>
              <w:autoSpaceDE w:val="0"/>
              <w:autoSpaceDN w:val="0"/>
              <w:adjustRightInd w:val="0"/>
              <w:snapToGrid w:val="0"/>
              <w:spacing w:before="183" w:line="229" w:lineRule="auto"/>
              <w:ind w:left="124"/>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8"/>
                <w:kern w:val="0"/>
                <w:sz w:val="24"/>
                <w:szCs w:val="24"/>
                <w:highlight w:val="none"/>
                <w:lang w:val="en-US" w:eastAsia="en-US" w:bidi="ar-SA"/>
              </w:rPr>
              <w:t>响应文件有效期满足招标文件文件要求</w:t>
            </w:r>
          </w:p>
        </w:tc>
        <w:tc>
          <w:tcPr>
            <w:tcW w:w="782" w:type="dxa"/>
            <w:vAlign w:val="top"/>
          </w:tcPr>
          <w:p w14:paraId="1D6C2EEA">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r w14:paraId="35B46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31" w:type="dxa"/>
            <w:vMerge w:val="continue"/>
            <w:tcBorders>
              <w:top w:val="nil"/>
            </w:tcBorders>
            <w:vAlign w:val="top"/>
          </w:tcPr>
          <w:p w14:paraId="6FA6A5C9">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c>
          <w:tcPr>
            <w:tcW w:w="1834" w:type="dxa"/>
            <w:vAlign w:val="top"/>
          </w:tcPr>
          <w:p w14:paraId="37825163">
            <w:pPr>
              <w:kinsoku w:val="0"/>
              <w:autoSpaceDE w:val="0"/>
              <w:autoSpaceDN w:val="0"/>
              <w:adjustRightInd w:val="0"/>
              <w:snapToGrid w:val="0"/>
              <w:spacing w:before="184" w:line="230" w:lineRule="auto"/>
              <w:ind w:left="717"/>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1"/>
                <w:kern w:val="0"/>
                <w:sz w:val="24"/>
                <w:szCs w:val="24"/>
                <w:highlight w:val="none"/>
                <w:lang w:val="en-US" w:eastAsia="en-US" w:bidi="ar-SA"/>
              </w:rPr>
              <w:t>其他</w:t>
            </w:r>
          </w:p>
        </w:tc>
        <w:tc>
          <w:tcPr>
            <w:tcW w:w="5714" w:type="dxa"/>
            <w:vAlign w:val="top"/>
          </w:tcPr>
          <w:p w14:paraId="14D07B84">
            <w:pPr>
              <w:kinsoku w:val="0"/>
              <w:autoSpaceDE w:val="0"/>
              <w:autoSpaceDN w:val="0"/>
              <w:adjustRightInd w:val="0"/>
              <w:snapToGrid w:val="0"/>
              <w:spacing w:before="184" w:line="229" w:lineRule="auto"/>
              <w:ind w:left="123"/>
              <w:jc w:val="left"/>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spacing w:val="7"/>
                <w:kern w:val="0"/>
                <w:sz w:val="24"/>
                <w:szCs w:val="24"/>
                <w:highlight w:val="none"/>
                <w:lang w:val="en-US" w:eastAsia="en-US" w:bidi="ar-SA"/>
              </w:rPr>
              <w:t>符合法律、法规的规定</w:t>
            </w:r>
          </w:p>
        </w:tc>
        <w:tc>
          <w:tcPr>
            <w:tcW w:w="782" w:type="dxa"/>
            <w:vAlign w:val="top"/>
          </w:tcPr>
          <w:p w14:paraId="12E6681F">
            <w:pPr>
              <w:widowControl/>
              <w:kinsoku w:val="0"/>
              <w:adjustRightInd w:val="0"/>
              <w:snapToGrid w:val="0"/>
              <w:spacing w:line="240" w:lineRule="auto"/>
              <w:jc w:val="left"/>
              <w:textAlignment w:val="baseline"/>
              <w:rPr>
                <w:rFonts w:hint="eastAsia" w:ascii="宋体" w:hAnsi="宋体" w:eastAsia="宋体" w:cs="宋体"/>
                <w:snapToGrid w:val="0"/>
                <w:color w:val="auto"/>
                <w:kern w:val="0"/>
                <w:sz w:val="24"/>
                <w:szCs w:val="24"/>
                <w:highlight w:val="none"/>
                <w:lang w:val="en-US" w:eastAsia="en-US" w:bidi="ar-SA"/>
              </w:rPr>
            </w:pPr>
          </w:p>
        </w:tc>
      </w:tr>
    </w:tbl>
    <w:p w14:paraId="26BBF4F2">
      <w:pPr>
        <w:spacing w:line="440" w:lineRule="exact"/>
        <w:ind w:firstLine="480" w:firstLineChars="200"/>
        <w:rPr>
          <w:rFonts w:ascii="Times New Roman" w:cs="Times New Roman"/>
          <w:color w:val="auto"/>
          <w:sz w:val="24"/>
        </w:rPr>
      </w:pPr>
      <w:r>
        <w:rPr>
          <w:rFonts w:ascii="Times New Roman" w:cs="Times New Roman"/>
          <w:color w:val="auto"/>
          <w:sz w:val="24"/>
          <w:lang w:val="en-US"/>
        </w:rPr>
        <w:t>备注：</w:t>
      </w:r>
      <w:r>
        <w:rPr>
          <w:rFonts w:ascii="Times New Roman" w:cs="Times New Roman"/>
          <w:color w:val="auto"/>
          <w:sz w:val="24"/>
        </w:rPr>
        <w:t>投标文件响应程度初步审查通过的投标企业，进入下一步详细评审阶段，未通过投标文件响应程度初步审查的企业，其投标作为无效标，不进入后期评审阶段。</w:t>
      </w:r>
    </w:p>
    <w:p w14:paraId="584E43DA">
      <w:pPr>
        <w:pStyle w:val="25"/>
        <w:ind w:left="440" w:firstLine="420"/>
        <w:rPr>
          <w:color w:val="auto"/>
        </w:rPr>
      </w:pPr>
    </w:p>
    <w:p w14:paraId="10DB1E3F">
      <w:pPr>
        <w:rPr>
          <w:color w:val="auto"/>
        </w:rPr>
      </w:pPr>
    </w:p>
    <w:p w14:paraId="168D07EE">
      <w:pPr>
        <w:rPr>
          <w:color w:val="auto"/>
        </w:rPr>
      </w:pPr>
    </w:p>
    <w:p w14:paraId="11A0ACA9">
      <w:pPr>
        <w:rPr>
          <w:color w:val="auto"/>
        </w:rPr>
      </w:pPr>
    </w:p>
    <w:p w14:paraId="45F045D1">
      <w:pPr>
        <w:rPr>
          <w:color w:val="auto"/>
        </w:rPr>
      </w:pPr>
    </w:p>
    <w:p w14:paraId="16EE1E29">
      <w:pPr>
        <w:rPr>
          <w:color w:val="auto"/>
        </w:rPr>
      </w:pPr>
    </w:p>
    <w:p w14:paraId="33413E85">
      <w:pPr>
        <w:rPr>
          <w:color w:val="auto"/>
        </w:rPr>
      </w:pPr>
    </w:p>
    <w:p w14:paraId="079F92A8">
      <w:pPr>
        <w:rPr>
          <w:color w:val="auto"/>
        </w:rPr>
      </w:pPr>
    </w:p>
    <w:p w14:paraId="13887A72">
      <w:pPr>
        <w:rPr>
          <w:color w:val="auto"/>
        </w:rPr>
      </w:pPr>
    </w:p>
    <w:p w14:paraId="6E660A97">
      <w:pPr>
        <w:rPr>
          <w:color w:val="auto"/>
        </w:rPr>
      </w:pPr>
    </w:p>
    <w:p w14:paraId="7F68B22F">
      <w:pPr>
        <w:rPr>
          <w:color w:val="auto"/>
        </w:rPr>
      </w:pPr>
    </w:p>
    <w:p w14:paraId="2113DD89">
      <w:pPr>
        <w:rPr>
          <w:color w:val="auto"/>
        </w:rPr>
      </w:pPr>
    </w:p>
    <w:p w14:paraId="44FBD1C8">
      <w:pPr>
        <w:rPr>
          <w:color w:val="auto"/>
        </w:rPr>
      </w:pPr>
    </w:p>
    <w:p w14:paraId="1579B46D">
      <w:pPr>
        <w:rPr>
          <w:color w:val="auto"/>
        </w:rPr>
      </w:pPr>
    </w:p>
    <w:p w14:paraId="77291586">
      <w:pPr>
        <w:rPr>
          <w:color w:val="auto"/>
        </w:rPr>
      </w:pPr>
    </w:p>
    <w:p w14:paraId="0AAD1B80">
      <w:pPr>
        <w:rPr>
          <w:color w:val="auto"/>
        </w:rPr>
      </w:pPr>
    </w:p>
    <w:p w14:paraId="039E7A94">
      <w:pPr>
        <w:rPr>
          <w:color w:val="auto"/>
        </w:rPr>
      </w:pPr>
    </w:p>
    <w:p w14:paraId="4D557526">
      <w:pPr>
        <w:rPr>
          <w:color w:val="auto"/>
        </w:rPr>
      </w:pPr>
    </w:p>
    <w:p w14:paraId="78EF96BD">
      <w:pPr>
        <w:rPr>
          <w:color w:val="auto"/>
        </w:rPr>
      </w:pPr>
    </w:p>
    <w:p w14:paraId="50C18626">
      <w:pPr>
        <w:rPr>
          <w:color w:val="auto"/>
        </w:rPr>
      </w:pPr>
    </w:p>
    <w:p w14:paraId="525A2B80">
      <w:pPr>
        <w:rPr>
          <w:color w:val="auto"/>
        </w:rPr>
      </w:pPr>
    </w:p>
    <w:p w14:paraId="4C075CFA">
      <w:pPr>
        <w:rPr>
          <w:color w:val="auto"/>
        </w:rPr>
      </w:pPr>
    </w:p>
    <w:p w14:paraId="71FD1860">
      <w:pPr>
        <w:rPr>
          <w:color w:val="auto"/>
        </w:rPr>
      </w:pPr>
    </w:p>
    <w:p w14:paraId="2D45008B">
      <w:pPr>
        <w:rPr>
          <w:color w:val="auto"/>
        </w:rPr>
      </w:pPr>
    </w:p>
    <w:p w14:paraId="0F9A216E">
      <w:pPr>
        <w:rPr>
          <w:color w:val="auto"/>
        </w:rPr>
      </w:pPr>
    </w:p>
    <w:p w14:paraId="2EB8A6F1">
      <w:pPr>
        <w:rPr>
          <w:color w:val="auto"/>
        </w:rPr>
      </w:pPr>
    </w:p>
    <w:p w14:paraId="6B3666A4">
      <w:pPr>
        <w:rPr>
          <w:color w:val="auto"/>
        </w:rPr>
      </w:pPr>
    </w:p>
    <w:p w14:paraId="6B5D0286">
      <w:pPr>
        <w:rPr>
          <w:color w:val="auto"/>
        </w:rPr>
      </w:pPr>
    </w:p>
    <w:p w14:paraId="682D6A65">
      <w:pPr>
        <w:rPr>
          <w:color w:val="auto"/>
        </w:rPr>
      </w:pPr>
    </w:p>
    <w:p w14:paraId="3FBA5CAD">
      <w:pPr>
        <w:rPr>
          <w:color w:val="auto"/>
        </w:rPr>
      </w:pPr>
    </w:p>
    <w:p w14:paraId="640544FC">
      <w:pPr>
        <w:rPr>
          <w:color w:val="auto"/>
        </w:rPr>
      </w:pPr>
    </w:p>
    <w:p w14:paraId="562BD787">
      <w:pPr>
        <w:rPr>
          <w:color w:val="auto"/>
        </w:rPr>
      </w:pPr>
    </w:p>
    <w:p w14:paraId="1A63ABD0">
      <w:pPr>
        <w:rPr>
          <w:color w:val="auto"/>
        </w:rPr>
      </w:pPr>
    </w:p>
    <w:p w14:paraId="64C5F970">
      <w:pPr>
        <w:rPr>
          <w:color w:val="auto"/>
        </w:rPr>
      </w:pPr>
    </w:p>
    <w:p w14:paraId="00E6A8E6">
      <w:pPr>
        <w:rPr>
          <w:color w:val="auto"/>
        </w:rPr>
      </w:pPr>
    </w:p>
    <w:p w14:paraId="176089B0">
      <w:pPr>
        <w:rPr>
          <w:color w:val="auto"/>
        </w:rPr>
      </w:pPr>
    </w:p>
    <w:p w14:paraId="49D3AB28">
      <w:pPr>
        <w:rPr>
          <w:color w:val="auto"/>
        </w:rPr>
      </w:pPr>
    </w:p>
    <w:p w14:paraId="0DA6FFAA">
      <w:pPr>
        <w:pStyle w:val="5"/>
        <w:ind w:left="0"/>
        <w:rPr>
          <w:color w:val="auto"/>
        </w:rPr>
      </w:pPr>
      <w:r>
        <w:rPr>
          <w:rFonts w:hint="eastAsia"/>
          <w:color w:val="auto"/>
        </w:rPr>
        <w:t>详见详细评审明细</w:t>
      </w:r>
      <w:r>
        <w:rPr>
          <w:color w:val="auto"/>
        </w:rPr>
        <w:t>表</w:t>
      </w:r>
    </w:p>
    <w:tbl>
      <w:tblPr>
        <w:tblStyle w:val="26"/>
        <w:tblW w:w="9744" w:type="dxa"/>
        <w:jc w:val="center"/>
        <w:tblLayout w:type="fixed"/>
        <w:tblCellMar>
          <w:top w:w="0" w:type="dxa"/>
          <w:left w:w="108" w:type="dxa"/>
          <w:bottom w:w="0" w:type="dxa"/>
          <w:right w:w="108" w:type="dxa"/>
        </w:tblCellMar>
      </w:tblPr>
      <w:tblGrid>
        <w:gridCol w:w="2064"/>
        <w:gridCol w:w="964"/>
        <w:gridCol w:w="6716"/>
      </w:tblGrid>
      <w:tr w14:paraId="5FD76831">
        <w:tblPrEx>
          <w:tblCellMar>
            <w:top w:w="0" w:type="dxa"/>
            <w:left w:w="108" w:type="dxa"/>
            <w:bottom w:w="0" w:type="dxa"/>
            <w:right w:w="108" w:type="dxa"/>
          </w:tblCellMar>
        </w:tblPrEx>
        <w:trPr>
          <w:trHeight w:val="700" w:hRule="atLeast"/>
          <w:jc w:val="center"/>
        </w:trPr>
        <w:tc>
          <w:tcPr>
            <w:tcW w:w="2064" w:type="dxa"/>
            <w:tcBorders>
              <w:top w:val="single" w:color="auto" w:sz="6" w:space="0"/>
              <w:left w:val="single" w:color="auto" w:sz="4" w:space="0"/>
              <w:bottom w:val="single" w:color="auto" w:sz="6" w:space="0"/>
              <w:right w:val="single" w:color="auto" w:sz="6" w:space="0"/>
            </w:tcBorders>
            <w:vAlign w:val="center"/>
          </w:tcPr>
          <w:p w14:paraId="44455BAF">
            <w:pPr>
              <w:adjustRightInd w:val="0"/>
              <w:snapToGrid w:val="0"/>
              <w:jc w:val="center"/>
              <w:rPr>
                <w:rFonts w:hint="eastAsia"/>
                <w:b/>
                <w:bCs/>
                <w:color w:val="auto"/>
                <w:sz w:val="24"/>
              </w:rPr>
            </w:pPr>
            <w:r>
              <w:rPr>
                <w:rFonts w:hint="eastAsia"/>
                <w:b/>
                <w:bCs/>
                <w:color w:val="auto"/>
                <w:sz w:val="24"/>
              </w:rPr>
              <w:t>评审因素</w:t>
            </w:r>
          </w:p>
        </w:tc>
        <w:tc>
          <w:tcPr>
            <w:tcW w:w="964" w:type="dxa"/>
            <w:tcBorders>
              <w:top w:val="single" w:color="auto" w:sz="6" w:space="0"/>
              <w:left w:val="nil"/>
              <w:bottom w:val="single" w:color="auto" w:sz="6" w:space="0"/>
              <w:right w:val="single" w:color="auto" w:sz="6" w:space="0"/>
            </w:tcBorders>
            <w:vAlign w:val="center"/>
          </w:tcPr>
          <w:p w14:paraId="41831A44">
            <w:pPr>
              <w:adjustRightInd w:val="0"/>
              <w:snapToGrid w:val="0"/>
              <w:jc w:val="center"/>
              <w:rPr>
                <w:rFonts w:hint="eastAsia"/>
                <w:b/>
                <w:bCs/>
                <w:color w:val="auto"/>
                <w:sz w:val="24"/>
              </w:rPr>
            </w:pPr>
            <w:r>
              <w:rPr>
                <w:rFonts w:hint="eastAsia"/>
                <w:b/>
                <w:bCs/>
                <w:color w:val="auto"/>
                <w:sz w:val="24"/>
              </w:rPr>
              <w:t>分值</w:t>
            </w:r>
          </w:p>
        </w:tc>
        <w:tc>
          <w:tcPr>
            <w:tcW w:w="6716" w:type="dxa"/>
            <w:tcBorders>
              <w:top w:val="single" w:color="auto" w:sz="6" w:space="0"/>
              <w:left w:val="nil"/>
              <w:bottom w:val="single" w:color="auto" w:sz="6" w:space="0"/>
              <w:right w:val="single" w:color="auto" w:sz="6" w:space="0"/>
            </w:tcBorders>
            <w:vAlign w:val="center"/>
          </w:tcPr>
          <w:p w14:paraId="1E4253CD">
            <w:pPr>
              <w:adjustRightInd w:val="0"/>
              <w:snapToGrid w:val="0"/>
              <w:jc w:val="center"/>
              <w:rPr>
                <w:rFonts w:hint="eastAsia"/>
                <w:b/>
                <w:bCs/>
                <w:color w:val="auto"/>
                <w:sz w:val="24"/>
              </w:rPr>
            </w:pPr>
            <w:r>
              <w:rPr>
                <w:rFonts w:hint="eastAsia"/>
                <w:b/>
                <w:bCs/>
                <w:color w:val="auto"/>
                <w:sz w:val="24"/>
              </w:rPr>
              <w:t>评分标准</w:t>
            </w:r>
          </w:p>
        </w:tc>
      </w:tr>
      <w:tr w14:paraId="7861D82F">
        <w:tblPrEx>
          <w:tblCellMar>
            <w:top w:w="0" w:type="dxa"/>
            <w:left w:w="108" w:type="dxa"/>
            <w:bottom w:w="0" w:type="dxa"/>
            <w:right w:w="108" w:type="dxa"/>
          </w:tblCellMar>
        </w:tblPrEx>
        <w:trPr>
          <w:trHeight w:val="1151" w:hRule="atLeast"/>
          <w:jc w:val="center"/>
        </w:trPr>
        <w:tc>
          <w:tcPr>
            <w:tcW w:w="2064" w:type="dxa"/>
            <w:tcBorders>
              <w:top w:val="single" w:color="auto" w:sz="6" w:space="0"/>
              <w:left w:val="single" w:color="auto" w:sz="4" w:space="0"/>
              <w:bottom w:val="single" w:color="auto" w:sz="6" w:space="0"/>
              <w:right w:val="single" w:color="auto" w:sz="6" w:space="0"/>
            </w:tcBorders>
            <w:vAlign w:val="center"/>
          </w:tcPr>
          <w:p w14:paraId="6B59ABA1">
            <w:pPr>
              <w:widowControl/>
              <w:adjustRightInd w:val="0"/>
              <w:snapToGrid w:val="0"/>
              <w:jc w:val="center"/>
              <w:rPr>
                <w:rFonts w:hint="eastAsia"/>
                <w:bCs/>
                <w:color w:val="auto"/>
                <w:sz w:val="24"/>
              </w:rPr>
            </w:pPr>
            <w:r>
              <w:rPr>
                <w:rFonts w:hint="eastAsia"/>
                <w:bCs/>
                <w:color w:val="auto"/>
                <w:sz w:val="24"/>
              </w:rPr>
              <w:t>报价部分</w:t>
            </w:r>
          </w:p>
        </w:tc>
        <w:tc>
          <w:tcPr>
            <w:tcW w:w="964" w:type="dxa"/>
            <w:tcBorders>
              <w:top w:val="single" w:color="auto" w:sz="6" w:space="0"/>
              <w:left w:val="nil"/>
              <w:bottom w:val="single" w:color="auto" w:sz="6" w:space="0"/>
              <w:right w:val="single" w:color="auto" w:sz="6" w:space="0"/>
            </w:tcBorders>
            <w:vAlign w:val="center"/>
          </w:tcPr>
          <w:p w14:paraId="7DC39F48">
            <w:pPr>
              <w:widowControl/>
              <w:adjustRightInd w:val="0"/>
              <w:snapToGrid w:val="0"/>
              <w:jc w:val="center"/>
              <w:rPr>
                <w:rFonts w:hint="eastAsia"/>
                <w:b w:val="0"/>
                <w:bCs/>
                <w:color w:val="auto"/>
                <w:sz w:val="24"/>
                <w:lang w:val="en-US"/>
              </w:rPr>
            </w:pPr>
            <w:r>
              <w:rPr>
                <w:rFonts w:hint="eastAsia"/>
                <w:b w:val="0"/>
                <w:bCs/>
                <w:color w:val="auto"/>
                <w:sz w:val="24"/>
                <w:lang w:val="en-US"/>
              </w:rPr>
              <w:t>30</w:t>
            </w:r>
          </w:p>
        </w:tc>
        <w:tc>
          <w:tcPr>
            <w:tcW w:w="6716" w:type="dxa"/>
            <w:tcBorders>
              <w:top w:val="single" w:color="auto" w:sz="6" w:space="0"/>
              <w:left w:val="nil"/>
              <w:bottom w:val="single" w:color="auto" w:sz="6" w:space="0"/>
              <w:right w:val="single" w:color="auto" w:sz="6" w:space="0"/>
            </w:tcBorders>
            <w:vAlign w:val="center"/>
          </w:tcPr>
          <w:p w14:paraId="6C3E5031">
            <w:pPr>
              <w:widowControl/>
              <w:spacing w:line="288" w:lineRule="auto"/>
              <w:rPr>
                <w:rFonts w:hint="eastAsia"/>
                <w:b w:val="0"/>
                <w:bCs/>
                <w:color w:val="auto"/>
                <w:sz w:val="24"/>
                <w:szCs w:val="24"/>
              </w:rPr>
            </w:pPr>
            <w:r>
              <w:rPr>
                <w:rFonts w:hint="eastAsia"/>
                <w:b w:val="0"/>
                <w:bCs/>
                <w:color w:val="auto"/>
                <w:sz w:val="24"/>
                <w:szCs w:val="24"/>
                <w:lang w:val="en-US"/>
              </w:rPr>
              <w:t>1</w:t>
            </w:r>
            <w:r>
              <w:rPr>
                <w:rFonts w:hint="eastAsia"/>
                <w:b w:val="0"/>
                <w:bCs/>
                <w:color w:val="auto"/>
                <w:sz w:val="24"/>
                <w:szCs w:val="24"/>
              </w:rPr>
              <w:t>、在评审过程中，评审小组发现投标供应商的报价明显低于其他投标报价，使得其投标报价可能低于其个别成本的，应当要求该投标供应商做出书面说明并提供相关证明材料。投标供应商不能合理说明或者不能提供相关证明材料的，评审小组认定该投标供应商以低于成本报价竞标，其投标将被否决。</w:t>
            </w:r>
          </w:p>
          <w:p w14:paraId="7C79978C">
            <w:pPr>
              <w:widowControl/>
              <w:spacing w:line="288" w:lineRule="auto"/>
              <w:rPr>
                <w:rFonts w:hint="eastAsia"/>
                <w:b w:val="0"/>
                <w:bCs/>
                <w:color w:val="auto"/>
                <w:sz w:val="24"/>
                <w:szCs w:val="24"/>
              </w:rPr>
            </w:pPr>
            <w:r>
              <w:rPr>
                <w:rFonts w:hint="eastAsia"/>
                <w:b w:val="0"/>
                <w:bCs/>
                <w:color w:val="auto"/>
                <w:sz w:val="24"/>
                <w:szCs w:val="24"/>
                <w:lang w:val="en-US"/>
              </w:rPr>
              <w:t>2</w:t>
            </w:r>
            <w:r>
              <w:rPr>
                <w:rFonts w:hint="eastAsia"/>
                <w:b w:val="0"/>
                <w:bCs/>
                <w:color w:val="auto"/>
                <w:sz w:val="24"/>
                <w:szCs w:val="24"/>
              </w:rPr>
              <w:t>、投标的最低报价，不作为是否成交的保证。</w:t>
            </w:r>
          </w:p>
          <w:p w14:paraId="1F36BD5C">
            <w:pPr>
              <w:widowControl/>
              <w:spacing w:line="288" w:lineRule="auto"/>
              <w:rPr>
                <w:rFonts w:hint="eastAsia"/>
                <w:b w:val="0"/>
                <w:bCs/>
                <w:color w:val="auto"/>
                <w:sz w:val="24"/>
                <w:szCs w:val="24"/>
              </w:rPr>
            </w:pPr>
            <w:r>
              <w:rPr>
                <w:rFonts w:hint="eastAsia"/>
                <w:b w:val="0"/>
                <w:bCs/>
                <w:color w:val="auto"/>
                <w:sz w:val="24"/>
                <w:szCs w:val="24"/>
                <w:lang w:val="en-US"/>
              </w:rPr>
              <w:t>3</w:t>
            </w:r>
            <w:r>
              <w:rPr>
                <w:rFonts w:hint="eastAsia"/>
                <w:b w:val="0"/>
                <w:bCs/>
                <w:color w:val="auto"/>
                <w:sz w:val="24"/>
                <w:szCs w:val="24"/>
              </w:rPr>
              <w:t>、价格分统一采用低价优先法计算，即满足采购文件要求且最后报价最低的供应商的价格为评标基准价，其价格分为满分。其他供应商的价格分统一按照下列公式计算：</w:t>
            </w:r>
          </w:p>
          <w:p w14:paraId="73AE028B">
            <w:pPr>
              <w:widowControl/>
              <w:spacing w:line="288" w:lineRule="auto"/>
              <w:rPr>
                <w:rFonts w:hint="eastAsia"/>
                <w:b w:val="0"/>
                <w:bCs/>
                <w:color w:val="auto"/>
                <w:sz w:val="24"/>
                <w:szCs w:val="24"/>
              </w:rPr>
            </w:pPr>
            <w:r>
              <w:rPr>
                <w:rFonts w:hint="eastAsia"/>
                <w:b w:val="0"/>
                <w:bCs/>
                <w:color w:val="auto"/>
                <w:sz w:val="24"/>
                <w:szCs w:val="24"/>
              </w:rPr>
              <w:t>投标报价得分=（评标基准价/供应商评标价）×价格权值×100</w:t>
            </w:r>
          </w:p>
          <w:p w14:paraId="78EC7F93">
            <w:pPr>
              <w:widowControl/>
              <w:spacing w:line="288" w:lineRule="auto"/>
              <w:rPr>
                <w:rFonts w:hint="eastAsia"/>
                <w:b w:val="0"/>
                <w:bCs/>
                <w:color w:val="auto"/>
                <w:sz w:val="24"/>
                <w:szCs w:val="24"/>
              </w:rPr>
            </w:pPr>
            <w:r>
              <w:rPr>
                <w:rFonts w:hint="eastAsia"/>
                <w:b w:val="0"/>
                <w:bCs/>
                <w:color w:val="auto"/>
                <w:sz w:val="24"/>
                <w:szCs w:val="24"/>
              </w:rPr>
              <w:t>本项目的价格权值为</w:t>
            </w:r>
            <w:r>
              <w:rPr>
                <w:rFonts w:hint="eastAsia"/>
                <w:b w:val="0"/>
                <w:bCs/>
                <w:color w:val="auto"/>
                <w:sz w:val="24"/>
                <w:szCs w:val="24"/>
                <w:lang w:val="en-US"/>
              </w:rPr>
              <w:t>3</w:t>
            </w:r>
            <w:r>
              <w:rPr>
                <w:rFonts w:hint="eastAsia"/>
                <w:b w:val="0"/>
                <w:bCs/>
                <w:color w:val="auto"/>
                <w:sz w:val="24"/>
                <w:szCs w:val="24"/>
              </w:rPr>
              <w:t>0%。</w:t>
            </w:r>
          </w:p>
          <w:p w14:paraId="470FBCFB">
            <w:pPr>
              <w:widowControl/>
              <w:spacing w:line="288" w:lineRule="auto"/>
              <w:rPr>
                <w:rFonts w:hint="eastAsia"/>
                <w:b w:val="0"/>
                <w:bCs/>
                <w:color w:val="auto"/>
                <w:sz w:val="24"/>
                <w:szCs w:val="24"/>
              </w:rPr>
            </w:pPr>
            <w:r>
              <w:rPr>
                <w:rFonts w:hint="eastAsia"/>
                <w:b w:val="0"/>
                <w:bCs/>
                <w:color w:val="auto"/>
                <w:sz w:val="24"/>
                <w:szCs w:val="24"/>
              </w:rPr>
              <w:t>“本项目落实政府采购政策价格扣除后，以扣除之后的评标价计算评标基准价以及各供应商价格得分。</w:t>
            </w:r>
          </w:p>
          <w:p w14:paraId="58523652">
            <w:pPr>
              <w:widowControl/>
              <w:spacing w:line="288" w:lineRule="auto"/>
              <w:rPr>
                <w:rFonts w:hint="eastAsia"/>
                <w:b w:val="0"/>
                <w:bCs/>
                <w:color w:val="auto"/>
                <w:sz w:val="24"/>
              </w:rPr>
            </w:pPr>
            <w:r>
              <w:rPr>
                <w:rFonts w:hint="eastAsia"/>
                <w:b w:val="0"/>
                <w:bCs/>
                <w:color w:val="auto"/>
                <w:sz w:val="24"/>
                <w:szCs w:val="24"/>
              </w:rPr>
              <w:t>项目评审过程中，不得去掉最终报价中的最高报价和最低报价。</w:t>
            </w:r>
          </w:p>
        </w:tc>
      </w:tr>
    </w:tbl>
    <w:p w14:paraId="4B285EB2">
      <w:pPr>
        <w:rPr>
          <w:rFonts w:hint="eastAsia"/>
          <w:color w:val="auto"/>
          <w:lang w:val="en-US"/>
        </w:rPr>
      </w:pPr>
    </w:p>
    <w:p w14:paraId="20EF91F7">
      <w:pPr>
        <w:rPr>
          <w:rFonts w:hint="eastAsia"/>
          <w:color w:val="auto"/>
          <w:lang w:val="en-US"/>
        </w:rPr>
      </w:pPr>
    </w:p>
    <w:p w14:paraId="16EFD49A">
      <w:pPr>
        <w:rPr>
          <w:rFonts w:hint="eastAsia"/>
          <w:color w:val="auto"/>
          <w:lang w:val="en-US"/>
        </w:rPr>
      </w:pPr>
    </w:p>
    <w:p w14:paraId="7CC29957">
      <w:pPr>
        <w:rPr>
          <w:rFonts w:hint="eastAsia"/>
          <w:color w:val="auto"/>
          <w:lang w:val="en-US"/>
        </w:rPr>
      </w:pPr>
    </w:p>
    <w:p w14:paraId="3E87123C">
      <w:pPr>
        <w:rPr>
          <w:rFonts w:hint="eastAsia"/>
          <w:color w:val="auto"/>
          <w:lang w:val="en-US"/>
        </w:rPr>
      </w:pPr>
    </w:p>
    <w:p w14:paraId="57046D45">
      <w:pPr>
        <w:rPr>
          <w:rFonts w:hint="eastAsia"/>
          <w:color w:val="auto"/>
          <w:lang w:val="en-US"/>
        </w:rPr>
      </w:pPr>
    </w:p>
    <w:p w14:paraId="6FCC6F9A">
      <w:pPr>
        <w:rPr>
          <w:rFonts w:hint="eastAsia"/>
          <w:color w:val="auto"/>
          <w:lang w:val="en-US"/>
        </w:rPr>
      </w:pPr>
    </w:p>
    <w:p w14:paraId="45DDA82E">
      <w:pPr>
        <w:rPr>
          <w:rFonts w:hint="eastAsia"/>
          <w:color w:val="auto"/>
          <w:lang w:val="en-US"/>
        </w:rPr>
      </w:pPr>
    </w:p>
    <w:p w14:paraId="107A3966">
      <w:pPr>
        <w:rPr>
          <w:rFonts w:hint="eastAsia"/>
          <w:color w:val="auto"/>
          <w:lang w:val="en-US"/>
        </w:rPr>
      </w:pPr>
    </w:p>
    <w:p w14:paraId="18F0879A">
      <w:pPr>
        <w:rPr>
          <w:rFonts w:hint="eastAsia"/>
          <w:color w:val="auto"/>
          <w:lang w:val="en-US"/>
        </w:rPr>
      </w:pPr>
    </w:p>
    <w:p w14:paraId="66DE79CB">
      <w:pPr>
        <w:rPr>
          <w:rFonts w:hint="eastAsia"/>
          <w:color w:val="auto"/>
          <w:lang w:val="en-US"/>
        </w:rPr>
      </w:pPr>
    </w:p>
    <w:p w14:paraId="21898E0E">
      <w:pPr>
        <w:rPr>
          <w:rFonts w:hint="eastAsia"/>
          <w:color w:val="auto"/>
          <w:lang w:val="en-US"/>
        </w:rPr>
      </w:pPr>
    </w:p>
    <w:p w14:paraId="1A66F8CF">
      <w:pPr>
        <w:rPr>
          <w:rFonts w:hint="eastAsia"/>
          <w:color w:val="auto"/>
          <w:lang w:val="en-US"/>
        </w:rPr>
      </w:pPr>
    </w:p>
    <w:p w14:paraId="6C132EE9">
      <w:pPr>
        <w:rPr>
          <w:rFonts w:hint="eastAsia"/>
          <w:color w:val="auto"/>
          <w:lang w:val="en-US"/>
        </w:rPr>
      </w:pPr>
    </w:p>
    <w:p w14:paraId="7F5DBC7A">
      <w:pPr>
        <w:rPr>
          <w:rFonts w:hint="eastAsia"/>
          <w:color w:val="auto"/>
          <w:lang w:val="en-US"/>
        </w:rPr>
      </w:pPr>
    </w:p>
    <w:p w14:paraId="1753038D">
      <w:pPr>
        <w:rPr>
          <w:rFonts w:hint="eastAsia"/>
          <w:color w:val="auto"/>
          <w:lang w:val="en-US"/>
        </w:rPr>
      </w:pPr>
    </w:p>
    <w:p w14:paraId="53409E02">
      <w:pPr>
        <w:rPr>
          <w:rFonts w:hint="eastAsia"/>
          <w:color w:val="auto"/>
          <w:lang w:val="en-US"/>
        </w:rPr>
      </w:pPr>
    </w:p>
    <w:p w14:paraId="19535EC4">
      <w:pPr>
        <w:rPr>
          <w:rFonts w:hint="eastAsia"/>
          <w:color w:val="auto"/>
          <w:lang w:val="en-US"/>
        </w:rPr>
      </w:pPr>
    </w:p>
    <w:p w14:paraId="562353E7">
      <w:pPr>
        <w:rPr>
          <w:rFonts w:hint="eastAsia"/>
          <w:color w:val="auto"/>
          <w:lang w:val="en-US"/>
        </w:rPr>
      </w:pPr>
    </w:p>
    <w:p w14:paraId="1A59A850">
      <w:pPr>
        <w:rPr>
          <w:rFonts w:hint="eastAsia"/>
          <w:color w:val="auto"/>
          <w:lang w:val="en-US"/>
        </w:rPr>
      </w:pPr>
    </w:p>
    <w:p w14:paraId="3B331AA7">
      <w:pPr>
        <w:rPr>
          <w:rFonts w:hint="eastAsia"/>
          <w:color w:val="auto"/>
          <w:lang w:val="en-US"/>
        </w:rPr>
      </w:pPr>
    </w:p>
    <w:p w14:paraId="08EAFF42">
      <w:pPr>
        <w:rPr>
          <w:rFonts w:hint="eastAsia"/>
          <w:color w:val="auto"/>
          <w:lang w:val="en-US"/>
        </w:rPr>
      </w:pPr>
    </w:p>
    <w:p w14:paraId="65481B3F">
      <w:pPr>
        <w:rPr>
          <w:rFonts w:hint="eastAsia"/>
          <w:color w:val="auto"/>
          <w:lang w:val="en-US"/>
        </w:rPr>
      </w:pPr>
    </w:p>
    <w:p w14:paraId="44817D13">
      <w:pPr>
        <w:rPr>
          <w:rFonts w:hint="eastAsia"/>
          <w:color w:val="auto"/>
          <w:lang w:val="en-US"/>
        </w:rPr>
      </w:pPr>
    </w:p>
    <w:p w14:paraId="5DD77989">
      <w:pPr>
        <w:rPr>
          <w:rFonts w:hint="eastAsia"/>
          <w:color w:val="auto"/>
          <w:lang w:val="en-US"/>
        </w:rPr>
      </w:pPr>
    </w:p>
    <w:tbl>
      <w:tblPr>
        <w:tblStyle w:val="26"/>
        <w:tblW w:w="9819" w:type="dxa"/>
        <w:jc w:val="center"/>
        <w:tblLayout w:type="autofit"/>
        <w:tblCellMar>
          <w:top w:w="0" w:type="dxa"/>
          <w:left w:w="108" w:type="dxa"/>
          <w:bottom w:w="0" w:type="dxa"/>
          <w:right w:w="108" w:type="dxa"/>
        </w:tblCellMar>
      </w:tblPr>
      <w:tblGrid>
        <w:gridCol w:w="615"/>
        <w:gridCol w:w="878"/>
        <w:gridCol w:w="456"/>
        <w:gridCol w:w="7870"/>
      </w:tblGrid>
      <w:tr w14:paraId="4826218F">
        <w:tblPrEx>
          <w:tblCellMar>
            <w:top w:w="0" w:type="dxa"/>
            <w:left w:w="108" w:type="dxa"/>
            <w:bottom w:w="0" w:type="dxa"/>
            <w:right w:w="108" w:type="dxa"/>
          </w:tblCellMar>
        </w:tblPrEx>
        <w:trPr>
          <w:trHeight w:val="2347" w:hRule="atLeast"/>
          <w:tblHeader/>
          <w:jc w:val="center"/>
        </w:trPr>
        <w:tc>
          <w:tcPr>
            <w:tcW w:w="615" w:type="dxa"/>
            <w:vMerge w:val="restart"/>
            <w:tcBorders>
              <w:top w:val="single" w:color="auto" w:sz="6" w:space="0"/>
              <w:left w:val="single" w:color="auto" w:sz="4" w:space="0"/>
              <w:right w:val="single" w:color="auto" w:sz="4" w:space="0"/>
            </w:tcBorders>
            <w:vAlign w:val="center"/>
          </w:tcPr>
          <w:p w14:paraId="4EE0A131">
            <w:pPr>
              <w:widowControl/>
              <w:adjustRightInd w:val="0"/>
              <w:snapToGrid w:val="0"/>
              <w:jc w:val="center"/>
              <w:rPr>
                <w:rFonts w:hint="eastAsia"/>
                <w:bCs/>
                <w:color w:val="auto"/>
                <w:sz w:val="24"/>
                <w:lang w:val="en-US"/>
              </w:rPr>
            </w:pPr>
            <w:r>
              <w:rPr>
                <w:rFonts w:hint="eastAsia"/>
                <w:bCs/>
                <w:color w:val="auto"/>
                <w:sz w:val="24"/>
                <w:lang w:val="en-US"/>
              </w:rPr>
              <w:t>商务</w:t>
            </w:r>
          </w:p>
          <w:p w14:paraId="6305198B">
            <w:pPr>
              <w:widowControl/>
              <w:adjustRightInd w:val="0"/>
              <w:snapToGrid w:val="0"/>
              <w:jc w:val="center"/>
              <w:rPr>
                <w:bCs/>
                <w:color w:val="auto"/>
                <w:sz w:val="24"/>
                <w:lang w:val="en-US"/>
              </w:rPr>
            </w:pPr>
            <w:r>
              <w:rPr>
                <w:rFonts w:hint="eastAsia"/>
                <w:bCs/>
                <w:color w:val="auto"/>
                <w:sz w:val="24"/>
                <w:lang w:val="en-US"/>
              </w:rPr>
              <w:t>技术部分</w:t>
            </w:r>
          </w:p>
        </w:tc>
        <w:tc>
          <w:tcPr>
            <w:tcW w:w="878" w:type="dxa"/>
            <w:tcBorders>
              <w:top w:val="single" w:color="auto" w:sz="6" w:space="0"/>
              <w:left w:val="single" w:color="auto" w:sz="4" w:space="0"/>
              <w:bottom w:val="single" w:color="auto" w:sz="6" w:space="0"/>
              <w:right w:val="single" w:color="auto" w:sz="6" w:space="0"/>
            </w:tcBorders>
            <w:vAlign w:val="center"/>
          </w:tcPr>
          <w:p w14:paraId="79A3F4AB">
            <w:pPr>
              <w:widowControl/>
              <w:adjustRightInd w:val="0"/>
              <w:snapToGrid w:val="0"/>
              <w:jc w:val="center"/>
              <w:rPr>
                <w:rFonts w:hint="eastAsia"/>
                <w:bCs/>
                <w:color w:val="auto"/>
                <w:sz w:val="24"/>
              </w:rPr>
            </w:pPr>
            <w:r>
              <w:rPr>
                <w:rFonts w:hint="eastAsia"/>
                <w:bCs/>
                <w:color w:val="auto"/>
                <w:sz w:val="24"/>
              </w:rPr>
              <w:t>供应商业绩</w:t>
            </w:r>
          </w:p>
        </w:tc>
        <w:tc>
          <w:tcPr>
            <w:tcW w:w="456" w:type="dxa"/>
            <w:tcBorders>
              <w:top w:val="single" w:color="auto" w:sz="6" w:space="0"/>
              <w:left w:val="nil"/>
              <w:bottom w:val="single" w:color="auto" w:sz="6" w:space="0"/>
              <w:right w:val="single" w:color="auto" w:sz="6" w:space="0"/>
            </w:tcBorders>
            <w:vAlign w:val="center"/>
          </w:tcPr>
          <w:p w14:paraId="1D00DC04">
            <w:pPr>
              <w:widowControl/>
              <w:adjustRightInd w:val="0"/>
              <w:snapToGrid w:val="0"/>
              <w:jc w:val="center"/>
              <w:rPr>
                <w:rFonts w:hint="default" w:eastAsia="宋体"/>
                <w:b w:val="0"/>
                <w:bCs/>
                <w:color w:val="auto"/>
                <w:sz w:val="24"/>
                <w:lang w:val="en-US" w:eastAsia="zh-CN"/>
              </w:rPr>
            </w:pPr>
            <w:r>
              <w:rPr>
                <w:rFonts w:hint="eastAsia"/>
                <w:b w:val="0"/>
                <w:bCs/>
                <w:color w:val="auto"/>
                <w:sz w:val="24"/>
                <w:lang w:val="en-US" w:eastAsia="zh-CN"/>
              </w:rPr>
              <w:t>3</w:t>
            </w:r>
          </w:p>
        </w:tc>
        <w:tc>
          <w:tcPr>
            <w:tcW w:w="7870" w:type="dxa"/>
            <w:tcBorders>
              <w:top w:val="single" w:color="auto" w:sz="6" w:space="0"/>
              <w:left w:val="nil"/>
              <w:bottom w:val="single" w:color="auto" w:sz="6" w:space="0"/>
              <w:right w:val="single" w:color="auto" w:sz="6" w:space="0"/>
            </w:tcBorders>
            <w:vAlign w:val="center"/>
          </w:tcPr>
          <w:p w14:paraId="716B02B0">
            <w:pPr>
              <w:widowControl/>
              <w:spacing w:line="288" w:lineRule="auto"/>
              <w:rPr>
                <w:rFonts w:hint="eastAsia"/>
                <w:b w:val="0"/>
                <w:bCs w:val="0"/>
                <w:color w:val="auto"/>
                <w:sz w:val="24"/>
                <w:szCs w:val="24"/>
              </w:rPr>
            </w:pPr>
            <w:r>
              <w:rPr>
                <w:rFonts w:hint="eastAsia"/>
                <w:b w:val="0"/>
                <w:bCs w:val="0"/>
                <w:color w:val="auto"/>
                <w:sz w:val="24"/>
                <w:szCs w:val="24"/>
              </w:rPr>
              <w:t>供应商近三年（202</w:t>
            </w:r>
            <w:r>
              <w:rPr>
                <w:rFonts w:hint="eastAsia"/>
                <w:b w:val="0"/>
                <w:bCs w:val="0"/>
                <w:color w:val="auto"/>
                <w:sz w:val="24"/>
                <w:szCs w:val="24"/>
                <w:lang w:val="en-US" w:eastAsia="zh-CN"/>
              </w:rPr>
              <w:t>3</w:t>
            </w:r>
            <w:r>
              <w:rPr>
                <w:rFonts w:hint="eastAsia"/>
                <w:b w:val="0"/>
                <w:bCs w:val="0"/>
                <w:color w:val="auto"/>
                <w:sz w:val="24"/>
                <w:szCs w:val="24"/>
              </w:rPr>
              <w:t>年1月1日至今）承担过类似项目业绩，每提供一项有效业绩得</w:t>
            </w:r>
            <w:r>
              <w:rPr>
                <w:rFonts w:hint="eastAsia"/>
                <w:b w:val="0"/>
                <w:bCs w:val="0"/>
                <w:color w:val="auto"/>
                <w:sz w:val="24"/>
                <w:szCs w:val="24"/>
                <w:lang w:val="en-US"/>
              </w:rPr>
              <w:t>1</w:t>
            </w:r>
            <w:r>
              <w:rPr>
                <w:rFonts w:hint="eastAsia"/>
                <w:b w:val="0"/>
                <w:bCs w:val="0"/>
                <w:color w:val="auto"/>
                <w:sz w:val="24"/>
                <w:szCs w:val="24"/>
              </w:rPr>
              <w:t>分，最高得</w:t>
            </w:r>
            <w:r>
              <w:rPr>
                <w:rFonts w:hint="eastAsia"/>
                <w:b w:val="0"/>
                <w:bCs w:val="0"/>
                <w:color w:val="auto"/>
                <w:sz w:val="24"/>
                <w:szCs w:val="24"/>
                <w:lang w:val="en-US" w:eastAsia="zh-CN"/>
              </w:rPr>
              <w:t>3</w:t>
            </w:r>
            <w:r>
              <w:rPr>
                <w:rFonts w:hint="eastAsia"/>
                <w:b w:val="0"/>
                <w:bCs w:val="0"/>
                <w:color w:val="auto"/>
                <w:sz w:val="24"/>
                <w:szCs w:val="24"/>
              </w:rPr>
              <w:t>分。</w:t>
            </w:r>
          </w:p>
          <w:p w14:paraId="4EF4F244">
            <w:pPr>
              <w:adjustRightInd w:val="0"/>
              <w:snapToGrid w:val="0"/>
              <w:rPr>
                <w:rFonts w:hint="default" w:eastAsia="宋体"/>
                <w:b w:val="0"/>
                <w:bCs w:val="0"/>
                <w:color w:val="auto"/>
                <w:sz w:val="24"/>
                <w:lang w:val="en-US" w:eastAsia="zh-CN"/>
              </w:rPr>
            </w:pPr>
            <w:r>
              <w:rPr>
                <w:rFonts w:hint="eastAsia"/>
                <w:b w:val="0"/>
                <w:bCs w:val="0"/>
                <w:color w:val="auto"/>
                <w:sz w:val="24"/>
                <w:szCs w:val="24"/>
                <w:lang w:val="en-US"/>
              </w:rPr>
              <w:t>注：有效业绩证明材料须提供</w:t>
            </w:r>
            <w:r>
              <w:rPr>
                <w:rFonts w:hint="eastAsia"/>
                <w:b w:val="0"/>
                <w:bCs w:val="0"/>
                <w:color w:val="auto"/>
                <w:sz w:val="24"/>
                <w:szCs w:val="24"/>
              </w:rPr>
              <w:t>完整</w:t>
            </w:r>
            <w:r>
              <w:rPr>
                <w:rFonts w:hint="eastAsia"/>
                <w:b w:val="0"/>
                <w:bCs w:val="0"/>
                <w:color w:val="auto"/>
                <w:sz w:val="24"/>
                <w:szCs w:val="24"/>
                <w:lang w:val="en-US"/>
              </w:rPr>
              <w:t>合同（含增值税专用发票或增值税普通发票）或中标（成交）通知书复印件并加盖投标人公章，</w:t>
            </w:r>
            <w:r>
              <w:rPr>
                <w:rFonts w:hint="eastAsia"/>
                <w:b w:val="0"/>
                <w:bCs w:val="0"/>
                <w:color w:val="auto"/>
                <w:sz w:val="24"/>
                <w:szCs w:val="24"/>
              </w:rPr>
              <w:t>未提供业绩证明材料或是</w:t>
            </w:r>
            <w:r>
              <w:rPr>
                <w:rFonts w:hint="eastAsia"/>
                <w:b w:val="0"/>
                <w:bCs w:val="0"/>
                <w:color w:val="auto"/>
                <w:sz w:val="24"/>
                <w:szCs w:val="24"/>
                <w:lang w:val="en-US"/>
              </w:rPr>
              <w:t>证明资料残缺不全、模糊难辨或未提供的均不得分</w:t>
            </w:r>
            <w:r>
              <w:rPr>
                <w:rFonts w:hint="eastAsia"/>
                <w:b w:val="0"/>
                <w:bCs w:val="0"/>
                <w:color w:val="auto"/>
                <w:sz w:val="24"/>
                <w:szCs w:val="24"/>
              </w:rPr>
              <w:t>。【</w:t>
            </w:r>
            <w:r>
              <w:rPr>
                <w:rFonts w:hint="eastAsia"/>
                <w:b w:val="0"/>
                <w:bCs w:val="0"/>
                <w:color w:val="auto"/>
                <w:sz w:val="24"/>
                <w:szCs w:val="24"/>
                <w:lang w:val="en-US"/>
              </w:rPr>
              <w:t>发票应与所提供的合同内容逐一对应，包括发票抬头（需为合同甲方单位）、开具日期（在合同签订及履行期限内）、货物名称（与合同中采购的产品名称一致）、金额（与合同约定的付款金额及实际履约金额相符）等信息，能清晰证明合同已实际履行】。</w:t>
            </w:r>
          </w:p>
        </w:tc>
      </w:tr>
      <w:tr w14:paraId="469C5F2C">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0EE3EC71">
            <w:pPr>
              <w:widowControl/>
              <w:adjustRightInd w:val="0"/>
              <w:snapToGrid w:val="0"/>
              <w:jc w:val="center"/>
              <w:rPr>
                <w:rFonts w:hint="eastAsia"/>
                <w:bCs/>
                <w:color w:val="auto"/>
                <w:sz w:val="24"/>
              </w:rPr>
            </w:pPr>
          </w:p>
        </w:tc>
        <w:tc>
          <w:tcPr>
            <w:tcW w:w="878" w:type="dxa"/>
            <w:tcBorders>
              <w:top w:val="single" w:color="auto" w:sz="6" w:space="0"/>
              <w:left w:val="single" w:color="auto" w:sz="4" w:space="0"/>
              <w:right w:val="single" w:color="auto" w:sz="6" w:space="0"/>
            </w:tcBorders>
            <w:vAlign w:val="center"/>
          </w:tcPr>
          <w:p w14:paraId="6A6CC6EF">
            <w:pPr>
              <w:widowControl/>
              <w:adjustRightInd w:val="0"/>
              <w:snapToGrid w:val="0"/>
              <w:jc w:val="center"/>
              <w:rPr>
                <w:rFonts w:hint="default" w:eastAsia="宋体"/>
                <w:bCs/>
                <w:color w:val="auto"/>
                <w:sz w:val="24"/>
                <w:lang w:val="en-US" w:eastAsia="zh-CN"/>
              </w:rPr>
            </w:pPr>
            <w:r>
              <w:rPr>
                <w:rFonts w:hint="eastAsia"/>
                <w:bCs/>
                <w:color w:val="auto"/>
                <w:sz w:val="24"/>
                <w:lang w:val="en-US" w:eastAsia="zh-CN"/>
              </w:rPr>
              <w:t>质量保证</w:t>
            </w:r>
          </w:p>
        </w:tc>
        <w:tc>
          <w:tcPr>
            <w:tcW w:w="456" w:type="dxa"/>
            <w:tcBorders>
              <w:top w:val="single" w:color="auto" w:sz="6" w:space="0"/>
              <w:left w:val="nil"/>
              <w:right w:val="single" w:color="auto" w:sz="6" w:space="0"/>
            </w:tcBorders>
            <w:vAlign w:val="center"/>
          </w:tcPr>
          <w:p w14:paraId="3E457D8E">
            <w:pPr>
              <w:widowControl/>
              <w:adjustRightInd w:val="0"/>
              <w:snapToGrid w:val="0"/>
              <w:jc w:val="center"/>
              <w:rPr>
                <w:rFonts w:hint="default" w:eastAsia="宋体"/>
                <w:b w:val="0"/>
                <w:bCs/>
                <w:color w:val="auto"/>
                <w:sz w:val="24"/>
                <w:lang w:val="en-US" w:eastAsia="zh-CN"/>
              </w:rPr>
            </w:pPr>
            <w:r>
              <w:rPr>
                <w:rFonts w:hint="eastAsia"/>
                <w:b w:val="0"/>
                <w:bCs/>
                <w:color w:val="auto"/>
                <w:sz w:val="24"/>
                <w:lang w:val="en-US" w:eastAsia="zh-CN"/>
              </w:rPr>
              <w:t>5</w:t>
            </w:r>
          </w:p>
        </w:tc>
        <w:tc>
          <w:tcPr>
            <w:tcW w:w="7870" w:type="dxa"/>
            <w:tcBorders>
              <w:top w:val="single" w:color="auto" w:sz="6" w:space="0"/>
              <w:left w:val="nil"/>
              <w:bottom w:val="single" w:color="auto" w:sz="6" w:space="0"/>
              <w:right w:val="single" w:color="auto" w:sz="6" w:space="0"/>
            </w:tcBorders>
            <w:vAlign w:val="center"/>
          </w:tcPr>
          <w:p w14:paraId="1DCB1318">
            <w:pPr>
              <w:widowControl/>
              <w:snapToGrid w:val="0"/>
              <w:spacing w:line="288" w:lineRule="auto"/>
              <w:rPr>
                <w:b w:val="0"/>
                <w:bCs w:val="0"/>
                <w:color w:val="auto"/>
                <w:sz w:val="24"/>
                <w:szCs w:val="24"/>
                <w:lang w:val="en-US"/>
              </w:rPr>
            </w:pPr>
            <w:r>
              <w:rPr>
                <w:rFonts w:hint="eastAsia" w:ascii="宋体"/>
                <w:b w:val="0"/>
                <w:bCs w:val="0"/>
                <w:color w:val="auto"/>
                <w:sz w:val="24"/>
                <w:szCs w:val="24"/>
                <w:lang w:val="en-US"/>
              </w:rPr>
              <w:t>供应商提供针对本项目</w:t>
            </w:r>
            <w:r>
              <w:rPr>
                <w:rFonts w:hint="eastAsia" w:ascii="宋体"/>
                <w:b w:val="0"/>
                <w:bCs w:val="0"/>
                <w:color w:val="auto"/>
                <w:sz w:val="24"/>
                <w:szCs w:val="24"/>
                <w:lang w:val="en-US" w:eastAsia="zh-CN"/>
              </w:rPr>
              <w:t>质量保证</w:t>
            </w:r>
            <w:r>
              <w:rPr>
                <w:rFonts w:hint="eastAsia" w:ascii="宋体"/>
                <w:b w:val="0"/>
                <w:bCs w:val="0"/>
                <w:color w:val="auto"/>
                <w:sz w:val="24"/>
                <w:szCs w:val="24"/>
                <w:lang w:val="en-US"/>
              </w:rPr>
              <w:t>方案，方案包括但不限于:</w:t>
            </w:r>
          </w:p>
          <w:p w14:paraId="34E144C3">
            <w:pPr>
              <w:widowControl/>
              <w:snapToGrid w:val="0"/>
              <w:spacing w:line="288" w:lineRule="auto"/>
              <w:rPr>
                <w:rFonts w:hint="eastAsia"/>
                <w:b w:val="0"/>
                <w:bCs w:val="0"/>
                <w:color w:val="auto"/>
                <w:sz w:val="24"/>
                <w:szCs w:val="24"/>
                <w:lang w:val="en-US" w:eastAsia="zh-CN"/>
              </w:rPr>
            </w:pPr>
            <w:r>
              <w:rPr>
                <w:rFonts w:hint="eastAsia"/>
                <w:b w:val="0"/>
                <w:bCs w:val="0"/>
                <w:color w:val="auto"/>
                <w:sz w:val="24"/>
                <w:szCs w:val="24"/>
                <w:lang w:val="en-US" w:eastAsia="zh-CN"/>
              </w:rPr>
              <w:t>①质量管控体系。1分</w:t>
            </w:r>
          </w:p>
          <w:p w14:paraId="742090F2">
            <w:pPr>
              <w:widowControl/>
              <w:snapToGrid w:val="0"/>
              <w:spacing w:line="288" w:lineRule="auto"/>
              <w:rPr>
                <w:rFonts w:hint="eastAsia"/>
                <w:b w:val="0"/>
                <w:bCs w:val="0"/>
                <w:color w:val="auto"/>
                <w:sz w:val="24"/>
                <w:szCs w:val="24"/>
                <w:lang w:val="en-US" w:eastAsia="zh-CN"/>
              </w:rPr>
            </w:pPr>
            <w:r>
              <w:rPr>
                <w:rFonts w:hint="eastAsia"/>
                <w:b w:val="0"/>
                <w:bCs w:val="0"/>
                <w:color w:val="auto"/>
                <w:sz w:val="24"/>
                <w:szCs w:val="24"/>
                <w:lang w:val="en-US" w:eastAsia="zh-CN"/>
              </w:rPr>
              <w:t>②包装标识及溯源方案。1分</w:t>
            </w:r>
          </w:p>
          <w:p w14:paraId="4414EC42">
            <w:pPr>
              <w:widowControl/>
              <w:snapToGrid w:val="0"/>
              <w:spacing w:line="288" w:lineRule="auto"/>
              <w:rPr>
                <w:rFonts w:hint="eastAsia"/>
                <w:b w:val="0"/>
                <w:bCs w:val="0"/>
                <w:color w:val="auto"/>
                <w:sz w:val="24"/>
                <w:szCs w:val="24"/>
                <w:lang w:val="en-US" w:eastAsia="zh-CN"/>
              </w:rPr>
            </w:pPr>
            <w:r>
              <w:rPr>
                <w:rFonts w:hint="eastAsia"/>
                <w:b w:val="0"/>
                <w:bCs w:val="0"/>
                <w:color w:val="auto"/>
                <w:sz w:val="24"/>
                <w:szCs w:val="24"/>
                <w:lang w:val="en-US" w:eastAsia="zh-CN"/>
              </w:rPr>
              <w:t>③</w:t>
            </w:r>
            <w:r>
              <w:rPr>
                <w:rFonts w:hint="default"/>
                <w:b w:val="0"/>
                <w:bCs w:val="0"/>
                <w:color w:val="auto"/>
                <w:sz w:val="24"/>
                <w:szCs w:val="24"/>
                <w:lang w:val="en-US" w:eastAsia="zh-CN"/>
              </w:rPr>
              <w:t>到货履约质量保障方案</w:t>
            </w:r>
            <w:r>
              <w:rPr>
                <w:rFonts w:hint="eastAsia"/>
                <w:b w:val="0"/>
                <w:bCs w:val="0"/>
                <w:color w:val="auto"/>
                <w:sz w:val="24"/>
                <w:szCs w:val="24"/>
                <w:lang w:val="en-US" w:eastAsia="zh-CN"/>
              </w:rPr>
              <w:t>。1分</w:t>
            </w:r>
          </w:p>
          <w:p w14:paraId="5ABB96FB">
            <w:pPr>
              <w:widowControl/>
              <w:snapToGrid w:val="0"/>
              <w:spacing w:line="288" w:lineRule="auto"/>
              <w:rPr>
                <w:rFonts w:hint="eastAsia"/>
                <w:b w:val="0"/>
                <w:bCs w:val="0"/>
                <w:color w:val="auto"/>
                <w:sz w:val="24"/>
                <w:szCs w:val="24"/>
                <w:lang w:val="en-US" w:eastAsia="zh-CN"/>
              </w:rPr>
            </w:pPr>
            <w:r>
              <w:rPr>
                <w:rFonts w:hint="eastAsia"/>
                <w:b w:val="0"/>
                <w:bCs w:val="0"/>
                <w:color w:val="auto"/>
                <w:sz w:val="24"/>
                <w:szCs w:val="24"/>
                <w:lang w:val="en-US" w:eastAsia="zh-CN"/>
              </w:rPr>
              <w:t>④质量问题售后处置预案。1分</w:t>
            </w:r>
          </w:p>
          <w:p w14:paraId="6593F5F1">
            <w:pPr>
              <w:widowControl/>
              <w:snapToGrid w:val="0"/>
              <w:spacing w:line="288" w:lineRule="auto"/>
              <w:rPr>
                <w:rFonts w:hint="eastAsia"/>
                <w:b w:val="0"/>
                <w:bCs w:val="0"/>
                <w:color w:val="auto"/>
                <w:sz w:val="24"/>
                <w:szCs w:val="24"/>
                <w:lang w:val="en-US" w:eastAsia="zh-CN"/>
              </w:rPr>
            </w:pPr>
            <w:r>
              <w:rPr>
                <w:rFonts w:hint="eastAsia"/>
                <w:b w:val="0"/>
                <w:bCs w:val="0"/>
                <w:color w:val="auto"/>
                <w:sz w:val="24"/>
                <w:szCs w:val="24"/>
                <w:lang w:val="en-US" w:eastAsia="zh-CN"/>
              </w:rPr>
              <w:t>⑤质量佐证材料。1分</w:t>
            </w:r>
          </w:p>
          <w:p w14:paraId="41280804">
            <w:pPr>
              <w:widowControl/>
              <w:snapToGrid w:val="0"/>
              <w:spacing w:line="288" w:lineRule="auto"/>
              <w:rPr>
                <w:rFonts w:hint="default"/>
                <w:b w:val="0"/>
                <w:bCs w:val="0"/>
                <w:color w:val="auto"/>
                <w:sz w:val="24"/>
                <w:szCs w:val="24"/>
                <w:lang w:val="en-US" w:eastAsia="zh-CN"/>
              </w:rPr>
            </w:pPr>
            <w:r>
              <w:rPr>
                <w:rFonts w:hint="default"/>
                <w:b w:val="0"/>
                <w:bCs w:val="0"/>
                <w:color w:val="auto"/>
                <w:sz w:val="24"/>
                <w:szCs w:val="24"/>
                <w:lang w:val="en-US" w:eastAsia="zh-CN"/>
              </w:rPr>
              <w:t>注：提供以上全部内容且满足采购需求的得</w:t>
            </w:r>
            <w:r>
              <w:rPr>
                <w:rFonts w:hint="eastAsia"/>
                <w:b w:val="0"/>
                <w:bCs w:val="0"/>
                <w:color w:val="auto"/>
                <w:sz w:val="24"/>
                <w:szCs w:val="24"/>
                <w:lang w:val="en-US" w:eastAsia="zh-CN"/>
              </w:rPr>
              <w:t>5</w:t>
            </w:r>
            <w:r>
              <w:rPr>
                <w:rFonts w:hint="default"/>
                <w:b w:val="0"/>
                <w:bCs w:val="0"/>
                <w:color w:val="auto"/>
                <w:sz w:val="24"/>
                <w:szCs w:val="24"/>
                <w:lang w:val="en-US" w:eastAsia="zh-CN"/>
              </w:rPr>
              <w:t>分，每缺少一项内容的扣</w:t>
            </w:r>
            <w:r>
              <w:rPr>
                <w:rFonts w:hint="eastAsia"/>
                <w:b w:val="0"/>
                <w:bCs w:val="0"/>
                <w:color w:val="auto"/>
                <w:sz w:val="24"/>
                <w:szCs w:val="24"/>
                <w:lang w:val="en-US" w:eastAsia="zh-CN"/>
              </w:rPr>
              <w:t>1</w:t>
            </w:r>
            <w:r>
              <w:rPr>
                <w:rFonts w:hint="default"/>
                <w:b w:val="0"/>
                <w:bCs w:val="0"/>
                <w:color w:val="auto"/>
                <w:sz w:val="24"/>
                <w:szCs w:val="24"/>
                <w:lang w:val="en-US" w:eastAsia="zh-CN"/>
              </w:rPr>
              <w:t>分；每有一处缺陷或瑕疵的扣</w:t>
            </w:r>
            <w:r>
              <w:rPr>
                <w:rFonts w:hint="eastAsia"/>
                <w:b w:val="0"/>
                <w:bCs w:val="0"/>
                <w:color w:val="auto"/>
                <w:sz w:val="24"/>
                <w:szCs w:val="24"/>
                <w:lang w:val="en-US" w:eastAsia="zh-CN"/>
              </w:rPr>
              <w:t>0.5</w:t>
            </w:r>
            <w:r>
              <w:rPr>
                <w:rFonts w:hint="default"/>
                <w:b w:val="0"/>
                <w:bCs w:val="0"/>
                <w:color w:val="auto"/>
                <w:sz w:val="24"/>
                <w:szCs w:val="24"/>
                <w:lang w:val="en-US" w:eastAsia="zh-CN"/>
              </w:rPr>
              <w:t>分，扣完为止。（内容缺陷或瑕疵是指：方案项目名称、项目编号与本项目要求不符；仅有框架或标题；涉及的规范及技术标准错误；方案内容与本项目需求无关</w:t>
            </w:r>
            <w:r>
              <w:rPr>
                <w:rFonts w:hint="eastAsia"/>
                <w:b w:val="0"/>
                <w:bCs w:val="0"/>
                <w:color w:val="auto"/>
                <w:sz w:val="24"/>
                <w:szCs w:val="24"/>
                <w:lang w:val="en-US" w:eastAsia="zh-CN"/>
              </w:rPr>
              <w:t>或套用其他项目</w:t>
            </w:r>
            <w:r>
              <w:rPr>
                <w:rFonts w:hint="default"/>
                <w:b w:val="0"/>
                <w:bCs w:val="0"/>
                <w:color w:val="auto"/>
                <w:sz w:val="24"/>
                <w:szCs w:val="24"/>
                <w:lang w:val="en-US" w:eastAsia="zh-CN"/>
              </w:rPr>
              <w:t>；前后内容矛盾。）</w:t>
            </w:r>
          </w:p>
        </w:tc>
      </w:tr>
      <w:tr w14:paraId="1A734CAD">
        <w:tblPrEx>
          <w:tblCellMar>
            <w:top w:w="0" w:type="dxa"/>
            <w:left w:w="108" w:type="dxa"/>
            <w:bottom w:w="0" w:type="dxa"/>
            <w:right w:w="108" w:type="dxa"/>
          </w:tblCellMar>
        </w:tblPrEx>
        <w:trPr>
          <w:trHeight w:val="1124" w:hRule="atLeast"/>
          <w:tblHeader/>
          <w:jc w:val="center"/>
        </w:trPr>
        <w:tc>
          <w:tcPr>
            <w:tcW w:w="615" w:type="dxa"/>
            <w:vMerge w:val="continue"/>
            <w:tcBorders>
              <w:left w:val="single" w:color="auto" w:sz="4" w:space="0"/>
              <w:right w:val="single" w:color="auto" w:sz="4" w:space="0"/>
            </w:tcBorders>
            <w:vAlign w:val="center"/>
          </w:tcPr>
          <w:p w14:paraId="0B47DD68">
            <w:pPr>
              <w:widowControl/>
              <w:adjustRightInd w:val="0"/>
              <w:snapToGrid w:val="0"/>
              <w:jc w:val="center"/>
              <w:rPr>
                <w:rFonts w:hint="eastAsia"/>
                <w:bCs/>
                <w:color w:val="auto"/>
                <w:sz w:val="24"/>
              </w:rPr>
            </w:pPr>
          </w:p>
        </w:tc>
        <w:tc>
          <w:tcPr>
            <w:tcW w:w="878" w:type="dxa"/>
            <w:tcBorders>
              <w:top w:val="single" w:color="auto" w:sz="6" w:space="0"/>
              <w:left w:val="single" w:color="auto" w:sz="4" w:space="0"/>
              <w:right w:val="single" w:color="auto" w:sz="6" w:space="0"/>
            </w:tcBorders>
            <w:vAlign w:val="center"/>
          </w:tcPr>
          <w:p w14:paraId="4A66C274">
            <w:pPr>
              <w:widowControl/>
              <w:adjustRightInd w:val="0"/>
              <w:snapToGrid w:val="0"/>
              <w:jc w:val="center"/>
              <w:rPr>
                <w:rFonts w:hint="default"/>
                <w:bCs/>
                <w:color w:val="auto"/>
                <w:sz w:val="24"/>
                <w:lang w:val="en-US" w:eastAsia="zh-CN"/>
              </w:rPr>
            </w:pPr>
            <w:r>
              <w:rPr>
                <w:rFonts w:hint="eastAsia"/>
                <w:bCs/>
                <w:color w:val="auto"/>
                <w:sz w:val="24"/>
                <w:lang w:val="en-US" w:eastAsia="zh-CN"/>
              </w:rPr>
              <w:t>技术人员</w:t>
            </w:r>
          </w:p>
        </w:tc>
        <w:tc>
          <w:tcPr>
            <w:tcW w:w="456" w:type="dxa"/>
            <w:tcBorders>
              <w:top w:val="single" w:color="auto" w:sz="6" w:space="0"/>
              <w:left w:val="nil"/>
              <w:right w:val="single" w:color="auto" w:sz="6" w:space="0"/>
            </w:tcBorders>
            <w:vAlign w:val="center"/>
          </w:tcPr>
          <w:p w14:paraId="0EF2DE23">
            <w:pPr>
              <w:widowControl/>
              <w:adjustRightInd w:val="0"/>
              <w:snapToGrid w:val="0"/>
              <w:jc w:val="center"/>
              <w:rPr>
                <w:rFonts w:hint="default"/>
                <w:b w:val="0"/>
                <w:bCs/>
                <w:color w:val="auto"/>
                <w:sz w:val="24"/>
                <w:lang w:val="en-US" w:eastAsia="zh-CN"/>
              </w:rPr>
            </w:pPr>
            <w:r>
              <w:rPr>
                <w:rFonts w:hint="eastAsia"/>
                <w:b w:val="0"/>
                <w:bCs/>
                <w:color w:val="auto"/>
                <w:sz w:val="24"/>
                <w:lang w:val="en-US" w:eastAsia="zh-CN"/>
              </w:rPr>
              <w:t>6</w:t>
            </w:r>
          </w:p>
        </w:tc>
        <w:tc>
          <w:tcPr>
            <w:tcW w:w="7870" w:type="dxa"/>
            <w:tcBorders>
              <w:top w:val="single" w:color="auto" w:sz="6" w:space="0"/>
              <w:left w:val="nil"/>
              <w:bottom w:val="single" w:color="auto" w:sz="6" w:space="0"/>
              <w:right w:val="single" w:color="auto" w:sz="6" w:space="0"/>
            </w:tcBorders>
            <w:vAlign w:val="center"/>
          </w:tcPr>
          <w:p w14:paraId="2B2F1073">
            <w:pPr>
              <w:widowControl/>
              <w:snapToGrid w:val="0"/>
              <w:spacing w:line="288" w:lineRule="auto"/>
              <w:rPr>
                <w:rFonts w:hint="default"/>
                <w:b w:val="0"/>
                <w:bCs w:val="0"/>
                <w:color w:val="auto"/>
                <w:sz w:val="24"/>
                <w:szCs w:val="24"/>
                <w:lang w:val="en-US" w:eastAsia="zh-CN"/>
              </w:rPr>
            </w:pPr>
            <w:r>
              <w:rPr>
                <w:rFonts w:hint="default"/>
                <w:b w:val="0"/>
                <w:bCs w:val="0"/>
                <w:color w:val="auto"/>
                <w:sz w:val="24"/>
                <w:szCs w:val="24"/>
                <w:lang w:val="en-US" w:eastAsia="zh-CN"/>
              </w:rPr>
              <w:t>其中每提供1名技术员得0.5分，每提供农艺师1人得1分，每提供高级农艺师1人得1.5分，最高不超过6分，须提供农业技术人员需提供职称资格证书、身份证正反面、属于本公司专业技术人员须提供近半年内任意 3 个月社保缴纳证明（需提供相关人员社保明细)；属于本公司外聘专家需提供合作协议。同时，需提供本项目负责人姓名和电话号码。</w:t>
            </w:r>
          </w:p>
        </w:tc>
      </w:tr>
      <w:tr w14:paraId="79A1930E">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4644638C">
            <w:pPr>
              <w:widowControl/>
              <w:adjustRightInd w:val="0"/>
              <w:snapToGrid w:val="0"/>
              <w:jc w:val="center"/>
              <w:rPr>
                <w:bCs/>
                <w:color w:val="auto"/>
                <w:sz w:val="24"/>
                <w:lang w:val="en-US"/>
              </w:rPr>
            </w:pPr>
          </w:p>
        </w:tc>
        <w:tc>
          <w:tcPr>
            <w:tcW w:w="878" w:type="dxa"/>
            <w:tcBorders>
              <w:top w:val="single" w:color="auto" w:sz="6" w:space="0"/>
              <w:left w:val="single" w:color="auto" w:sz="4" w:space="0"/>
              <w:bottom w:val="single" w:color="auto" w:sz="6" w:space="0"/>
              <w:right w:val="single" w:color="auto" w:sz="6" w:space="0"/>
            </w:tcBorders>
            <w:vAlign w:val="center"/>
          </w:tcPr>
          <w:p w14:paraId="276A7E33">
            <w:pPr>
              <w:widowControl/>
              <w:adjustRightInd w:val="0"/>
              <w:snapToGrid w:val="0"/>
              <w:jc w:val="center"/>
              <w:rPr>
                <w:rFonts w:hint="eastAsia"/>
                <w:bCs/>
                <w:color w:val="auto"/>
                <w:sz w:val="24"/>
              </w:rPr>
            </w:pPr>
            <w:r>
              <w:rPr>
                <w:rFonts w:hint="eastAsia"/>
                <w:bCs/>
                <w:color w:val="auto"/>
                <w:sz w:val="24"/>
              </w:rPr>
              <w:t>需求响应程度</w:t>
            </w:r>
          </w:p>
        </w:tc>
        <w:tc>
          <w:tcPr>
            <w:tcW w:w="456" w:type="dxa"/>
            <w:tcBorders>
              <w:top w:val="single" w:color="auto" w:sz="6" w:space="0"/>
              <w:left w:val="nil"/>
              <w:bottom w:val="single" w:color="auto" w:sz="6" w:space="0"/>
              <w:right w:val="single" w:color="auto" w:sz="6" w:space="0"/>
            </w:tcBorders>
            <w:vAlign w:val="center"/>
          </w:tcPr>
          <w:p w14:paraId="43C9B709">
            <w:pPr>
              <w:widowControl/>
              <w:adjustRightInd w:val="0"/>
              <w:snapToGrid w:val="0"/>
              <w:jc w:val="center"/>
              <w:rPr>
                <w:bCs/>
                <w:color w:val="auto"/>
                <w:sz w:val="24"/>
                <w:lang w:val="en-US"/>
              </w:rPr>
            </w:pPr>
            <w:r>
              <w:rPr>
                <w:rFonts w:hint="eastAsia"/>
                <w:bCs/>
                <w:color w:val="auto"/>
                <w:sz w:val="24"/>
                <w:lang w:val="en-US"/>
              </w:rPr>
              <w:t>10</w:t>
            </w:r>
          </w:p>
        </w:tc>
        <w:tc>
          <w:tcPr>
            <w:tcW w:w="7870" w:type="dxa"/>
            <w:tcBorders>
              <w:top w:val="single" w:color="auto" w:sz="6" w:space="0"/>
              <w:left w:val="nil"/>
              <w:bottom w:val="single" w:color="auto" w:sz="6" w:space="0"/>
              <w:right w:val="single" w:color="auto" w:sz="6" w:space="0"/>
            </w:tcBorders>
            <w:vAlign w:val="center"/>
          </w:tcPr>
          <w:p w14:paraId="33C8C128">
            <w:pPr>
              <w:autoSpaceDE/>
              <w:autoSpaceDN/>
              <w:snapToGrid w:val="0"/>
              <w:spacing w:line="320" w:lineRule="exact"/>
              <w:rPr>
                <w:rFonts w:hint="eastAsia"/>
                <w:b w:val="0"/>
                <w:bCs w:val="0"/>
                <w:color w:val="auto"/>
                <w:sz w:val="24"/>
                <w:szCs w:val="24"/>
                <w:lang w:val="en-US"/>
              </w:rPr>
            </w:pPr>
            <w:r>
              <w:rPr>
                <w:rFonts w:hint="eastAsia"/>
                <w:b w:val="0"/>
                <w:bCs w:val="0"/>
                <w:color w:val="auto"/>
                <w:sz w:val="24"/>
                <w:szCs w:val="24"/>
                <w:lang w:val="en-US"/>
              </w:rPr>
              <w:t>供应商所投产品完全满足《货物需求、技术规格说明》技术参数要求的，得10分；有缺项视为不满足得0分；每出现一处负偏离</w:t>
            </w:r>
            <w:r>
              <w:rPr>
                <w:rFonts w:hint="eastAsia" w:ascii="Times New Roman"/>
                <w:b w:val="0"/>
                <w:bCs w:val="0"/>
                <w:color w:val="auto"/>
                <w:sz w:val="24"/>
                <w:szCs w:val="24"/>
                <w:lang w:val="en-US"/>
              </w:rPr>
              <w:t>视为不满足得0分</w:t>
            </w:r>
            <w:r>
              <w:rPr>
                <w:rFonts w:hint="eastAsia"/>
                <w:b w:val="0"/>
                <w:bCs w:val="0"/>
                <w:color w:val="auto"/>
                <w:sz w:val="24"/>
                <w:szCs w:val="24"/>
                <w:lang w:val="en-US"/>
              </w:rPr>
              <w:t>，并提供无偏离承诺，格式自拟。</w:t>
            </w:r>
          </w:p>
          <w:p w14:paraId="74DDC106">
            <w:pPr>
              <w:snapToGrid w:val="0"/>
              <w:rPr>
                <w:rFonts w:hint="eastAsia"/>
                <w:b w:val="0"/>
                <w:bCs w:val="0"/>
                <w:color w:val="auto"/>
                <w:sz w:val="24"/>
              </w:rPr>
            </w:pPr>
            <w:r>
              <w:rPr>
                <w:rFonts w:hint="eastAsia"/>
                <w:b w:val="0"/>
                <w:bCs w:val="0"/>
                <w:color w:val="auto"/>
                <w:sz w:val="24"/>
              </w:rPr>
              <w:t>注：供应商</w:t>
            </w:r>
            <w:r>
              <w:rPr>
                <w:rFonts w:hint="eastAsia"/>
                <w:b w:val="0"/>
                <w:bCs w:val="0"/>
                <w:color w:val="auto"/>
                <w:sz w:val="24"/>
                <w:lang w:val="en-US"/>
              </w:rPr>
              <w:t>需对产品参数提供证明文件。证明文件包括但不限于国家认证认可的第三方检测机构出具的检测报告、技术白皮书、官网截图、厂家公开发布的印刷资料、产品彩页、产品说明书等。</w:t>
            </w:r>
          </w:p>
        </w:tc>
      </w:tr>
      <w:tr w14:paraId="599917F2">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77716F60">
            <w:pPr>
              <w:widowControl/>
              <w:adjustRightInd w:val="0"/>
              <w:snapToGrid w:val="0"/>
              <w:jc w:val="center"/>
              <w:rPr>
                <w:rFonts w:hint="eastAsia"/>
                <w:bCs/>
                <w:color w:val="auto"/>
                <w:sz w:val="24"/>
                <w:lang w:val="en-US"/>
              </w:rPr>
            </w:pPr>
          </w:p>
        </w:tc>
        <w:tc>
          <w:tcPr>
            <w:tcW w:w="878" w:type="dxa"/>
            <w:tcBorders>
              <w:top w:val="single" w:color="auto" w:sz="6" w:space="0"/>
              <w:left w:val="single" w:color="auto" w:sz="4" w:space="0"/>
              <w:bottom w:val="single" w:color="auto" w:sz="6" w:space="0"/>
              <w:right w:val="single" w:color="auto" w:sz="6" w:space="0"/>
            </w:tcBorders>
            <w:vAlign w:val="center"/>
          </w:tcPr>
          <w:p w14:paraId="5B58E337">
            <w:pPr>
              <w:pStyle w:val="99"/>
              <w:snapToGrid w:val="0"/>
              <w:spacing w:line="300" w:lineRule="exact"/>
              <w:jc w:val="center"/>
              <w:rPr>
                <w:rFonts w:hint="eastAsia" w:ascii="宋体" w:hAnsi="宋体" w:cs="宋体"/>
                <w:color w:val="auto"/>
                <w:sz w:val="21"/>
                <w:szCs w:val="21"/>
              </w:rPr>
            </w:pPr>
            <w:r>
              <w:rPr>
                <w:rFonts w:hint="eastAsia" w:ascii="宋体" w:hAnsi="宋体" w:cs="宋体"/>
                <w:color w:val="auto"/>
                <w:sz w:val="21"/>
                <w:szCs w:val="21"/>
              </w:rPr>
              <w:t>供货实施方案</w:t>
            </w:r>
          </w:p>
          <w:p w14:paraId="2276BB55">
            <w:pPr>
              <w:widowControl/>
              <w:adjustRightInd w:val="0"/>
              <w:snapToGrid w:val="0"/>
              <w:jc w:val="center"/>
              <w:rPr>
                <w:rFonts w:hint="eastAsia"/>
                <w:bCs/>
                <w:color w:val="auto"/>
                <w:sz w:val="24"/>
              </w:rPr>
            </w:pPr>
          </w:p>
        </w:tc>
        <w:tc>
          <w:tcPr>
            <w:tcW w:w="456" w:type="dxa"/>
            <w:tcBorders>
              <w:top w:val="single" w:color="auto" w:sz="6" w:space="0"/>
              <w:left w:val="nil"/>
              <w:bottom w:val="single" w:color="auto" w:sz="6" w:space="0"/>
              <w:right w:val="single" w:color="auto" w:sz="6" w:space="0"/>
            </w:tcBorders>
            <w:vAlign w:val="center"/>
          </w:tcPr>
          <w:p w14:paraId="5AB165A5">
            <w:pPr>
              <w:widowControl/>
              <w:adjustRightInd w:val="0"/>
              <w:snapToGrid w:val="0"/>
              <w:jc w:val="center"/>
              <w:rPr>
                <w:bCs/>
                <w:color w:val="auto"/>
                <w:sz w:val="24"/>
                <w:lang w:val="en-US"/>
              </w:rPr>
            </w:pPr>
            <w:r>
              <w:rPr>
                <w:rFonts w:hint="eastAsia"/>
                <w:bCs/>
                <w:color w:val="auto"/>
                <w:sz w:val="24"/>
                <w:lang w:val="en-US"/>
              </w:rPr>
              <w:t>12</w:t>
            </w:r>
          </w:p>
        </w:tc>
        <w:tc>
          <w:tcPr>
            <w:tcW w:w="7870" w:type="dxa"/>
            <w:tcBorders>
              <w:top w:val="single" w:color="auto" w:sz="6" w:space="0"/>
              <w:left w:val="nil"/>
              <w:bottom w:val="single" w:color="auto" w:sz="6" w:space="0"/>
              <w:right w:val="single" w:color="auto" w:sz="6" w:space="0"/>
            </w:tcBorders>
            <w:vAlign w:val="center"/>
          </w:tcPr>
          <w:p w14:paraId="38FBBC07">
            <w:pPr>
              <w:widowControl/>
              <w:snapToGrid w:val="0"/>
              <w:spacing w:line="288" w:lineRule="auto"/>
              <w:rPr>
                <w:b w:val="0"/>
                <w:bCs w:val="0"/>
                <w:color w:val="auto"/>
                <w:sz w:val="24"/>
                <w:szCs w:val="24"/>
                <w:lang w:val="en-US"/>
              </w:rPr>
            </w:pPr>
            <w:r>
              <w:rPr>
                <w:rFonts w:hint="eastAsia"/>
                <w:b w:val="0"/>
                <w:bCs w:val="0"/>
                <w:color w:val="auto"/>
                <w:sz w:val="24"/>
                <w:szCs w:val="24"/>
                <w:lang w:val="en-US"/>
              </w:rPr>
              <w:t>供应商提供针对本项目的实施方案，方案包括但不限于:</w:t>
            </w:r>
          </w:p>
          <w:p w14:paraId="7101E8D8">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①供货方案。</w:t>
            </w:r>
            <w:r>
              <w:rPr>
                <w:rFonts w:hint="eastAsia"/>
                <w:b w:val="0"/>
                <w:bCs w:val="0"/>
                <w:color w:val="auto"/>
                <w:sz w:val="24"/>
                <w:szCs w:val="24"/>
                <w:lang w:val="en-US" w:eastAsia="zh-CN"/>
              </w:rPr>
              <w:t>2分</w:t>
            </w:r>
          </w:p>
          <w:p w14:paraId="0313FD63">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②配送及运输方案。</w:t>
            </w:r>
            <w:r>
              <w:rPr>
                <w:rFonts w:hint="eastAsia"/>
                <w:b w:val="0"/>
                <w:bCs w:val="0"/>
                <w:color w:val="auto"/>
                <w:sz w:val="24"/>
                <w:szCs w:val="24"/>
                <w:lang w:val="en-US" w:eastAsia="zh-CN"/>
              </w:rPr>
              <w:t>2分</w:t>
            </w:r>
          </w:p>
          <w:p w14:paraId="40D32F71">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③技术支持与培训方案。</w:t>
            </w:r>
            <w:r>
              <w:rPr>
                <w:rFonts w:hint="eastAsia"/>
                <w:b w:val="0"/>
                <w:bCs w:val="0"/>
                <w:color w:val="auto"/>
                <w:sz w:val="24"/>
                <w:szCs w:val="24"/>
                <w:lang w:val="en-US" w:eastAsia="zh-CN"/>
              </w:rPr>
              <w:t>2分</w:t>
            </w:r>
          </w:p>
          <w:p w14:paraId="5CC09373">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④风险控制与应急预案。</w:t>
            </w:r>
            <w:r>
              <w:rPr>
                <w:rFonts w:hint="eastAsia"/>
                <w:b w:val="0"/>
                <w:bCs w:val="0"/>
                <w:color w:val="auto"/>
                <w:sz w:val="24"/>
                <w:szCs w:val="24"/>
                <w:lang w:val="en-US" w:eastAsia="zh-CN"/>
              </w:rPr>
              <w:t>2分</w:t>
            </w:r>
          </w:p>
          <w:p w14:paraId="0748721B">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⑤协助验收方案。</w:t>
            </w:r>
            <w:r>
              <w:rPr>
                <w:rFonts w:hint="eastAsia"/>
                <w:b w:val="0"/>
                <w:bCs w:val="0"/>
                <w:color w:val="auto"/>
                <w:sz w:val="24"/>
                <w:szCs w:val="24"/>
                <w:lang w:val="en-US" w:eastAsia="zh-CN"/>
              </w:rPr>
              <w:t>2分</w:t>
            </w:r>
          </w:p>
          <w:p w14:paraId="371E9073">
            <w:pPr>
              <w:widowControl/>
              <w:snapToGrid w:val="0"/>
              <w:spacing w:line="288" w:lineRule="auto"/>
              <w:rPr>
                <w:rFonts w:hint="default" w:eastAsia="宋体"/>
                <w:b w:val="0"/>
                <w:bCs w:val="0"/>
                <w:color w:val="auto"/>
                <w:sz w:val="24"/>
                <w:szCs w:val="24"/>
                <w:lang w:val="en-US" w:eastAsia="zh-CN"/>
              </w:rPr>
            </w:pPr>
            <w:r>
              <w:rPr>
                <w:rFonts w:hint="eastAsia"/>
                <w:b w:val="0"/>
                <w:bCs w:val="0"/>
                <w:color w:val="auto"/>
                <w:sz w:val="24"/>
                <w:szCs w:val="24"/>
                <w:lang w:val="en-US"/>
              </w:rPr>
              <w:t>⑥合同管理与履约保障方案等</w:t>
            </w:r>
            <w:r>
              <w:rPr>
                <w:rFonts w:hint="eastAsia"/>
                <w:b w:val="0"/>
                <w:bCs w:val="0"/>
                <w:color w:val="auto"/>
                <w:sz w:val="24"/>
                <w:szCs w:val="24"/>
                <w:lang w:val="en-US" w:eastAsia="zh-CN"/>
              </w:rPr>
              <w:t>。2分</w:t>
            </w:r>
          </w:p>
          <w:p w14:paraId="5905BD0C">
            <w:pPr>
              <w:widowControl/>
              <w:snapToGrid w:val="0"/>
              <w:spacing w:line="288" w:lineRule="auto"/>
              <w:rPr>
                <w:rFonts w:hint="eastAsia"/>
                <w:b w:val="0"/>
                <w:bCs w:val="0"/>
                <w:color w:val="auto"/>
                <w:sz w:val="24"/>
                <w:szCs w:val="24"/>
              </w:rPr>
            </w:pPr>
            <w:r>
              <w:rPr>
                <w:rFonts w:hint="eastAsia"/>
                <w:b w:val="0"/>
                <w:bCs w:val="0"/>
                <w:color w:val="auto"/>
                <w:sz w:val="24"/>
                <w:szCs w:val="24"/>
                <w:lang w:val="en-US"/>
              </w:rPr>
              <w:t>注：提供以上全部内容且满足采购需求的得12分，每缺少一项内容的扣</w:t>
            </w:r>
            <w:r>
              <w:rPr>
                <w:rFonts w:hint="eastAsia"/>
                <w:b w:val="0"/>
                <w:bCs w:val="0"/>
                <w:color w:val="auto"/>
                <w:sz w:val="24"/>
                <w:szCs w:val="24"/>
                <w:lang w:val="en-US" w:eastAsia="zh-CN"/>
              </w:rPr>
              <w:t>2</w:t>
            </w:r>
            <w:r>
              <w:rPr>
                <w:rFonts w:hint="eastAsia"/>
                <w:b w:val="0"/>
                <w:bCs w:val="0"/>
                <w:color w:val="auto"/>
                <w:sz w:val="24"/>
                <w:szCs w:val="24"/>
                <w:lang w:val="en-US"/>
              </w:rPr>
              <w:t>分；每有一处缺陷</w:t>
            </w:r>
            <w:r>
              <w:rPr>
                <w:rFonts w:hint="eastAsia"/>
                <w:b w:val="0"/>
                <w:bCs w:val="0"/>
                <w:color w:val="auto"/>
                <w:sz w:val="24"/>
                <w:szCs w:val="24"/>
                <w:lang w:val="en-US" w:eastAsia="zh-CN"/>
              </w:rPr>
              <w:t>或瑕疵</w:t>
            </w:r>
            <w:r>
              <w:rPr>
                <w:rFonts w:hint="eastAsia"/>
                <w:b w:val="0"/>
                <w:bCs w:val="0"/>
                <w:color w:val="auto"/>
                <w:sz w:val="24"/>
                <w:szCs w:val="24"/>
                <w:lang w:val="en-US"/>
              </w:rPr>
              <w:t>的扣1分</w:t>
            </w:r>
            <w:r>
              <w:rPr>
                <w:rFonts w:hint="eastAsia"/>
                <w:b w:val="0"/>
                <w:bCs w:val="0"/>
                <w:color w:val="auto"/>
                <w:sz w:val="24"/>
                <w:szCs w:val="24"/>
                <w:lang w:val="en-US" w:eastAsia="zh-CN"/>
              </w:rPr>
              <w:t>，</w:t>
            </w:r>
            <w:r>
              <w:rPr>
                <w:rFonts w:hint="eastAsia"/>
                <w:b w:val="0"/>
                <w:bCs w:val="0"/>
                <w:color w:val="auto"/>
                <w:sz w:val="24"/>
                <w:szCs w:val="24"/>
                <w:lang w:val="en-US"/>
              </w:rPr>
              <w:t>扣完为止。（内容缺陷或瑕疵是指：方案项目名称、项目编号与本项目要求不符；仅有框架或标题；涉及的规范及技术标准错误；方案内容与本项目需求无关；前后内容矛盾。）</w:t>
            </w:r>
          </w:p>
        </w:tc>
      </w:tr>
      <w:tr w14:paraId="5C659425">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32931582">
            <w:pPr>
              <w:snapToGrid w:val="0"/>
              <w:jc w:val="center"/>
              <w:rPr>
                <w:rFonts w:hint="eastAsia"/>
                <w:color w:val="auto"/>
                <w:sz w:val="24"/>
              </w:rPr>
            </w:pPr>
          </w:p>
        </w:tc>
        <w:tc>
          <w:tcPr>
            <w:tcW w:w="878" w:type="dxa"/>
            <w:tcBorders>
              <w:top w:val="single" w:color="auto" w:sz="6" w:space="0"/>
              <w:left w:val="single" w:color="auto" w:sz="4" w:space="0"/>
              <w:bottom w:val="single" w:color="auto" w:sz="6" w:space="0"/>
              <w:right w:val="single" w:color="auto" w:sz="6" w:space="0"/>
            </w:tcBorders>
            <w:vAlign w:val="center"/>
          </w:tcPr>
          <w:p w14:paraId="531F1049">
            <w:pPr>
              <w:pStyle w:val="99"/>
              <w:snapToGrid w:val="0"/>
              <w:spacing w:line="300" w:lineRule="exact"/>
              <w:jc w:val="center"/>
              <w:rPr>
                <w:rFonts w:hint="eastAsia" w:ascii="宋体" w:hAnsi="宋体" w:cs="宋体"/>
                <w:color w:val="auto"/>
                <w:sz w:val="21"/>
                <w:szCs w:val="21"/>
              </w:rPr>
            </w:pPr>
            <w:r>
              <w:rPr>
                <w:rFonts w:hint="eastAsia" w:ascii="宋体" w:hAnsi="宋体" w:cs="宋体"/>
                <w:color w:val="auto"/>
                <w:sz w:val="21"/>
                <w:szCs w:val="21"/>
              </w:rPr>
              <w:t>进度控制措施</w:t>
            </w:r>
          </w:p>
          <w:p w14:paraId="34C880DC">
            <w:pPr>
              <w:pStyle w:val="99"/>
              <w:snapToGrid w:val="0"/>
              <w:spacing w:line="300" w:lineRule="exact"/>
              <w:jc w:val="center"/>
              <w:rPr>
                <w:rFonts w:hint="eastAsia" w:ascii="宋体" w:hAnsi="宋体" w:cs="宋体"/>
                <w:color w:val="auto"/>
              </w:rPr>
            </w:pPr>
          </w:p>
        </w:tc>
        <w:tc>
          <w:tcPr>
            <w:tcW w:w="456" w:type="dxa"/>
            <w:tcBorders>
              <w:top w:val="single" w:color="auto" w:sz="6" w:space="0"/>
              <w:left w:val="nil"/>
              <w:bottom w:val="single" w:color="auto" w:sz="6" w:space="0"/>
              <w:right w:val="single" w:color="auto" w:sz="6" w:space="0"/>
            </w:tcBorders>
            <w:vAlign w:val="center"/>
          </w:tcPr>
          <w:p w14:paraId="61573A6C">
            <w:pPr>
              <w:snapToGrid w:val="0"/>
              <w:jc w:val="center"/>
              <w:rPr>
                <w:color w:val="auto"/>
                <w:sz w:val="24"/>
                <w:lang w:val="en-US"/>
              </w:rPr>
            </w:pPr>
            <w:r>
              <w:rPr>
                <w:rFonts w:hint="eastAsia"/>
                <w:color w:val="auto"/>
                <w:sz w:val="24"/>
                <w:lang w:val="en-US"/>
              </w:rPr>
              <w:t>8</w:t>
            </w:r>
          </w:p>
        </w:tc>
        <w:tc>
          <w:tcPr>
            <w:tcW w:w="7870" w:type="dxa"/>
            <w:tcBorders>
              <w:top w:val="single" w:color="auto" w:sz="6" w:space="0"/>
              <w:left w:val="nil"/>
              <w:bottom w:val="single" w:color="auto" w:sz="6" w:space="0"/>
              <w:right w:val="single" w:color="auto" w:sz="6" w:space="0"/>
            </w:tcBorders>
          </w:tcPr>
          <w:p w14:paraId="6C3F7469">
            <w:pPr>
              <w:widowControl/>
              <w:snapToGrid w:val="0"/>
              <w:spacing w:line="288" w:lineRule="auto"/>
              <w:rPr>
                <w:rFonts w:hint="eastAsia"/>
                <w:color w:val="auto"/>
                <w:sz w:val="24"/>
                <w:szCs w:val="24"/>
                <w:lang w:val="en-US"/>
              </w:rPr>
            </w:pPr>
            <w:r>
              <w:rPr>
                <w:rFonts w:hint="eastAsia"/>
                <w:color w:val="auto"/>
                <w:sz w:val="24"/>
                <w:szCs w:val="24"/>
                <w:lang w:val="en-US"/>
              </w:rPr>
              <w:t>针对本项目制定详细的进度安排，包括但不限于以下内容:</w:t>
            </w:r>
          </w:p>
          <w:p w14:paraId="09A75489">
            <w:pPr>
              <w:widowControl/>
              <w:snapToGrid w:val="0"/>
              <w:spacing w:line="288" w:lineRule="auto"/>
              <w:rPr>
                <w:rFonts w:hint="default" w:eastAsia="宋体"/>
                <w:color w:val="auto"/>
                <w:sz w:val="24"/>
                <w:szCs w:val="24"/>
                <w:lang w:val="en-US" w:eastAsia="zh-CN"/>
              </w:rPr>
            </w:pPr>
            <w:r>
              <w:rPr>
                <w:rFonts w:hint="eastAsia"/>
                <w:color w:val="auto"/>
                <w:sz w:val="24"/>
                <w:szCs w:val="24"/>
                <w:lang w:val="en-US"/>
              </w:rPr>
              <w:t>①进度控制目标。</w:t>
            </w:r>
            <w:r>
              <w:rPr>
                <w:rFonts w:hint="eastAsia"/>
                <w:color w:val="auto"/>
                <w:sz w:val="24"/>
                <w:szCs w:val="24"/>
                <w:lang w:val="en-US" w:eastAsia="zh-CN"/>
              </w:rPr>
              <w:t>2分</w:t>
            </w:r>
          </w:p>
          <w:p w14:paraId="643420F4">
            <w:pPr>
              <w:widowControl/>
              <w:snapToGrid w:val="0"/>
              <w:spacing w:line="288" w:lineRule="auto"/>
              <w:rPr>
                <w:rFonts w:hint="default" w:eastAsia="宋体"/>
                <w:color w:val="auto"/>
                <w:sz w:val="24"/>
                <w:szCs w:val="24"/>
                <w:lang w:val="en-US" w:eastAsia="zh-CN"/>
              </w:rPr>
            </w:pPr>
            <w:r>
              <w:rPr>
                <w:rFonts w:hint="eastAsia"/>
                <w:color w:val="auto"/>
                <w:sz w:val="24"/>
                <w:szCs w:val="24"/>
                <w:lang w:val="en-US"/>
              </w:rPr>
              <w:t>②进度控制任务。</w:t>
            </w:r>
            <w:r>
              <w:rPr>
                <w:rFonts w:hint="eastAsia"/>
                <w:color w:val="auto"/>
                <w:sz w:val="24"/>
                <w:szCs w:val="24"/>
                <w:lang w:val="en-US" w:eastAsia="zh-CN"/>
              </w:rPr>
              <w:t>2分</w:t>
            </w:r>
          </w:p>
          <w:p w14:paraId="3831D79D">
            <w:pPr>
              <w:widowControl/>
              <w:snapToGrid w:val="0"/>
              <w:spacing w:line="288" w:lineRule="auto"/>
              <w:rPr>
                <w:rFonts w:hint="default" w:eastAsia="宋体"/>
                <w:color w:val="auto"/>
                <w:sz w:val="24"/>
                <w:szCs w:val="24"/>
                <w:lang w:val="en-US" w:eastAsia="zh-CN"/>
              </w:rPr>
            </w:pPr>
            <w:r>
              <w:rPr>
                <w:rFonts w:hint="eastAsia"/>
                <w:color w:val="auto"/>
                <w:sz w:val="24"/>
                <w:szCs w:val="24"/>
                <w:lang w:val="en-US"/>
              </w:rPr>
              <w:t>③计划安排表(履约进度计划表)。</w:t>
            </w:r>
            <w:r>
              <w:rPr>
                <w:rFonts w:hint="eastAsia"/>
                <w:color w:val="auto"/>
                <w:sz w:val="24"/>
                <w:szCs w:val="24"/>
                <w:lang w:val="en-US" w:eastAsia="zh-CN"/>
              </w:rPr>
              <w:t>2分</w:t>
            </w:r>
          </w:p>
          <w:p w14:paraId="14F1A501">
            <w:pPr>
              <w:widowControl/>
              <w:snapToGrid w:val="0"/>
              <w:spacing w:line="288" w:lineRule="auto"/>
              <w:rPr>
                <w:rFonts w:hint="default" w:eastAsia="宋体"/>
                <w:color w:val="auto"/>
                <w:sz w:val="24"/>
                <w:szCs w:val="24"/>
                <w:lang w:val="en-US" w:eastAsia="zh-CN"/>
              </w:rPr>
            </w:pPr>
            <w:r>
              <w:rPr>
                <w:rFonts w:hint="eastAsia"/>
                <w:color w:val="auto"/>
                <w:sz w:val="24"/>
                <w:szCs w:val="24"/>
                <w:lang w:val="en-US"/>
              </w:rPr>
              <w:t>④减少项目延期发生的防范对策等内容。</w:t>
            </w:r>
            <w:r>
              <w:rPr>
                <w:rFonts w:hint="eastAsia"/>
                <w:color w:val="auto"/>
                <w:sz w:val="24"/>
                <w:szCs w:val="24"/>
                <w:lang w:val="en-US" w:eastAsia="zh-CN"/>
              </w:rPr>
              <w:t>2分</w:t>
            </w:r>
          </w:p>
          <w:p w14:paraId="6700FBB5">
            <w:pPr>
              <w:widowControl/>
              <w:snapToGrid w:val="0"/>
              <w:spacing w:line="288" w:lineRule="auto"/>
              <w:rPr>
                <w:rFonts w:hint="eastAsia"/>
                <w:color w:val="auto"/>
                <w:sz w:val="24"/>
                <w:szCs w:val="24"/>
              </w:rPr>
            </w:pPr>
            <w:r>
              <w:rPr>
                <w:rFonts w:hint="eastAsia"/>
                <w:color w:val="auto"/>
                <w:sz w:val="24"/>
                <w:szCs w:val="24"/>
                <w:lang w:val="en-US"/>
              </w:rPr>
              <w:t>注：提供以上全部内容且满足采购需求的得8分，每缺少一项内容的扣</w:t>
            </w:r>
            <w:r>
              <w:rPr>
                <w:rFonts w:hint="eastAsia"/>
                <w:color w:val="auto"/>
                <w:sz w:val="24"/>
                <w:szCs w:val="24"/>
                <w:lang w:val="en-US" w:eastAsia="zh-CN"/>
              </w:rPr>
              <w:t>2</w:t>
            </w:r>
            <w:r>
              <w:rPr>
                <w:rFonts w:hint="eastAsia"/>
                <w:color w:val="auto"/>
                <w:sz w:val="24"/>
                <w:szCs w:val="24"/>
                <w:lang w:val="en-US"/>
              </w:rPr>
              <w:t>分；每有一处缺陷</w:t>
            </w:r>
            <w:r>
              <w:rPr>
                <w:rFonts w:hint="eastAsia"/>
                <w:color w:val="auto"/>
                <w:sz w:val="24"/>
                <w:szCs w:val="24"/>
                <w:lang w:val="en-US" w:eastAsia="zh-CN"/>
              </w:rPr>
              <w:t>或瑕疵</w:t>
            </w:r>
            <w:r>
              <w:rPr>
                <w:rFonts w:hint="eastAsia"/>
                <w:color w:val="auto"/>
                <w:sz w:val="24"/>
                <w:szCs w:val="24"/>
                <w:lang w:val="en-US"/>
              </w:rPr>
              <w:t>的扣1分</w:t>
            </w:r>
            <w:r>
              <w:rPr>
                <w:rFonts w:hint="eastAsia"/>
                <w:color w:val="auto"/>
                <w:sz w:val="24"/>
                <w:szCs w:val="24"/>
                <w:lang w:val="en-US" w:eastAsia="zh-CN"/>
              </w:rPr>
              <w:t>，</w:t>
            </w:r>
            <w:r>
              <w:rPr>
                <w:rFonts w:hint="eastAsia"/>
                <w:color w:val="auto"/>
                <w:sz w:val="24"/>
                <w:szCs w:val="24"/>
              </w:rPr>
              <w:t>，扣完为止。（内容缺陷或瑕疵</w:t>
            </w:r>
            <w:r>
              <w:rPr>
                <w:rFonts w:hint="eastAsia"/>
                <w:color w:val="auto"/>
                <w:sz w:val="24"/>
                <w:szCs w:val="24"/>
                <w:lang w:val="en-US"/>
              </w:rPr>
              <w:t>是</w:t>
            </w:r>
            <w:r>
              <w:rPr>
                <w:rFonts w:hint="eastAsia"/>
                <w:color w:val="auto"/>
                <w:sz w:val="24"/>
                <w:szCs w:val="24"/>
              </w:rPr>
              <w:t>指：方案项目名称、项目编号与本项目要求不符；仅有框架或标题；涉及的规范及技术标准错误；方案内容与本项目需求无关；前后内容矛盾。）</w:t>
            </w:r>
          </w:p>
        </w:tc>
      </w:tr>
      <w:tr w14:paraId="3F4CB3A2">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2A96B097">
            <w:pPr>
              <w:snapToGrid w:val="0"/>
              <w:jc w:val="center"/>
              <w:rPr>
                <w:rFonts w:hint="eastAsia"/>
                <w:color w:val="auto"/>
                <w:sz w:val="24"/>
              </w:rPr>
            </w:pPr>
          </w:p>
        </w:tc>
        <w:tc>
          <w:tcPr>
            <w:tcW w:w="878" w:type="dxa"/>
            <w:tcBorders>
              <w:top w:val="single" w:color="auto" w:sz="6" w:space="0"/>
              <w:left w:val="single" w:color="auto" w:sz="4" w:space="0"/>
              <w:bottom w:val="single" w:color="auto" w:sz="6" w:space="0"/>
              <w:right w:val="single" w:color="auto" w:sz="6" w:space="0"/>
            </w:tcBorders>
            <w:vAlign w:val="center"/>
          </w:tcPr>
          <w:p w14:paraId="44EDBD6B">
            <w:pPr>
              <w:snapToGrid w:val="0"/>
              <w:rPr>
                <w:rFonts w:hint="eastAsia"/>
                <w:color w:val="auto"/>
              </w:rPr>
            </w:pPr>
            <w:r>
              <w:rPr>
                <w:rFonts w:hint="eastAsia"/>
                <w:color w:val="auto"/>
              </w:rPr>
              <w:t>特殊情况应急方案</w:t>
            </w:r>
          </w:p>
          <w:p w14:paraId="573D110B">
            <w:pPr>
              <w:pStyle w:val="99"/>
              <w:snapToGrid w:val="0"/>
              <w:spacing w:line="300" w:lineRule="exact"/>
              <w:jc w:val="center"/>
              <w:rPr>
                <w:rFonts w:hint="eastAsia" w:ascii="宋体" w:hAnsi="宋体" w:cs="宋体"/>
                <w:color w:val="auto"/>
              </w:rPr>
            </w:pPr>
          </w:p>
        </w:tc>
        <w:tc>
          <w:tcPr>
            <w:tcW w:w="456" w:type="dxa"/>
            <w:tcBorders>
              <w:top w:val="single" w:color="auto" w:sz="6" w:space="0"/>
              <w:left w:val="nil"/>
              <w:bottom w:val="single" w:color="auto" w:sz="6" w:space="0"/>
              <w:right w:val="single" w:color="auto" w:sz="6" w:space="0"/>
            </w:tcBorders>
            <w:vAlign w:val="center"/>
          </w:tcPr>
          <w:p w14:paraId="0ED00418">
            <w:pPr>
              <w:snapToGrid w:val="0"/>
              <w:jc w:val="center"/>
              <w:rPr>
                <w:color w:val="auto"/>
                <w:sz w:val="24"/>
                <w:lang w:val="en-US"/>
              </w:rPr>
            </w:pPr>
            <w:r>
              <w:rPr>
                <w:rFonts w:hint="eastAsia"/>
                <w:color w:val="auto"/>
                <w:sz w:val="24"/>
                <w:lang w:val="en-US"/>
              </w:rPr>
              <w:t>8</w:t>
            </w:r>
          </w:p>
        </w:tc>
        <w:tc>
          <w:tcPr>
            <w:tcW w:w="7870" w:type="dxa"/>
            <w:tcBorders>
              <w:top w:val="single" w:color="auto" w:sz="6" w:space="0"/>
              <w:left w:val="nil"/>
              <w:bottom w:val="single" w:color="auto" w:sz="6" w:space="0"/>
              <w:right w:val="single" w:color="auto" w:sz="6" w:space="0"/>
            </w:tcBorders>
            <w:vAlign w:val="center"/>
          </w:tcPr>
          <w:p w14:paraId="705B8784">
            <w:pPr>
              <w:widowControl/>
              <w:snapToGrid w:val="0"/>
              <w:spacing w:line="288" w:lineRule="auto"/>
              <w:rPr>
                <w:rFonts w:hint="eastAsia"/>
                <w:color w:val="auto"/>
                <w:sz w:val="24"/>
                <w:szCs w:val="24"/>
                <w:lang w:val="en-US"/>
              </w:rPr>
            </w:pPr>
            <w:r>
              <w:rPr>
                <w:rFonts w:hint="eastAsia"/>
                <w:color w:val="auto"/>
                <w:sz w:val="24"/>
                <w:szCs w:val="24"/>
                <w:lang w:val="en-US"/>
              </w:rPr>
              <w:t>应急采购措施方案包括但不限于：</w:t>
            </w:r>
          </w:p>
          <w:p w14:paraId="440F5853">
            <w:pPr>
              <w:widowControl/>
              <w:snapToGrid w:val="0"/>
              <w:spacing w:line="288" w:lineRule="auto"/>
              <w:rPr>
                <w:rFonts w:hint="eastAsia"/>
                <w:color w:val="auto"/>
                <w:sz w:val="24"/>
                <w:szCs w:val="24"/>
                <w:lang w:val="en-US"/>
              </w:rPr>
            </w:pPr>
            <w:r>
              <w:rPr>
                <w:rFonts w:hint="eastAsia"/>
                <w:color w:val="auto"/>
                <w:sz w:val="24"/>
                <w:szCs w:val="24"/>
                <w:lang w:val="en-US"/>
              </w:rPr>
              <w:t>①急需大量物资配货方案 2 分；</w:t>
            </w:r>
          </w:p>
          <w:p w14:paraId="172F985D">
            <w:pPr>
              <w:widowControl/>
              <w:snapToGrid w:val="0"/>
              <w:spacing w:line="288" w:lineRule="auto"/>
              <w:rPr>
                <w:rFonts w:hint="eastAsia"/>
                <w:color w:val="auto"/>
                <w:sz w:val="24"/>
                <w:szCs w:val="24"/>
                <w:lang w:val="en-US"/>
              </w:rPr>
            </w:pPr>
            <w:r>
              <w:rPr>
                <w:rFonts w:hint="eastAsia"/>
                <w:color w:val="auto"/>
                <w:sz w:val="24"/>
                <w:szCs w:val="24"/>
                <w:lang w:val="en-US"/>
              </w:rPr>
              <w:t>②针对问题产品召回、遇突发安全事件、货源短缺（涨价）措施</w:t>
            </w:r>
            <w:r>
              <w:rPr>
                <w:rFonts w:hint="eastAsia"/>
                <w:color w:val="auto"/>
                <w:sz w:val="24"/>
                <w:szCs w:val="24"/>
                <w:lang w:val="en-US" w:eastAsia="zh-CN"/>
              </w:rPr>
              <w:t>。</w:t>
            </w:r>
            <w:r>
              <w:rPr>
                <w:rFonts w:hint="eastAsia"/>
                <w:color w:val="auto"/>
                <w:sz w:val="24"/>
                <w:szCs w:val="24"/>
                <w:lang w:val="en-US"/>
              </w:rPr>
              <w:t xml:space="preserve"> 2 分；</w:t>
            </w:r>
          </w:p>
          <w:p w14:paraId="16CABD3E">
            <w:pPr>
              <w:widowControl/>
              <w:snapToGrid w:val="0"/>
              <w:spacing w:line="288" w:lineRule="auto"/>
              <w:rPr>
                <w:rFonts w:hint="eastAsia"/>
                <w:color w:val="auto"/>
                <w:sz w:val="24"/>
                <w:szCs w:val="24"/>
                <w:lang w:val="en-US"/>
              </w:rPr>
            </w:pPr>
            <w:r>
              <w:rPr>
                <w:rFonts w:hint="eastAsia"/>
                <w:color w:val="auto"/>
                <w:sz w:val="24"/>
                <w:szCs w:val="24"/>
                <w:lang w:val="en-US"/>
              </w:rPr>
              <w:t>③零星增补供应保障情况，但不限于针对恶劣天气影响方案</w:t>
            </w:r>
            <w:r>
              <w:rPr>
                <w:rFonts w:hint="eastAsia"/>
                <w:color w:val="auto"/>
                <w:sz w:val="24"/>
                <w:szCs w:val="24"/>
                <w:lang w:val="en-US" w:eastAsia="zh-CN"/>
              </w:rPr>
              <w:t>。</w:t>
            </w:r>
            <w:r>
              <w:rPr>
                <w:rFonts w:hint="eastAsia"/>
                <w:color w:val="auto"/>
                <w:sz w:val="24"/>
                <w:szCs w:val="24"/>
                <w:lang w:val="en-US"/>
              </w:rPr>
              <w:t xml:space="preserve"> 2分；</w:t>
            </w:r>
          </w:p>
          <w:p w14:paraId="08D00350">
            <w:pPr>
              <w:widowControl/>
              <w:snapToGrid w:val="0"/>
              <w:spacing w:line="288" w:lineRule="auto"/>
              <w:rPr>
                <w:rFonts w:hint="eastAsia"/>
                <w:color w:val="auto"/>
                <w:sz w:val="24"/>
                <w:szCs w:val="24"/>
                <w:lang w:val="en-US"/>
              </w:rPr>
            </w:pPr>
            <w:r>
              <w:rPr>
                <w:rFonts w:hint="eastAsia"/>
                <w:color w:val="auto"/>
                <w:sz w:val="24"/>
                <w:szCs w:val="24"/>
                <w:lang w:val="en-US"/>
              </w:rPr>
              <w:t>④重大节假日或活动等特殊情况制定应急处置方案 2分。</w:t>
            </w:r>
          </w:p>
          <w:p w14:paraId="30796AA0">
            <w:pPr>
              <w:widowControl/>
              <w:snapToGrid w:val="0"/>
              <w:spacing w:line="288" w:lineRule="auto"/>
              <w:rPr>
                <w:rFonts w:hint="eastAsia"/>
                <w:color w:val="auto"/>
                <w:sz w:val="24"/>
                <w:szCs w:val="24"/>
                <w:lang w:val="en-US"/>
              </w:rPr>
            </w:pPr>
            <w:r>
              <w:rPr>
                <w:rFonts w:hint="eastAsia"/>
                <w:color w:val="auto"/>
                <w:sz w:val="24"/>
                <w:szCs w:val="24"/>
                <w:lang w:val="en-US"/>
              </w:rPr>
              <w:t>注：以上内容都包含且满足采购需求的得 8分；每缺少一项内容的扣</w:t>
            </w:r>
            <w:r>
              <w:rPr>
                <w:rFonts w:hint="eastAsia"/>
                <w:color w:val="auto"/>
                <w:sz w:val="24"/>
                <w:szCs w:val="24"/>
                <w:lang w:val="en-US" w:eastAsia="zh-CN"/>
              </w:rPr>
              <w:t>2</w:t>
            </w:r>
            <w:r>
              <w:rPr>
                <w:rFonts w:hint="eastAsia"/>
                <w:color w:val="auto"/>
                <w:sz w:val="24"/>
                <w:szCs w:val="24"/>
                <w:lang w:val="en-US"/>
              </w:rPr>
              <w:t>分；每有一处缺陷的扣1分；扣完为止，未提供不得分。（缺陷是指：①该项内容描述前后不一致，项目信息与本项目实际信息不一致；②该项内容描述不符合国家相关法律法规、政策文件、规范标准要求；③该项内容阐述的方式方法、内容描述，明显不符合本项目实际采购需求。）</w:t>
            </w:r>
          </w:p>
        </w:tc>
      </w:tr>
      <w:tr w14:paraId="4E294163">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0FD3FE6B">
            <w:pPr>
              <w:snapToGrid w:val="0"/>
              <w:jc w:val="center"/>
              <w:rPr>
                <w:rFonts w:hint="eastAsia"/>
                <w:color w:val="auto"/>
                <w:sz w:val="24"/>
              </w:rPr>
            </w:pPr>
          </w:p>
        </w:tc>
        <w:tc>
          <w:tcPr>
            <w:tcW w:w="878" w:type="dxa"/>
            <w:tcBorders>
              <w:top w:val="single" w:color="auto" w:sz="6" w:space="0"/>
              <w:left w:val="single" w:color="auto" w:sz="4" w:space="0"/>
              <w:bottom w:val="single" w:color="auto" w:sz="6" w:space="0"/>
              <w:right w:val="single" w:color="auto" w:sz="6" w:space="0"/>
            </w:tcBorders>
            <w:vAlign w:val="center"/>
          </w:tcPr>
          <w:p w14:paraId="2B7C9380">
            <w:pPr>
              <w:pStyle w:val="99"/>
              <w:snapToGrid w:val="0"/>
              <w:spacing w:line="300" w:lineRule="exact"/>
              <w:jc w:val="center"/>
              <w:rPr>
                <w:rFonts w:hint="eastAsia" w:ascii="宋体" w:hAnsi="宋体" w:cs="宋体"/>
                <w:color w:val="auto"/>
                <w:sz w:val="21"/>
                <w:szCs w:val="21"/>
              </w:rPr>
            </w:pPr>
            <w:r>
              <w:rPr>
                <w:rFonts w:hint="eastAsia"/>
                <w:color w:val="auto"/>
              </w:rPr>
              <w:t>服务管控方案</w:t>
            </w:r>
          </w:p>
          <w:p w14:paraId="627432FB">
            <w:pPr>
              <w:pStyle w:val="99"/>
              <w:snapToGrid w:val="0"/>
              <w:spacing w:line="300" w:lineRule="exact"/>
              <w:jc w:val="center"/>
              <w:rPr>
                <w:rFonts w:hint="eastAsia" w:ascii="宋体" w:hAnsi="宋体" w:cs="宋体"/>
                <w:color w:val="auto"/>
              </w:rPr>
            </w:pPr>
          </w:p>
        </w:tc>
        <w:tc>
          <w:tcPr>
            <w:tcW w:w="456" w:type="dxa"/>
            <w:tcBorders>
              <w:top w:val="single" w:color="auto" w:sz="6" w:space="0"/>
              <w:left w:val="nil"/>
              <w:bottom w:val="single" w:color="auto" w:sz="6" w:space="0"/>
              <w:right w:val="single" w:color="auto" w:sz="6" w:space="0"/>
            </w:tcBorders>
            <w:vAlign w:val="center"/>
          </w:tcPr>
          <w:p w14:paraId="24066EBF">
            <w:pPr>
              <w:snapToGrid w:val="0"/>
              <w:jc w:val="center"/>
              <w:rPr>
                <w:color w:val="auto"/>
                <w:sz w:val="24"/>
                <w:lang w:val="en-US"/>
              </w:rPr>
            </w:pPr>
            <w:r>
              <w:rPr>
                <w:rFonts w:hint="eastAsia"/>
                <w:color w:val="auto"/>
                <w:sz w:val="24"/>
                <w:lang w:val="en-US"/>
              </w:rPr>
              <w:t>8</w:t>
            </w:r>
          </w:p>
        </w:tc>
        <w:tc>
          <w:tcPr>
            <w:tcW w:w="7870" w:type="dxa"/>
            <w:tcBorders>
              <w:top w:val="single" w:color="auto" w:sz="6" w:space="0"/>
              <w:left w:val="nil"/>
              <w:bottom w:val="single" w:color="auto" w:sz="6" w:space="0"/>
              <w:right w:val="single" w:color="auto" w:sz="6" w:space="0"/>
            </w:tcBorders>
          </w:tcPr>
          <w:p w14:paraId="1CB86A8E">
            <w:pPr>
              <w:widowControl/>
              <w:snapToGrid w:val="0"/>
              <w:spacing w:line="288" w:lineRule="auto"/>
              <w:rPr>
                <w:rFonts w:hint="eastAsia"/>
                <w:color w:val="auto"/>
                <w:sz w:val="24"/>
                <w:szCs w:val="24"/>
                <w:lang w:val="en-US"/>
              </w:rPr>
            </w:pPr>
            <w:r>
              <w:rPr>
                <w:rFonts w:hint="eastAsia"/>
                <w:color w:val="auto"/>
                <w:sz w:val="24"/>
                <w:szCs w:val="24"/>
                <w:lang w:val="en-US"/>
              </w:rPr>
              <w:t>投标供应商按项目理解制定详细服务方案，如每个环节合理安排专职人员推进各项工作有序开展，保证项目按计划交付的基本承诺内容，（包括不限于订单、到货、退换、报账）：</w:t>
            </w:r>
          </w:p>
          <w:p w14:paraId="53D35EC0">
            <w:pPr>
              <w:widowControl/>
              <w:snapToGrid w:val="0"/>
              <w:spacing w:line="288" w:lineRule="auto"/>
              <w:rPr>
                <w:rFonts w:hint="eastAsia"/>
                <w:color w:val="auto"/>
                <w:sz w:val="24"/>
                <w:szCs w:val="24"/>
                <w:lang w:val="en-US"/>
              </w:rPr>
            </w:pPr>
            <w:r>
              <w:rPr>
                <w:rFonts w:hint="eastAsia"/>
                <w:color w:val="auto"/>
                <w:sz w:val="24"/>
                <w:szCs w:val="24"/>
                <w:lang w:val="en-US"/>
              </w:rPr>
              <w:t>①投标供应商须提供整个环节的流程图得 2 分；</w:t>
            </w:r>
          </w:p>
          <w:p w14:paraId="54151B13">
            <w:pPr>
              <w:widowControl/>
              <w:snapToGrid w:val="0"/>
              <w:spacing w:line="288" w:lineRule="auto"/>
              <w:rPr>
                <w:rFonts w:hint="eastAsia"/>
                <w:color w:val="auto"/>
                <w:sz w:val="24"/>
                <w:szCs w:val="24"/>
                <w:lang w:val="en-US"/>
              </w:rPr>
            </w:pPr>
            <w:r>
              <w:rPr>
                <w:rFonts w:hint="eastAsia"/>
                <w:color w:val="auto"/>
                <w:sz w:val="24"/>
                <w:szCs w:val="24"/>
                <w:lang w:val="en-US"/>
              </w:rPr>
              <w:t>②投标供应商对整个流程时间节点设置合理，提供时间节点计划得 2 分；</w:t>
            </w:r>
          </w:p>
          <w:p w14:paraId="7F5F045B">
            <w:pPr>
              <w:widowControl/>
              <w:snapToGrid w:val="0"/>
              <w:spacing w:line="288" w:lineRule="auto"/>
              <w:rPr>
                <w:rFonts w:hint="eastAsia"/>
                <w:color w:val="auto"/>
                <w:sz w:val="24"/>
                <w:szCs w:val="24"/>
                <w:lang w:val="en-US"/>
              </w:rPr>
            </w:pPr>
            <w:r>
              <w:rPr>
                <w:rFonts w:hint="eastAsia"/>
                <w:color w:val="auto"/>
                <w:sz w:val="24"/>
                <w:szCs w:val="24"/>
                <w:lang w:val="en-US"/>
              </w:rPr>
              <w:t>③每个环节服务人员的操作流程，提供操作流程得 2 分。</w:t>
            </w:r>
          </w:p>
          <w:p w14:paraId="4B203AA2">
            <w:pPr>
              <w:widowControl/>
              <w:snapToGrid w:val="0"/>
              <w:spacing w:line="288" w:lineRule="auto"/>
              <w:rPr>
                <w:rFonts w:hint="eastAsia"/>
                <w:color w:val="auto"/>
                <w:sz w:val="24"/>
                <w:szCs w:val="24"/>
                <w:lang w:val="en-US"/>
              </w:rPr>
            </w:pPr>
            <w:r>
              <w:rPr>
                <w:rFonts w:hint="eastAsia"/>
                <w:color w:val="auto"/>
                <w:sz w:val="24"/>
                <w:szCs w:val="24"/>
                <w:lang w:val="en-US"/>
              </w:rPr>
              <w:t>④针对各环节服务质量制定明确的考核标准及监督机制，提供具体的考核细则和监督办法得 2 分。</w:t>
            </w:r>
          </w:p>
          <w:p w14:paraId="6F9B0625">
            <w:pPr>
              <w:widowControl/>
              <w:snapToGrid w:val="0"/>
              <w:spacing w:line="288" w:lineRule="auto"/>
              <w:rPr>
                <w:rFonts w:hint="eastAsia"/>
                <w:color w:val="auto"/>
                <w:sz w:val="24"/>
                <w:szCs w:val="24"/>
                <w:lang w:val="en-US"/>
              </w:rPr>
            </w:pPr>
            <w:r>
              <w:rPr>
                <w:rFonts w:hint="eastAsia"/>
                <w:color w:val="auto"/>
                <w:sz w:val="24"/>
                <w:szCs w:val="24"/>
                <w:lang w:val="en-US"/>
              </w:rPr>
              <w:t>注：以上内容都包含且满足采购需求的得8 分；每缺少一项内容的扣 2 分；每有一处缺陷的扣 1 分；扣完为止，未提供不得分。（缺陷是指：①该项内容描述前后不一致，项目信息与本项目实际信息不一致；②该项内容描述不符合国家相关法律法规、政策文件、规范标准要求；③该项内容阐述的方式方法、内容描述，明显不符合本项目实际采购需求；）</w:t>
            </w:r>
          </w:p>
        </w:tc>
      </w:tr>
      <w:tr w14:paraId="413F09BF">
        <w:tblPrEx>
          <w:tblCellMar>
            <w:top w:w="0" w:type="dxa"/>
            <w:left w:w="108" w:type="dxa"/>
            <w:bottom w:w="0" w:type="dxa"/>
            <w:right w:w="108" w:type="dxa"/>
          </w:tblCellMar>
        </w:tblPrEx>
        <w:trPr>
          <w:trHeight w:val="0" w:hRule="atLeast"/>
          <w:tblHeader/>
          <w:jc w:val="center"/>
        </w:trPr>
        <w:tc>
          <w:tcPr>
            <w:tcW w:w="615" w:type="dxa"/>
            <w:vMerge w:val="continue"/>
            <w:tcBorders>
              <w:left w:val="single" w:color="auto" w:sz="4" w:space="0"/>
              <w:right w:val="single" w:color="auto" w:sz="4" w:space="0"/>
            </w:tcBorders>
            <w:vAlign w:val="center"/>
          </w:tcPr>
          <w:p w14:paraId="216DCF3E">
            <w:pPr>
              <w:snapToGrid w:val="0"/>
              <w:jc w:val="center"/>
              <w:rPr>
                <w:rFonts w:hint="eastAsia"/>
                <w:color w:val="auto"/>
                <w:sz w:val="24"/>
              </w:rPr>
            </w:pPr>
          </w:p>
        </w:tc>
        <w:tc>
          <w:tcPr>
            <w:tcW w:w="878" w:type="dxa"/>
            <w:tcBorders>
              <w:top w:val="single" w:color="auto" w:sz="6" w:space="0"/>
              <w:left w:val="single" w:color="auto" w:sz="4" w:space="0"/>
              <w:bottom w:val="single" w:color="auto" w:sz="6" w:space="0"/>
              <w:right w:val="single" w:color="auto" w:sz="6" w:space="0"/>
            </w:tcBorders>
            <w:vAlign w:val="center"/>
          </w:tcPr>
          <w:p w14:paraId="6BCA67B0">
            <w:pPr>
              <w:snapToGrid w:val="0"/>
              <w:jc w:val="center"/>
              <w:rPr>
                <w:rFonts w:hint="eastAsia"/>
                <w:color w:val="auto"/>
                <w:sz w:val="24"/>
              </w:rPr>
            </w:pPr>
            <w:r>
              <w:rPr>
                <w:rFonts w:hint="eastAsia"/>
                <w:color w:val="auto"/>
                <w:sz w:val="24"/>
              </w:rPr>
              <w:t>售后服务保障情况</w:t>
            </w:r>
          </w:p>
        </w:tc>
        <w:tc>
          <w:tcPr>
            <w:tcW w:w="456" w:type="dxa"/>
            <w:tcBorders>
              <w:top w:val="single" w:color="auto" w:sz="6" w:space="0"/>
              <w:left w:val="nil"/>
              <w:bottom w:val="single" w:color="auto" w:sz="6" w:space="0"/>
              <w:right w:val="single" w:color="auto" w:sz="6" w:space="0"/>
            </w:tcBorders>
            <w:vAlign w:val="center"/>
          </w:tcPr>
          <w:p w14:paraId="444BF934">
            <w:pPr>
              <w:snapToGrid w:val="0"/>
              <w:jc w:val="center"/>
              <w:rPr>
                <w:rFonts w:hint="eastAsia"/>
                <w:color w:val="auto"/>
                <w:sz w:val="24"/>
                <w:lang w:val="en-US"/>
              </w:rPr>
            </w:pPr>
            <w:r>
              <w:rPr>
                <w:rFonts w:hint="eastAsia"/>
                <w:color w:val="auto"/>
                <w:sz w:val="24"/>
              </w:rPr>
              <w:t>5</w:t>
            </w:r>
            <w:r>
              <w:rPr>
                <w:rFonts w:hint="eastAsia"/>
                <w:color w:val="auto"/>
                <w:sz w:val="24"/>
                <w:lang w:val="en-US"/>
              </w:rPr>
              <w:t xml:space="preserve"> </w:t>
            </w:r>
          </w:p>
        </w:tc>
        <w:tc>
          <w:tcPr>
            <w:tcW w:w="7870" w:type="dxa"/>
            <w:tcBorders>
              <w:top w:val="single" w:color="auto" w:sz="6" w:space="0"/>
              <w:left w:val="nil"/>
              <w:bottom w:val="single" w:color="auto" w:sz="6" w:space="0"/>
              <w:right w:val="single" w:color="auto" w:sz="6" w:space="0"/>
            </w:tcBorders>
            <w:vAlign w:val="center"/>
          </w:tcPr>
          <w:p w14:paraId="14B6BAC2">
            <w:pPr>
              <w:widowControl/>
              <w:snapToGrid w:val="0"/>
              <w:spacing w:line="288" w:lineRule="auto"/>
              <w:rPr>
                <w:rFonts w:hint="eastAsia"/>
                <w:color w:val="auto"/>
                <w:sz w:val="24"/>
                <w:szCs w:val="24"/>
                <w:lang w:val="en-US"/>
              </w:rPr>
            </w:pPr>
            <w:r>
              <w:rPr>
                <w:rFonts w:hint="eastAsia"/>
                <w:color w:val="auto"/>
                <w:sz w:val="24"/>
                <w:szCs w:val="24"/>
                <w:lang w:val="en-US"/>
              </w:rPr>
              <w:t>根据各供应商提供的售后服务承诺和售后服务方案情况，包括供货支持能力，售后方案的针对性、可行性、完整性，质量保证期内、外售后服务内容、标准及承诺等，由评委根据方案描述评审。</w:t>
            </w:r>
          </w:p>
          <w:p w14:paraId="0FD3AD51">
            <w:pPr>
              <w:widowControl/>
              <w:snapToGrid w:val="0"/>
              <w:spacing w:line="288" w:lineRule="auto"/>
              <w:rPr>
                <w:rFonts w:hint="eastAsia"/>
                <w:color w:val="auto"/>
                <w:sz w:val="24"/>
                <w:szCs w:val="24"/>
                <w:lang w:val="en-US"/>
              </w:rPr>
            </w:pPr>
            <w:r>
              <w:rPr>
                <w:rFonts w:hint="eastAsia"/>
                <w:color w:val="auto"/>
                <w:sz w:val="24"/>
                <w:szCs w:val="24"/>
                <w:lang w:val="en-US"/>
              </w:rPr>
              <w:t>提供配送售后服务方案包括但不限于：</w:t>
            </w:r>
          </w:p>
          <w:p w14:paraId="1956B9EB">
            <w:pPr>
              <w:widowControl/>
              <w:snapToGrid w:val="0"/>
              <w:spacing w:line="288" w:lineRule="auto"/>
              <w:rPr>
                <w:rFonts w:hint="eastAsia"/>
                <w:color w:val="auto"/>
                <w:sz w:val="24"/>
                <w:szCs w:val="24"/>
                <w:lang w:val="en-US"/>
              </w:rPr>
            </w:pPr>
            <w:r>
              <w:rPr>
                <w:rFonts w:hint="eastAsia"/>
                <w:color w:val="auto"/>
                <w:sz w:val="24"/>
                <w:szCs w:val="24"/>
                <w:lang w:val="en-US"/>
              </w:rPr>
              <w:t>①售后服务管理制度及措施 1分；</w:t>
            </w:r>
          </w:p>
          <w:p w14:paraId="30601333">
            <w:pPr>
              <w:widowControl/>
              <w:snapToGrid w:val="0"/>
              <w:spacing w:line="288" w:lineRule="auto"/>
              <w:rPr>
                <w:rFonts w:hint="eastAsia"/>
                <w:color w:val="auto"/>
                <w:sz w:val="24"/>
                <w:szCs w:val="24"/>
                <w:lang w:val="en-US"/>
              </w:rPr>
            </w:pPr>
            <w:r>
              <w:rPr>
                <w:rFonts w:hint="eastAsia"/>
                <w:color w:val="auto"/>
                <w:sz w:val="24"/>
                <w:szCs w:val="24"/>
                <w:lang w:val="en-US"/>
              </w:rPr>
              <w:t>②不合格货物的退换方案等 1分；</w:t>
            </w:r>
          </w:p>
          <w:p w14:paraId="0649A136">
            <w:pPr>
              <w:widowControl/>
              <w:snapToGrid w:val="0"/>
              <w:spacing w:line="288" w:lineRule="auto"/>
              <w:rPr>
                <w:rFonts w:hint="eastAsia"/>
                <w:color w:val="auto"/>
                <w:sz w:val="24"/>
                <w:szCs w:val="24"/>
                <w:lang w:val="en-US"/>
              </w:rPr>
            </w:pPr>
            <w:r>
              <w:rPr>
                <w:rFonts w:hint="eastAsia"/>
                <w:color w:val="auto"/>
                <w:sz w:val="24"/>
                <w:szCs w:val="24"/>
                <w:lang w:val="en-US"/>
              </w:rPr>
              <w:t>③响应时间 1分；</w:t>
            </w:r>
          </w:p>
          <w:p w14:paraId="0D7E53CD">
            <w:pPr>
              <w:widowControl/>
              <w:snapToGrid w:val="0"/>
              <w:spacing w:line="288" w:lineRule="auto"/>
              <w:rPr>
                <w:rFonts w:hint="eastAsia"/>
                <w:color w:val="auto"/>
                <w:sz w:val="24"/>
                <w:szCs w:val="24"/>
                <w:lang w:val="en-US"/>
              </w:rPr>
            </w:pPr>
            <w:r>
              <w:rPr>
                <w:rFonts w:hint="eastAsia"/>
                <w:color w:val="auto"/>
                <w:sz w:val="24"/>
                <w:szCs w:val="24"/>
                <w:lang w:val="en-US"/>
              </w:rPr>
              <w:t>④现场服务支持能力措施 1分；</w:t>
            </w:r>
          </w:p>
          <w:p w14:paraId="52D72C32">
            <w:pPr>
              <w:widowControl/>
              <w:snapToGrid w:val="0"/>
              <w:spacing w:line="288" w:lineRule="auto"/>
              <w:rPr>
                <w:rFonts w:hint="eastAsia"/>
                <w:color w:val="auto"/>
                <w:sz w:val="24"/>
                <w:szCs w:val="24"/>
                <w:lang w:val="en-US"/>
              </w:rPr>
            </w:pPr>
            <w:r>
              <w:rPr>
                <w:rFonts w:hint="eastAsia"/>
                <w:color w:val="auto"/>
                <w:sz w:val="24"/>
                <w:szCs w:val="24"/>
                <w:lang w:val="en-US"/>
              </w:rPr>
              <w:t>⑤客户满意度调查及改进措施 1分。</w:t>
            </w:r>
          </w:p>
          <w:p w14:paraId="68E5E3C4">
            <w:pPr>
              <w:widowControl/>
              <w:snapToGrid w:val="0"/>
              <w:spacing w:line="288" w:lineRule="auto"/>
              <w:rPr>
                <w:color w:val="auto"/>
                <w:sz w:val="24"/>
                <w:szCs w:val="24"/>
                <w:lang w:val="en-US"/>
              </w:rPr>
            </w:pPr>
            <w:r>
              <w:rPr>
                <w:rFonts w:hint="eastAsia"/>
                <w:color w:val="auto"/>
                <w:sz w:val="24"/>
                <w:szCs w:val="24"/>
                <w:lang w:val="en-US"/>
              </w:rPr>
              <w:t>注：以上内容都包含且满足采购需求的得5分；每缺少一项内容的扣</w:t>
            </w:r>
            <w:r>
              <w:rPr>
                <w:rFonts w:hint="eastAsia"/>
                <w:color w:val="auto"/>
                <w:sz w:val="24"/>
                <w:szCs w:val="24"/>
                <w:lang w:val="en-US" w:eastAsia="zh-CN"/>
              </w:rPr>
              <w:t>1</w:t>
            </w:r>
            <w:r>
              <w:rPr>
                <w:rFonts w:hint="eastAsia"/>
                <w:color w:val="auto"/>
                <w:sz w:val="24"/>
                <w:szCs w:val="24"/>
                <w:lang w:val="en-US"/>
              </w:rPr>
              <w:t>分；每有一处缺陷</w:t>
            </w:r>
            <w:r>
              <w:rPr>
                <w:rFonts w:hint="eastAsia"/>
                <w:color w:val="auto"/>
                <w:sz w:val="24"/>
                <w:szCs w:val="24"/>
                <w:lang w:val="en-US" w:eastAsia="zh-CN"/>
              </w:rPr>
              <w:t>或瑕疵</w:t>
            </w:r>
            <w:r>
              <w:rPr>
                <w:rFonts w:hint="eastAsia"/>
                <w:color w:val="auto"/>
                <w:sz w:val="24"/>
                <w:szCs w:val="24"/>
                <w:lang w:val="en-US"/>
              </w:rPr>
              <w:t>的扣</w:t>
            </w:r>
            <w:r>
              <w:rPr>
                <w:rFonts w:hint="eastAsia"/>
                <w:color w:val="auto"/>
                <w:sz w:val="24"/>
                <w:szCs w:val="24"/>
                <w:lang w:val="en-US" w:eastAsia="zh-CN"/>
              </w:rPr>
              <w:t>0.5</w:t>
            </w:r>
            <w:r>
              <w:rPr>
                <w:rFonts w:hint="eastAsia"/>
                <w:color w:val="auto"/>
                <w:sz w:val="24"/>
                <w:szCs w:val="24"/>
                <w:lang w:val="en-US"/>
              </w:rPr>
              <w:t>分</w:t>
            </w:r>
            <w:r>
              <w:rPr>
                <w:rFonts w:hint="eastAsia"/>
                <w:color w:val="auto"/>
                <w:sz w:val="24"/>
                <w:szCs w:val="24"/>
                <w:lang w:val="en-US" w:eastAsia="zh-CN"/>
              </w:rPr>
              <w:t>，</w:t>
            </w:r>
            <w:r>
              <w:rPr>
                <w:rFonts w:hint="eastAsia"/>
                <w:color w:val="auto"/>
                <w:sz w:val="24"/>
                <w:szCs w:val="24"/>
                <w:lang w:val="en-US"/>
              </w:rPr>
              <w:t>扣完为止，未提供不得分。（</w:t>
            </w:r>
            <w:r>
              <w:rPr>
                <w:rFonts w:hint="eastAsia"/>
                <w:color w:val="auto"/>
                <w:sz w:val="24"/>
                <w:szCs w:val="24"/>
              </w:rPr>
              <w:t>内容缺陷或瑕疵</w:t>
            </w:r>
            <w:r>
              <w:rPr>
                <w:rFonts w:hint="eastAsia"/>
                <w:color w:val="auto"/>
                <w:sz w:val="24"/>
                <w:szCs w:val="24"/>
                <w:lang w:val="en-US"/>
              </w:rPr>
              <w:t>是</w:t>
            </w:r>
            <w:r>
              <w:rPr>
                <w:rFonts w:hint="eastAsia"/>
                <w:color w:val="auto"/>
                <w:sz w:val="24"/>
                <w:szCs w:val="24"/>
              </w:rPr>
              <w:t>指</w:t>
            </w:r>
            <w:r>
              <w:rPr>
                <w:rFonts w:hint="eastAsia"/>
                <w:color w:val="auto"/>
                <w:sz w:val="24"/>
                <w:szCs w:val="24"/>
                <w:lang w:val="en-US"/>
              </w:rPr>
              <w:t>①该项内容描述前后不一致，项目信息与本项目实际信息不一致；②该项内容描述不符合国家相关法律法规、政策文件、规范标准要求；③该项内容阐述的方式方法、内容描述，明显不符合本项目实际采购需求；）</w:t>
            </w:r>
          </w:p>
        </w:tc>
      </w:tr>
      <w:tr w14:paraId="3A261A82">
        <w:tblPrEx>
          <w:tblCellMar>
            <w:top w:w="0" w:type="dxa"/>
            <w:left w:w="108" w:type="dxa"/>
            <w:bottom w:w="0" w:type="dxa"/>
            <w:right w:w="108" w:type="dxa"/>
          </w:tblCellMar>
        </w:tblPrEx>
        <w:trPr>
          <w:trHeight w:val="1713" w:hRule="atLeast"/>
          <w:tblHeader/>
          <w:jc w:val="center"/>
        </w:trPr>
        <w:tc>
          <w:tcPr>
            <w:tcW w:w="615" w:type="dxa"/>
            <w:vMerge w:val="continue"/>
            <w:tcBorders>
              <w:left w:val="single" w:color="auto" w:sz="4" w:space="0"/>
              <w:right w:val="single" w:color="auto" w:sz="4" w:space="0"/>
            </w:tcBorders>
            <w:vAlign w:val="center"/>
          </w:tcPr>
          <w:p w14:paraId="5A412771">
            <w:pPr>
              <w:snapToGrid w:val="0"/>
              <w:jc w:val="center"/>
              <w:rPr>
                <w:rFonts w:hint="eastAsia"/>
                <w:color w:val="auto"/>
                <w:sz w:val="24"/>
              </w:rPr>
            </w:pPr>
          </w:p>
        </w:tc>
        <w:tc>
          <w:tcPr>
            <w:tcW w:w="878" w:type="dxa"/>
            <w:tcBorders>
              <w:top w:val="single" w:color="auto" w:sz="6" w:space="0"/>
              <w:left w:val="single" w:color="auto" w:sz="4" w:space="0"/>
              <w:bottom w:val="single" w:color="auto" w:sz="6" w:space="0"/>
              <w:right w:val="single" w:color="auto" w:sz="6" w:space="0"/>
            </w:tcBorders>
            <w:vAlign w:val="center"/>
          </w:tcPr>
          <w:p w14:paraId="062467F7">
            <w:pPr>
              <w:pStyle w:val="17"/>
              <w:snapToGrid w:val="0"/>
              <w:spacing w:line="400" w:lineRule="exact"/>
              <w:jc w:val="center"/>
              <w:rPr>
                <w:rFonts w:hint="eastAsia" w:hAnsi="宋体" w:eastAsia="宋体" w:cs="宋体"/>
                <w:color w:val="auto"/>
                <w:sz w:val="24"/>
                <w:szCs w:val="24"/>
                <w:lang w:val="en-US" w:eastAsia="zh-CN"/>
              </w:rPr>
            </w:pPr>
            <w:r>
              <w:rPr>
                <w:rFonts w:hAnsi="宋体" w:cs="宋体"/>
                <w:color w:val="auto"/>
                <w:sz w:val="24"/>
                <w:szCs w:val="24"/>
                <w:lang w:val="en-US"/>
              </w:rPr>
              <w:t>产品产能保障方案、仓储管理制度</w:t>
            </w:r>
            <w:r>
              <w:rPr>
                <w:rFonts w:hint="eastAsia" w:hAnsi="宋体" w:cs="宋体"/>
                <w:color w:val="auto"/>
                <w:sz w:val="24"/>
                <w:szCs w:val="24"/>
                <w:lang w:val="en-US" w:eastAsia="zh-CN"/>
              </w:rPr>
              <w:t>方案</w:t>
            </w:r>
          </w:p>
        </w:tc>
        <w:tc>
          <w:tcPr>
            <w:tcW w:w="456" w:type="dxa"/>
            <w:tcBorders>
              <w:top w:val="single" w:color="auto" w:sz="6" w:space="0"/>
              <w:left w:val="nil"/>
              <w:bottom w:val="single" w:color="auto" w:sz="6" w:space="0"/>
              <w:right w:val="single" w:color="auto" w:sz="6" w:space="0"/>
            </w:tcBorders>
            <w:vAlign w:val="center"/>
          </w:tcPr>
          <w:p w14:paraId="6FBEF197">
            <w:pPr>
              <w:snapToGrid w:val="0"/>
              <w:jc w:val="center"/>
              <w:rPr>
                <w:rFonts w:hint="default" w:eastAsia="宋体"/>
                <w:color w:val="auto"/>
                <w:sz w:val="24"/>
                <w:lang w:val="en-US" w:eastAsia="zh-CN"/>
              </w:rPr>
            </w:pPr>
            <w:r>
              <w:rPr>
                <w:rFonts w:hint="eastAsia"/>
                <w:color w:val="auto"/>
                <w:sz w:val="24"/>
                <w:lang w:val="en-US" w:eastAsia="zh-CN"/>
              </w:rPr>
              <w:t>5</w:t>
            </w:r>
          </w:p>
        </w:tc>
        <w:tc>
          <w:tcPr>
            <w:tcW w:w="7870" w:type="dxa"/>
            <w:tcBorders>
              <w:top w:val="single" w:color="auto" w:sz="6" w:space="0"/>
              <w:left w:val="nil"/>
              <w:bottom w:val="single" w:color="auto" w:sz="6" w:space="0"/>
              <w:right w:val="single" w:color="auto" w:sz="6" w:space="0"/>
            </w:tcBorders>
            <w:vAlign w:val="center"/>
          </w:tcPr>
          <w:p w14:paraId="5ABACF0B">
            <w:pPr>
              <w:widowControl/>
              <w:snapToGrid w:val="0"/>
              <w:spacing w:line="288" w:lineRule="auto"/>
              <w:rPr>
                <w:rFonts w:hint="eastAsia" w:ascii="Times New Roman"/>
                <w:color w:val="auto"/>
                <w:sz w:val="24"/>
                <w:szCs w:val="24"/>
                <w:lang w:val="en-US"/>
              </w:rPr>
            </w:pPr>
            <w:bookmarkStart w:id="11" w:name="_GoBack"/>
            <w:r>
              <w:rPr>
                <w:rFonts w:hint="eastAsia" w:ascii="Times New Roman"/>
                <w:color w:val="auto"/>
                <w:sz w:val="24"/>
                <w:szCs w:val="24"/>
                <w:lang w:val="en-US"/>
              </w:rPr>
              <w:t>根据各供应商提供的</w:t>
            </w:r>
            <w:r>
              <w:rPr>
                <w:color w:val="auto"/>
                <w:sz w:val="24"/>
                <w:szCs w:val="24"/>
                <w:lang w:val="en-US"/>
              </w:rPr>
              <w:t>产品产能保障方案、仓储管理制度</w:t>
            </w:r>
            <w:r>
              <w:rPr>
                <w:rFonts w:hint="eastAsia"/>
                <w:color w:val="auto"/>
                <w:sz w:val="24"/>
                <w:szCs w:val="24"/>
                <w:lang w:val="en-US" w:eastAsia="zh-CN"/>
              </w:rPr>
              <w:t>方案情况</w:t>
            </w:r>
            <w:r>
              <w:rPr>
                <w:rFonts w:hint="eastAsia" w:ascii="Times New Roman"/>
                <w:color w:val="auto"/>
                <w:sz w:val="24"/>
                <w:szCs w:val="24"/>
                <w:lang w:val="en-US"/>
              </w:rPr>
              <w:t>由评委根据方案描述评审</w:t>
            </w:r>
          </w:p>
          <w:p w14:paraId="4A6034AC">
            <w:pPr>
              <w:widowControl/>
              <w:snapToGrid w:val="0"/>
              <w:spacing w:line="288" w:lineRule="auto"/>
              <w:rPr>
                <w:rFonts w:hint="default" w:ascii="Times New Roman"/>
                <w:color w:val="auto"/>
                <w:sz w:val="24"/>
                <w:szCs w:val="24"/>
                <w:lang w:val="en-US" w:eastAsia="zh-CN"/>
              </w:rPr>
            </w:pPr>
            <w:r>
              <w:rPr>
                <w:rFonts w:hint="eastAsia" w:ascii="Times New Roman"/>
                <w:color w:val="auto"/>
                <w:sz w:val="24"/>
                <w:szCs w:val="24"/>
                <w:lang w:val="en-US"/>
              </w:rPr>
              <w:t>注：以上内容都包含且满足采购需求的得5分；每缺少一项内容的扣</w:t>
            </w:r>
            <w:r>
              <w:rPr>
                <w:rFonts w:hint="eastAsia" w:ascii="Times New Roman" w:eastAsia="宋体"/>
                <w:color w:val="auto"/>
                <w:sz w:val="24"/>
                <w:szCs w:val="24"/>
                <w:lang w:val="en-US" w:eastAsia="zh-CN"/>
              </w:rPr>
              <w:t>1</w:t>
            </w:r>
            <w:r>
              <w:rPr>
                <w:rFonts w:hint="eastAsia" w:ascii="Times New Roman"/>
                <w:color w:val="auto"/>
                <w:sz w:val="24"/>
                <w:szCs w:val="24"/>
                <w:lang w:val="en-US"/>
              </w:rPr>
              <w:t>分；每有一处缺陷</w:t>
            </w:r>
            <w:r>
              <w:rPr>
                <w:rFonts w:hint="eastAsia" w:ascii="Times New Roman" w:eastAsia="宋体"/>
                <w:color w:val="auto"/>
                <w:sz w:val="24"/>
                <w:szCs w:val="24"/>
                <w:lang w:val="en-US" w:eastAsia="zh-CN"/>
              </w:rPr>
              <w:t>或瑕疵</w:t>
            </w:r>
            <w:r>
              <w:rPr>
                <w:rFonts w:hint="eastAsia" w:ascii="Times New Roman"/>
                <w:color w:val="auto"/>
                <w:sz w:val="24"/>
                <w:szCs w:val="24"/>
                <w:lang w:val="en-US"/>
              </w:rPr>
              <w:t>的扣</w:t>
            </w:r>
            <w:r>
              <w:rPr>
                <w:rFonts w:hint="eastAsia" w:ascii="Times New Roman" w:eastAsia="宋体"/>
                <w:color w:val="auto"/>
                <w:sz w:val="24"/>
                <w:szCs w:val="24"/>
                <w:lang w:val="en-US" w:eastAsia="zh-CN"/>
              </w:rPr>
              <w:t>0.5</w:t>
            </w:r>
            <w:r>
              <w:rPr>
                <w:rFonts w:hint="eastAsia" w:ascii="Times New Roman"/>
                <w:color w:val="auto"/>
                <w:sz w:val="24"/>
                <w:szCs w:val="24"/>
                <w:lang w:val="en-US"/>
              </w:rPr>
              <w:t>分</w:t>
            </w:r>
            <w:r>
              <w:rPr>
                <w:rFonts w:hint="eastAsia" w:ascii="Times New Roman" w:eastAsia="宋体"/>
                <w:color w:val="auto"/>
                <w:sz w:val="24"/>
                <w:szCs w:val="24"/>
                <w:lang w:val="en-US" w:eastAsia="zh-CN"/>
              </w:rPr>
              <w:t>，</w:t>
            </w:r>
            <w:r>
              <w:rPr>
                <w:rFonts w:hint="eastAsia" w:ascii="Times New Roman"/>
                <w:color w:val="auto"/>
                <w:sz w:val="24"/>
                <w:szCs w:val="24"/>
                <w:lang w:val="en-US"/>
              </w:rPr>
              <w:t>扣完为止，未提供不得分。（</w:t>
            </w:r>
            <w:r>
              <w:rPr>
                <w:rFonts w:hint="eastAsia"/>
                <w:color w:val="auto"/>
                <w:sz w:val="24"/>
                <w:szCs w:val="24"/>
              </w:rPr>
              <w:t>内容缺陷或瑕疵</w:t>
            </w:r>
            <w:r>
              <w:rPr>
                <w:rFonts w:hint="eastAsia" w:ascii="Times New Roman"/>
                <w:color w:val="auto"/>
                <w:sz w:val="24"/>
                <w:szCs w:val="24"/>
                <w:lang w:val="en-US"/>
              </w:rPr>
              <w:t>是</w:t>
            </w:r>
            <w:r>
              <w:rPr>
                <w:rFonts w:hint="eastAsia"/>
                <w:color w:val="auto"/>
                <w:sz w:val="24"/>
                <w:szCs w:val="24"/>
              </w:rPr>
              <w:t>指</w:t>
            </w:r>
            <w:r>
              <w:rPr>
                <w:rFonts w:hint="eastAsia" w:ascii="Times New Roman"/>
                <w:color w:val="auto"/>
                <w:sz w:val="24"/>
                <w:szCs w:val="24"/>
                <w:lang w:val="en-US"/>
              </w:rPr>
              <w:t>①该项内容描述前后不一致，项目信息与本项目实际信息不一致；②该项内容描述不符合国家相关法律法规、政策文件、规范标准要求；③该项内容阐述的方式方法、内容描述，明显不符合本项目实际采购需求；）</w:t>
            </w:r>
            <w:bookmarkEnd w:id="11"/>
          </w:p>
        </w:tc>
      </w:tr>
    </w:tbl>
    <w:p w14:paraId="03791B15">
      <w:pPr>
        <w:pStyle w:val="14"/>
        <w:spacing w:before="3" w:after="1"/>
        <w:ind w:left="0"/>
        <w:rPr>
          <w:b/>
          <w:color w:val="auto"/>
          <w:sz w:val="8"/>
        </w:rPr>
      </w:pPr>
    </w:p>
    <w:p w14:paraId="57C6EF21">
      <w:pPr>
        <w:rPr>
          <w:color w:val="auto"/>
        </w:rPr>
      </w:pPr>
    </w:p>
    <w:p w14:paraId="09884AD9">
      <w:pPr>
        <w:pStyle w:val="42"/>
        <w:spacing w:line="360" w:lineRule="auto"/>
        <w:ind w:firstLine="522" w:firstLineChars="200"/>
        <w:rPr>
          <w:rFonts w:hint="eastAsia" w:ascii="宋体" w:hAnsi="宋体" w:cs="宋体"/>
          <w:b/>
          <w:bCs w:val="0"/>
          <w:color w:val="auto"/>
          <w:spacing w:val="0"/>
          <w:kern w:val="2"/>
          <w:sz w:val="24"/>
          <w:szCs w:val="24"/>
        </w:rPr>
      </w:pPr>
      <w:r>
        <w:rPr>
          <w:rFonts w:hint="eastAsia" w:ascii="宋体" w:hAnsi="宋体" w:cs="宋体"/>
          <w:b/>
          <w:bCs w:val="0"/>
          <w:color w:val="auto"/>
          <w:sz w:val="24"/>
          <w:szCs w:val="24"/>
        </w:rPr>
        <w:t>备注：</w:t>
      </w:r>
      <w:r>
        <w:rPr>
          <w:rFonts w:hint="eastAsia" w:ascii="宋体" w:hAnsi="宋体" w:cs="宋体"/>
          <w:b/>
          <w:bCs w:val="0"/>
          <w:color w:val="auto"/>
          <w:spacing w:val="0"/>
          <w:kern w:val="2"/>
          <w:sz w:val="24"/>
          <w:szCs w:val="24"/>
        </w:rPr>
        <w:t>详细评审中应考虑下列因素：</w:t>
      </w:r>
    </w:p>
    <w:p w14:paraId="212C2BB5">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1.  评标委员会每位成员独立对每个有效投标人的投标文件进行评价、打分；然后汇总每个投标人的得分，计算得分平均值，以平均值由高到低进行排序，按排序顺序推荐中标候选人。分值计算保留小数点后一位，第二位四舍五入。</w:t>
      </w:r>
    </w:p>
    <w:p w14:paraId="4157F7C0">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2.  对于未预留份额专门面向中小企业的采购项目,根据《政府采购促进中小企业发展</w:t>
      </w:r>
      <w:r>
        <w:rPr>
          <w:rFonts w:hint="eastAsia" w:ascii="宋体" w:hAnsi="宋体" w:cs="宋体"/>
          <w:bCs w:val="0"/>
          <w:color w:val="auto"/>
          <w:spacing w:val="0"/>
          <w:kern w:val="2"/>
          <w:sz w:val="24"/>
          <w:szCs w:val="24"/>
          <w:lang w:val="en-US" w:eastAsia="zh-CN"/>
        </w:rPr>
        <w:t>管理</w:t>
      </w:r>
      <w:r>
        <w:rPr>
          <w:rFonts w:hint="eastAsia" w:ascii="宋体" w:hAnsi="宋体" w:cs="宋体"/>
          <w:bCs w:val="0"/>
          <w:color w:val="auto"/>
          <w:spacing w:val="0"/>
          <w:kern w:val="2"/>
          <w:sz w:val="24"/>
          <w:szCs w:val="24"/>
        </w:rPr>
        <w:t>办法》（财库[20</w:t>
      </w:r>
      <w:r>
        <w:rPr>
          <w:rFonts w:hint="eastAsia" w:ascii="宋体" w:hAnsi="宋体" w:cs="宋体"/>
          <w:bCs w:val="0"/>
          <w:color w:val="auto"/>
          <w:spacing w:val="0"/>
          <w:kern w:val="2"/>
          <w:sz w:val="24"/>
          <w:szCs w:val="24"/>
          <w:lang w:val="en-US" w:eastAsia="zh-CN"/>
        </w:rPr>
        <w:t>20</w:t>
      </w:r>
      <w:r>
        <w:rPr>
          <w:rFonts w:hint="eastAsia" w:ascii="宋体" w:hAnsi="宋体" w:cs="宋体"/>
          <w:bCs w:val="0"/>
          <w:color w:val="auto"/>
          <w:spacing w:val="0"/>
          <w:kern w:val="2"/>
          <w:sz w:val="24"/>
          <w:szCs w:val="24"/>
        </w:rPr>
        <w:t>]</w:t>
      </w:r>
      <w:r>
        <w:rPr>
          <w:rFonts w:hint="eastAsia" w:ascii="宋体" w:hAnsi="宋体" w:cs="宋体"/>
          <w:bCs w:val="0"/>
          <w:color w:val="auto"/>
          <w:spacing w:val="0"/>
          <w:kern w:val="2"/>
          <w:sz w:val="24"/>
          <w:szCs w:val="24"/>
          <w:lang w:val="en-US" w:eastAsia="zh-CN"/>
        </w:rPr>
        <w:t>46</w:t>
      </w:r>
      <w:r>
        <w:rPr>
          <w:rFonts w:hint="eastAsia" w:ascii="宋体" w:hAnsi="宋体" w:cs="宋体"/>
          <w:bCs w:val="0"/>
          <w:color w:val="auto"/>
          <w:spacing w:val="0"/>
          <w:kern w:val="2"/>
          <w:sz w:val="24"/>
          <w:szCs w:val="24"/>
        </w:rPr>
        <w:t>号）、《财政部 司法部关于政府采购支持监狱企业发展有关问题的通知》（财库〔2014〕68号）和《三部门联合发布关于促进残疾人就业政府采购政策的通知》（财库〔2017〕141号）的规定，对满足价格扣除条件且在投标文件中提交了《投标人企业类型声明函》、《残疾人福利性单位声明函》或省级以上监狱管理局、戒毒管理局（含新疆生产建设兵团）出具的属于监狱企业的证明文件的投标人，其投标报价扣除</w:t>
      </w:r>
      <w:r>
        <w:rPr>
          <w:rFonts w:hint="eastAsia" w:ascii="宋体" w:hAnsi="宋体" w:cs="宋体"/>
          <w:bCs w:val="0"/>
          <w:color w:val="auto"/>
          <w:spacing w:val="0"/>
          <w:kern w:val="2"/>
          <w:sz w:val="24"/>
          <w:szCs w:val="24"/>
          <w:u w:val="single"/>
        </w:rPr>
        <w:t xml:space="preserve"> 10 % </w:t>
      </w:r>
      <w:r>
        <w:rPr>
          <w:rFonts w:hint="eastAsia" w:ascii="宋体" w:hAnsi="宋体" w:cs="宋体"/>
          <w:bCs w:val="0"/>
          <w:color w:val="auto"/>
          <w:spacing w:val="0"/>
          <w:kern w:val="2"/>
          <w:sz w:val="24"/>
          <w:szCs w:val="24"/>
        </w:rPr>
        <w:t>后参与评审。对于同时属于小微企业、监狱企业或残疾人福利性单位的，不重复进行投标报价扣除。</w:t>
      </w:r>
    </w:p>
    <w:p w14:paraId="03BB3CE4">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3.  对于未预留份额专门面向中小企业的采购项目,联合协议中约定，小型、微型企业和监狱企业的协议合同金额占到联合体协议合同总金额30%以上的，可给予联合体</w:t>
      </w:r>
      <w:r>
        <w:rPr>
          <w:rFonts w:hint="eastAsia" w:ascii="宋体" w:hAnsi="宋体" w:cs="宋体"/>
          <w:bCs w:val="0"/>
          <w:color w:val="auto"/>
          <w:spacing w:val="0"/>
          <w:kern w:val="2"/>
          <w:sz w:val="24"/>
          <w:szCs w:val="24"/>
          <w:u w:val="single"/>
        </w:rPr>
        <w:t xml:space="preserve"> 4 %</w:t>
      </w:r>
      <w:r>
        <w:rPr>
          <w:rFonts w:hint="eastAsia" w:ascii="宋体" w:hAnsi="宋体" w:cs="宋体"/>
          <w:bCs w:val="0"/>
          <w:color w:val="auto"/>
          <w:spacing w:val="0"/>
          <w:kern w:val="2"/>
          <w:sz w:val="24"/>
          <w:szCs w:val="24"/>
        </w:rPr>
        <w:t xml:space="preserve"> 的价格扣除。联合体各方均为小型、微型企业和监狱企业的，联合体视同为小型、微型企业和监狱企业。（本项目不使用）</w:t>
      </w:r>
    </w:p>
    <w:p w14:paraId="65E12421">
      <w:pPr>
        <w:pStyle w:val="42"/>
        <w:spacing w:line="360" w:lineRule="auto"/>
        <w:ind w:firstLine="480" w:firstLineChars="200"/>
        <w:rPr>
          <w:rFonts w:hint="eastAsia" w:ascii="宋体" w:hAnsi="宋体" w:cs="宋体"/>
          <w:bCs w:val="0"/>
          <w:color w:val="auto"/>
          <w:spacing w:val="0"/>
          <w:kern w:val="2"/>
          <w:sz w:val="24"/>
          <w:szCs w:val="24"/>
          <w:u w:val="single"/>
        </w:rPr>
      </w:pPr>
      <w:r>
        <w:rPr>
          <w:rFonts w:hint="eastAsia" w:ascii="宋体" w:hAnsi="宋体" w:cs="宋体"/>
          <w:bCs w:val="0"/>
          <w:color w:val="auto"/>
          <w:spacing w:val="0"/>
          <w:kern w:val="2"/>
          <w:sz w:val="24"/>
          <w:szCs w:val="24"/>
        </w:rPr>
        <w:t>4.  投标人所投产品如被列入财政部与国家主管部门颁发的节能产品目录或环境标志产品目录或无线局域网产品目录，应提供相关证明，在评标时予以优先采购，具体优惠措施为：</w:t>
      </w:r>
      <w:r>
        <w:rPr>
          <w:rFonts w:hint="eastAsia" w:ascii="宋体" w:hAnsi="宋体" w:cs="宋体"/>
          <w:bCs w:val="0"/>
          <w:color w:val="auto"/>
          <w:spacing w:val="0"/>
          <w:kern w:val="2"/>
          <w:sz w:val="24"/>
          <w:szCs w:val="24"/>
          <w:u w:val="single"/>
        </w:rPr>
        <w:t>采购人采购产品属于节能产品、环境标志产品品目清单范围内，且投标人所投产品具有节能产品、环境标志产品认证证书，在评标时予以优先采购。</w:t>
      </w:r>
    </w:p>
    <w:p w14:paraId="0E571A43">
      <w:pPr>
        <w:pStyle w:val="42"/>
        <w:spacing w:line="360" w:lineRule="auto"/>
        <w:ind w:firstLine="520" w:firstLineChars="200"/>
        <w:rPr>
          <w:rFonts w:hint="eastAsia" w:ascii="宋体" w:hAnsi="宋体" w:cs="宋体"/>
          <w:bCs w:val="0"/>
          <w:color w:val="auto"/>
          <w:spacing w:val="0"/>
          <w:kern w:val="2"/>
          <w:sz w:val="24"/>
          <w:szCs w:val="24"/>
        </w:rPr>
      </w:pPr>
      <w:r>
        <w:rPr>
          <w:rFonts w:hint="eastAsia" w:ascii="宋体" w:hAnsi="宋体" w:cs="宋体"/>
          <w:bCs w:val="0"/>
          <w:color w:val="auto"/>
          <w:sz w:val="24"/>
          <w:szCs w:val="24"/>
        </w:rPr>
        <w:t>投标人所投产品列入无线局域网产品清单，应提供相关证明，在评标时予以优先采购，具体优惠措施为：</w:t>
      </w:r>
      <w:r>
        <w:rPr>
          <w:rFonts w:hint="eastAsia" w:ascii="宋体" w:hAnsi="宋体" w:cs="宋体"/>
          <w:bCs w:val="0"/>
          <w:color w:val="auto"/>
          <w:sz w:val="24"/>
          <w:szCs w:val="24"/>
          <w:u w:val="single"/>
        </w:rPr>
        <w:t>在技术部分打分项中加0.5分 。</w:t>
      </w:r>
    </w:p>
    <w:p w14:paraId="7402790A">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如采购人所采购产品为政府强制采购的节能产品，投标人所投产品的品牌及型号必须为清单中有效期内产品并提供证明文件，否则其投标将作为</w:t>
      </w:r>
      <w:r>
        <w:rPr>
          <w:rFonts w:hint="eastAsia" w:ascii="宋体" w:hAnsi="宋体" w:cs="宋体"/>
          <w:b/>
          <w:color w:val="auto"/>
          <w:spacing w:val="0"/>
          <w:kern w:val="2"/>
          <w:sz w:val="24"/>
          <w:szCs w:val="24"/>
        </w:rPr>
        <w:t>无效投标</w:t>
      </w:r>
      <w:r>
        <w:rPr>
          <w:rFonts w:hint="eastAsia" w:ascii="宋体" w:hAnsi="宋体" w:cs="宋体"/>
          <w:bCs w:val="0"/>
          <w:color w:val="auto"/>
          <w:spacing w:val="0"/>
          <w:kern w:val="2"/>
          <w:sz w:val="24"/>
          <w:szCs w:val="24"/>
        </w:rPr>
        <w:t>被拒绝。</w:t>
      </w:r>
    </w:p>
    <w:p w14:paraId="0E14CED8">
      <w:pPr>
        <w:pStyle w:val="42"/>
        <w:adjustRightInd w:val="0"/>
        <w:snapToGrid w:val="0"/>
        <w:spacing w:line="360" w:lineRule="auto"/>
        <w:ind w:firstLine="480" w:firstLineChars="200"/>
        <w:jc w:val="both"/>
        <w:rPr>
          <w:rFonts w:hint="eastAsia" w:ascii="宋体" w:hAnsi="宋体" w:cs="宋体"/>
          <w:bCs w:val="0"/>
          <w:color w:val="auto"/>
          <w:sz w:val="24"/>
          <w:szCs w:val="24"/>
        </w:rPr>
      </w:pPr>
      <w:r>
        <w:rPr>
          <w:rFonts w:hint="eastAsia" w:ascii="宋体" w:hAnsi="宋体" w:cs="宋体"/>
          <w:bCs w:val="0"/>
          <w:color w:val="auto"/>
          <w:spacing w:val="0"/>
          <w:kern w:val="2"/>
          <w:sz w:val="24"/>
          <w:szCs w:val="24"/>
        </w:rPr>
        <w:t xml:space="preserve">5. </w:t>
      </w:r>
      <w:r>
        <w:rPr>
          <w:rFonts w:hint="eastAsia" w:ascii="宋体" w:hAnsi="宋体" w:cs="宋体"/>
          <w:bCs w:val="0"/>
          <w:color w:val="auto"/>
          <w:sz w:val="24"/>
          <w:szCs w:val="24"/>
        </w:rPr>
        <w:t>根据《关于运用政府采购政策支持脱贫攻坚的通知》（财库〔2019〕27号）的规定，采购人采购农副产品的，对产地在国家级贫困地区的农副产品的优先采购措施：</w:t>
      </w:r>
      <w:r>
        <w:rPr>
          <w:rFonts w:hint="eastAsia" w:ascii="宋体" w:hAnsi="宋体" w:cs="宋体"/>
          <w:bCs w:val="0"/>
          <w:color w:val="auto"/>
          <w:sz w:val="24"/>
          <w:szCs w:val="24"/>
          <w:u w:val="single"/>
        </w:rPr>
        <w:t xml:space="preserve">  /   </w:t>
      </w:r>
      <w:r>
        <w:rPr>
          <w:rFonts w:hint="eastAsia" w:ascii="宋体" w:hAnsi="宋体" w:cs="宋体"/>
          <w:bCs w:val="0"/>
          <w:color w:val="auto"/>
          <w:sz w:val="24"/>
          <w:szCs w:val="24"/>
        </w:rPr>
        <w:t xml:space="preserve">。 </w:t>
      </w:r>
    </w:p>
    <w:p w14:paraId="0D296DDC">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6.  同品牌处理办法：</w:t>
      </w:r>
    </w:p>
    <w:p w14:paraId="0AB84562">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如采用最低评标办法，则：</w:t>
      </w:r>
      <w:r>
        <w:rPr>
          <w:rFonts w:hint="eastAsia" w:ascii="宋体" w:hAnsi="宋体" w:cs="宋体"/>
          <w:bCs w:val="0"/>
          <w:color w:val="auto"/>
          <w:spacing w:val="0"/>
          <w:kern w:val="2"/>
          <w:sz w:val="24"/>
          <w:szCs w:val="24"/>
          <w:u w:val="single"/>
        </w:rPr>
        <w:t>提供相同品牌产品的不同投标人以其中通过资格审查、符合性审查且报价最低的参加评标；报价相同的，由评标委员会采取随机抽取方式确定，其他同品牌投标人不作为中标候选人。</w:t>
      </w:r>
    </w:p>
    <w:p w14:paraId="69F43D3F">
      <w:pPr>
        <w:pStyle w:val="42"/>
        <w:spacing w:line="360" w:lineRule="auto"/>
        <w:ind w:firstLine="480" w:firstLineChars="200"/>
        <w:rPr>
          <w:rFonts w:hint="eastAsia" w:ascii="宋体" w:hAnsi="宋体" w:cs="宋体"/>
          <w:bCs w:val="0"/>
          <w:color w:val="auto"/>
          <w:spacing w:val="0"/>
          <w:kern w:val="2"/>
          <w:sz w:val="24"/>
          <w:szCs w:val="24"/>
          <w:u w:val="single"/>
        </w:rPr>
      </w:pPr>
      <w:r>
        <w:rPr>
          <w:rFonts w:hint="eastAsia" w:ascii="宋体" w:hAnsi="宋体" w:cs="宋体"/>
          <w:bCs w:val="0"/>
          <w:color w:val="auto"/>
          <w:spacing w:val="0"/>
          <w:kern w:val="2"/>
          <w:sz w:val="24"/>
          <w:szCs w:val="24"/>
        </w:rPr>
        <w:t>如采用综合评标法，则：</w:t>
      </w:r>
      <w:r>
        <w:rPr>
          <w:rFonts w:hint="eastAsia" w:ascii="宋体" w:hAnsi="宋体" w:cs="宋体"/>
          <w:bCs w:val="0"/>
          <w:color w:val="auto"/>
          <w:spacing w:val="0"/>
          <w:kern w:val="2"/>
          <w:sz w:val="24"/>
          <w:szCs w:val="24"/>
          <w:u w:val="single"/>
        </w:rPr>
        <w:t>提供相同品牌产品且通过资格审查、符合性审查的不同投标人，按一家投标人计算，评审后得分最高的同品牌投标人获得中标人推荐资格；评审得分相同的，按投标报价最低的获得中标人推荐资格；评审得分和投标报价均相同的，按技术评审得分最高的获得中标人推荐资格，评审得分、投标报价和技术评审得分三项均相同的由评标委员会采取随机抽取方式确定，其他同品牌投标人不作为中标候选人。</w:t>
      </w:r>
    </w:p>
    <w:p w14:paraId="72B76DBD">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 xml:space="preserve">7.  中标候选人并列式时的处理方式：   </w:t>
      </w:r>
    </w:p>
    <w:p w14:paraId="77A531AE">
      <w:pPr>
        <w:pStyle w:val="42"/>
        <w:spacing w:line="360" w:lineRule="auto"/>
        <w:ind w:firstLine="480" w:firstLineChars="200"/>
        <w:rPr>
          <w:rFonts w:hint="eastAsia" w:ascii="宋体" w:hAnsi="宋体" w:cs="宋体"/>
          <w:bCs w:val="0"/>
          <w:color w:val="auto"/>
          <w:spacing w:val="0"/>
          <w:kern w:val="2"/>
          <w:sz w:val="24"/>
          <w:szCs w:val="24"/>
        </w:rPr>
      </w:pPr>
      <w:r>
        <w:rPr>
          <w:rFonts w:hint="eastAsia" w:ascii="宋体" w:hAnsi="宋体" w:cs="宋体"/>
          <w:bCs w:val="0"/>
          <w:color w:val="auto"/>
          <w:spacing w:val="0"/>
          <w:kern w:val="2"/>
          <w:sz w:val="24"/>
          <w:szCs w:val="24"/>
        </w:rPr>
        <w:t>如采用最低评标办法，则：由评标委员会随机抽取的方式确定；</w:t>
      </w:r>
    </w:p>
    <w:p w14:paraId="70B6C0E2">
      <w:pPr>
        <w:pStyle w:val="14"/>
        <w:spacing w:line="360" w:lineRule="auto"/>
        <w:ind w:left="0" w:firstLine="480" w:firstLineChars="200"/>
        <w:rPr>
          <w:rFonts w:hint="eastAsia" w:ascii="宋体" w:hAnsi="宋体" w:cs="宋体"/>
          <w:color w:val="auto"/>
          <w:sz w:val="22"/>
          <w:szCs w:val="22"/>
          <w:lang w:val="en-US"/>
        </w:rPr>
      </w:pPr>
      <w:r>
        <w:rPr>
          <w:rFonts w:hint="eastAsia" w:ascii="宋体" w:hAnsi="宋体" w:cs="宋体"/>
          <w:color w:val="auto"/>
          <w:kern w:val="2"/>
        </w:rPr>
        <w:t>如采用综合评标法，则：综合评审得分相同的,投标报价最低优先，如报价相同则技术部分得分最高优先，投标报价相同且技术部分得分也相同的，由评标委员会现场采取随机抽取方式确定。</w:t>
      </w:r>
    </w:p>
    <w:p w14:paraId="500A92CE">
      <w:pPr>
        <w:pStyle w:val="14"/>
        <w:ind w:left="0"/>
        <w:rPr>
          <w:rFonts w:hint="eastAsia"/>
          <w:color w:val="auto"/>
          <w:lang w:val="en-US"/>
        </w:rPr>
      </w:pPr>
    </w:p>
    <w:p w14:paraId="06A62E18">
      <w:pPr>
        <w:spacing w:before="55"/>
        <w:jc w:val="center"/>
        <w:rPr>
          <w:rFonts w:ascii="Times New Roman" w:hAnsi="Times New Roman" w:cs="Times New Roman"/>
          <w:b/>
          <w:color w:val="auto"/>
          <w:sz w:val="32"/>
        </w:rPr>
      </w:pPr>
      <w:r>
        <w:rPr>
          <w:rFonts w:ascii="Times New Roman" w:hAnsi="Times New Roman" w:cs="Times New Roman"/>
          <w:b/>
          <w:color w:val="auto"/>
          <w:sz w:val="32"/>
          <w:lang w:val="en-US"/>
        </w:rPr>
        <w:t xml:space="preserve">  </w:t>
      </w:r>
    </w:p>
    <w:p w14:paraId="06037703">
      <w:pPr>
        <w:pStyle w:val="43"/>
        <w:tabs>
          <w:tab w:val="left" w:pos="1660"/>
        </w:tabs>
        <w:spacing w:before="0"/>
        <w:ind w:left="0" w:firstLine="0"/>
        <w:rPr>
          <w:b/>
          <w:color w:val="auto"/>
          <w:sz w:val="24"/>
        </w:rPr>
      </w:pPr>
      <w:r>
        <w:rPr>
          <w:b/>
          <w:color w:val="auto"/>
          <w:sz w:val="24"/>
          <w:lang w:val="en-US"/>
        </w:rPr>
        <w:t xml:space="preserve">25. </w:t>
      </w:r>
      <w:r>
        <w:rPr>
          <w:b/>
          <w:color w:val="auto"/>
          <w:sz w:val="24"/>
        </w:rPr>
        <w:t>推荐拟中标候选人</w:t>
      </w:r>
    </w:p>
    <w:p w14:paraId="275E32A3">
      <w:pPr>
        <w:pStyle w:val="43"/>
        <w:tabs>
          <w:tab w:val="left" w:pos="1720"/>
        </w:tabs>
        <w:spacing w:before="161" w:line="364" w:lineRule="auto"/>
        <w:ind w:left="0" w:firstLine="499" w:firstLineChars="208"/>
        <w:rPr>
          <w:color w:val="auto"/>
          <w:sz w:val="24"/>
        </w:rPr>
      </w:pPr>
      <w:r>
        <w:rPr>
          <w:color w:val="auto"/>
          <w:sz w:val="24"/>
          <w:lang w:val="en-US"/>
        </w:rPr>
        <w:t xml:space="preserve">25.1 </w:t>
      </w:r>
      <w:r>
        <w:rPr>
          <w:color w:val="auto"/>
          <w:sz w:val="24"/>
        </w:rPr>
        <w:t>由评标委员会集体按照经署名确认的汇总得分排序顺序，推荐拟中标候选人。</w:t>
      </w:r>
    </w:p>
    <w:p w14:paraId="17BFDA42">
      <w:pPr>
        <w:pStyle w:val="43"/>
        <w:tabs>
          <w:tab w:val="left" w:pos="1720"/>
        </w:tabs>
        <w:spacing w:before="161" w:line="364" w:lineRule="auto"/>
        <w:ind w:left="0" w:firstLine="499" w:firstLineChars="208"/>
        <w:rPr>
          <w:color w:val="auto"/>
          <w:sz w:val="24"/>
        </w:rPr>
      </w:pPr>
      <w:r>
        <w:rPr>
          <w:color w:val="auto"/>
          <w:sz w:val="24"/>
        </w:rPr>
        <w:t>25.2 推荐拟中标候选人数量应当根据采购需要确定，应当限定在一至三人，并标明排列顺序。排序第一位的为推荐的第一拟成交供应商。</w:t>
      </w:r>
    </w:p>
    <w:p w14:paraId="521FA272">
      <w:pPr>
        <w:pStyle w:val="43"/>
        <w:tabs>
          <w:tab w:val="left" w:pos="1778"/>
        </w:tabs>
        <w:spacing w:before="160" w:line="364" w:lineRule="auto"/>
        <w:ind w:left="0" w:firstLine="499" w:firstLineChars="208"/>
        <w:jc w:val="both"/>
        <w:rPr>
          <w:color w:val="auto"/>
          <w:sz w:val="24"/>
        </w:rPr>
      </w:pPr>
      <w:r>
        <w:rPr>
          <w:color w:val="auto"/>
          <w:sz w:val="24"/>
        </w:rPr>
        <w:t>25.3 投标人最低投标报价不是唯一中标条件。对资格资质审查和符合性审查合格的投标报价文件完整无缺、最大限度的满足</w:t>
      </w:r>
      <w:r>
        <w:rPr>
          <w:rFonts w:hint="eastAsia"/>
          <w:color w:val="auto"/>
          <w:sz w:val="24"/>
        </w:rPr>
        <w:t>采购文件</w:t>
      </w:r>
      <w:r>
        <w:rPr>
          <w:color w:val="auto"/>
          <w:sz w:val="24"/>
        </w:rPr>
        <w:t>需求的投标人，中标机会均等。</w:t>
      </w:r>
    </w:p>
    <w:p w14:paraId="680D56BA">
      <w:pPr>
        <w:pStyle w:val="43"/>
        <w:tabs>
          <w:tab w:val="left" w:pos="1778"/>
        </w:tabs>
        <w:spacing w:before="2" w:line="364" w:lineRule="auto"/>
        <w:ind w:left="0" w:firstLine="499" w:firstLineChars="208"/>
        <w:jc w:val="both"/>
        <w:rPr>
          <w:color w:val="auto"/>
          <w:sz w:val="24"/>
        </w:rPr>
      </w:pPr>
      <w:r>
        <w:rPr>
          <w:color w:val="auto"/>
          <w:sz w:val="24"/>
          <w:lang w:val="en-US"/>
        </w:rPr>
        <w:t xml:space="preserve">25.4 </w:t>
      </w:r>
      <w:r>
        <w:rPr>
          <w:color w:val="auto"/>
          <w:sz w:val="24"/>
        </w:rPr>
        <w:t>如汇总得分排序后出现推荐拟中标候选人得分相同的，评标委员会只对取得得分前三位供应商，按照其报价由低到高顺序排列；得分且其报价相等的，则按核心技术指标优劣顺序排列。价格、技术指标的高低或优劣由评标委员会集体进行综合确认评定。排序在前三位之后的，按原排序不变，允许排序并列。</w:t>
      </w:r>
    </w:p>
    <w:p w14:paraId="55EA30E5">
      <w:pPr>
        <w:pStyle w:val="43"/>
        <w:tabs>
          <w:tab w:val="left" w:pos="1720"/>
        </w:tabs>
        <w:spacing w:before="3" w:line="364" w:lineRule="auto"/>
        <w:ind w:left="0" w:firstLine="439" w:firstLineChars="183"/>
        <w:jc w:val="both"/>
        <w:rPr>
          <w:color w:val="auto"/>
          <w:sz w:val="24"/>
        </w:rPr>
      </w:pPr>
      <w:r>
        <w:rPr>
          <w:color w:val="auto"/>
          <w:sz w:val="24"/>
          <w:lang w:val="en-US"/>
        </w:rPr>
        <w:t xml:space="preserve">25.5 </w:t>
      </w:r>
      <w:r>
        <w:rPr>
          <w:color w:val="auto"/>
          <w:sz w:val="24"/>
        </w:rPr>
        <w:t>由采购人对未推荐拟中标候选人、确认废标的，进行核对汇总后，由评标委员会各成员签署确认。</w:t>
      </w:r>
    </w:p>
    <w:p w14:paraId="6CF3BA9B">
      <w:pPr>
        <w:pStyle w:val="43"/>
        <w:tabs>
          <w:tab w:val="left" w:pos="1660"/>
        </w:tabs>
        <w:spacing w:before="0"/>
        <w:ind w:left="0" w:firstLine="0"/>
        <w:rPr>
          <w:color w:val="auto"/>
        </w:rPr>
      </w:pPr>
      <w:r>
        <w:rPr>
          <w:b/>
          <w:color w:val="auto"/>
          <w:sz w:val="24"/>
          <w:lang w:val="en-US"/>
        </w:rPr>
        <w:t xml:space="preserve">26. </w:t>
      </w:r>
      <w:r>
        <w:rPr>
          <w:color w:val="auto"/>
        </w:rPr>
        <w:t>编写评标报告</w:t>
      </w:r>
    </w:p>
    <w:p w14:paraId="237C5C16">
      <w:pPr>
        <w:pStyle w:val="43"/>
        <w:tabs>
          <w:tab w:val="left" w:pos="1720"/>
        </w:tabs>
        <w:spacing w:before="160" w:line="364" w:lineRule="auto"/>
        <w:ind w:left="0" w:firstLine="499" w:firstLineChars="208"/>
        <w:jc w:val="both"/>
        <w:rPr>
          <w:color w:val="auto"/>
          <w:sz w:val="24"/>
        </w:rPr>
      </w:pPr>
      <w:r>
        <w:rPr>
          <w:color w:val="auto"/>
          <w:sz w:val="24"/>
          <w:lang w:val="en-US"/>
        </w:rPr>
        <w:t xml:space="preserve">26.1 </w:t>
      </w:r>
      <w:r>
        <w:rPr>
          <w:color w:val="auto"/>
          <w:sz w:val="24"/>
        </w:rPr>
        <w:t>评标委员会根据全体成员签字的评标（评审）原始记录和结果，编写评标报告，并现场提交给采购人。编写的评标报告要符合</w:t>
      </w:r>
      <w:r>
        <w:rPr>
          <w:rFonts w:hint="eastAsia"/>
          <w:color w:val="auto"/>
          <w:sz w:val="24"/>
        </w:rPr>
        <w:t>采购文件</w:t>
      </w:r>
      <w:r>
        <w:rPr>
          <w:color w:val="auto"/>
          <w:sz w:val="24"/>
        </w:rPr>
        <w:t>的要求。</w:t>
      </w:r>
    </w:p>
    <w:p w14:paraId="291F52F2">
      <w:pPr>
        <w:pStyle w:val="43"/>
        <w:tabs>
          <w:tab w:val="left" w:pos="1660"/>
        </w:tabs>
        <w:spacing w:before="0"/>
        <w:ind w:left="0" w:firstLine="0"/>
        <w:rPr>
          <w:color w:val="auto"/>
        </w:rPr>
      </w:pPr>
      <w:r>
        <w:rPr>
          <w:b/>
          <w:color w:val="auto"/>
          <w:sz w:val="24"/>
          <w:lang w:val="en-US"/>
        </w:rPr>
        <w:t xml:space="preserve">27. </w:t>
      </w:r>
      <w:r>
        <w:rPr>
          <w:color w:val="auto"/>
        </w:rPr>
        <w:t>评标结束</w:t>
      </w:r>
    </w:p>
    <w:p w14:paraId="1D8E63D1">
      <w:pPr>
        <w:pStyle w:val="43"/>
        <w:tabs>
          <w:tab w:val="left" w:pos="1720"/>
        </w:tabs>
        <w:spacing w:before="161" w:line="364" w:lineRule="auto"/>
        <w:ind w:left="0" w:firstLine="499" w:firstLineChars="208"/>
        <w:jc w:val="both"/>
        <w:rPr>
          <w:color w:val="auto"/>
          <w:sz w:val="24"/>
        </w:rPr>
      </w:pPr>
      <w:r>
        <w:rPr>
          <w:color w:val="auto"/>
          <w:sz w:val="24"/>
          <w:lang w:val="en-US"/>
        </w:rPr>
        <w:t xml:space="preserve">27.1 </w:t>
      </w:r>
      <w:r>
        <w:rPr>
          <w:color w:val="auto"/>
          <w:sz w:val="24"/>
        </w:rPr>
        <w:t>采购人应按规定时间，通知</w:t>
      </w:r>
      <w:r>
        <w:rPr>
          <w:color w:val="auto"/>
          <w:sz w:val="24"/>
          <w:lang w:val="en-US"/>
        </w:rPr>
        <w:t>各</w:t>
      </w:r>
      <w:r>
        <w:rPr>
          <w:color w:val="auto"/>
          <w:sz w:val="24"/>
        </w:rPr>
        <w:t>有效投标人</w:t>
      </w:r>
      <w:r>
        <w:rPr>
          <w:color w:val="auto"/>
          <w:sz w:val="24"/>
          <w:lang w:val="en-US"/>
        </w:rPr>
        <w:t>开始进入定标议程</w:t>
      </w:r>
      <w:r>
        <w:rPr>
          <w:color w:val="auto"/>
          <w:sz w:val="24"/>
        </w:rPr>
        <w:t>，宣布本次评标委员会推荐的第一中标候选人名单。</w:t>
      </w:r>
    </w:p>
    <w:p w14:paraId="7075D3DF">
      <w:pPr>
        <w:pStyle w:val="43"/>
        <w:tabs>
          <w:tab w:val="left" w:pos="1778"/>
        </w:tabs>
        <w:ind w:left="0" w:firstLine="0"/>
        <w:jc w:val="both"/>
        <w:rPr>
          <w:color w:val="auto"/>
          <w:sz w:val="24"/>
        </w:rPr>
      </w:pPr>
      <w:r>
        <w:rPr>
          <w:color w:val="auto"/>
          <w:sz w:val="24"/>
          <w:lang w:val="en-US"/>
        </w:rPr>
        <w:t>27.2</w:t>
      </w:r>
      <w:r>
        <w:rPr>
          <w:color w:val="auto"/>
          <w:sz w:val="24"/>
        </w:rPr>
        <w:t xml:space="preserve"> 评审小组各成员名单不公开。</w:t>
      </w:r>
    </w:p>
    <w:p w14:paraId="68E158B2">
      <w:pPr>
        <w:pStyle w:val="43"/>
        <w:tabs>
          <w:tab w:val="left" w:pos="1778"/>
        </w:tabs>
        <w:spacing w:before="161" w:line="364" w:lineRule="auto"/>
        <w:ind w:left="0" w:firstLine="499" w:firstLineChars="208"/>
        <w:jc w:val="both"/>
        <w:rPr>
          <w:color w:val="auto"/>
          <w:sz w:val="24"/>
        </w:rPr>
      </w:pPr>
      <w:r>
        <w:rPr>
          <w:color w:val="auto"/>
          <w:sz w:val="24"/>
          <w:lang w:val="en-US"/>
        </w:rPr>
        <w:t xml:space="preserve">27.3 </w:t>
      </w:r>
      <w:r>
        <w:rPr>
          <w:color w:val="auto"/>
          <w:sz w:val="24"/>
        </w:rPr>
        <w:t>由采购人宣读有关招标信息公告、中标确认原则及质疑（投诉）事项等说明。</w:t>
      </w:r>
    </w:p>
    <w:p w14:paraId="5F178C7B">
      <w:pPr>
        <w:pStyle w:val="43"/>
        <w:tabs>
          <w:tab w:val="left" w:pos="1778"/>
        </w:tabs>
        <w:spacing w:line="364" w:lineRule="auto"/>
        <w:ind w:left="0" w:firstLine="499" w:firstLineChars="208"/>
        <w:jc w:val="both"/>
        <w:rPr>
          <w:color w:val="auto"/>
          <w:sz w:val="24"/>
        </w:rPr>
      </w:pPr>
      <w:r>
        <w:rPr>
          <w:color w:val="auto"/>
          <w:sz w:val="24"/>
          <w:lang w:val="en-US"/>
        </w:rPr>
        <w:t xml:space="preserve">27.4 </w:t>
      </w:r>
      <w:r>
        <w:rPr>
          <w:color w:val="auto"/>
          <w:sz w:val="24"/>
        </w:rPr>
        <w:t>在宣布会议结束后，采购人均有义务告知所有投标人办理投标保证金的退付手续。</w:t>
      </w:r>
    </w:p>
    <w:p w14:paraId="0523C823">
      <w:pPr>
        <w:pStyle w:val="14"/>
        <w:spacing w:line="364" w:lineRule="auto"/>
        <w:ind w:left="0" w:firstLine="480"/>
        <w:jc w:val="both"/>
        <w:rPr>
          <w:color w:val="auto"/>
        </w:rPr>
      </w:pPr>
      <w:r>
        <w:rPr>
          <w:color w:val="auto"/>
        </w:rPr>
        <w:t>27.5</w:t>
      </w:r>
      <w:r>
        <w:rPr>
          <w:color w:val="auto"/>
          <w:lang w:val="en-US"/>
        </w:rPr>
        <w:t xml:space="preserve"> </w:t>
      </w:r>
      <w:r>
        <w:rPr>
          <w:color w:val="auto"/>
        </w:rPr>
        <w:t>评标和定标一般应当在开标后 7 个工作日内完成，项目金额较大、技术较为复杂等特殊项目的评标工作应当在 30 个工作日内完成。不能在开标后 30 个工作日内完成评标和定标的，招标人应当提前 3 天通知所有投标人延长投标有效期。同意延长投标有效期的投标人应当相应延长其投标保证金的有效期，但不得修改其投标文件的实质性内容。</w:t>
      </w:r>
    </w:p>
    <w:p w14:paraId="01A0A510">
      <w:pPr>
        <w:pStyle w:val="4"/>
        <w:tabs>
          <w:tab w:val="left" w:pos="1766"/>
        </w:tabs>
        <w:spacing w:before="118"/>
        <w:ind w:right="0"/>
        <w:rPr>
          <w:color w:val="auto"/>
        </w:rPr>
      </w:pPr>
      <w:r>
        <w:rPr>
          <w:color w:val="auto"/>
        </w:rPr>
        <w:t>第三章 定</w:t>
      </w:r>
      <w:r>
        <w:rPr>
          <w:color w:val="auto"/>
        </w:rPr>
        <w:tab/>
      </w:r>
      <w:r>
        <w:rPr>
          <w:color w:val="auto"/>
        </w:rPr>
        <w:t>标</w:t>
      </w:r>
    </w:p>
    <w:p w14:paraId="2D3869EF">
      <w:pPr>
        <w:pStyle w:val="43"/>
        <w:tabs>
          <w:tab w:val="left" w:pos="1660"/>
        </w:tabs>
        <w:spacing w:before="0"/>
        <w:ind w:left="0" w:firstLine="0"/>
        <w:rPr>
          <w:color w:val="auto"/>
        </w:rPr>
      </w:pPr>
      <w:r>
        <w:rPr>
          <w:b/>
          <w:color w:val="auto"/>
          <w:sz w:val="24"/>
          <w:lang w:val="en-US"/>
        </w:rPr>
        <w:t xml:space="preserve">28. </w:t>
      </w:r>
      <w:r>
        <w:rPr>
          <w:color w:val="auto"/>
        </w:rPr>
        <w:t>定标标准</w:t>
      </w:r>
    </w:p>
    <w:p w14:paraId="09724E44">
      <w:pPr>
        <w:pStyle w:val="43"/>
        <w:tabs>
          <w:tab w:val="left" w:pos="1718"/>
        </w:tabs>
        <w:spacing w:before="160" w:line="364" w:lineRule="auto"/>
        <w:ind w:left="0" w:firstLine="440" w:firstLineChars="200"/>
        <w:jc w:val="both"/>
        <w:rPr>
          <w:color w:val="auto"/>
          <w:sz w:val="24"/>
        </w:rPr>
      </w:pPr>
      <w:r>
        <w:rPr>
          <w:color w:val="auto"/>
        </w:rPr>
        <w:t>2</w:t>
      </w:r>
      <w:r>
        <w:rPr>
          <w:color w:val="auto"/>
          <w:lang w:val="en-US"/>
        </w:rPr>
        <w:t>8</w:t>
      </w:r>
      <w:r>
        <w:rPr>
          <w:color w:val="auto"/>
        </w:rPr>
        <w:t>.</w:t>
      </w:r>
      <w:r>
        <w:rPr>
          <w:color w:val="auto"/>
          <w:lang w:val="en-US"/>
        </w:rPr>
        <w:t xml:space="preserve">1 </w:t>
      </w:r>
      <w:r>
        <w:rPr>
          <w:color w:val="auto"/>
          <w:sz w:val="24"/>
        </w:rPr>
        <w:t>采购人应在评标结束后2个工作日内，以书面形式向采购人发出《中标人确认函》，采购人在收到后5个工作日内，应按照评标报告确定的中标候选人名单中的顺序确认中标人。</w:t>
      </w:r>
    </w:p>
    <w:p w14:paraId="20374D32">
      <w:pPr>
        <w:pStyle w:val="43"/>
        <w:tabs>
          <w:tab w:val="left" w:pos="1720"/>
        </w:tabs>
        <w:spacing w:before="2" w:line="364" w:lineRule="auto"/>
        <w:ind w:left="0" w:firstLine="440" w:firstLineChars="200"/>
        <w:jc w:val="both"/>
        <w:rPr>
          <w:color w:val="auto"/>
          <w:sz w:val="24"/>
        </w:rPr>
      </w:pPr>
      <w:r>
        <w:rPr>
          <w:color w:val="auto"/>
        </w:rPr>
        <w:t>2</w:t>
      </w:r>
      <w:r>
        <w:rPr>
          <w:color w:val="auto"/>
          <w:lang w:val="en-US"/>
        </w:rPr>
        <w:t>8</w:t>
      </w:r>
      <w:r>
        <w:rPr>
          <w:color w:val="auto"/>
        </w:rPr>
        <w:t>.</w:t>
      </w:r>
      <w:r>
        <w:rPr>
          <w:color w:val="auto"/>
          <w:lang w:val="en-US"/>
        </w:rPr>
        <w:t xml:space="preserve">2 </w:t>
      </w:r>
      <w:r>
        <w:rPr>
          <w:color w:val="auto"/>
          <w:sz w:val="24"/>
        </w:rPr>
        <w:t>中标人因不可抗力或者自身原因不能履行合同的，采购人可以与排位在中标人之后第一位的中标候选人签订合同，以此类推。</w:t>
      </w:r>
    </w:p>
    <w:p w14:paraId="5F74EC75">
      <w:pPr>
        <w:pStyle w:val="43"/>
        <w:tabs>
          <w:tab w:val="left" w:pos="1958"/>
        </w:tabs>
        <w:ind w:left="0" w:firstLine="0"/>
        <w:jc w:val="both"/>
        <w:rPr>
          <w:color w:val="auto"/>
          <w:sz w:val="24"/>
        </w:rPr>
      </w:pPr>
      <w:r>
        <w:rPr>
          <w:color w:val="auto"/>
        </w:rPr>
        <w:t>2</w:t>
      </w:r>
      <w:r>
        <w:rPr>
          <w:color w:val="auto"/>
          <w:lang w:val="en-US"/>
        </w:rPr>
        <w:t>8</w:t>
      </w:r>
      <w:r>
        <w:rPr>
          <w:color w:val="auto"/>
        </w:rPr>
        <w:t>.</w:t>
      </w:r>
      <w:r>
        <w:rPr>
          <w:color w:val="auto"/>
          <w:lang w:val="en-US"/>
        </w:rPr>
        <w:t xml:space="preserve">3 </w:t>
      </w:r>
      <w:r>
        <w:rPr>
          <w:color w:val="auto"/>
          <w:sz w:val="24"/>
        </w:rPr>
        <w:t>最低投标价不一定是被授予合同的保证。</w:t>
      </w:r>
    </w:p>
    <w:p w14:paraId="45AB17A7">
      <w:pPr>
        <w:pStyle w:val="43"/>
        <w:tabs>
          <w:tab w:val="left" w:pos="1960"/>
        </w:tabs>
        <w:spacing w:before="161" w:line="364" w:lineRule="auto"/>
        <w:ind w:left="0" w:firstLine="440" w:firstLineChars="200"/>
        <w:jc w:val="both"/>
        <w:rPr>
          <w:color w:val="auto"/>
          <w:sz w:val="24"/>
        </w:rPr>
      </w:pPr>
      <w:r>
        <w:rPr>
          <w:color w:val="auto"/>
        </w:rPr>
        <w:t>2</w:t>
      </w:r>
      <w:r>
        <w:rPr>
          <w:color w:val="auto"/>
          <w:lang w:val="en-US"/>
        </w:rPr>
        <w:t>8</w:t>
      </w:r>
      <w:r>
        <w:rPr>
          <w:color w:val="auto"/>
        </w:rPr>
        <w:t>.</w:t>
      </w:r>
      <w:r>
        <w:rPr>
          <w:color w:val="auto"/>
          <w:lang w:val="en-US"/>
        </w:rPr>
        <w:t xml:space="preserve">4 </w:t>
      </w:r>
      <w:r>
        <w:rPr>
          <w:color w:val="auto"/>
          <w:sz w:val="24"/>
        </w:rPr>
        <w:t>合同将授予被确定为实质上响应</w:t>
      </w:r>
      <w:r>
        <w:rPr>
          <w:rFonts w:hint="eastAsia"/>
          <w:color w:val="auto"/>
          <w:sz w:val="24"/>
        </w:rPr>
        <w:t>采购文件</w:t>
      </w:r>
      <w:r>
        <w:rPr>
          <w:color w:val="auto"/>
          <w:sz w:val="24"/>
        </w:rPr>
        <w:t>要求，经评定认为具备履行合同义务能力、报价合理、技术和商务条件都符合</w:t>
      </w:r>
      <w:r>
        <w:rPr>
          <w:rFonts w:hint="eastAsia"/>
          <w:color w:val="auto"/>
          <w:sz w:val="24"/>
        </w:rPr>
        <w:t>采购文件</w:t>
      </w:r>
      <w:r>
        <w:rPr>
          <w:color w:val="auto"/>
          <w:sz w:val="24"/>
        </w:rPr>
        <w:t>要求的、对买方最为有利的投标人。</w:t>
      </w:r>
    </w:p>
    <w:p w14:paraId="3D89DC7F">
      <w:pPr>
        <w:pStyle w:val="43"/>
        <w:tabs>
          <w:tab w:val="left" w:pos="1960"/>
        </w:tabs>
        <w:spacing w:before="2" w:line="364" w:lineRule="auto"/>
        <w:ind w:left="0" w:firstLine="440" w:firstLineChars="200"/>
        <w:jc w:val="both"/>
        <w:rPr>
          <w:color w:val="auto"/>
          <w:sz w:val="24"/>
        </w:rPr>
      </w:pPr>
      <w:r>
        <w:rPr>
          <w:color w:val="auto"/>
        </w:rPr>
        <w:t>2</w:t>
      </w:r>
      <w:r>
        <w:rPr>
          <w:color w:val="auto"/>
          <w:lang w:val="en-US"/>
        </w:rPr>
        <w:t>8</w:t>
      </w:r>
      <w:r>
        <w:rPr>
          <w:color w:val="auto"/>
        </w:rPr>
        <w:t>.</w:t>
      </w:r>
      <w:r>
        <w:rPr>
          <w:color w:val="auto"/>
          <w:lang w:val="en-US"/>
        </w:rPr>
        <w:t xml:space="preserve">5 </w:t>
      </w:r>
      <w:r>
        <w:rPr>
          <w:color w:val="auto"/>
          <w:sz w:val="24"/>
        </w:rPr>
        <w:t>如果采购人确定该中标人无条件圆满履行合同，应由采购人将对下一个可能成交的投标人资格做出类似的审查。</w:t>
      </w:r>
    </w:p>
    <w:p w14:paraId="395DD648">
      <w:pPr>
        <w:pStyle w:val="43"/>
        <w:tabs>
          <w:tab w:val="left" w:pos="1660"/>
        </w:tabs>
        <w:spacing w:before="0"/>
        <w:ind w:left="0" w:firstLine="0"/>
        <w:rPr>
          <w:color w:val="auto"/>
        </w:rPr>
      </w:pPr>
      <w:r>
        <w:rPr>
          <w:b/>
          <w:color w:val="auto"/>
          <w:sz w:val="24"/>
          <w:lang w:val="en-US"/>
        </w:rPr>
        <w:t>29</w:t>
      </w:r>
      <w:r>
        <w:rPr>
          <w:color w:val="auto"/>
          <w:lang w:val="en-US"/>
        </w:rPr>
        <w:t xml:space="preserve">. </w:t>
      </w:r>
      <w:r>
        <w:rPr>
          <w:color w:val="auto"/>
        </w:rPr>
        <w:t>接受和拒绝任何或所有投标的权力</w:t>
      </w:r>
    </w:p>
    <w:p w14:paraId="66BA7159">
      <w:pPr>
        <w:pStyle w:val="43"/>
        <w:tabs>
          <w:tab w:val="left" w:pos="1713"/>
        </w:tabs>
        <w:spacing w:before="160" w:line="364" w:lineRule="auto"/>
        <w:ind w:left="0" w:firstLine="440" w:firstLineChars="200"/>
        <w:rPr>
          <w:color w:val="auto"/>
          <w:sz w:val="24"/>
        </w:rPr>
      </w:pPr>
      <w:r>
        <w:rPr>
          <w:color w:val="auto"/>
        </w:rPr>
        <w:t>2</w:t>
      </w:r>
      <w:r>
        <w:rPr>
          <w:color w:val="auto"/>
          <w:lang w:val="en-US"/>
        </w:rPr>
        <w:t>9</w:t>
      </w:r>
      <w:r>
        <w:rPr>
          <w:color w:val="auto"/>
        </w:rPr>
        <w:t>.</w:t>
      </w:r>
      <w:r>
        <w:rPr>
          <w:color w:val="auto"/>
          <w:lang w:val="en-US"/>
        </w:rPr>
        <w:t xml:space="preserve">1 </w:t>
      </w:r>
      <w:r>
        <w:rPr>
          <w:color w:val="auto"/>
          <w:sz w:val="24"/>
        </w:rPr>
        <w:t>为维护国家利益，评标委员会在授予合同之前仍有选择或拒绝任何投标的权力。</w:t>
      </w:r>
    </w:p>
    <w:p w14:paraId="11B18224">
      <w:pPr>
        <w:pStyle w:val="43"/>
        <w:tabs>
          <w:tab w:val="left" w:pos="1660"/>
        </w:tabs>
        <w:spacing w:before="0"/>
        <w:ind w:left="0" w:firstLine="0"/>
        <w:rPr>
          <w:color w:val="auto"/>
        </w:rPr>
      </w:pPr>
      <w:r>
        <w:rPr>
          <w:color w:val="auto"/>
          <w:lang w:val="en-US"/>
        </w:rPr>
        <w:t>30</w:t>
      </w:r>
      <w:r>
        <w:rPr>
          <w:color w:val="auto"/>
        </w:rPr>
        <w:t>.</w:t>
      </w:r>
      <w:r>
        <w:rPr>
          <w:color w:val="auto"/>
          <w:lang w:val="en-US"/>
        </w:rPr>
        <w:t xml:space="preserve"> </w:t>
      </w:r>
      <w:r>
        <w:rPr>
          <w:color w:val="auto"/>
        </w:rPr>
        <w:t>中标通知书</w:t>
      </w:r>
    </w:p>
    <w:p w14:paraId="61716158">
      <w:pPr>
        <w:pStyle w:val="43"/>
        <w:tabs>
          <w:tab w:val="left" w:pos="1713"/>
        </w:tabs>
        <w:spacing w:before="160" w:line="364" w:lineRule="auto"/>
        <w:ind w:left="0" w:firstLine="440" w:firstLineChars="200"/>
        <w:jc w:val="both"/>
        <w:rPr>
          <w:color w:val="auto"/>
          <w:sz w:val="24"/>
        </w:rPr>
      </w:pPr>
      <w:r>
        <w:rPr>
          <w:color w:val="auto"/>
          <w:lang w:val="en-US"/>
        </w:rPr>
        <w:t>30</w:t>
      </w:r>
      <w:r>
        <w:rPr>
          <w:color w:val="auto"/>
        </w:rPr>
        <w:t>.</w:t>
      </w:r>
      <w:r>
        <w:rPr>
          <w:color w:val="auto"/>
          <w:lang w:val="en-US"/>
        </w:rPr>
        <w:t xml:space="preserve">1 </w:t>
      </w:r>
      <w:r>
        <w:rPr>
          <w:color w:val="auto"/>
          <w:sz w:val="24"/>
        </w:rPr>
        <w:t>中标人确定后，采购人应当将中标结果在省级以上财政部门指定的信息发布媒体上公告1个工作日，在公告中标结果的同时，采购人向中标人发出《中标通知书》 。</w:t>
      </w:r>
    </w:p>
    <w:p w14:paraId="331D333D">
      <w:pPr>
        <w:pStyle w:val="43"/>
        <w:tabs>
          <w:tab w:val="left" w:pos="1960"/>
        </w:tabs>
        <w:spacing w:before="2" w:line="364" w:lineRule="auto"/>
        <w:ind w:left="0" w:firstLine="440" w:firstLineChars="200"/>
        <w:jc w:val="both"/>
        <w:rPr>
          <w:color w:val="auto"/>
          <w:sz w:val="24"/>
        </w:rPr>
      </w:pPr>
      <w:r>
        <w:rPr>
          <w:color w:val="auto"/>
          <w:lang w:val="en-US"/>
        </w:rPr>
        <w:t>30</w:t>
      </w:r>
      <w:r>
        <w:rPr>
          <w:color w:val="auto"/>
        </w:rPr>
        <w:t>.</w:t>
      </w:r>
      <w:r>
        <w:rPr>
          <w:color w:val="auto"/>
          <w:lang w:val="en-US"/>
        </w:rPr>
        <w:t xml:space="preserve">1.1 </w:t>
      </w:r>
      <w:r>
        <w:rPr>
          <w:color w:val="auto"/>
          <w:sz w:val="24"/>
        </w:rPr>
        <w:t>投标人对中标公告有异议的，应当在中标公告发布之日起七个工作日内，以书面形式向采购人提出质疑。采购人应当在收到投标人书面质疑后七个工作日内，对质疑内容做出答复。质疑供应商对答复不满意或者采购人未在规定时间内答复的，可以在答复期满后十五个工作日内按有关规定，向同级人民政府财政部门投诉。</w:t>
      </w:r>
    </w:p>
    <w:p w14:paraId="49AB7D7F">
      <w:pPr>
        <w:pStyle w:val="43"/>
        <w:tabs>
          <w:tab w:val="left" w:pos="1948"/>
        </w:tabs>
        <w:spacing w:before="3" w:line="364" w:lineRule="auto"/>
        <w:ind w:left="0" w:firstLine="440" w:firstLineChars="200"/>
        <w:jc w:val="both"/>
        <w:rPr>
          <w:color w:val="auto"/>
          <w:sz w:val="24"/>
        </w:rPr>
      </w:pPr>
      <w:r>
        <w:rPr>
          <w:color w:val="auto"/>
          <w:lang w:val="en-US"/>
        </w:rPr>
        <w:t>30</w:t>
      </w:r>
      <w:r>
        <w:rPr>
          <w:color w:val="auto"/>
        </w:rPr>
        <w:t>.</w:t>
      </w:r>
      <w:r>
        <w:rPr>
          <w:color w:val="auto"/>
          <w:lang w:val="en-US"/>
        </w:rPr>
        <w:t xml:space="preserve">1.2 </w:t>
      </w:r>
      <w:r>
        <w:rPr>
          <w:color w:val="auto"/>
          <w:sz w:val="24"/>
        </w:rPr>
        <w:t>采购人在收到《中标人确认函》5个工作日内，如不按规定确认中标人，应在规定的5个工作日期限内，以书面方式回函提出异议，经过财政监管部门同意后，由采购人直接向中标首选供应商发出《中标通知书》。如逾期既不确认也不回函提出异议的，则视同采购人认可评标委员会推荐的中标首选结</w:t>
      </w:r>
      <w:r>
        <w:rPr>
          <w:color w:val="auto"/>
        </w:rPr>
        <w:t>果，</w:t>
      </w:r>
      <w:r>
        <w:rPr>
          <w:color w:val="auto"/>
          <w:sz w:val="24"/>
        </w:rPr>
        <w:t>由采购人直接向拟中标首选供应商发出《中标通知书》。一经发出即发生法律效力。</w:t>
      </w:r>
    </w:p>
    <w:p w14:paraId="6B63FC4E">
      <w:pPr>
        <w:pStyle w:val="43"/>
        <w:tabs>
          <w:tab w:val="left" w:pos="1958"/>
        </w:tabs>
        <w:spacing w:line="364" w:lineRule="auto"/>
        <w:ind w:left="0" w:firstLine="440" w:firstLineChars="200"/>
        <w:rPr>
          <w:color w:val="auto"/>
          <w:sz w:val="24"/>
        </w:rPr>
      </w:pPr>
      <w:r>
        <w:rPr>
          <w:color w:val="auto"/>
          <w:lang w:val="en-US"/>
        </w:rPr>
        <w:t>30</w:t>
      </w:r>
      <w:r>
        <w:rPr>
          <w:color w:val="auto"/>
        </w:rPr>
        <w:t>.</w:t>
      </w:r>
      <w:r>
        <w:rPr>
          <w:color w:val="auto"/>
          <w:lang w:val="en-US"/>
        </w:rPr>
        <w:t xml:space="preserve">1.3 </w:t>
      </w:r>
      <w:r>
        <w:rPr>
          <w:color w:val="auto"/>
          <w:sz w:val="24"/>
        </w:rPr>
        <w:t>中标人领取《中标通知书》</w:t>
      </w:r>
      <w:r>
        <w:rPr>
          <w:rFonts w:hint="eastAsia"/>
          <w:color w:val="auto"/>
          <w:sz w:val="24"/>
          <w:lang w:val="en-US"/>
        </w:rPr>
        <w:t>后</w:t>
      </w:r>
      <w:r>
        <w:rPr>
          <w:color w:val="auto"/>
          <w:sz w:val="24"/>
        </w:rPr>
        <w:t>，须向采购人提交合同履约保证金，拒绝提交的，视为放弃成交项目</w:t>
      </w:r>
      <w:r>
        <w:rPr>
          <w:rFonts w:hint="eastAsia"/>
          <w:color w:val="auto"/>
          <w:sz w:val="24"/>
          <w:lang w:eastAsia="zh-CN"/>
        </w:rPr>
        <w:t>（</w:t>
      </w:r>
      <w:r>
        <w:rPr>
          <w:rFonts w:hint="eastAsia"/>
          <w:color w:val="auto"/>
          <w:sz w:val="24"/>
          <w:lang w:val="en-US" w:eastAsia="zh-CN"/>
        </w:rPr>
        <w:t>本项目履约保证金不做要求）</w:t>
      </w:r>
      <w:r>
        <w:rPr>
          <w:color w:val="auto"/>
          <w:sz w:val="24"/>
        </w:rPr>
        <w:t>。</w:t>
      </w:r>
    </w:p>
    <w:p w14:paraId="49779DC5">
      <w:pPr>
        <w:pStyle w:val="43"/>
        <w:tabs>
          <w:tab w:val="left" w:pos="2200"/>
        </w:tabs>
        <w:spacing w:line="364" w:lineRule="auto"/>
        <w:ind w:left="0" w:firstLine="440" w:firstLineChars="200"/>
        <w:rPr>
          <w:color w:val="auto"/>
          <w:sz w:val="24"/>
        </w:rPr>
      </w:pPr>
      <w:r>
        <w:rPr>
          <w:color w:val="auto"/>
          <w:lang w:val="en-US"/>
        </w:rPr>
        <w:t>30</w:t>
      </w:r>
      <w:r>
        <w:rPr>
          <w:color w:val="auto"/>
        </w:rPr>
        <w:t>.</w:t>
      </w:r>
      <w:r>
        <w:rPr>
          <w:color w:val="auto"/>
          <w:lang w:val="en-US"/>
        </w:rPr>
        <w:t xml:space="preserve">1.3.1 </w:t>
      </w:r>
      <w:r>
        <w:rPr>
          <w:color w:val="auto"/>
          <w:sz w:val="24"/>
        </w:rPr>
        <w:t>合同履约保证金与投标保证金同等额。待合同执行期满、货物验收合格及办理货款结算时，由采购人无息退还。</w:t>
      </w:r>
      <w:r>
        <w:rPr>
          <w:rFonts w:hint="eastAsia" w:eastAsia="宋体"/>
          <w:color w:val="auto"/>
          <w:sz w:val="24"/>
          <w:lang w:eastAsia="zh-CN"/>
        </w:rPr>
        <w:t>（</w:t>
      </w:r>
      <w:r>
        <w:rPr>
          <w:rFonts w:hint="eastAsia" w:ascii="Times New Roman" w:eastAsia="宋体"/>
          <w:color w:val="auto"/>
          <w:sz w:val="24"/>
          <w:lang w:val="en-US" w:eastAsia="zh-CN"/>
        </w:rPr>
        <w:t>本项目履约保证金不做要求）</w:t>
      </w:r>
    </w:p>
    <w:p w14:paraId="1FEF5988">
      <w:pPr>
        <w:pStyle w:val="43"/>
        <w:tabs>
          <w:tab w:val="left" w:pos="2200"/>
        </w:tabs>
        <w:spacing w:line="364" w:lineRule="auto"/>
        <w:ind w:left="0" w:firstLine="440" w:firstLineChars="200"/>
        <w:rPr>
          <w:color w:val="auto"/>
          <w:sz w:val="24"/>
        </w:rPr>
      </w:pPr>
      <w:r>
        <w:rPr>
          <w:color w:val="auto"/>
          <w:lang w:val="en-US"/>
        </w:rPr>
        <w:t>30</w:t>
      </w:r>
      <w:r>
        <w:rPr>
          <w:color w:val="auto"/>
        </w:rPr>
        <w:t>.</w:t>
      </w:r>
      <w:r>
        <w:rPr>
          <w:color w:val="auto"/>
          <w:lang w:val="en-US"/>
        </w:rPr>
        <w:t xml:space="preserve">1.3.2 </w:t>
      </w:r>
      <w:r>
        <w:rPr>
          <w:color w:val="auto"/>
          <w:sz w:val="24"/>
        </w:rPr>
        <w:t>合同履约保证金可采用银行汇票、银行保函等形式交纳，成交供应商须将履约保证金交到采购人指定帐户。指定账户与投标报价保证金同账户。</w:t>
      </w:r>
    </w:p>
    <w:p w14:paraId="4C6633E6">
      <w:pPr>
        <w:pStyle w:val="43"/>
        <w:tabs>
          <w:tab w:val="left" w:pos="2200"/>
        </w:tabs>
        <w:spacing w:before="2" w:line="364" w:lineRule="auto"/>
        <w:ind w:left="0" w:firstLine="440" w:firstLineChars="200"/>
        <w:rPr>
          <w:color w:val="auto"/>
          <w:sz w:val="24"/>
        </w:rPr>
      </w:pPr>
      <w:r>
        <w:rPr>
          <w:color w:val="auto"/>
          <w:lang w:val="en-US"/>
        </w:rPr>
        <w:t>30</w:t>
      </w:r>
      <w:r>
        <w:rPr>
          <w:color w:val="auto"/>
        </w:rPr>
        <w:t>.</w:t>
      </w:r>
      <w:r>
        <w:rPr>
          <w:color w:val="auto"/>
          <w:lang w:val="en-US"/>
        </w:rPr>
        <w:t xml:space="preserve">1.3.3 </w:t>
      </w:r>
      <w:r>
        <w:rPr>
          <w:color w:val="auto"/>
          <w:sz w:val="24"/>
        </w:rPr>
        <w:t>中标人提交的合同履约保证金，其有效期限应不低于合同有效期。</w:t>
      </w:r>
    </w:p>
    <w:p w14:paraId="7FA193E8">
      <w:pPr>
        <w:pStyle w:val="43"/>
        <w:tabs>
          <w:tab w:val="left" w:pos="1838"/>
        </w:tabs>
        <w:spacing w:line="364" w:lineRule="auto"/>
        <w:ind w:left="0" w:firstLine="440" w:firstLineChars="200"/>
        <w:jc w:val="both"/>
        <w:rPr>
          <w:color w:val="auto"/>
          <w:sz w:val="24"/>
        </w:rPr>
      </w:pPr>
      <w:r>
        <w:rPr>
          <w:color w:val="auto"/>
          <w:lang w:val="en-US"/>
        </w:rPr>
        <w:t>30</w:t>
      </w:r>
      <w:r>
        <w:rPr>
          <w:color w:val="auto"/>
        </w:rPr>
        <w:t>.</w:t>
      </w:r>
      <w:r>
        <w:rPr>
          <w:color w:val="auto"/>
          <w:lang w:val="en-US"/>
        </w:rPr>
        <w:t xml:space="preserve">2 </w:t>
      </w:r>
      <w:r>
        <w:rPr>
          <w:color w:val="auto"/>
          <w:sz w:val="24"/>
        </w:rPr>
        <w:t>在发布中标公告后，招标采购人应当向中标人发出中标通知书， 中标通知书对采购人和中标人具有同等法律效力。《中标通知书》发出后，采购人改变中标结果，或者中标人放弃成交，应当承担相应的法律责任。</w:t>
      </w:r>
    </w:p>
    <w:p w14:paraId="3CBB56F3">
      <w:pPr>
        <w:pStyle w:val="43"/>
        <w:tabs>
          <w:tab w:val="left" w:pos="1720"/>
        </w:tabs>
        <w:spacing w:before="2" w:line="364" w:lineRule="auto"/>
        <w:ind w:left="0" w:firstLine="440" w:firstLineChars="200"/>
        <w:jc w:val="both"/>
        <w:rPr>
          <w:color w:val="auto"/>
          <w:sz w:val="24"/>
        </w:rPr>
      </w:pPr>
      <w:r>
        <w:rPr>
          <w:color w:val="auto"/>
          <w:lang w:val="en-US"/>
        </w:rPr>
        <w:t>30</w:t>
      </w:r>
      <w:r>
        <w:rPr>
          <w:color w:val="auto"/>
        </w:rPr>
        <w:t>.</w:t>
      </w:r>
      <w:r>
        <w:rPr>
          <w:color w:val="auto"/>
          <w:lang w:val="en-US"/>
        </w:rPr>
        <w:t xml:space="preserve">3 </w:t>
      </w:r>
      <w:r>
        <w:rPr>
          <w:color w:val="auto"/>
          <w:sz w:val="24"/>
        </w:rPr>
        <w:t>《中标通知书》要作为采购人、中标人签订的由采购人监章的合同的依据。</w:t>
      </w:r>
    </w:p>
    <w:p w14:paraId="78828698">
      <w:pPr>
        <w:pStyle w:val="43"/>
        <w:tabs>
          <w:tab w:val="left" w:pos="1720"/>
        </w:tabs>
        <w:spacing w:before="2" w:line="364" w:lineRule="auto"/>
        <w:ind w:left="0" w:firstLineChars="200"/>
        <w:jc w:val="both"/>
        <w:rPr>
          <w:color w:val="auto"/>
          <w:sz w:val="24"/>
        </w:rPr>
      </w:pPr>
    </w:p>
    <w:p w14:paraId="71363500">
      <w:pPr>
        <w:pStyle w:val="4"/>
        <w:ind w:right="0"/>
        <w:rPr>
          <w:color w:val="auto"/>
        </w:rPr>
      </w:pPr>
      <w:r>
        <w:rPr>
          <w:color w:val="auto"/>
        </w:rPr>
        <w:br w:type="page"/>
      </w:r>
      <w:r>
        <w:rPr>
          <w:color w:val="auto"/>
        </w:rPr>
        <w:t>第四章 授予合同</w:t>
      </w:r>
    </w:p>
    <w:p w14:paraId="3E15D054">
      <w:pPr>
        <w:pStyle w:val="43"/>
        <w:tabs>
          <w:tab w:val="left" w:pos="1660"/>
        </w:tabs>
        <w:spacing w:before="0"/>
        <w:ind w:left="0" w:firstLine="0"/>
        <w:rPr>
          <w:color w:val="auto"/>
        </w:rPr>
      </w:pPr>
      <w:r>
        <w:rPr>
          <w:color w:val="auto"/>
          <w:lang w:val="en-US"/>
        </w:rPr>
        <w:t>31.</w:t>
      </w:r>
      <w:r>
        <w:rPr>
          <w:color w:val="auto"/>
        </w:rPr>
        <w:t>签订合同</w:t>
      </w:r>
    </w:p>
    <w:p w14:paraId="09D5F330">
      <w:pPr>
        <w:pStyle w:val="43"/>
        <w:tabs>
          <w:tab w:val="left" w:pos="1713"/>
        </w:tabs>
        <w:spacing w:before="161" w:line="364" w:lineRule="auto"/>
        <w:ind w:left="0" w:firstLine="440" w:firstLineChars="200"/>
        <w:jc w:val="both"/>
        <w:rPr>
          <w:color w:val="auto"/>
          <w:sz w:val="24"/>
        </w:rPr>
      </w:pPr>
      <w:r>
        <w:rPr>
          <w:color w:val="auto"/>
          <w:lang w:val="en-US"/>
        </w:rPr>
        <w:t>31</w:t>
      </w:r>
      <w:r>
        <w:rPr>
          <w:color w:val="auto"/>
        </w:rPr>
        <w:t>.</w:t>
      </w:r>
      <w:r>
        <w:rPr>
          <w:color w:val="auto"/>
          <w:lang w:val="en-US"/>
        </w:rPr>
        <w:t xml:space="preserve">1 </w:t>
      </w:r>
      <w:r>
        <w:rPr>
          <w:color w:val="auto"/>
          <w:sz w:val="24"/>
        </w:rPr>
        <w:t>中标人应当自《中标通知书》发出之日起30日内，按照</w:t>
      </w:r>
      <w:r>
        <w:rPr>
          <w:rFonts w:hint="eastAsia"/>
          <w:color w:val="auto"/>
          <w:sz w:val="24"/>
        </w:rPr>
        <w:t>采购文件</w:t>
      </w:r>
      <w:r>
        <w:rPr>
          <w:color w:val="auto"/>
          <w:sz w:val="24"/>
        </w:rPr>
        <w:t>的约定和中标方投标文件中的承诺与采购人签订书面合同，所签订的合同不得对</w:t>
      </w:r>
      <w:r>
        <w:rPr>
          <w:rFonts w:hint="eastAsia"/>
          <w:color w:val="auto"/>
          <w:sz w:val="24"/>
        </w:rPr>
        <w:t>采购文件</w:t>
      </w:r>
      <w:r>
        <w:rPr>
          <w:color w:val="auto"/>
          <w:sz w:val="24"/>
        </w:rPr>
        <w:t>和中标方的投标文件作实质性修改。</w:t>
      </w:r>
    </w:p>
    <w:p w14:paraId="0E538120">
      <w:pPr>
        <w:pStyle w:val="43"/>
        <w:tabs>
          <w:tab w:val="left" w:pos="1713"/>
        </w:tabs>
        <w:spacing w:before="2" w:line="364" w:lineRule="auto"/>
        <w:ind w:left="0" w:firstLine="440" w:firstLineChars="200"/>
        <w:jc w:val="both"/>
        <w:rPr>
          <w:color w:val="auto"/>
          <w:sz w:val="24"/>
        </w:rPr>
      </w:pPr>
      <w:r>
        <w:rPr>
          <w:color w:val="auto"/>
          <w:lang w:val="en-US"/>
        </w:rPr>
        <w:t>31</w:t>
      </w:r>
      <w:r>
        <w:rPr>
          <w:color w:val="auto"/>
        </w:rPr>
        <w:t>.</w:t>
      </w:r>
      <w:r>
        <w:rPr>
          <w:color w:val="auto"/>
          <w:lang w:val="en-US"/>
        </w:rPr>
        <w:t xml:space="preserve">2 </w:t>
      </w:r>
      <w:r>
        <w:rPr>
          <w:color w:val="auto"/>
          <w:sz w:val="24"/>
        </w:rPr>
        <w:t>采购人不得向中标人提出任何不合理要求作为签订合同的条件， 不得与中标人私下订立背离合同实质性内容的协议。</w:t>
      </w:r>
    </w:p>
    <w:p w14:paraId="716E94D9">
      <w:pPr>
        <w:pStyle w:val="43"/>
        <w:tabs>
          <w:tab w:val="left" w:pos="1708"/>
        </w:tabs>
        <w:ind w:left="0" w:firstLine="0"/>
        <w:jc w:val="both"/>
        <w:rPr>
          <w:color w:val="auto"/>
          <w:sz w:val="24"/>
        </w:rPr>
      </w:pPr>
      <w:r>
        <w:rPr>
          <w:color w:val="auto"/>
          <w:lang w:val="en-US"/>
        </w:rPr>
        <w:t>31</w:t>
      </w:r>
      <w:r>
        <w:rPr>
          <w:color w:val="auto"/>
        </w:rPr>
        <w:t>.</w:t>
      </w:r>
      <w:r>
        <w:rPr>
          <w:color w:val="auto"/>
          <w:lang w:val="en-US"/>
        </w:rPr>
        <w:t xml:space="preserve">3 </w:t>
      </w:r>
      <w:r>
        <w:rPr>
          <w:color w:val="auto"/>
          <w:sz w:val="24"/>
        </w:rPr>
        <w:t>合同的双方当事人不得擅自变更、中止或者终止合同。</w:t>
      </w:r>
    </w:p>
    <w:p w14:paraId="3E00E042">
      <w:pPr>
        <w:pStyle w:val="43"/>
        <w:tabs>
          <w:tab w:val="left" w:pos="1708"/>
        </w:tabs>
        <w:spacing w:before="160" w:line="364" w:lineRule="auto"/>
        <w:ind w:left="0" w:firstLine="440" w:firstLineChars="200"/>
        <w:rPr>
          <w:color w:val="auto"/>
          <w:sz w:val="24"/>
          <w:lang w:val="en-US"/>
        </w:rPr>
      </w:pPr>
      <w:r>
        <w:rPr>
          <w:color w:val="auto"/>
          <w:lang w:val="en-US"/>
        </w:rPr>
        <w:t>31</w:t>
      </w:r>
      <w:r>
        <w:rPr>
          <w:color w:val="auto"/>
        </w:rPr>
        <w:t>.</w:t>
      </w:r>
      <w:r>
        <w:rPr>
          <w:color w:val="auto"/>
          <w:lang w:val="en-US"/>
        </w:rPr>
        <w:t xml:space="preserve">4 </w:t>
      </w:r>
      <w:r>
        <w:rPr>
          <w:color w:val="auto"/>
          <w:sz w:val="24"/>
        </w:rPr>
        <w:t>合同继续履行将损害国家利益和社会公共利益的，双方当事人应当变更、中止或者终止合同。有过错的一方承担赔偿责任，双方都有过错的，各自承担相应责任。</w:t>
      </w:r>
      <w:r>
        <w:rPr>
          <w:color w:val="auto"/>
          <w:sz w:val="24"/>
          <w:lang w:val="en-US"/>
        </w:rPr>
        <w:t>合同履行中，采购人需追加与合同标的相同的货物、工程或者服务的， 在不改变其他条款的前提下，经采购人审查后，可以与供应商签订补充合同，补充合同须有采购人监章，但所有补充合同的采购金额不得超过原合同金额的10%。</w:t>
      </w:r>
    </w:p>
    <w:p w14:paraId="1F790E9E">
      <w:pPr>
        <w:pStyle w:val="43"/>
        <w:tabs>
          <w:tab w:val="left" w:pos="1713"/>
        </w:tabs>
        <w:spacing w:before="2" w:line="364" w:lineRule="auto"/>
        <w:ind w:left="0" w:firstLine="440" w:firstLineChars="200"/>
        <w:jc w:val="both"/>
        <w:rPr>
          <w:color w:val="auto"/>
          <w:sz w:val="24"/>
        </w:rPr>
      </w:pPr>
      <w:r>
        <w:rPr>
          <w:color w:val="auto"/>
          <w:lang w:val="en-US"/>
        </w:rPr>
        <w:t>31</w:t>
      </w:r>
      <w:r>
        <w:rPr>
          <w:color w:val="auto"/>
        </w:rPr>
        <w:t>.</w:t>
      </w:r>
      <w:r>
        <w:rPr>
          <w:color w:val="auto"/>
          <w:lang w:val="en-US"/>
        </w:rPr>
        <w:t xml:space="preserve">5 </w:t>
      </w:r>
      <w:r>
        <w:rPr>
          <w:color w:val="auto"/>
          <w:sz w:val="24"/>
        </w:rPr>
        <w:t>如中标人拒签合同，则按违约处理。采购人将没收其合同履约保证金。</w:t>
      </w:r>
    </w:p>
    <w:p w14:paraId="4F2F9259">
      <w:pPr>
        <w:pStyle w:val="43"/>
        <w:tabs>
          <w:tab w:val="left" w:pos="1708"/>
        </w:tabs>
        <w:spacing w:line="364" w:lineRule="auto"/>
        <w:ind w:left="0" w:firstLine="440" w:firstLineChars="200"/>
        <w:jc w:val="both"/>
        <w:rPr>
          <w:color w:val="auto"/>
          <w:sz w:val="24"/>
        </w:rPr>
      </w:pPr>
      <w:r>
        <w:rPr>
          <w:color w:val="auto"/>
          <w:lang w:val="en-US"/>
        </w:rPr>
        <w:t>31</w:t>
      </w:r>
      <w:r>
        <w:rPr>
          <w:color w:val="auto"/>
        </w:rPr>
        <w:t>.</w:t>
      </w:r>
      <w:r>
        <w:rPr>
          <w:color w:val="auto"/>
          <w:lang w:val="en-US"/>
        </w:rPr>
        <w:t xml:space="preserve">6 </w:t>
      </w:r>
      <w:r>
        <w:rPr>
          <w:color w:val="auto"/>
          <w:sz w:val="24"/>
        </w:rPr>
        <w:t>采购人的</w:t>
      </w:r>
      <w:r>
        <w:rPr>
          <w:rFonts w:hint="eastAsia"/>
          <w:color w:val="auto"/>
          <w:sz w:val="24"/>
        </w:rPr>
        <w:t>采购文件</w:t>
      </w:r>
      <w:r>
        <w:rPr>
          <w:color w:val="auto"/>
          <w:sz w:val="24"/>
        </w:rPr>
        <w:t>、中标方的投标文件及其澄清、询标（答疑）文件等， 均做为签订合同的法律依据。</w:t>
      </w:r>
    </w:p>
    <w:p w14:paraId="109132D5">
      <w:pPr>
        <w:pStyle w:val="43"/>
        <w:tabs>
          <w:tab w:val="left" w:pos="1713"/>
        </w:tabs>
        <w:spacing w:before="2" w:line="364" w:lineRule="auto"/>
        <w:ind w:left="0" w:firstLine="440" w:firstLineChars="200"/>
        <w:jc w:val="both"/>
        <w:rPr>
          <w:color w:val="auto"/>
          <w:sz w:val="24"/>
        </w:rPr>
      </w:pPr>
      <w:r>
        <w:rPr>
          <w:color w:val="auto"/>
          <w:lang w:val="en-US"/>
        </w:rPr>
        <w:t>31</w:t>
      </w:r>
      <w:r>
        <w:rPr>
          <w:color w:val="auto"/>
        </w:rPr>
        <w:t>.</w:t>
      </w:r>
      <w:r>
        <w:rPr>
          <w:color w:val="auto"/>
          <w:lang w:val="en-US"/>
        </w:rPr>
        <w:t xml:space="preserve">7 </w:t>
      </w:r>
      <w:r>
        <w:rPr>
          <w:color w:val="auto"/>
          <w:sz w:val="24"/>
        </w:rPr>
        <w:t>在未经采购人允许的情况下，不允许中标人将成交项目分包或转交他人承担。而且，采购人也不得直接指定分包人。</w:t>
      </w:r>
    </w:p>
    <w:p w14:paraId="39ADFA0F">
      <w:pPr>
        <w:pStyle w:val="2"/>
        <w:spacing w:before="163"/>
        <w:ind w:left="0" w:leftChars="0" w:right="0" w:rightChars="0"/>
        <w:rPr>
          <w:rFonts w:hint="eastAsia"/>
          <w:color w:val="auto"/>
          <w:lang w:val="en-US"/>
        </w:rPr>
      </w:pPr>
      <w:r>
        <w:rPr>
          <w:rFonts w:hint="eastAsia"/>
          <w:color w:val="auto"/>
          <w:lang w:val="en-US"/>
        </w:rPr>
        <w:br w:type="page"/>
      </w:r>
      <w:r>
        <w:rPr>
          <w:rFonts w:hint="eastAsia"/>
          <w:color w:val="auto"/>
          <w:lang w:val="en-US"/>
        </w:rPr>
        <w:t>第六部分</w:t>
      </w:r>
      <w:r>
        <w:rPr>
          <w:color w:val="auto"/>
          <w:lang w:val="en-US"/>
        </w:rPr>
        <w:t xml:space="preserve">   </w:t>
      </w:r>
      <w:r>
        <w:rPr>
          <w:color w:val="auto"/>
        </w:rPr>
        <w:t>货物需求、技术规格说明</w:t>
      </w:r>
    </w:p>
    <w:p w14:paraId="04935334">
      <w:pPr>
        <w:widowControl/>
        <w:numPr>
          <w:ilvl w:val="0"/>
          <w:numId w:val="0"/>
        </w:numPr>
        <w:kinsoku w:val="0"/>
        <w:adjustRightInd w:val="0"/>
        <w:snapToGrid w:val="0"/>
        <w:spacing w:line="219" w:lineRule="auto"/>
        <w:jc w:val="center"/>
        <w:textAlignment w:val="baseline"/>
        <w:rPr>
          <w:rFonts w:hint="default" w:ascii="Times New Roman" w:hAnsi="Times New Roman" w:eastAsia="黑体" w:cs="Times New Roman"/>
          <w:b w:val="0"/>
          <w:bCs w:val="0"/>
          <w:snapToGrid w:val="0"/>
          <w:color w:val="auto"/>
          <w:kern w:val="0"/>
          <w:sz w:val="32"/>
          <w:szCs w:val="32"/>
          <w:lang w:val="en-US" w:eastAsia="zh-CN" w:bidi="ar-SA"/>
        </w:rPr>
      </w:pPr>
      <w:r>
        <w:rPr>
          <w:rFonts w:hint="default" w:ascii="Times New Roman" w:hAnsi="Times New Roman" w:eastAsia="黑体" w:cs="Times New Roman"/>
          <w:b w:val="0"/>
          <w:bCs w:val="0"/>
          <w:snapToGrid w:val="0"/>
          <w:color w:val="auto"/>
          <w:kern w:val="0"/>
          <w:sz w:val="32"/>
          <w:szCs w:val="32"/>
          <w:lang w:val="en-US" w:eastAsia="zh-CN" w:bidi="ar-SA"/>
        </w:rPr>
        <w:t>一、采购清单（实施内容）</w:t>
      </w:r>
    </w:p>
    <w:tbl>
      <w:tblPr>
        <w:tblStyle w:val="26"/>
        <w:tblW w:w="9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6"/>
        <w:gridCol w:w="889"/>
        <w:gridCol w:w="784"/>
        <w:gridCol w:w="738"/>
        <w:gridCol w:w="483"/>
        <w:gridCol w:w="771"/>
        <w:gridCol w:w="4214"/>
        <w:gridCol w:w="1483"/>
      </w:tblGrid>
      <w:tr w14:paraId="41045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86" w:type="dxa"/>
          <w:trHeight w:val="0" w:hRule="atLeast"/>
          <w:jc w:val="center"/>
        </w:trPr>
        <w:tc>
          <w:tcPr>
            <w:tcW w:w="8372" w:type="dxa"/>
            <w:gridSpan w:val="7"/>
            <w:tcBorders>
              <w:top w:val="nil"/>
              <w:left w:val="nil"/>
              <w:bottom w:val="nil"/>
              <w:right w:val="nil"/>
            </w:tcBorders>
            <w:noWrap w:val="0"/>
            <w:vAlign w:val="center"/>
          </w:tcPr>
          <w:p w14:paraId="669FB17D">
            <w:pPr>
              <w:keepNext w:val="0"/>
              <w:keepLines w:val="0"/>
              <w:widowControl/>
              <w:suppressLineNumbers w:val="0"/>
              <w:kinsoku w:val="0"/>
              <w:adjustRightInd w:val="0"/>
              <w:snapToGrid w:val="0"/>
              <w:spacing w:line="240" w:lineRule="auto"/>
              <w:jc w:val="both"/>
              <w:textAlignment w:val="center"/>
              <w:rPr>
                <w:rFonts w:hint="default" w:ascii="Times New Roman" w:hAnsi="Times New Roman" w:eastAsia="方正小标宋简体" w:cs="Times New Roman"/>
                <w:i w:val="0"/>
                <w:iCs w:val="0"/>
                <w:snapToGrid w:val="0"/>
                <w:color w:val="auto"/>
                <w:kern w:val="0"/>
                <w:sz w:val="36"/>
                <w:szCs w:val="36"/>
                <w:u w:val="none"/>
                <w:lang w:val="en-US" w:eastAsia="en-US" w:bidi="ar-SA"/>
              </w:rPr>
            </w:pPr>
          </w:p>
        </w:tc>
      </w:tr>
      <w:tr w14:paraId="173B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textDirection w:val="tbRlV"/>
            <w:vAlign w:val="center"/>
          </w:tcPr>
          <w:p w14:paraId="038314ED">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F5B06">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品目名称</w:t>
            </w:r>
          </w:p>
        </w:tc>
        <w:tc>
          <w:tcPr>
            <w:tcW w:w="784" w:type="dxa"/>
            <w:tcBorders>
              <w:top w:val="single" w:color="000000" w:sz="4" w:space="0"/>
              <w:left w:val="single" w:color="000000" w:sz="4" w:space="0"/>
              <w:bottom w:val="single" w:color="000000" w:sz="4" w:space="0"/>
              <w:right w:val="single" w:color="000000" w:sz="4" w:space="0"/>
            </w:tcBorders>
            <w:noWrap w:val="0"/>
            <w:vAlign w:val="center"/>
          </w:tcPr>
          <w:p w14:paraId="1B8ED8B9">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数量</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14:paraId="14FF110B">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both"/>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计量单位</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14:paraId="0F0845AF">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单价</w:t>
            </w:r>
          </w:p>
        </w:tc>
        <w:tc>
          <w:tcPr>
            <w:tcW w:w="771" w:type="dxa"/>
            <w:tcBorders>
              <w:top w:val="single" w:color="000000" w:sz="4" w:space="0"/>
              <w:left w:val="single" w:color="000000" w:sz="4" w:space="0"/>
              <w:bottom w:val="single" w:color="000000" w:sz="4" w:space="0"/>
              <w:right w:val="single" w:color="000000" w:sz="4" w:space="0"/>
            </w:tcBorders>
            <w:noWrap w:val="0"/>
            <w:vAlign w:val="center"/>
          </w:tcPr>
          <w:p w14:paraId="34E16855">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合计金额（万元）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CC7FDE">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技术服务的需求</w:t>
            </w:r>
          </w:p>
        </w:tc>
        <w:tc>
          <w:tcPr>
            <w:tcW w:w="1486" w:type="dxa"/>
            <w:tcBorders>
              <w:top w:val="single" w:color="000000" w:sz="4" w:space="0"/>
              <w:left w:val="single" w:color="000000" w:sz="4" w:space="0"/>
              <w:bottom w:val="single" w:color="000000" w:sz="4" w:space="0"/>
              <w:right w:val="single" w:color="000000" w:sz="4" w:space="0"/>
            </w:tcBorders>
            <w:noWrap w:val="0"/>
            <w:vAlign w:val="center"/>
          </w:tcPr>
          <w:p w14:paraId="42165727">
            <w:pPr>
              <w:keepNext w:val="0"/>
              <w:keepLines w:val="0"/>
              <w:pageBreakBefore w:val="0"/>
              <w:widowControl/>
              <w:suppressLineNumbers w:val="0"/>
              <w:kinsoku w:val="0"/>
              <w:wordWrap/>
              <w:overflowPunct/>
              <w:topLinePunct w:val="0"/>
              <w:autoSpaceDE w:val="0"/>
              <w:autoSpaceDN w:val="0"/>
              <w:bidi w:val="0"/>
              <w:adjustRightInd w:val="0"/>
              <w:snapToGrid w:val="0"/>
              <w:spacing w:line="280" w:lineRule="exact"/>
              <w:jc w:val="center"/>
              <w:textAlignment w:val="center"/>
              <w:rPr>
                <w:rFonts w:hint="default" w:ascii="Times New Roman" w:hAnsi="Times New Roman" w:eastAsia="黑体" w:cs="Times New Roman"/>
                <w:i w:val="0"/>
                <w:iCs w:val="0"/>
                <w:snapToGrid w:val="0"/>
                <w:color w:val="auto"/>
                <w:kern w:val="0"/>
                <w:sz w:val="24"/>
                <w:szCs w:val="24"/>
                <w:u w:val="none"/>
                <w:lang w:val="en-US" w:eastAsia="en-US" w:bidi="ar-SA"/>
              </w:rPr>
            </w:pPr>
            <w:r>
              <w:rPr>
                <w:rFonts w:hint="default" w:ascii="Times New Roman" w:hAnsi="Times New Roman" w:eastAsia="黑体" w:cs="Times New Roman"/>
                <w:i w:val="0"/>
                <w:iCs w:val="0"/>
                <w:snapToGrid w:val="0"/>
                <w:color w:val="auto"/>
                <w:kern w:val="0"/>
                <w:sz w:val="24"/>
                <w:szCs w:val="24"/>
                <w:u w:val="none"/>
                <w:lang w:val="en-US" w:eastAsia="zh-CN" w:bidi="ar"/>
              </w:rPr>
              <w:t>备注</w:t>
            </w:r>
          </w:p>
        </w:tc>
      </w:tr>
      <w:tr w14:paraId="68DDE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147D58B6">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A380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尿素</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C0C001">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1</w:t>
            </w:r>
            <w:r>
              <w:rPr>
                <w:rFonts w:hint="eastAsia" w:ascii="Times New Roman" w:hAnsi="Times New Roman" w:eastAsia="宋体" w:cs="Times New Roman"/>
                <w:i w:val="0"/>
                <w:iCs w:val="0"/>
                <w:snapToGrid w:val="0"/>
                <w:color w:val="auto"/>
                <w:kern w:val="0"/>
                <w:sz w:val="24"/>
                <w:szCs w:val="24"/>
                <w:u w:val="none"/>
                <w:lang w:val="en-US" w:eastAsia="zh-CN" w:bidi="ar"/>
              </w:rPr>
              <w:t>7</w:t>
            </w:r>
            <w:r>
              <w:rPr>
                <w:rFonts w:hint="default" w:ascii="Times New Roman" w:hAnsi="Times New Roman" w:eastAsia="宋体" w:cs="Times New Roman"/>
                <w:i w:val="0"/>
                <w:iCs w:val="0"/>
                <w:snapToGrid w:val="0"/>
                <w:color w:val="auto"/>
                <w:kern w:val="0"/>
                <w:sz w:val="24"/>
                <w:szCs w:val="24"/>
                <w:u w:val="none"/>
                <w:lang w:val="en-US" w:eastAsia="zh-CN" w:bidi="ar"/>
              </w:rPr>
              <w:t>00吨</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C9DB7">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吨</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60B251">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E6CD5">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0CC00">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en-US" w:bidi="ar-SA"/>
              </w:rPr>
            </w:pPr>
            <w:r>
              <w:rPr>
                <w:rFonts w:hint="eastAsia" w:ascii="Times New Roman" w:hAnsi="Times New Roman" w:eastAsia="宋体" w:cs="Times New Roman"/>
                <w:snapToGrid w:val="0"/>
                <w:color w:val="auto"/>
                <w:kern w:val="0"/>
                <w:sz w:val="24"/>
                <w:szCs w:val="24"/>
                <w:lang w:val="en-US" w:eastAsia="zh-CN" w:bidi="ar-SA"/>
              </w:rPr>
              <w:t>适用于各种土壤和植物，易保存使用方便，对土壤的破坏作用小，经微生物作用转化后为农作物供氮，促生长提产量品质。农业用尿素优等品，总氮含量≥46%，缩二尿含量≤0.9%，亚甲基二脲≤0.6%（生产工艺中不加甲醛，不测亚甲基二脲）。执行标准GB/T2440-2017,粒度：0.85mm-2.8mm≥93%,颗粒均匀、无明显结块、粉化，包装40Kg/袋或50Kg/袋，颜色：白色小颗粒。</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7F6C3">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r w14:paraId="5849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326DDD8B">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r>
              <w:rPr>
                <w:rFonts w:hint="default" w:ascii="Times New Roman" w:hAnsi="Times New Roman" w:eastAsia="宋体" w:cs="Times New Roman"/>
                <w:i w:val="0"/>
                <w:iCs w:val="0"/>
                <w:snapToGrid w:val="0"/>
                <w:color w:val="auto"/>
                <w:kern w:val="0"/>
                <w:sz w:val="24"/>
                <w:szCs w:val="24"/>
                <w:u w:val="none"/>
                <w:lang w:val="en-US" w:eastAsia="zh-CN" w:bidi="ar-SA"/>
              </w:rPr>
              <w:t>2</w:t>
            </w:r>
          </w:p>
          <w:p w14:paraId="23E13271">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EABD3">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微量元素水溶肥</w:t>
            </w:r>
            <w:r>
              <w:rPr>
                <w:rFonts w:hint="default" w:ascii="Times New Roman" w:hAnsi="Times New Roman" w:eastAsia="宋体" w:cs="Times New Roman"/>
                <w:snapToGrid w:val="0"/>
                <w:color w:val="auto"/>
                <w:kern w:val="0"/>
                <w:sz w:val="24"/>
                <w:szCs w:val="24"/>
                <w:u w:val="none"/>
                <w:lang w:val="en-US" w:eastAsia="zh-CN" w:bidi="ar"/>
              </w:rPr>
              <w:t>(苗期)</w:t>
            </w:r>
            <w:r>
              <w:rPr>
                <w:rFonts w:hint="eastAsia" w:ascii="Times New Roman" w:hAnsi="Times New Roman" w:eastAsia="宋体" w:cs="Times New Roman"/>
                <w:snapToGrid w:val="0"/>
                <w:color w:val="auto"/>
                <w:kern w:val="0"/>
                <w:sz w:val="24"/>
                <w:szCs w:val="24"/>
                <w:u w:val="none"/>
                <w:lang w:val="en-US" w:eastAsia="zh-CN" w:bidi="ar"/>
              </w:rPr>
              <w:t>★</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7B480">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3028</w:t>
            </w:r>
            <w:r>
              <w:rPr>
                <w:rFonts w:hint="default" w:ascii="Times New Roman" w:hAnsi="Times New Roman" w:eastAsia="宋体" w:cs="Times New Roman"/>
                <w:snapToGrid w:val="0"/>
                <w:color w:val="auto"/>
                <w:kern w:val="0"/>
                <w:sz w:val="24"/>
                <w:szCs w:val="24"/>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40612">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CB322">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12FA8">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94F2F">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snapToGrid w:val="0"/>
                <w:color w:val="auto"/>
                <w:kern w:val="0"/>
                <w:sz w:val="24"/>
                <w:szCs w:val="24"/>
                <w:lang w:val="en-US" w:eastAsia="en-US" w:bidi="ar-SA"/>
              </w:rPr>
              <w:t>微量元素总量≥10.0%（Zn+Mn+B≥10.0%）；pH(1:250)＝3.0-5.0；需添加3,4-二甲基吡唑磷酸盐，含量≥28%，产品执行标准统一为NY1428-2010《微量元素水溶肥料》；检测执行标准：按照国家相关标准执行，第三方检测报告中需体现Zn、Mn、B、3,4-二甲基吡唑磷酸盐含量，须提供检测公司联系人员姓名及联系方式；包装规格：1000g/袋，剂型：粉末状晶体</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F5CCF">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r>
              <w:rPr>
                <w:rFonts w:hint="eastAsia" w:ascii="宋体" w:hAnsi="宋体" w:eastAsia="宋体" w:cs="宋体"/>
                <w:lang w:val="en-US" w:eastAsia="zh-CN"/>
              </w:rPr>
              <w:t>采购该产品主要与尿素搭配使用，本项目实施地块盐碱化比较厉害，微量元素水溶肥采购PH选择</w:t>
            </w:r>
            <w:r>
              <w:rPr>
                <w:rFonts w:ascii="Times New Roman" w:hAnsi="Times New Roman" w:eastAsia="仿宋_GB2312" w:cs="宋体"/>
                <w:b w:val="0"/>
                <w:color w:val="000000"/>
                <w:sz w:val="21"/>
              </w:rPr>
              <w:t>3.0～</w:t>
            </w:r>
            <w:r>
              <w:rPr>
                <w:rFonts w:hint="eastAsia" w:ascii="Times New Roman" w:hAnsi="Times New Roman" w:eastAsia="仿宋_GB2312" w:cs="宋体"/>
                <w:b w:val="0"/>
                <w:color w:val="000000"/>
                <w:sz w:val="21"/>
                <w:lang w:val="en-US" w:eastAsia="zh-CN"/>
              </w:rPr>
              <w:t>5</w:t>
            </w:r>
            <w:r>
              <w:rPr>
                <w:rFonts w:ascii="Times New Roman" w:hAnsi="Times New Roman" w:eastAsia="仿宋_GB2312" w:cs="宋体"/>
                <w:b w:val="0"/>
                <w:color w:val="000000"/>
                <w:sz w:val="21"/>
              </w:rPr>
              <w:t>.0</w:t>
            </w:r>
            <w:r>
              <w:rPr>
                <w:rFonts w:hint="eastAsia" w:ascii="Times New Roman" w:hAnsi="Times New Roman" w:eastAsia="仿宋_GB2312" w:cs="宋体"/>
                <w:b w:val="0"/>
                <w:color w:val="000000"/>
                <w:sz w:val="21"/>
                <w:lang w:eastAsia="zh-CN"/>
              </w:rPr>
              <w:t>。</w:t>
            </w:r>
            <w:r>
              <w:rPr>
                <w:rFonts w:hint="eastAsia" w:ascii="宋体" w:hAnsi="宋体" w:eastAsia="宋体" w:cs="宋体"/>
                <w:lang w:val="en-US" w:eastAsia="zh-CN"/>
              </w:rPr>
              <w:t>为小麦高产创建提供稳定氮肥。</w:t>
            </w:r>
          </w:p>
        </w:tc>
      </w:tr>
      <w:tr w14:paraId="630D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41DF5E23">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28FB9">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微量元素水溶肥（开花前后期）</w:t>
            </w:r>
            <w:r>
              <w:rPr>
                <w:rFonts w:hint="eastAsia" w:ascii="Times New Roman" w:hAnsi="Times New Roman" w:eastAsia="宋体" w:cs="Times New Roman"/>
                <w:snapToGrid w:val="0"/>
                <w:color w:val="auto"/>
                <w:kern w:val="0"/>
                <w:sz w:val="24"/>
                <w:szCs w:val="24"/>
                <w:u w:val="none"/>
                <w:lang w:val="en-US" w:eastAsia="zh-CN" w:bidi="ar"/>
              </w:rPr>
              <w:t>★</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8D46BC">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4500</w:t>
            </w:r>
            <w:r>
              <w:rPr>
                <w:rFonts w:hint="default" w:ascii="Times New Roman" w:hAnsi="Times New Roman" w:eastAsia="宋体" w:cs="Times New Roman"/>
                <w:snapToGrid w:val="0"/>
                <w:color w:val="auto"/>
                <w:kern w:val="0"/>
                <w:sz w:val="24"/>
                <w:szCs w:val="24"/>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1310C">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9EBE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F4A1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955D5">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eastAsia="宋体" w:cs="Times New Roman"/>
                <w:snapToGrid w:val="0"/>
                <w:color w:val="auto"/>
                <w:kern w:val="0"/>
                <w:sz w:val="24"/>
                <w:szCs w:val="24"/>
                <w:lang w:val="en-US" w:eastAsia="zh-CN" w:bidi="ar-SA"/>
              </w:rPr>
              <w:t>微量元素总量≥10.0%（B+Zn≥10.0%）；pH(1:250)=3.0-5.0；需添加3,4-二甲基吡唑磷酸盐，含量≥28%，产品执行标准统一为NY1428-2010《微量元素水溶肥料》；检测执行标准：按照国家相关标准执行，第三方检测报告中需体现Zn、B、3,4-二甲基吡唑磷酸盐含量，须提供检测公司联系人员姓名及联系方式；包装规格：1000g/袋，剂型：粉末状晶体</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E6F71">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r>
              <w:rPr>
                <w:rFonts w:hint="eastAsia" w:ascii="宋体" w:hAnsi="宋体" w:eastAsia="宋体" w:cs="宋体"/>
                <w:lang w:val="en-US" w:eastAsia="zh-CN"/>
              </w:rPr>
              <w:t>采购该产品主要与尿素搭配使用，本项目实施地块盐碱化比较厉害，微量元素水溶肥采购PH选择</w:t>
            </w:r>
            <w:r>
              <w:rPr>
                <w:rFonts w:ascii="Times New Roman" w:hAnsi="Times New Roman" w:eastAsia="仿宋_GB2312" w:cs="宋体"/>
                <w:b w:val="0"/>
                <w:color w:val="000000"/>
                <w:sz w:val="21"/>
              </w:rPr>
              <w:t>3.0～</w:t>
            </w:r>
            <w:r>
              <w:rPr>
                <w:rFonts w:hint="eastAsia" w:ascii="Times New Roman" w:hAnsi="Times New Roman" w:eastAsia="仿宋_GB2312" w:cs="宋体"/>
                <w:b w:val="0"/>
                <w:color w:val="000000"/>
                <w:sz w:val="21"/>
                <w:lang w:val="en-US" w:eastAsia="zh-CN"/>
              </w:rPr>
              <w:t>5</w:t>
            </w:r>
            <w:r>
              <w:rPr>
                <w:rFonts w:ascii="Times New Roman" w:hAnsi="Times New Roman" w:eastAsia="仿宋_GB2312" w:cs="宋体"/>
                <w:b w:val="0"/>
                <w:color w:val="000000"/>
                <w:sz w:val="21"/>
              </w:rPr>
              <w:t>.0</w:t>
            </w:r>
            <w:r>
              <w:rPr>
                <w:rFonts w:hint="eastAsia" w:ascii="Times New Roman" w:hAnsi="Times New Roman" w:eastAsia="仿宋_GB2312" w:cs="宋体"/>
                <w:b w:val="0"/>
                <w:color w:val="000000"/>
                <w:sz w:val="21"/>
                <w:lang w:eastAsia="zh-CN"/>
              </w:rPr>
              <w:t>。</w:t>
            </w:r>
            <w:r>
              <w:rPr>
                <w:rFonts w:hint="eastAsia" w:ascii="宋体" w:hAnsi="宋体" w:eastAsia="宋体" w:cs="宋体"/>
                <w:lang w:val="en-US" w:eastAsia="zh-CN"/>
              </w:rPr>
              <w:t>为小麦高产创建提供稳定氮肥。</w:t>
            </w:r>
          </w:p>
        </w:tc>
      </w:tr>
      <w:tr w14:paraId="50D6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45F48DE3">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73244">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微量元素水溶肥（产量形成期）</w:t>
            </w:r>
            <w:r>
              <w:rPr>
                <w:rFonts w:hint="eastAsia" w:ascii="Times New Roman" w:hAnsi="Times New Roman" w:eastAsia="宋体" w:cs="Times New Roman"/>
                <w:snapToGrid w:val="0"/>
                <w:color w:val="auto"/>
                <w:kern w:val="0"/>
                <w:sz w:val="24"/>
                <w:szCs w:val="24"/>
                <w:u w:val="none"/>
                <w:lang w:val="en-US" w:eastAsia="zh-CN" w:bidi="ar"/>
              </w:rPr>
              <w:t>★</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92BA4">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r>
              <w:rPr>
                <w:rFonts w:hint="default" w:ascii="Times New Roman" w:hAnsi="Times New Roman" w:eastAsia="宋体" w:cs="Times New Roman"/>
                <w:i w:val="0"/>
                <w:iCs w:val="0"/>
                <w:snapToGrid w:val="0"/>
                <w:color w:val="auto"/>
                <w:kern w:val="0"/>
                <w:sz w:val="24"/>
                <w:szCs w:val="24"/>
                <w:u w:val="none"/>
                <w:lang w:val="en-US" w:eastAsia="zh-CN" w:bidi="ar"/>
              </w:rPr>
              <w:t>2100</w:t>
            </w:r>
            <w:r>
              <w:rPr>
                <w:rFonts w:hint="default" w:ascii="Times New Roman" w:hAnsi="Times New Roman" w:eastAsia="宋体" w:cs="Times New Roman"/>
                <w:snapToGrid w:val="0"/>
                <w:color w:val="auto"/>
                <w:kern w:val="0"/>
                <w:sz w:val="24"/>
                <w:szCs w:val="24"/>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09BE9">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314B6">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CAE54">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DB0F37">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snapToGrid w:val="0"/>
                <w:color w:val="auto"/>
                <w:kern w:val="0"/>
                <w:sz w:val="24"/>
                <w:szCs w:val="24"/>
                <w:lang w:val="en-US" w:eastAsia="en-US" w:bidi="ar-SA"/>
              </w:rPr>
              <w:t>微量元素总量≥10.0%（Zn+Mn&gt;10.0%）；pH(1:250)=3.0-5.0；需添加正丁基硫代磷酰三胺，含量≥10%；产品执行标准统一为NY1428-2010《微量元素水溶肥料》；检测执行标准：按照国家相关标准执行，第三方检测报告中需体现Zn、Mn、正丁基硫代磷酰三胺含量，须提供检测公司联系人员姓名及联系方式；包装规格：1000g/袋，剂型：粉末状晶体</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15ED3">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en-US" w:bidi="ar-SA"/>
              </w:rPr>
              <w:t>采购该产品主要与尿素搭配使用，本项目实施地块盐碱化比较厉害，微量元素水溶肥采购PH选择3.0～5.0。为小麦高产创建提供稳定氮肥。</w:t>
            </w:r>
          </w:p>
        </w:tc>
      </w:tr>
      <w:tr w14:paraId="1334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54792E59">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E54142">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50%</w:t>
            </w:r>
            <w:r>
              <w:rPr>
                <w:rFonts w:hint="default" w:ascii="Times New Roman" w:hAnsi="Times New Roman" w:eastAsia="宋体" w:cs="Times New Roman"/>
                <w:snapToGrid w:val="0"/>
                <w:color w:val="auto"/>
                <w:kern w:val="0"/>
                <w:sz w:val="24"/>
                <w:szCs w:val="24"/>
                <w:u w:val="none"/>
                <w:lang w:val="en-US" w:eastAsia="zh-CN" w:bidi="ar"/>
              </w:rPr>
              <w:t>矮壮素（控旺调节剂）</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51407">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r>
              <w:rPr>
                <w:rFonts w:hint="default" w:ascii="Times New Roman" w:hAnsi="Times New Roman" w:eastAsia="宋体" w:cs="Times New Roman"/>
                <w:i w:val="0"/>
                <w:iCs w:val="0"/>
                <w:snapToGrid w:val="0"/>
                <w:color w:val="auto"/>
                <w:kern w:val="0"/>
                <w:sz w:val="21"/>
                <w:szCs w:val="21"/>
                <w:u w:val="none"/>
                <w:lang w:val="en-US" w:eastAsia="zh-CN" w:bidi="ar"/>
              </w:rPr>
              <w:t>28000</w:t>
            </w:r>
            <w:r>
              <w:rPr>
                <w:rFonts w:hint="default" w:ascii="Times New Roman" w:hAnsi="Times New Roman" w:eastAsia="宋体" w:cs="Times New Roman"/>
                <w:snapToGrid w:val="0"/>
                <w:color w:val="auto"/>
                <w:kern w:val="0"/>
                <w:sz w:val="21"/>
                <w:szCs w:val="21"/>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C9A7B">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18495">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1E9A8">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68850">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en-US" w:bidi="ar-SA"/>
              </w:rPr>
            </w:pPr>
            <w:r>
              <w:rPr>
                <w:rFonts w:hint="eastAsia" w:ascii="宋体" w:hAnsi="宋体" w:eastAsia="宋体" w:cs="宋体"/>
                <w:i w:val="0"/>
                <w:iCs w:val="0"/>
                <w:snapToGrid w:val="0"/>
                <w:color w:val="auto"/>
                <w:kern w:val="0"/>
                <w:sz w:val="22"/>
                <w:szCs w:val="22"/>
                <w:u w:val="none"/>
                <w:lang w:val="en-US" w:eastAsia="zh-CN" w:bidi="ar"/>
              </w:rPr>
              <w:t>有效成分及其含量:矮壮素50%;剂型:水剂、可溶液剂，规格:1000g/瓶。药剂作用：防治小麦倒伏，提高产量，登记作物包含小麦</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921B9">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r w14:paraId="4AC40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50DDE485">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696DA9">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40%</w:t>
            </w:r>
            <w:r>
              <w:rPr>
                <w:rFonts w:hint="default" w:ascii="Times New Roman" w:hAnsi="Times New Roman" w:eastAsia="宋体" w:cs="Times New Roman"/>
                <w:snapToGrid w:val="0"/>
                <w:color w:val="auto"/>
                <w:kern w:val="0"/>
                <w:sz w:val="24"/>
                <w:szCs w:val="24"/>
                <w:u w:val="none"/>
                <w:lang w:val="en-US" w:eastAsia="zh-CN" w:bidi="ar"/>
              </w:rPr>
              <w:t>唑醚·戊唑醇</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EAAA3">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r>
              <w:rPr>
                <w:rFonts w:hint="default" w:ascii="Times New Roman" w:hAnsi="Times New Roman" w:eastAsia="宋体" w:cs="Times New Roman"/>
                <w:i w:val="0"/>
                <w:iCs w:val="0"/>
                <w:snapToGrid w:val="0"/>
                <w:color w:val="auto"/>
                <w:kern w:val="0"/>
                <w:sz w:val="24"/>
                <w:szCs w:val="24"/>
                <w:u w:val="none"/>
                <w:lang w:val="en-US" w:eastAsia="zh-CN" w:bidi="ar"/>
              </w:rPr>
              <w:t>2500</w:t>
            </w:r>
            <w:r>
              <w:rPr>
                <w:rFonts w:hint="default" w:ascii="Times New Roman" w:hAnsi="Times New Roman" w:eastAsia="宋体" w:cs="Times New Roman"/>
                <w:snapToGrid w:val="0"/>
                <w:color w:val="auto"/>
                <w:kern w:val="0"/>
                <w:sz w:val="24"/>
                <w:szCs w:val="24"/>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33748">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7AD3A">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E4C4D">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773B46AD">
            <w:pPr>
              <w:keepNext w:val="0"/>
              <w:keepLines w:val="0"/>
              <w:pageBreakBefore w:val="0"/>
              <w:widowControl/>
              <w:suppressLineNumbers w:val="0"/>
              <w:kinsoku w:val="0"/>
              <w:wordWrap/>
              <w:topLinePunct w:val="0"/>
              <w:bidi w:val="0"/>
              <w:adjustRightInd w:val="0"/>
              <w:snapToGrid w:val="0"/>
              <w:spacing w:line="360" w:lineRule="exact"/>
              <w:jc w:val="both"/>
              <w:textAlignment w:val="center"/>
              <w:rPr>
                <w:rFonts w:hint="eastAsia" w:ascii="Times New Roman" w:hAnsi="Times New Roman" w:eastAsia="Arial" w:cs="Times New Roman"/>
                <w:snapToGrid w:val="0"/>
                <w:color w:val="auto"/>
                <w:kern w:val="0"/>
                <w:sz w:val="24"/>
                <w:szCs w:val="24"/>
                <w:lang w:val="en-US" w:eastAsia="zh-CN" w:bidi="ar"/>
              </w:rPr>
            </w:pPr>
            <w:r>
              <w:rPr>
                <w:rFonts w:hint="eastAsia" w:ascii="Times New Roman" w:hAnsi="Times New Roman" w:eastAsia="宋体" w:cs="Times New Roman"/>
                <w:snapToGrid w:val="0"/>
                <w:color w:val="auto"/>
                <w:kern w:val="0"/>
                <w:sz w:val="24"/>
                <w:szCs w:val="24"/>
                <w:u w:val="none"/>
                <w:lang w:val="en-US" w:eastAsia="zh-CN" w:bidi="ar"/>
              </w:rPr>
              <w:t>需同时</w:t>
            </w:r>
            <w:r>
              <w:rPr>
                <w:rFonts w:hint="default" w:ascii="Times New Roman" w:hAnsi="Times New Roman" w:eastAsia="宋体" w:cs="Times New Roman"/>
                <w:snapToGrid w:val="0"/>
                <w:color w:val="auto"/>
                <w:kern w:val="0"/>
                <w:sz w:val="24"/>
                <w:szCs w:val="24"/>
                <w:u w:val="none"/>
                <w:lang w:val="en-US" w:eastAsia="zh-CN" w:bidi="ar"/>
              </w:rPr>
              <w:t>防治小麦赤霉病</w:t>
            </w:r>
            <w:r>
              <w:rPr>
                <w:rFonts w:hint="eastAsia" w:ascii="Times New Roman" w:hAnsi="Times New Roman" w:eastAsia="宋体" w:cs="Times New Roman"/>
                <w:snapToGrid w:val="0"/>
                <w:color w:val="auto"/>
                <w:kern w:val="0"/>
                <w:sz w:val="24"/>
                <w:szCs w:val="24"/>
                <w:u w:val="none"/>
                <w:lang w:val="en-US" w:eastAsia="zh-CN" w:bidi="ar"/>
              </w:rPr>
              <w:t>、白粉病，</w:t>
            </w:r>
          </w:p>
          <w:p w14:paraId="2EAE7164">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eastAsia" w:ascii="Times New Roman" w:hAnsi="Times New Roman" w:eastAsia="Arial" w:cs="Times New Roman"/>
                <w:snapToGrid w:val="0"/>
                <w:color w:val="auto"/>
                <w:kern w:val="0"/>
                <w:sz w:val="24"/>
                <w:szCs w:val="24"/>
                <w:lang w:val="en-US" w:eastAsia="zh-CN" w:bidi="ar"/>
              </w:rPr>
            </w:pPr>
            <w:r>
              <w:rPr>
                <w:rFonts w:hint="default" w:ascii="Times New Roman" w:hAnsi="Times New Roman" w:eastAsia="宋体" w:cs="Times New Roman"/>
                <w:snapToGrid w:val="0"/>
                <w:color w:val="auto"/>
                <w:kern w:val="0"/>
                <w:sz w:val="24"/>
                <w:szCs w:val="24"/>
                <w:u w:val="none"/>
                <w:lang w:val="en-US" w:eastAsia="zh-CN" w:bidi="ar"/>
              </w:rPr>
              <w:t>总有效成分含量:</w:t>
            </w:r>
            <w:r>
              <w:rPr>
                <w:rFonts w:hint="eastAsia" w:ascii="Times New Roman" w:hAnsi="Times New Roman" w:eastAsia="宋体" w:cs="Times New Roman"/>
                <w:snapToGrid w:val="0"/>
                <w:color w:val="auto"/>
                <w:kern w:val="0"/>
                <w:sz w:val="24"/>
                <w:szCs w:val="24"/>
                <w:u w:val="none"/>
                <w:lang w:val="en-US" w:eastAsia="zh-CN" w:bidi="ar"/>
              </w:rPr>
              <w:t>40</w:t>
            </w:r>
            <w:r>
              <w:rPr>
                <w:rFonts w:hint="default" w:ascii="Times New Roman" w:hAnsi="Times New Roman" w:eastAsia="宋体" w:cs="Times New Roman"/>
                <w:snapToGrid w:val="0"/>
                <w:color w:val="auto"/>
                <w:kern w:val="0"/>
                <w:sz w:val="24"/>
                <w:szCs w:val="24"/>
                <w:u w:val="none"/>
                <w:lang w:val="en-US" w:eastAsia="zh-CN" w:bidi="ar"/>
              </w:rPr>
              <w:t>%</w:t>
            </w:r>
            <w:r>
              <w:rPr>
                <w:rFonts w:hint="eastAsia" w:ascii="Times New Roman" w:hAnsi="Times New Roman" w:eastAsia="宋体" w:cs="Times New Roman"/>
                <w:snapToGrid w:val="0"/>
                <w:color w:val="auto"/>
                <w:kern w:val="0"/>
                <w:sz w:val="24"/>
                <w:szCs w:val="24"/>
                <w:u w:val="none"/>
                <w:lang w:val="en-US" w:eastAsia="zh-CN" w:bidi="ar"/>
              </w:rPr>
              <w:t>其中：</w:t>
            </w:r>
            <w:r>
              <w:rPr>
                <w:rFonts w:hint="default" w:ascii="Times New Roman" w:hAnsi="Times New Roman" w:eastAsia="宋体" w:cs="Times New Roman"/>
                <w:snapToGrid w:val="0"/>
                <w:color w:val="auto"/>
                <w:kern w:val="0"/>
                <w:sz w:val="24"/>
                <w:szCs w:val="24"/>
                <w:u w:val="none"/>
                <w:lang w:val="en-US" w:eastAsia="zh-CN" w:bidi="ar"/>
              </w:rPr>
              <w:t>吡唑醚菌酯10%、戊唑醇30%</w:t>
            </w:r>
            <w:r>
              <w:rPr>
                <w:rFonts w:hint="eastAsia" w:ascii="Times New Roman" w:hAnsi="Times New Roman" w:eastAsia="宋体" w:cs="Times New Roman"/>
                <w:snapToGrid w:val="0"/>
                <w:color w:val="auto"/>
                <w:kern w:val="0"/>
                <w:sz w:val="24"/>
                <w:szCs w:val="24"/>
                <w:u w:val="none"/>
                <w:lang w:val="en-US" w:eastAsia="zh-CN" w:bidi="ar"/>
              </w:rPr>
              <w:t>。剂型：</w:t>
            </w:r>
            <w:r>
              <w:rPr>
                <w:rFonts w:hint="eastAsia" w:ascii="Times New Roman" w:hAnsi="Times New Roman" w:eastAsia="宋体" w:cs="Times New Roman"/>
                <w:snapToGrid w:val="0"/>
                <w:color w:val="auto"/>
                <w:kern w:val="0"/>
                <w:sz w:val="24"/>
                <w:szCs w:val="24"/>
                <w:u w:val="none"/>
                <w:lang w:val="en-US" w:eastAsia="zh-CN" w:bidi="ar"/>
              </w:rPr>
              <w:tab/>
            </w:r>
            <w:r>
              <w:rPr>
                <w:rFonts w:hint="eastAsia" w:ascii="Times New Roman" w:hAnsi="Times New Roman" w:eastAsia="宋体" w:cs="Times New Roman"/>
                <w:snapToGrid w:val="0"/>
                <w:color w:val="auto"/>
                <w:kern w:val="0"/>
                <w:sz w:val="24"/>
                <w:szCs w:val="24"/>
                <w:u w:val="none"/>
                <w:lang w:val="en-US" w:eastAsia="zh-CN" w:bidi="ar"/>
              </w:rPr>
              <w:t>悬浮剂；</w:t>
            </w:r>
          </w:p>
          <w:p w14:paraId="28A503F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Arial" w:cs="Times New Roman"/>
                <w:snapToGrid w:val="0"/>
                <w:color w:val="auto"/>
                <w:kern w:val="0"/>
                <w:sz w:val="24"/>
                <w:szCs w:val="24"/>
                <w:lang w:val="en-US" w:eastAsia="en-US" w:bidi="ar"/>
              </w:rPr>
            </w:pPr>
            <w:r>
              <w:rPr>
                <w:rFonts w:hint="eastAsia" w:ascii="Times New Roman" w:hAnsi="Times New Roman" w:eastAsia="宋体" w:cs="Times New Roman"/>
                <w:snapToGrid w:val="0"/>
                <w:color w:val="auto"/>
                <w:kern w:val="0"/>
                <w:sz w:val="24"/>
                <w:szCs w:val="24"/>
                <w:lang w:val="en-US" w:eastAsia="zh-CN" w:bidi="ar-SA"/>
              </w:rPr>
              <w:t>包装规格：500</w:t>
            </w:r>
            <w:r>
              <w:rPr>
                <w:rFonts w:hint="default" w:ascii="Times New Roman" w:hAnsi="Times New Roman" w:eastAsia="宋体" w:cs="Times New Roman"/>
                <w:snapToGrid w:val="0"/>
                <w:color w:val="auto"/>
                <w:kern w:val="0"/>
                <w:sz w:val="24"/>
                <w:szCs w:val="24"/>
                <w:lang w:val="en-US" w:eastAsia="en-US" w:bidi="ar-SA"/>
              </w:rPr>
              <w:t>g/瓶</w:t>
            </w:r>
            <w:r>
              <w:rPr>
                <w:rFonts w:hint="eastAsia" w:ascii="Times New Roman" w:hAnsi="Times New Roman" w:eastAsia="宋体" w:cs="Times New Roman"/>
                <w:snapToGrid w:val="0"/>
                <w:color w:val="auto"/>
                <w:kern w:val="0"/>
                <w:sz w:val="24"/>
                <w:szCs w:val="24"/>
                <w:lang w:val="en-US" w:eastAsia="zh-CN" w:bidi="ar-SA"/>
              </w:rPr>
              <w:t>。</w:t>
            </w:r>
            <w:r>
              <w:rPr>
                <w:rFonts w:hint="eastAsia" w:ascii="Times New Roman" w:hAnsi="Times New Roman" w:eastAsia="宋体" w:cs="Times New Roman"/>
                <w:snapToGrid w:val="0"/>
                <w:color w:val="auto"/>
                <w:kern w:val="0"/>
                <w:sz w:val="24"/>
                <w:szCs w:val="24"/>
                <w:u w:val="none"/>
                <w:lang w:val="en-US" w:eastAsia="zh-CN" w:bidi="ar"/>
              </w:rPr>
              <w:t>登记作物包含小麦</w:t>
            </w:r>
          </w:p>
        </w:tc>
        <w:tc>
          <w:tcPr>
            <w:tcW w:w="148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E9346">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r w14:paraId="03CC2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68621035">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9E6A82">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氯氟·吡虫啉</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5F35C">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SA"/>
              </w:rPr>
            </w:pPr>
            <w:r>
              <w:rPr>
                <w:rFonts w:hint="default" w:ascii="Times New Roman" w:hAnsi="Times New Roman" w:eastAsia="宋体" w:cs="Times New Roman"/>
                <w:i w:val="0"/>
                <w:iCs w:val="0"/>
                <w:snapToGrid w:val="0"/>
                <w:color w:val="auto"/>
                <w:kern w:val="0"/>
                <w:sz w:val="24"/>
                <w:szCs w:val="24"/>
                <w:u w:val="none"/>
                <w:lang w:val="en-US" w:eastAsia="zh-CN" w:bidi="ar"/>
              </w:rPr>
              <w:t>2000</w:t>
            </w:r>
            <w:r>
              <w:rPr>
                <w:rFonts w:hint="default" w:ascii="Times New Roman" w:hAnsi="Times New Roman" w:eastAsia="宋体" w:cs="Times New Roman"/>
                <w:snapToGrid w:val="0"/>
                <w:color w:val="auto"/>
                <w:kern w:val="0"/>
                <w:sz w:val="24"/>
                <w:szCs w:val="24"/>
                <w:u w:val="none"/>
                <w:lang w:val="en-US" w:eastAsia="zh-CN" w:bidi="ar"/>
              </w:rPr>
              <w:t>公斤</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7B9C0">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公斤</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34E17">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771"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74D36D6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3D0E78">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Arial" w:cs="Times New Roman"/>
                <w:snapToGrid w:val="0"/>
                <w:color w:val="auto"/>
                <w:kern w:val="0"/>
                <w:sz w:val="24"/>
                <w:szCs w:val="24"/>
                <w:lang w:val="en-US" w:eastAsia="zh-CN" w:bidi="ar"/>
              </w:rPr>
            </w:pPr>
            <w:r>
              <w:rPr>
                <w:rFonts w:hint="default" w:ascii="Times New Roman" w:hAnsi="Times New Roman" w:eastAsia="宋体" w:cs="Times New Roman"/>
                <w:snapToGrid w:val="0"/>
                <w:color w:val="auto"/>
                <w:kern w:val="0"/>
                <w:sz w:val="24"/>
                <w:szCs w:val="24"/>
                <w:u w:val="none"/>
                <w:lang w:val="en-US" w:eastAsia="zh-CN" w:bidi="ar"/>
              </w:rPr>
              <w:t>防治小麦</w:t>
            </w:r>
            <w:r>
              <w:rPr>
                <w:rFonts w:hint="eastAsia" w:ascii="Times New Roman" w:hAnsi="Times New Roman" w:eastAsia="宋体" w:cs="Times New Roman"/>
                <w:snapToGrid w:val="0"/>
                <w:color w:val="auto"/>
                <w:kern w:val="0"/>
                <w:sz w:val="24"/>
                <w:szCs w:val="24"/>
                <w:u w:val="none"/>
                <w:lang w:val="en-US" w:eastAsia="zh-CN" w:bidi="ar"/>
              </w:rPr>
              <w:t>蚜虫，</w:t>
            </w:r>
            <w:r>
              <w:rPr>
                <w:rFonts w:hint="default" w:ascii="Times New Roman" w:hAnsi="Times New Roman" w:eastAsia="宋体" w:cs="Times New Roman"/>
                <w:snapToGrid w:val="0"/>
                <w:color w:val="auto"/>
                <w:kern w:val="0"/>
                <w:sz w:val="24"/>
                <w:szCs w:val="24"/>
                <w:u w:val="none"/>
                <w:lang w:val="en-US" w:eastAsia="zh-CN" w:bidi="ar"/>
              </w:rPr>
              <w:t>总有效成分含量:</w:t>
            </w:r>
            <w:r>
              <w:rPr>
                <w:rFonts w:hint="eastAsia" w:ascii="Times New Roman" w:hAnsi="Times New Roman" w:eastAsia="宋体" w:cs="Times New Roman"/>
                <w:snapToGrid w:val="0"/>
                <w:color w:val="auto"/>
                <w:kern w:val="0"/>
                <w:sz w:val="24"/>
                <w:szCs w:val="24"/>
                <w:u w:val="none"/>
                <w:lang w:val="en-US" w:eastAsia="zh-CN" w:bidi="ar"/>
              </w:rPr>
              <w:t>15</w:t>
            </w:r>
            <w:r>
              <w:rPr>
                <w:rFonts w:hint="default" w:ascii="Times New Roman" w:hAnsi="Times New Roman" w:eastAsia="宋体" w:cs="Times New Roman"/>
                <w:snapToGrid w:val="0"/>
                <w:color w:val="auto"/>
                <w:kern w:val="0"/>
                <w:sz w:val="24"/>
                <w:szCs w:val="24"/>
                <w:u w:val="none"/>
                <w:lang w:val="en-US" w:eastAsia="zh-CN" w:bidi="ar"/>
              </w:rPr>
              <w:t>%</w:t>
            </w:r>
            <w:r>
              <w:rPr>
                <w:rFonts w:hint="eastAsia" w:ascii="Times New Roman" w:hAnsi="Times New Roman" w:eastAsia="宋体" w:cs="Times New Roman"/>
                <w:snapToGrid w:val="0"/>
                <w:color w:val="auto"/>
                <w:kern w:val="0"/>
                <w:sz w:val="24"/>
                <w:szCs w:val="24"/>
                <w:u w:val="none"/>
                <w:lang w:val="en-US" w:eastAsia="zh-CN" w:bidi="ar"/>
              </w:rPr>
              <w:t>，其中：</w:t>
            </w:r>
            <w:r>
              <w:rPr>
                <w:rFonts w:hint="default" w:ascii="Times New Roman" w:hAnsi="Times New Roman" w:eastAsia="宋体" w:cs="Times New Roman"/>
                <w:snapToGrid w:val="0"/>
                <w:color w:val="auto"/>
                <w:kern w:val="0"/>
                <w:sz w:val="24"/>
                <w:szCs w:val="24"/>
                <w:u w:val="none"/>
                <w:lang w:val="en-US" w:eastAsia="zh-CN" w:bidi="ar"/>
              </w:rPr>
              <w:t>吡虫啉10%、高效氯氟氰菊酯</w:t>
            </w:r>
            <w:r>
              <w:rPr>
                <w:rFonts w:hint="eastAsia" w:ascii="Times New Roman" w:hAnsi="Times New Roman" w:eastAsia="宋体" w:cs="Times New Roman"/>
                <w:snapToGrid w:val="0"/>
                <w:color w:val="auto"/>
                <w:kern w:val="0"/>
                <w:sz w:val="24"/>
                <w:szCs w:val="24"/>
                <w:u w:val="none"/>
                <w:lang w:val="en-US" w:eastAsia="zh-CN" w:bidi="ar"/>
              </w:rPr>
              <w:t>5%；剂型：</w:t>
            </w:r>
            <w:r>
              <w:rPr>
                <w:rFonts w:hint="default" w:ascii="Times New Roman" w:hAnsi="Times New Roman" w:eastAsia="宋体" w:cs="Times New Roman"/>
                <w:snapToGrid w:val="0"/>
                <w:color w:val="auto"/>
                <w:kern w:val="0"/>
                <w:sz w:val="24"/>
                <w:szCs w:val="24"/>
                <w:u w:val="none"/>
                <w:lang w:val="en-US" w:eastAsia="zh-CN" w:bidi="ar"/>
              </w:rPr>
              <w:t>悬浮剂，</w:t>
            </w:r>
            <w:r>
              <w:rPr>
                <w:rFonts w:hint="eastAsia" w:ascii="Times New Roman" w:hAnsi="Times New Roman" w:eastAsia="宋体" w:cs="Times New Roman"/>
                <w:snapToGrid w:val="0"/>
                <w:color w:val="auto"/>
                <w:kern w:val="0"/>
                <w:sz w:val="24"/>
                <w:szCs w:val="24"/>
                <w:u w:val="none"/>
                <w:lang w:val="en-US" w:eastAsia="zh-CN" w:bidi="ar"/>
              </w:rPr>
              <w:t>包装规格：200</w:t>
            </w:r>
            <w:r>
              <w:rPr>
                <w:rFonts w:hint="default" w:ascii="Times New Roman" w:hAnsi="Times New Roman" w:eastAsia="宋体" w:cs="Times New Roman"/>
                <w:snapToGrid w:val="0"/>
                <w:color w:val="auto"/>
                <w:kern w:val="0"/>
                <w:sz w:val="24"/>
                <w:szCs w:val="24"/>
                <w:u w:val="none"/>
                <w:lang w:val="en-US" w:eastAsia="zh-CN" w:bidi="ar"/>
              </w:rPr>
              <w:t>g/</w:t>
            </w:r>
            <w:r>
              <w:rPr>
                <w:rFonts w:hint="eastAsia" w:ascii="Times New Roman" w:hAnsi="Times New Roman" w:eastAsia="宋体" w:cs="Times New Roman"/>
                <w:snapToGrid w:val="0"/>
                <w:color w:val="auto"/>
                <w:kern w:val="0"/>
                <w:sz w:val="24"/>
                <w:szCs w:val="24"/>
                <w:u w:val="none"/>
                <w:lang w:val="en-US" w:eastAsia="zh-CN" w:bidi="ar"/>
              </w:rPr>
              <w:t>瓶；登记作物包含小麦</w:t>
            </w:r>
          </w:p>
        </w:tc>
        <w:tc>
          <w:tcPr>
            <w:tcW w:w="1486" w:type="dxa"/>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E712846">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r w14:paraId="16009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textDirection w:val="lrTbV"/>
            <w:vAlign w:val="center"/>
          </w:tcPr>
          <w:p w14:paraId="7AC37645">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2A7DC">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i w:val="0"/>
                <w:iCs w:val="0"/>
                <w:snapToGrid w:val="0"/>
                <w:color w:val="auto"/>
                <w:kern w:val="0"/>
                <w:sz w:val="24"/>
                <w:szCs w:val="24"/>
                <w:u w:val="none"/>
                <w:lang w:val="en-US" w:eastAsia="zh-CN" w:bidi="ar"/>
              </w:rPr>
              <w:t>磷酸二氢钾</w:t>
            </w:r>
          </w:p>
        </w:tc>
        <w:tc>
          <w:tcPr>
            <w:tcW w:w="7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91D586">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20吨</w:t>
            </w:r>
          </w:p>
        </w:tc>
        <w:tc>
          <w:tcPr>
            <w:tcW w:w="7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3E5A8">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r>
              <w:rPr>
                <w:rFonts w:hint="default" w:ascii="Times New Roman" w:hAnsi="Times New Roman" w:eastAsia="宋体" w:cs="Times New Roman"/>
                <w:i w:val="0"/>
                <w:iCs w:val="0"/>
                <w:snapToGrid w:val="0"/>
                <w:color w:val="auto"/>
                <w:kern w:val="0"/>
                <w:sz w:val="24"/>
                <w:szCs w:val="24"/>
                <w:u w:val="none"/>
                <w:lang w:val="en-US" w:eastAsia="zh-CN" w:bidi="ar"/>
              </w:rPr>
              <w:t>吨</w:t>
            </w:r>
          </w:p>
        </w:tc>
        <w:tc>
          <w:tcPr>
            <w:tcW w:w="4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919A3">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p>
        </w:tc>
        <w:tc>
          <w:tcPr>
            <w:tcW w:w="771"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58E3353D">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en-US"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8F10C5">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i w:val="0"/>
                <w:iCs w:val="0"/>
                <w:snapToGrid w:val="0"/>
                <w:color w:val="auto"/>
                <w:kern w:val="0"/>
                <w:sz w:val="24"/>
                <w:szCs w:val="24"/>
                <w:u w:val="none"/>
                <w:lang w:val="en-US" w:eastAsia="en-US" w:bidi="ar-SA"/>
              </w:rPr>
            </w:pPr>
            <w:r>
              <w:rPr>
                <w:rFonts w:hint="default" w:ascii="Times New Roman" w:hAnsi="Times New Roman" w:eastAsia="宋体" w:cs="Times New Roman"/>
                <w:snapToGrid w:val="0"/>
                <w:color w:val="auto"/>
                <w:kern w:val="0"/>
                <w:sz w:val="24"/>
                <w:szCs w:val="24"/>
                <w:u w:val="none"/>
                <w:lang w:val="en-US" w:eastAsia="zh-CN" w:bidi="ar"/>
              </w:rPr>
              <w:t>有效成分总含量：KH2PO4≥99%，P2O5≥52%，K2O≥34%，规格：1000克/袋（粉剂），剂型：膨化速溶粉剂。</w:t>
            </w:r>
            <w:r>
              <w:rPr>
                <w:rFonts w:hint="eastAsia" w:ascii="Times New Roman" w:hAnsi="Times New Roman" w:eastAsia="宋体" w:cs="Times New Roman"/>
                <w:snapToGrid w:val="0"/>
                <w:color w:val="auto"/>
                <w:kern w:val="0"/>
                <w:sz w:val="24"/>
                <w:szCs w:val="24"/>
                <w:u w:val="none"/>
                <w:lang w:val="en-US" w:eastAsia="zh-CN" w:bidi="ar"/>
              </w:rPr>
              <w:t>执行标准HG/T2321-2016,膨化闪溶工艺，适合无人机飞防。</w:t>
            </w:r>
          </w:p>
        </w:tc>
        <w:tc>
          <w:tcPr>
            <w:tcW w:w="1486" w:type="dxa"/>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0898C560">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r w14:paraId="32D43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80"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2884D">
            <w:pPr>
              <w:widowControl/>
              <w:kinsoku w:val="0"/>
              <w:adjustRightInd w:val="0"/>
              <w:snapToGrid w:val="0"/>
              <w:spacing w:line="240" w:lineRule="auto"/>
              <w:jc w:val="center"/>
              <w:textAlignment w:val="baseline"/>
              <w:rPr>
                <w:rFonts w:hint="default" w:ascii="Times New Roman" w:hAnsi="Times New Roman" w:eastAsia="Arial" w:cs="Times New Roman"/>
                <w:snapToGrid w:val="0"/>
                <w:color w:val="auto"/>
                <w:kern w:val="0"/>
                <w:sz w:val="21"/>
                <w:szCs w:val="21"/>
                <w:lang w:val="en-US" w:eastAsia="zh-CN" w:bidi="ar-SA"/>
              </w:rPr>
            </w:pPr>
            <w:r>
              <w:rPr>
                <w:rFonts w:hint="default" w:ascii="Times New Roman" w:hAnsi="Times New Roman" w:eastAsia="Arial" w:cs="Times New Roman"/>
                <w:snapToGrid w:val="0"/>
                <w:color w:val="auto"/>
                <w:kern w:val="0"/>
                <w:sz w:val="28"/>
                <w:szCs w:val="28"/>
                <w:lang w:val="en-US" w:eastAsia="zh-CN" w:bidi="ar-SA"/>
              </w:rPr>
              <w:t>合计</w:t>
            </w:r>
          </w:p>
        </w:tc>
        <w:tc>
          <w:tcPr>
            <w:tcW w:w="771"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63D67E9E">
            <w:pPr>
              <w:keepNext w:val="0"/>
              <w:keepLines w:val="0"/>
              <w:pageBreakBefore w:val="0"/>
              <w:widowControl/>
              <w:suppressLineNumbers w:val="0"/>
              <w:kinsoku w:val="0"/>
              <w:wordWrap/>
              <w:topLinePunct w:val="0"/>
              <w:bidi w:val="0"/>
              <w:adjustRightInd w:val="0"/>
              <w:snapToGrid w:val="0"/>
              <w:spacing w:line="360" w:lineRule="exact"/>
              <w:jc w:val="center"/>
              <w:textAlignment w:val="center"/>
              <w:rPr>
                <w:rFonts w:hint="default" w:ascii="Times New Roman" w:hAnsi="Times New Roman" w:eastAsia="宋体" w:cs="Times New Roman"/>
                <w:i w:val="0"/>
                <w:iCs w:val="0"/>
                <w:snapToGrid w:val="0"/>
                <w:color w:val="auto"/>
                <w:kern w:val="0"/>
                <w:sz w:val="24"/>
                <w:szCs w:val="24"/>
                <w:u w:val="none"/>
                <w:lang w:val="en-US" w:eastAsia="zh-CN" w:bidi="ar"/>
              </w:rPr>
            </w:pPr>
          </w:p>
        </w:tc>
        <w:tc>
          <w:tcPr>
            <w:tcW w:w="422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BD8094">
            <w:pPr>
              <w:keepNext w:val="0"/>
              <w:keepLines w:val="0"/>
              <w:pageBreakBefore w:val="0"/>
              <w:widowControl w:val="0"/>
              <w:kinsoku/>
              <w:wordWrap/>
              <w:overflowPunct w:val="0"/>
              <w:topLinePunct w:val="0"/>
              <w:autoSpaceDE/>
              <w:autoSpaceDN/>
              <w:bidi w:val="0"/>
              <w:adjustRightInd/>
              <w:snapToGrid w:val="0"/>
              <w:spacing w:line="360" w:lineRule="exact"/>
              <w:ind w:left="0" w:leftChars="0"/>
              <w:jc w:val="both"/>
              <w:textAlignment w:val="auto"/>
              <w:rPr>
                <w:rFonts w:hint="default" w:ascii="Times New Roman" w:hAnsi="Times New Roman" w:eastAsia="宋体" w:cs="Times New Roman"/>
                <w:snapToGrid w:val="0"/>
                <w:color w:val="auto"/>
                <w:kern w:val="0"/>
                <w:sz w:val="24"/>
                <w:szCs w:val="24"/>
                <w:lang w:val="en-US" w:eastAsia="en-US" w:bidi="ar-SA"/>
              </w:rPr>
            </w:pPr>
          </w:p>
        </w:tc>
        <w:tc>
          <w:tcPr>
            <w:tcW w:w="1486" w:type="dxa"/>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147263D2">
            <w:pPr>
              <w:keepNext w:val="0"/>
              <w:keepLines w:val="0"/>
              <w:pageBreakBefore w:val="0"/>
              <w:widowControl/>
              <w:kinsoku w:val="0"/>
              <w:wordWrap/>
              <w:topLinePunct w:val="0"/>
              <w:bidi w:val="0"/>
              <w:adjustRightInd w:val="0"/>
              <w:snapToGrid w:val="0"/>
              <w:spacing w:line="360" w:lineRule="exact"/>
              <w:jc w:val="center"/>
              <w:textAlignment w:val="baseline"/>
              <w:rPr>
                <w:rFonts w:hint="default" w:ascii="Times New Roman" w:hAnsi="Times New Roman" w:eastAsia="宋体" w:cs="Times New Roman"/>
                <w:i w:val="0"/>
                <w:iCs w:val="0"/>
                <w:snapToGrid w:val="0"/>
                <w:color w:val="auto"/>
                <w:kern w:val="0"/>
                <w:sz w:val="24"/>
                <w:szCs w:val="24"/>
                <w:u w:val="none"/>
                <w:lang w:val="en-US" w:eastAsia="en-US" w:bidi="ar-SA"/>
              </w:rPr>
            </w:pPr>
          </w:p>
        </w:tc>
      </w:tr>
    </w:tbl>
    <w:p w14:paraId="5030811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8" w:lineRule="exact"/>
        <w:ind w:firstLine="480" w:firstLineChars="200"/>
        <w:jc w:val="left"/>
        <w:textAlignment w:val="baseline"/>
        <w:rPr>
          <w:rFonts w:hint="default" w:ascii="Times New Roman" w:hAnsi="Times New Roman" w:eastAsia="宋体" w:cs="Times New Roman"/>
          <w:snapToGrid w:val="0"/>
          <w:color w:val="auto"/>
          <w:kern w:val="0"/>
          <w:sz w:val="24"/>
          <w:szCs w:val="24"/>
          <w:u w:val="none"/>
          <w:lang w:val="en-US" w:eastAsia="zh-CN" w:bidi="ar"/>
        </w:rPr>
      </w:pPr>
      <w:r>
        <w:rPr>
          <w:rFonts w:hint="eastAsia" w:ascii="Times New Roman" w:hAnsi="Times New Roman" w:eastAsia="宋体" w:cs="Times New Roman"/>
          <w:snapToGrid w:val="0"/>
          <w:color w:val="auto"/>
          <w:kern w:val="0"/>
          <w:sz w:val="24"/>
          <w:szCs w:val="24"/>
          <w:u w:val="none"/>
          <w:lang w:val="en-US" w:eastAsia="zh-CN" w:bidi="ar"/>
        </w:rPr>
        <w:t>★为核心产品</w:t>
      </w:r>
    </w:p>
    <w:p w14:paraId="35D3171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8" w:lineRule="exact"/>
        <w:ind w:firstLine="640" w:firstLineChars="200"/>
        <w:jc w:val="left"/>
        <w:textAlignment w:val="baseline"/>
        <w:rPr>
          <w:rFonts w:hint="default" w:ascii="Times New Roman" w:hAnsi="Times New Roman" w:eastAsia="黑体" w:cs="Times New Roman"/>
          <w:b w:val="0"/>
          <w:bCs w:val="0"/>
          <w:snapToGrid w:val="0"/>
          <w:color w:val="auto"/>
          <w:kern w:val="0"/>
          <w:sz w:val="32"/>
          <w:szCs w:val="32"/>
          <w:lang w:val="en-US" w:eastAsia="zh-CN" w:bidi="ar-SA"/>
        </w:rPr>
      </w:pPr>
      <w:r>
        <w:rPr>
          <w:rFonts w:hint="default" w:ascii="Times New Roman" w:hAnsi="Times New Roman" w:eastAsia="黑体" w:cs="Times New Roman"/>
          <w:b w:val="0"/>
          <w:bCs w:val="0"/>
          <w:snapToGrid w:val="0"/>
          <w:color w:val="auto"/>
          <w:kern w:val="0"/>
          <w:sz w:val="32"/>
          <w:szCs w:val="32"/>
          <w:lang w:val="en-US" w:eastAsia="zh-CN" w:bidi="ar-SA"/>
        </w:rPr>
        <w:t>二、采购要求</w:t>
      </w:r>
    </w:p>
    <w:p w14:paraId="399F194F">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default" w:ascii="Times New Roman" w:hAnsi="Times New Roman" w:eastAsia="仿宋_GB2312" w:cs="Times New Roman"/>
          <w:snapToGrid w:val="0"/>
          <w:color w:val="auto"/>
          <w:kern w:val="0"/>
          <w:sz w:val="32"/>
          <w:szCs w:val="32"/>
          <w:lang w:val="en-US" w:eastAsia="zh-CN" w:bidi="ar-SA"/>
        </w:rPr>
        <w:t>1.服务质量目标：满足采购需求所要求的内容。</w:t>
      </w:r>
    </w:p>
    <w:p w14:paraId="2FBCC466">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default" w:ascii="Times New Roman" w:hAnsi="Times New Roman" w:eastAsia="仿宋_GB2312" w:cs="Times New Roman"/>
          <w:snapToGrid w:val="0"/>
          <w:color w:val="auto"/>
          <w:kern w:val="0"/>
          <w:sz w:val="32"/>
          <w:szCs w:val="32"/>
          <w:lang w:val="en-US" w:eastAsia="zh-CN" w:bidi="ar-SA"/>
        </w:rPr>
        <w:t>2.</w:t>
      </w:r>
      <w:r>
        <w:rPr>
          <w:rFonts w:hint="eastAsia" w:ascii="Times New Roman" w:hAnsi="Times New Roman" w:eastAsia="仿宋_GB2312" w:cs="Times New Roman"/>
          <w:b/>
          <w:bCs/>
          <w:snapToGrid w:val="0"/>
          <w:color w:val="auto"/>
          <w:kern w:val="0"/>
          <w:sz w:val="32"/>
          <w:szCs w:val="32"/>
          <w:lang w:val="en-US" w:eastAsia="zh-CN" w:bidi="ar-SA"/>
        </w:rPr>
        <w:t>本次采购所有产品须</w:t>
      </w:r>
      <w:r>
        <w:rPr>
          <w:rFonts w:hint="default" w:ascii="Times New Roman" w:hAnsi="Times New Roman" w:eastAsia="仿宋_GB2312" w:cs="Times New Roman"/>
          <w:b/>
          <w:bCs/>
          <w:snapToGrid w:val="0"/>
          <w:color w:val="auto"/>
          <w:kern w:val="0"/>
          <w:sz w:val="32"/>
          <w:szCs w:val="32"/>
          <w:lang w:val="en-US" w:eastAsia="zh-CN" w:bidi="ar-SA"/>
        </w:rPr>
        <w:t>投标供应商提供近24个月内具备相应检测资质</w:t>
      </w:r>
      <w:r>
        <w:rPr>
          <w:rFonts w:hint="eastAsia" w:ascii="Times New Roman" w:hAnsi="Times New Roman" w:eastAsia="仿宋_GB2312" w:cs="Times New Roman"/>
          <w:b/>
          <w:bCs/>
          <w:snapToGrid w:val="0"/>
          <w:color w:val="auto"/>
          <w:kern w:val="0"/>
          <w:sz w:val="32"/>
          <w:szCs w:val="32"/>
          <w:lang w:val="en-US" w:eastAsia="zh-CN" w:bidi="ar-SA"/>
        </w:rPr>
        <w:t>的</w:t>
      </w:r>
      <w:r>
        <w:rPr>
          <w:rFonts w:hint="default" w:ascii="Times New Roman" w:hAnsi="Times New Roman" w:eastAsia="仿宋_GB2312" w:cs="Times New Roman"/>
          <w:b/>
          <w:bCs/>
          <w:snapToGrid w:val="0"/>
          <w:color w:val="auto"/>
          <w:kern w:val="0"/>
          <w:sz w:val="32"/>
          <w:szCs w:val="32"/>
          <w:lang w:val="en-US" w:eastAsia="zh-CN" w:bidi="ar-SA"/>
        </w:rPr>
        <w:t>第三方</w:t>
      </w:r>
      <w:r>
        <w:rPr>
          <w:rFonts w:hint="eastAsia" w:ascii="Times New Roman" w:hAnsi="Times New Roman" w:eastAsia="仿宋_GB2312" w:cs="Times New Roman"/>
          <w:b/>
          <w:bCs/>
          <w:snapToGrid w:val="0"/>
          <w:color w:val="auto"/>
          <w:kern w:val="0"/>
          <w:sz w:val="32"/>
          <w:szCs w:val="32"/>
          <w:lang w:val="en-US" w:eastAsia="zh-CN" w:bidi="ar-SA"/>
        </w:rPr>
        <w:t>检测</w:t>
      </w:r>
      <w:r>
        <w:rPr>
          <w:rFonts w:hint="default" w:ascii="Times New Roman" w:hAnsi="Times New Roman" w:eastAsia="仿宋_GB2312" w:cs="Times New Roman"/>
          <w:b/>
          <w:bCs/>
          <w:snapToGrid w:val="0"/>
          <w:color w:val="auto"/>
          <w:kern w:val="0"/>
          <w:sz w:val="32"/>
          <w:szCs w:val="32"/>
          <w:lang w:val="en-US" w:eastAsia="zh-CN" w:bidi="ar-SA"/>
        </w:rPr>
        <w:t>机构出具的产品检测报告、</w:t>
      </w:r>
      <w:r>
        <w:rPr>
          <w:rFonts w:hint="eastAsia" w:ascii="Times New Roman" w:hAnsi="Times New Roman" w:eastAsia="仿宋_GB2312" w:cs="Times New Roman"/>
          <w:b/>
          <w:bCs/>
          <w:snapToGrid w:val="0"/>
          <w:color w:val="auto"/>
          <w:kern w:val="0"/>
          <w:sz w:val="32"/>
          <w:szCs w:val="32"/>
          <w:lang w:val="en-US" w:eastAsia="zh-CN" w:bidi="ar-SA"/>
        </w:rPr>
        <w:t>须提供</w:t>
      </w:r>
      <w:r>
        <w:rPr>
          <w:rFonts w:hint="default" w:ascii="Times New Roman" w:hAnsi="Times New Roman" w:eastAsia="仿宋_GB2312" w:cs="Times New Roman"/>
          <w:b/>
          <w:bCs/>
          <w:snapToGrid w:val="0"/>
          <w:color w:val="auto"/>
          <w:kern w:val="0"/>
          <w:sz w:val="32"/>
          <w:szCs w:val="32"/>
          <w:lang w:val="en-US" w:eastAsia="zh-CN" w:bidi="ar-SA"/>
        </w:rPr>
        <w:t>检测机构</w:t>
      </w:r>
      <w:r>
        <w:rPr>
          <w:rFonts w:hint="eastAsia" w:ascii="Times New Roman" w:hAnsi="Times New Roman" w:eastAsia="仿宋_GB2312" w:cs="Times New Roman"/>
          <w:b/>
          <w:bCs/>
          <w:snapToGrid w:val="0"/>
          <w:color w:val="auto"/>
          <w:kern w:val="0"/>
          <w:sz w:val="32"/>
          <w:szCs w:val="32"/>
          <w:lang w:val="en-US" w:eastAsia="zh-CN" w:bidi="ar-SA"/>
        </w:rPr>
        <w:t>相关</w:t>
      </w:r>
      <w:r>
        <w:rPr>
          <w:rFonts w:hint="default" w:ascii="Times New Roman" w:hAnsi="Times New Roman" w:eastAsia="仿宋_GB2312" w:cs="Times New Roman"/>
          <w:b/>
          <w:bCs/>
          <w:snapToGrid w:val="0"/>
          <w:color w:val="auto"/>
          <w:kern w:val="0"/>
          <w:sz w:val="32"/>
          <w:szCs w:val="32"/>
          <w:lang w:val="en-US" w:eastAsia="zh-CN" w:bidi="ar-SA"/>
        </w:rPr>
        <w:t>资质</w:t>
      </w:r>
      <w:r>
        <w:rPr>
          <w:rFonts w:hint="eastAsia" w:ascii="Times New Roman" w:hAnsi="Times New Roman" w:eastAsia="仿宋_GB2312" w:cs="Times New Roman"/>
          <w:b/>
          <w:bCs/>
          <w:snapToGrid w:val="0"/>
          <w:color w:val="auto"/>
          <w:kern w:val="0"/>
          <w:sz w:val="32"/>
          <w:szCs w:val="32"/>
          <w:lang w:val="en-US" w:eastAsia="zh-CN" w:bidi="ar-SA"/>
        </w:rPr>
        <w:t>证明材料</w:t>
      </w:r>
      <w:r>
        <w:rPr>
          <w:rFonts w:hint="default" w:ascii="Times New Roman" w:hAnsi="Times New Roman" w:eastAsia="仿宋_GB2312" w:cs="Times New Roman"/>
          <w:b/>
          <w:bCs/>
          <w:snapToGrid w:val="0"/>
          <w:color w:val="auto"/>
          <w:kern w:val="0"/>
          <w:sz w:val="32"/>
          <w:szCs w:val="32"/>
          <w:lang w:val="en-US" w:eastAsia="zh-CN" w:bidi="ar-SA"/>
        </w:rPr>
        <w:t>及所投产品实物图片，报告检测指标应与所投产品技术参数</w:t>
      </w:r>
      <w:r>
        <w:rPr>
          <w:rFonts w:hint="eastAsia" w:ascii="Times New Roman" w:hAnsi="Times New Roman" w:eastAsia="仿宋_GB2312" w:cs="Times New Roman"/>
          <w:b/>
          <w:bCs/>
          <w:snapToGrid w:val="0"/>
          <w:color w:val="auto"/>
          <w:kern w:val="0"/>
          <w:sz w:val="32"/>
          <w:szCs w:val="32"/>
          <w:lang w:val="en-US" w:eastAsia="zh-CN" w:bidi="ar-SA"/>
        </w:rPr>
        <w:t>基本</w:t>
      </w:r>
      <w:r>
        <w:rPr>
          <w:rFonts w:hint="default" w:ascii="Times New Roman" w:hAnsi="Times New Roman" w:eastAsia="仿宋_GB2312" w:cs="Times New Roman"/>
          <w:b/>
          <w:bCs/>
          <w:snapToGrid w:val="0"/>
          <w:color w:val="auto"/>
          <w:kern w:val="0"/>
          <w:sz w:val="32"/>
          <w:szCs w:val="32"/>
          <w:lang w:val="en-US" w:eastAsia="zh-CN" w:bidi="ar-SA"/>
        </w:rPr>
        <w:t>保持一致</w:t>
      </w:r>
      <w:r>
        <w:rPr>
          <w:rFonts w:hint="eastAsia" w:ascii="Times New Roman" w:hAnsi="Times New Roman" w:eastAsia="仿宋_GB2312" w:cs="Times New Roman"/>
          <w:b/>
          <w:bCs/>
          <w:snapToGrid w:val="0"/>
          <w:color w:val="auto"/>
          <w:kern w:val="0"/>
          <w:sz w:val="32"/>
          <w:szCs w:val="32"/>
          <w:lang w:val="en-US" w:eastAsia="zh-CN" w:bidi="ar-SA"/>
        </w:rPr>
        <w:t>（肥料和药剂含量只能高不能低）</w:t>
      </w:r>
      <w:r>
        <w:rPr>
          <w:rFonts w:hint="default" w:ascii="Times New Roman" w:hAnsi="Times New Roman" w:eastAsia="仿宋_GB2312" w:cs="Times New Roman"/>
          <w:b/>
          <w:bCs/>
          <w:snapToGrid w:val="0"/>
          <w:color w:val="auto"/>
          <w:kern w:val="0"/>
          <w:sz w:val="32"/>
          <w:szCs w:val="32"/>
          <w:lang w:val="en-US" w:eastAsia="zh-CN" w:bidi="ar-SA"/>
        </w:rPr>
        <w:t>。产品最终质量以到货后采购人抽样送检结果为准，相关检测费用由中标供应商承担，检测不合格按合同约定追究违约责任。</w:t>
      </w:r>
    </w:p>
    <w:p w14:paraId="7284E45E">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default" w:ascii="Times New Roman" w:hAnsi="Times New Roman" w:eastAsia="仿宋_GB2312" w:cs="Times New Roman"/>
          <w:snapToGrid w:val="0"/>
          <w:color w:val="auto"/>
          <w:kern w:val="0"/>
          <w:sz w:val="32"/>
          <w:szCs w:val="32"/>
          <w:lang w:val="en-US" w:eastAsia="zh-CN" w:bidi="ar-SA"/>
        </w:rPr>
        <w:t>3.采购活动结束签订合同后先支付项目中标金额50%的预付款，待中标单位按照中标货物参数要求完成供货经验收合格后再支付中标价剩余50%的尾款。</w:t>
      </w:r>
    </w:p>
    <w:p w14:paraId="6F4B155D">
      <w:pPr>
        <w:keepNext w:val="0"/>
        <w:keepLines w:val="0"/>
        <w:pageBreakBefore w:val="0"/>
        <w:widowControl/>
        <w:kinsoku w:val="0"/>
        <w:wordWrap/>
        <w:overflowPunct/>
        <w:topLinePunct w:val="0"/>
        <w:autoSpaceDE w:val="0"/>
        <w:autoSpaceDN w:val="0"/>
        <w:bidi w:val="0"/>
        <w:adjustRightInd w:val="0"/>
        <w:snapToGrid w:val="0"/>
        <w:spacing w:line="578" w:lineRule="exact"/>
        <w:ind w:firstLine="643"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eastAsia" w:ascii="Times New Roman" w:hAnsi="Times New Roman" w:eastAsia="仿宋_GB2312" w:cs="Times New Roman"/>
          <w:b/>
          <w:bCs/>
          <w:snapToGrid w:val="0"/>
          <w:color w:val="auto"/>
          <w:kern w:val="0"/>
          <w:sz w:val="32"/>
          <w:szCs w:val="32"/>
          <w:lang w:val="en-US" w:eastAsia="zh-CN" w:bidi="ar-SA"/>
        </w:rPr>
        <w:t>4.投标供应商需要为农户科学使用农药化肥提供技术指导服务不少于3次，</w:t>
      </w:r>
      <w:r>
        <w:rPr>
          <w:rFonts w:hint="default" w:ascii="Times New Roman" w:hAnsi="Times New Roman" w:eastAsia="仿宋_GB2312" w:cs="Times New Roman"/>
          <w:snapToGrid w:val="0"/>
          <w:color w:val="auto"/>
          <w:kern w:val="0"/>
          <w:sz w:val="32"/>
          <w:szCs w:val="32"/>
          <w:lang w:val="en-US" w:eastAsia="zh-CN" w:bidi="ar-SA"/>
        </w:rPr>
        <w:t>服务团队中</w:t>
      </w:r>
      <w:r>
        <w:rPr>
          <w:rFonts w:hint="eastAsia" w:ascii="Times New Roman" w:hAnsi="Times New Roman" w:eastAsia="仿宋_GB2312" w:cs="Times New Roman"/>
          <w:snapToGrid w:val="0"/>
          <w:color w:val="auto"/>
          <w:kern w:val="0"/>
          <w:sz w:val="32"/>
          <w:szCs w:val="32"/>
          <w:lang w:val="en-US" w:eastAsia="zh-CN" w:bidi="ar-SA"/>
        </w:rPr>
        <w:t>农业专业</w:t>
      </w:r>
      <w:r>
        <w:rPr>
          <w:rFonts w:hint="default" w:ascii="Times New Roman" w:hAnsi="Times New Roman" w:eastAsia="仿宋_GB2312" w:cs="Times New Roman"/>
          <w:snapToGrid w:val="0"/>
          <w:color w:val="auto"/>
          <w:kern w:val="0"/>
          <w:sz w:val="32"/>
          <w:szCs w:val="32"/>
          <w:lang w:val="en-US" w:eastAsia="zh-CN" w:bidi="ar-SA"/>
        </w:rPr>
        <w:t>技术人员不少于4人（包含4人）</w:t>
      </w:r>
      <w:r>
        <w:rPr>
          <w:rFonts w:hint="eastAsia" w:ascii="Times New Roman" w:hAnsi="Times New Roman" w:eastAsia="仿宋_GB2312" w:cs="Times New Roman"/>
          <w:snapToGrid w:val="0"/>
          <w:color w:val="auto"/>
          <w:kern w:val="0"/>
          <w:sz w:val="32"/>
          <w:szCs w:val="32"/>
          <w:lang w:val="en-US" w:eastAsia="zh-CN" w:bidi="ar-SA"/>
        </w:rPr>
        <w:t>。</w:t>
      </w:r>
    </w:p>
    <w:p w14:paraId="390AF40D">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eastAsia" w:ascii="Times New Roman" w:hAnsi="Times New Roman" w:eastAsia="仿宋_GB2312" w:cs="Times New Roman"/>
          <w:snapToGrid w:val="0"/>
          <w:color w:val="auto"/>
          <w:kern w:val="0"/>
          <w:sz w:val="32"/>
          <w:szCs w:val="32"/>
          <w:lang w:val="en-US" w:eastAsia="zh-CN" w:bidi="ar-SA"/>
        </w:rPr>
        <w:t>5.</w:t>
      </w:r>
      <w:r>
        <w:rPr>
          <w:rFonts w:hint="default" w:ascii="Times New Roman" w:hAnsi="Times New Roman" w:eastAsia="仿宋_GB2312" w:cs="Times New Roman"/>
          <w:snapToGrid w:val="0"/>
          <w:color w:val="auto"/>
          <w:kern w:val="0"/>
          <w:sz w:val="32"/>
          <w:szCs w:val="32"/>
          <w:lang w:val="en-US" w:eastAsia="zh-CN" w:bidi="ar-SA"/>
        </w:rPr>
        <w:t>货物交付时，产品剩余保质期自采购人实际收货之日起计算，不得少于18个月。供应商应当充分考虑产品生产、仓储、物流流转周期，合理组织货源，确保到货产品满足剩余保质期要求。若到货产品剩余保质期不满足上述要求，采购人有权拒收，由此产生的一切损失由中标供应商自行承担。</w:t>
      </w:r>
      <w:r>
        <w:rPr>
          <w:rFonts w:hint="default" w:ascii="Times New Roman" w:hAnsi="Times New Roman" w:eastAsia="仿宋_GB2312" w:cs="Times New Roman"/>
          <w:b/>
          <w:bCs/>
          <w:snapToGrid w:val="0"/>
          <w:color w:val="auto"/>
          <w:kern w:val="0"/>
          <w:sz w:val="32"/>
          <w:szCs w:val="32"/>
          <w:lang w:val="en-US" w:eastAsia="zh-CN" w:bidi="ar-SA"/>
        </w:rPr>
        <w:t>（需体现在文件中）</w:t>
      </w:r>
    </w:p>
    <w:p w14:paraId="7B49F9FF">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lang w:val="en-US" w:eastAsia="zh-CN" w:bidi="ar-SA"/>
        </w:rPr>
      </w:pPr>
      <w:r>
        <w:rPr>
          <w:rFonts w:hint="eastAsia" w:ascii="Times New Roman" w:hAnsi="Times New Roman" w:eastAsia="仿宋_GB2312" w:cs="Times New Roman"/>
          <w:snapToGrid w:val="0"/>
          <w:color w:val="auto"/>
          <w:kern w:val="0"/>
          <w:sz w:val="32"/>
          <w:szCs w:val="32"/>
          <w:lang w:val="en-US" w:eastAsia="zh-CN" w:bidi="ar-SA"/>
        </w:rPr>
        <w:t>6</w:t>
      </w:r>
      <w:r>
        <w:rPr>
          <w:rFonts w:hint="default" w:ascii="Times New Roman" w:hAnsi="Times New Roman" w:eastAsia="仿宋_GB2312" w:cs="Times New Roman"/>
          <w:snapToGrid w:val="0"/>
          <w:color w:val="auto"/>
          <w:kern w:val="0"/>
          <w:sz w:val="32"/>
          <w:szCs w:val="32"/>
          <w:lang w:val="en-US" w:eastAsia="zh-CN" w:bidi="ar-SA"/>
        </w:rPr>
        <w:t>.验收标准：乙方应当将货物一次性拉运到甲方指定地点进行现场验收，乙方在交付时提供货物的装箱清单及产品规格明细。甲方按照采购清单内容和乙方投标文件响应的规格参数、数量进行验收。验收合格后，由甲方人员在货物交接单上签字确认。</w:t>
      </w:r>
    </w:p>
    <w:p w14:paraId="02CCFF9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8" w:lineRule="exact"/>
        <w:ind w:firstLine="643" w:firstLineChars="200"/>
        <w:jc w:val="left"/>
        <w:textAlignment w:val="baseline"/>
        <w:outlineLvl w:val="0"/>
        <w:rPr>
          <w:rFonts w:hint="default" w:ascii="Times New Roman" w:hAnsi="Times New Roman" w:eastAsia="楷体_GB2312" w:cs="Times New Roman"/>
          <w:b/>
          <w:bCs/>
          <w:snapToGrid w:val="0"/>
          <w:color w:val="auto"/>
          <w:kern w:val="0"/>
          <w:sz w:val="32"/>
          <w:szCs w:val="32"/>
          <w:lang w:val="en-US" w:eastAsia="zh-CN" w:bidi="ar-SA"/>
        </w:rPr>
      </w:pPr>
      <w:r>
        <w:rPr>
          <w:rFonts w:hint="eastAsia" w:ascii="Times New Roman" w:hAnsi="Times New Roman" w:eastAsia="楷体_GB2312" w:cs="Times New Roman"/>
          <w:b/>
          <w:bCs/>
          <w:snapToGrid w:val="0"/>
          <w:color w:val="auto"/>
          <w:kern w:val="0"/>
          <w:sz w:val="32"/>
          <w:szCs w:val="32"/>
          <w:lang w:val="en-US" w:eastAsia="zh-CN" w:bidi="ar-SA"/>
        </w:rPr>
        <w:t>7</w:t>
      </w:r>
      <w:r>
        <w:rPr>
          <w:rFonts w:hint="default" w:ascii="Times New Roman" w:hAnsi="Times New Roman" w:eastAsia="楷体_GB2312" w:cs="Times New Roman"/>
          <w:b/>
          <w:bCs/>
          <w:snapToGrid w:val="0"/>
          <w:color w:val="auto"/>
          <w:kern w:val="0"/>
          <w:sz w:val="32"/>
          <w:szCs w:val="32"/>
          <w:lang w:val="en-US" w:eastAsia="zh-CN" w:bidi="ar-SA"/>
        </w:rPr>
        <w:t>.重要提示：以上所需内容必须严格按照采购人采购需求内容提供并实施，如不提供则不符合采购文件要求。</w:t>
      </w:r>
    </w:p>
    <w:p w14:paraId="40E20E3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8" w:lineRule="exact"/>
        <w:ind w:firstLine="640" w:firstLineChars="200"/>
        <w:jc w:val="left"/>
        <w:textAlignment w:val="baseline"/>
        <w:outlineLvl w:val="0"/>
        <w:rPr>
          <w:rFonts w:hint="default" w:ascii="Times New Roman" w:hAnsi="Times New Roman" w:eastAsia="黑体" w:cs="Times New Roman"/>
          <w:b w:val="0"/>
          <w:bCs w:val="0"/>
          <w:snapToGrid w:val="0"/>
          <w:color w:val="auto"/>
          <w:kern w:val="2"/>
          <w:sz w:val="32"/>
          <w:szCs w:val="32"/>
          <w:lang w:val="en-US" w:eastAsia="zh-CN" w:bidi="ar-SA"/>
        </w:rPr>
      </w:pPr>
      <w:r>
        <w:rPr>
          <w:rFonts w:hint="default" w:ascii="Times New Roman" w:hAnsi="Times New Roman" w:eastAsia="黑体" w:cs="Times New Roman"/>
          <w:b w:val="0"/>
          <w:bCs w:val="0"/>
          <w:snapToGrid w:val="0"/>
          <w:color w:val="auto"/>
          <w:kern w:val="2"/>
          <w:sz w:val="32"/>
          <w:szCs w:val="32"/>
          <w:lang w:val="en-US" w:eastAsia="zh-CN" w:bidi="ar-SA"/>
        </w:rPr>
        <w:t>三、商务</w:t>
      </w:r>
      <w:r>
        <w:rPr>
          <w:rFonts w:hint="eastAsia" w:ascii="Times New Roman" w:hAnsi="Times New Roman" w:eastAsia="黑体" w:cs="Times New Roman"/>
          <w:b w:val="0"/>
          <w:bCs w:val="0"/>
          <w:snapToGrid w:val="0"/>
          <w:color w:val="auto"/>
          <w:kern w:val="2"/>
          <w:sz w:val="32"/>
          <w:szCs w:val="32"/>
          <w:lang w:val="en-US" w:eastAsia="zh-CN" w:bidi="ar-SA"/>
        </w:rPr>
        <w:t>要求</w:t>
      </w:r>
    </w:p>
    <w:p w14:paraId="403AA626">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highlight w:val="none"/>
          <w:lang w:val="en-US" w:eastAsia="zh-CN" w:bidi="ar-SA"/>
        </w:rPr>
      </w:pPr>
      <w:r>
        <w:rPr>
          <w:rFonts w:hint="default" w:ascii="Times New Roman" w:hAnsi="Times New Roman" w:eastAsia="仿宋_GB2312" w:cs="Times New Roman"/>
          <w:snapToGrid w:val="0"/>
          <w:color w:val="auto"/>
          <w:kern w:val="0"/>
          <w:sz w:val="32"/>
          <w:szCs w:val="32"/>
          <w:highlight w:val="none"/>
          <w:lang w:val="en-US" w:eastAsia="zh-CN" w:bidi="ar-SA"/>
        </w:rPr>
        <w:t>为保障项目规范履约，对合同签订及供货要求约定如下：</w:t>
      </w:r>
    </w:p>
    <w:p w14:paraId="3F928ED2">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highlight w:val="none"/>
          <w:lang w:val="en-US" w:eastAsia="zh-CN" w:bidi="ar-SA"/>
        </w:rPr>
      </w:pPr>
      <w:r>
        <w:rPr>
          <w:rFonts w:hint="eastAsia" w:ascii="Times New Roman" w:hAnsi="Times New Roman" w:eastAsia="仿宋_GB2312" w:cs="Times New Roman"/>
          <w:snapToGrid w:val="0"/>
          <w:color w:val="auto"/>
          <w:kern w:val="0"/>
          <w:sz w:val="32"/>
          <w:szCs w:val="32"/>
          <w:highlight w:val="none"/>
          <w:lang w:val="en-US" w:eastAsia="zh-CN" w:bidi="ar-SA"/>
        </w:rPr>
        <w:t>1.</w:t>
      </w:r>
      <w:r>
        <w:rPr>
          <w:rFonts w:hint="default" w:ascii="Times New Roman" w:hAnsi="Times New Roman" w:eastAsia="仿宋_GB2312" w:cs="Times New Roman"/>
          <w:snapToGrid w:val="0"/>
          <w:color w:val="auto"/>
          <w:kern w:val="0"/>
          <w:sz w:val="32"/>
          <w:szCs w:val="32"/>
          <w:highlight w:val="none"/>
          <w:lang w:val="en-US" w:eastAsia="zh-CN" w:bidi="ar-SA"/>
        </w:rPr>
        <w:t>中标人应在中标通知书发出后的法定期限内与采购人签订采购合同，签约主体须与中标主体完全一致。签约代表为法定代表人的，须出示本人有效身份证件；为授权代表的，须持有法定代表人授权文件及本人有效身份证件。</w:t>
      </w:r>
    </w:p>
    <w:p w14:paraId="4E8E715D">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hint="default" w:ascii="Times New Roman" w:hAnsi="Times New Roman" w:eastAsia="仿宋_GB2312" w:cs="Times New Roman"/>
          <w:snapToGrid w:val="0"/>
          <w:color w:val="auto"/>
          <w:kern w:val="0"/>
          <w:sz w:val="32"/>
          <w:szCs w:val="32"/>
          <w:highlight w:val="none"/>
          <w:lang w:val="en-US" w:eastAsia="zh-CN" w:bidi="ar-SA"/>
        </w:rPr>
      </w:pPr>
      <w:r>
        <w:rPr>
          <w:rFonts w:hint="eastAsia" w:ascii="Times New Roman" w:hAnsi="Times New Roman" w:eastAsia="仿宋_GB2312" w:cs="Times New Roman"/>
          <w:snapToGrid w:val="0"/>
          <w:color w:val="auto"/>
          <w:kern w:val="0"/>
          <w:sz w:val="32"/>
          <w:szCs w:val="32"/>
          <w:highlight w:val="none"/>
          <w:lang w:val="en-US" w:eastAsia="zh-CN" w:bidi="ar-SA"/>
        </w:rPr>
        <w:t>2.</w:t>
      </w:r>
      <w:r>
        <w:rPr>
          <w:rFonts w:hint="default" w:ascii="Times New Roman" w:hAnsi="Times New Roman" w:eastAsia="仿宋_GB2312" w:cs="Times New Roman"/>
          <w:snapToGrid w:val="0"/>
          <w:color w:val="auto"/>
          <w:kern w:val="0"/>
          <w:sz w:val="32"/>
          <w:szCs w:val="32"/>
          <w:highlight w:val="none"/>
          <w:lang w:val="en-US" w:eastAsia="zh-CN" w:bidi="ar-SA"/>
        </w:rPr>
        <w:t>中标人供货时须随货提供产品合格证、质量检验报告等法定质量证明文件，确保产品可溯源、质量合格；采购人有权对产品来源渠道进行核验，中标人应配合提供对应进货凭证。</w:t>
      </w:r>
    </w:p>
    <w:p w14:paraId="3D9E156E">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jc w:val="left"/>
        <w:textAlignment w:val="baseline"/>
        <w:outlineLvl w:val="9"/>
        <w:rPr>
          <w:rFonts w:ascii="宋体" w:hAnsi="宋体" w:eastAsia="宋体" w:cs="宋体"/>
        </w:rPr>
      </w:pPr>
      <w:r>
        <w:rPr>
          <w:rFonts w:hint="eastAsia" w:ascii="Times New Roman" w:hAnsi="Times New Roman" w:eastAsia="仿宋_GB2312" w:cs="Times New Roman"/>
          <w:snapToGrid w:val="0"/>
          <w:color w:val="auto"/>
          <w:kern w:val="0"/>
          <w:sz w:val="32"/>
          <w:szCs w:val="32"/>
          <w:highlight w:val="none"/>
          <w:lang w:val="en-US" w:eastAsia="zh-CN" w:bidi="ar-SA"/>
        </w:rPr>
        <w:t>3.</w:t>
      </w:r>
      <w:r>
        <w:rPr>
          <w:rFonts w:hint="default" w:ascii="Times New Roman" w:hAnsi="Times New Roman" w:eastAsia="仿宋_GB2312" w:cs="Times New Roman"/>
          <w:snapToGrid w:val="0"/>
          <w:color w:val="auto"/>
          <w:kern w:val="0"/>
          <w:sz w:val="32"/>
          <w:szCs w:val="32"/>
          <w:highlight w:val="none"/>
          <w:lang w:val="en-US" w:eastAsia="zh-CN" w:bidi="ar-SA"/>
        </w:rPr>
        <w:t>中标人须严格按照合同约定的供货周期、数量、质量标准完成履约，逾期供货或履约不符合约定的，按合同违约责任条款承担相应责任。</w:t>
      </w:r>
    </w:p>
    <w:p w14:paraId="1B05BD4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8" w:lineRule="exact"/>
        <w:ind w:firstLine="643" w:firstLineChars="200"/>
        <w:jc w:val="left"/>
        <w:textAlignment w:val="baseline"/>
        <w:outlineLvl w:val="0"/>
        <w:rPr>
          <w:rFonts w:hint="default" w:ascii="Times New Roman" w:hAnsi="Times New Roman" w:eastAsia="仿宋_GB2312" w:cs="Times New Roman"/>
          <w:b/>
          <w:bCs/>
          <w:snapToGrid w:val="0"/>
          <w:color w:val="auto"/>
          <w:kern w:val="2"/>
          <w:sz w:val="32"/>
          <w:szCs w:val="32"/>
          <w:lang w:val="en-US" w:eastAsia="zh-CN" w:bidi="ar-SA"/>
        </w:rPr>
      </w:pPr>
    </w:p>
    <w:p w14:paraId="5FEE9B5D">
      <w:pPr>
        <w:rPr>
          <w:rFonts w:hint="eastAsia"/>
          <w:color w:val="auto"/>
          <w:lang w:val="en-US"/>
        </w:rPr>
      </w:pPr>
    </w:p>
    <w:p w14:paraId="1BD20C5B">
      <w:pPr>
        <w:ind w:firstLine="440" w:firstLineChars="200"/>
        <w:rPr>
          <w:rFonts w:hint="eastAsia" w:ascii="Times New Roman" w:cs="Times New Roman"/>
          <w:color w:val="auto"/>
          <w:lang w:val="en-US"/>
        </w:rPr>
      </w:pPr>
      <w:r>
        <w:rPr>
          <w:rFonts w:hint="eastAsia" w:ascii="Times New Roman" w:cs="Times New Roman"/>
          <w:color w:val="auto"/>
          <w:lang w:val="en-US"/>
        </w:rPr>
        <w:br w:type="page"/>
      </w:r>
    </w:p>
    <w:p w14:paraId="2FDD66BC">
      <w:pPr>
        <w:pStyle w:val="2"/>
        <w:spacing w:before="0"/>
        <w:ind w:left="0" w:leftChars="0" w:right="0" w:rightChars="0"/>
        <w:rPr>
          <w:color w:val="auto"/>
        </w:rPr>
      </w:pPr>
      <w:r>
        <w:rPr>
          <w:color w:val="auto"/>
        </w:rPr>
        <w:t xml:space="preserve">第七部分 </w:t>
      </w:r>
      <w:r>
        <w:rPr>
          <w:rFonts w:hint="eastAsia"/>
          <w:color w:val="auto"/>
          <w:lang w:val="en-US"/>
        </w:rPr>
        <w:t>合同</w:t>
      </w:r>
      <w:r>
        <w:rPr>
          <w:color w:val="auto"/>
        </w:rPr>
        <w:t>部分</w:t>
      </w:r>
    </w:p>
    <w:p w14:paraId="548A5DB8">
      <w:pPr>
        <w:pStyle w:val="40"/>
        <w:spacing w:line="360" w:lineRule="auto"/>
        <w:jc w:val="center"/>
        <w:rPr>
          <w:rFonts w:ascii="仿宋" w:hAnsi="仿宋" w:eastAsia="仿宋" w:cs="仿宋"/>
          <w:color w:val="auto"/>
          <w:sz w:val="48"/>
        </w:rPr>
      </w:pPr>
    </w:p>
    <w:p w14:paraId="36A05ED3">
      <w:pPr>
        <w:pStyle w:val="40"/>
        <w:spacing w:line="360" w:lineRule="auto"/>
        <w:jc w:val="center"/>
        <w:rPr>
          <w:rFonts w:ascii="仿宋" w:hAnsi="仿宋" w:eastAsia="仿宋" w:cs="仿宋"/>
          <w:color w:val="auto"/>
          <w:sz w:val="96"/>
        </w:rPr>
      </w:pPr>
      <w:r>
        <w:rPr>
          <w:rFonts w:hint="eastAsia" w:ascii="仿宋" w:hAnsi="仿宋" w:eastAsia="仿宋" w:cs="仿宋"/>
          <w:color w:val="auto"/>
          <w:sz w:val="96"/>
          <w:szCs w:val="112"/>
        </w:rPr>
        <w:t>合  同  文  本</w:t>
      </w:r>
    </w:p>
    <w:p w14:paraId="3046067D">
      <w:pPr>
        <w:pStyle w:val="40"/>
        <w:spacing w:line="360" w:lineRule="auto"/>
        <w:ind w:firstLine="944" w:firstLineChars="295"/>
        <w:rPr>
          <w:rFonts w:ascii="仿宋" w:hAnsi="仿宋" w:eastAsia="仿宋" w:cs="仿宋"/>
          <w:color w:val="auto"/>
          <w:sz w:val="32"/>
          <w:szCs w:val="31"/>
        </w:rPr>
      </w:pPr>
      <w:r>
        <w:rPr>
          <w:rFonts w:hint="eastAsia" w:ascii="仿宋" w:hAnsi="仿宋" w:eastAsia="仿宋" w:cs="仿宋"/>
          <w:color w:val="auto"/>
          <w:sz w:val="32"/>
        </w:rPr>
        <w:t xml:space="preserve">                              </w:t>
      </w:r>
    </w:p>
    <w:p w14:paraId="5B078A6A">
      <w:pPr>
        <w:pStyle w:val="40"/>
        <w:spacing w:line="360" w:lineRule="auto"/>
        <w:ind w:firstLine="1180" w:firstLineChars="295"/>
        <w:rPr>
          <w:rFonts w:ascii="仿宋" w:hAnsi="仿宋" w:eastAsia="仿宋" w:cs="仿宋"/>
          <w:color w:val="auto"/>
          <w:spacing w:val="40"/>
          <w:sz w:val="32"/>
        </w:rPr>
      </w:pPr>
    </w:p>
    <w:p w14:paraId="7CB358A2">
      <w:pPr>
        <w:pStyle w:val="40"/>
        <w:spacing w:line="360" w:lineRule="auto"/>
        <w:rPr>
          <w:rFonts w:ascii="仿宋" w:hAnsi="仿宋" w:eastAsia="仿宋" w:cs="仿宋"/>
          <w:color w:val="auto"/>
          <w:sz w:val="32"/>
          <w:u w:val="single"/>
        </w:rPr>
      </w:pPr>
    </w:p>
    <w:p w14:paraId="6FF0B739">
      <w:pPr>
        <w:pStyle w:val="40"/>
        <w:spacing w:line="360" w:lineRule="auto"/>
        <w:jc w:val="center"/>
        <w:rPr>
          <w:rFonts w:ascii="仿宋" w:hAnsi="仿宋" w:eastAsia="仿宋" w:cs="仿宋"/>
          <w:color w:val="auto"/>
          <w:spacing w:val="40"/>
          <w:sz w:val="32"/>
        </w:rPr>
      </w:pPr>
    </w:p>
    <w:p w14:paraId="5440AC3A">
      <w:pPr>
        <w:pStyle w:val="40"/>
        <w:spacing w:line="360" w:lineRule="auto"/>
        <w:jc w:val="center"/>
        <w:rPr>
          <w:rFonts w:ascii="仿宋" w:hAnsi="仿宋" w:eastAsia="仿宋" w:cs="仿宋"/>
          <w:color w:val="auto"/>
          <w:spacing w:val="40"/>
          <w:sz w:val="32"/>
        </w:rPr>
      </w:pPr>
    </w:p>
    <w:p w14:paraId="549FEC86">
      <w:pPr>
        <w:pStyle w:val="40"/>
        <w:spacing w:line="360" w:lineRule="auto"/>
        <w:jc w:val="center"/>
        <w:rPr>
          <w:rFonts w:ascii="仿宋" w:hAnsi="仿宋" w:eastAsia="仿宋" w:cs="仿宋"/>
          <w:color w:val="auto"/>
          <w:spacing w:val="40"/>
          <w:sz w:val="32"/>
        </w:rPr>
      </w:pPr>
      <w:r>
        <w:rPr>
          <w:rFonts w:hint="eastAsia" w:ascii="仿宋" w:hAnsi="仿宋" w:eastAsia="仿宋" w:cs="仿宋"/>
          <w:color w:val="auto"/>
          <w:spacing w:val="40"/>
          <w:sz w:val="32"/>
        </w:rPr>
        <w:t>二〇二</w:t>
      </w:r>
      <w:r>
        <w:rPr>
          <w:rFonts w:hint="eastAsia" w:ascii="仿宋" w:hAnsi="仿宋" w:eastAsia="仿宋" w:cs="仿宋"/>
          <w:color w:val="auto"/>
          <w:spacing w:val="40"/>
          <w:sz w:val="32"/>
          <w:lang w:val="en-US" w:eastAsia="zh-CN"/>
        </w:rPr>
        <w:t>六</w:t>
      </w:r>
      <w:r>
        <w:rPr>
          <w:rFonts w:hint="eastAsia" w:ascii="仿宋" w:hAnsi="仿宋" w:eastAsia="仿宋" w:cs="仿宋"/>
          <w:color w:val="auto"/>
          <w:spacing w:val="40"/>
          <w:sz w:val="32"/>
        </w:rPr>
        <w:t>年</w:t>
      </w:r>
      <w:r>
        <w:rPr>
          <w:rFonts w:ascii="仿宋" w:hAnsi="仿宋" w:eastAsia="仿宋" w:cs="仿宋"/>
          <w:color w:val="auto"/>
          <w:spacing w:val="40"/>
          <w:sz w:val="32"/>
        </w:rPr>
        <w:t xml:space="preserve">  </w:t>
      </w:r>
      <w:r>
        <w:rPr>
          <w:rFonts w:hint="eastAsia" w:ascii="仿宋" w:hAnsi="仿宋" w:eastAsia="仿宋" w:cs="仿宋"/>
          <w:color w:val="auto"/>
          <w:spacing w:val="40"/>
          <w:sz w:val="32"/>
        </w:rPr>
        <w:t xml:space="preserve">月 </w:t>
      </w:r>
      <w:r>
        <w:rPr>
          <w:rFonts w:ascii="仿宋" w:hAnsi="仿宋" w:eastAsia="仿宋" w:cs="仿宋"/>
          <w:color w:val="auto"/>
          <w:spacing w:val="40"/>
          <w:sz w:val="32"/>
        </w:rPr>
        <w:t xml:space="preserve"> </w:t>
      </w:r>
      <w:r>
        <w:rPr>
          <w:rFonts w:hint="eastAsia" w:ascii="仿宋" w:hAnsi="仿宋" w:eastAsia="仿宋" w:cs="仿宋"/>
          <w:color w:val="auto"/>
          <w:spacing w:val="40"/>
          <w:sz w:val="32"/>
        </w:rPr>
        <w:t>日</w:t>
      </w:r>
    </w:p>
    <w:p w14:paraId="79A38093">
      <w:pPr>
        <w:widowControl/>
        <w:jc w:val="center"/>
        <w:rPr>
          <w:rFonts w:hint="eastAsia"/>
          <w:color w:val="auto"/>
          <w:sz w:val="24"/>
          <w:szCs w:val="24"/>
        </w:rPr>
      </w:pPr>
      <w:r>
        <w:rPr>
          <w:rFonts w:ascii="仿宋" w:hAnsi="仿宋" w:eastAsia="仿宋" w:cs="仿宋"/>
          <w:color w:val="auto"/>
          <w:spacing w:val="40"/>
          <w:sz w:val="32"/>
          <w:lang w:val="en-US"/>
        </w:rPr>
        <w:br w:type="page"/>
      </w:r>
      <w:bookmarkStart w:id="0" w:name="OLE_LINK3"/>
      <w:bookmarkStart w:id="1" w:name="OLE_LINK6"/>
      <w:bookmarkStart w:id="2" w:name="OLE_LINK4"/>
      <w:bookmarkStart w:id="3" w:name="OLE_LINK2"/>
      <w:bookmarkStart w:id="4" w:name="OLE_LINK1"/>
      <w:bookmarkStart w:id="5" w:name="OLE_LINK5"/>
      <w:r>
        <w:rPr>
          <w:rFonts w:hint="eastAsia"/>
          <w:b/>
          <w:color w:val="auto"/>
          <w:sz w:val="36"/>
          <w:szCs w:val="36"/>
        </w:rPr>
        <w:t>新疆维吾尔自治区政府采购合同</w:t>
      </w:r>
    </w:p>
    <w:bookmarkEnd w:id="0"/>
    <w:bookmarkEnd w:id="1"/>
    <w:bookmarkEnd w:id="2"/>
    <w:bookmarkEnd w:id="3"/>
    <w:bookmarkEnd w:id="4"/>
    <w:bookmarkEnd w:id="5"/>
    <w:p w14:paraId="47DE259C">
      <w:pPr>
        <w:rPr>
          <w:rFonts w:hint="eastAsia"/>
          <w:color w:val="auto"/>
          <w:sz w:val="24"/>
          <w:szCs w:val="24"/>
        </w:rPr>
      </w:pPr>
      <w:r>
        <w:rPr>
          <w:rFonts w:hint="eastAsia"/>
          <w:color w:val="auto"/>
          <w:sz w:val="24"/>
          <w:szCs w:val="24"/>
        </w:rPr>
        <w:t>甲方：</w:t>
      </w:r>
      <w:r>
        <w:rPr>
          <w:rFonts w:hint="eastAsia"/>
          <w:color w:val="auto"/>
          <w:sz w:val="24"/>
          <w:szCs w:val="24"/>
          <w:lang w:val="en-US" w:eastAsia="zh-CN"/>
        </w:rPr>
        <w:t>新和县农业技术推广中心</w:t>
      </w:r>
      <w:r>
        <w:rPr>
          <w:rFonts w:hint="eastAsia"/>
          <w:color w:val="auto"/>
          <w:sz w:val="24"/>
          <w:szCs w:val="24"/>
          <w:u w:val="single"/>
        </w:rPr>
        <w:t xml:space="preserve"> </w:t>
      </w:r>
    </w:p>
    <w:p w14:paraId="5D7BD07A">
      <w:pPr>
        <w:rPr>
          <w:rFonts w:hint="eastAsia"/>
          <w:b/>
          <w:bCs/>
          <w:color w:val="auto"/>
          <w:sz w:val="24"/>
          <w:szCs w:val="24"/>
          <w:u w:val="single"/>
        </w:rPr>
      </w:pPr>
      <w:r>
        <w:rPr>
          <w:rFonts w:hint="eastAsia"/>
          <w:color w:val="auto"/>
          <w:sz w:val="24"/>
          <w:szCs w:val="24"/>
        </w:rPr>
        <w:t>乙方：</w:t>
      </w:r>
      <w:r>
        <w:rPr>
          <w:rFonts w:hint="eastAsia"/>
          <w:b/>
          <w:bCs/>
          <w:color w:val="auto"/>
          <w:sz w:val="24"/>
          <w:szCs w:val="24"/>
          <w:u w:val="single"/>
        </w:rPr>
        <w:t xml:space="preserve">                                       </w:t>
      </w:r>
    </w:p>
    <w:p w14:paraId="530BC95E">
      <w:pPr>
        <w:spacing w:line="360" w:lineRule="auto"/>
        <w:ind w:right="-209" w:rightChars="-95" w:firstLine="417" w:firstLineChars="174"/>
        <w:rPr>
          <w:rFonts w:hint="eastAsia"/>
          <w:b/>
          <w:bCs/>
          <w:color w:val="auto"/>
          <w:sz w:val="24"/>
          <w:szCs w:val="24"/>
          <w:u w:val="single"/>
        </w:rPr>
      </w:pPr>
      <w:r>
        <w:rPr>
          <w:rFonts w:hint="eastAsia"/>
          <w:color w:val="auto"/>
          <w:sz w:val="24"/>
          <w:szCs w:val="24"/>
        </w:rPr>
        <w:t>由</w:t>
      </w:r>
      <w:r>
        <w:rPr>
          <w:rFonts w:hint="eastAsia"/>
          <w:b/>
          <w:bCs/>
          <w:color w:val="auto"/>
          <w:sz w:val="24"/>
          <w:szCs w:val="24"/>
          <w:u w:val="single"/>
        </w:rPr>
        <w:t xml:space="preserve">                           </w:t>
      </w:r>
      <w:r>
        <w:rPr>
          <w:rFonts w:hint="eastAsia"/>
          <w:color w:val="auto"/>
          <w:sz w:val="24"/>
          <w:szCs w:val="24"/>
        </w:rPr>
        <w:t>组织的关于</w:t>
      </w:r>
      <w:r>
        <w:rPr>
          <w:rFonts w:hint="eastAsia"/>
          <w:color w:val="auto"/>
          <w:sz w:val="24"/>
          <w:szCs w:val="24"/>
          <w:u w:val="single"/>
          <w:lang w:val="en-US" w:eastAsia="zh-CN"/>
        </w:rPr>
        <w:t xml:space="preserve">                  </w:t>
      </w:r>
      <w:r>
        <w:rPr>
          <w:rFonts w:hint="eastAsia"/>
          <w:color w:val="auto"/>
          <w:sz w:val="24"/>
          <w:szCs w:val="24"/>
        </w:rPr>
        <w:t>的招标采购中，经评定，乙方为中标方，中标金额为人民币：</w:t>
      </w:r>
      <w:r>
        <w:rPr>
          <w:rFonts w:hint="eastAsia"/>
          <w:color w:val="auto"/>
          <w:sz w:val="24"/>
          <w:szCs w:val="24"/>
          <w:u w:val="single"/>
        </w:rPr>
        <w:t xml:space="preserve">         </w:t>
      </w:r>
      <w:r>
        <w:rPr>
          <w:rFonts w:hint="eastAsia"/>
          <w:color w:val="auto"/>
          <w:sz w:val="24"/>
          <w:szCs w:val="24"/>
        </w:rPr>
        <w:t>，</w:t>
      </w:r>
      <w:r>
        <w:rPr>
          <w:rFonts w:hint="eastAsia"/>
          <w:color w:val="auto"/>
          <w:sz w:val="24"/>
          <w:szCs w:val="24"/>
          <w:u w:val="single"/>
        </w:rPr>
        <w:t xml:space="preserve">￥          </w:t>
      </w:r>
      <w:r>
        <w:rPr>
          <w:rFonts w:hint="eastAsia"/>
          <w:color w:val="auto"/>
          <w:sz w:val="24"/>
          <w:szCs w:val="24"/>
        </w:rPr>
        <w:t>元。</w:t>
      </w:r>
    </w:p>
    <w:p w14:paraId="4EC3EC45">
      <w:pPr>
        <w:ind w:firstLine="480" w:firstLineChars="200"/>
        <w:rPr>
          <w:rFonts w:hint="eastAsia"/>
          <w:color w:val="auto"/>
          <w:sz w:val="24"/>
          <w:szCs w:val="24"/>
        </w:rPr>
      </w:pPr>
      <w:r>
        <w:rPr>
          <w:rFonts w:hint="eastAsia"/>
          <w:color w:val="auto"/>
          <w:sz w:val="24"/>
          <w:szCs w:val="24"/>
        </w:rPr>
        <w:t>甲、乙双方根据《中华人民共和国政府采购法》和《中华人民共和国民法典》的规定，按照公平、公正、平等自愿和诚实信用、协商一致的原则，甲、乙双方授权代表就所供设备的购销、安装、调试和售后服务等事宜达成如下条款。</w:t>
      </w:r>
    </w:p>
    <w:p w14:paraId="7BD955B1">
      <w:pPr>
        <w:numPr>
          <w:ilvl w:val="0"/>
          <w:numId w:val="4"/>
        </w:numPr>
        <w:rPr>
          <w:rFonts w:hint="eastAsia"/>
          <w:b/>
          <w:color w:val="auto"/>
          <w:sz w:val="24"/>
          <w:szCs w:val="24"/>
        </w:rPr>
      </w:pPr>
      <w:r>
        <w:rPr>
          <w:rFonts w:hint="eastAsia"/>
          <w:b/>
          <w:color w:val="auto"/>
          <w:sz w:val="24"/>
          <w:szCs w:val="24"/>
        </w:rPr>
        <w:t>货物名称、型号、数量及价格</w:t>
      </w:r>
    </w:p>
    <w:tbl>
      <w:tblPr>
        <w:tblStyle w:val="26"/>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58"/>
        <w:gridCol w:w="1352"/>
        <w:gridCol w:w="1210"/>
        <w:gridCol w:w="723"/>
        <w:gridCol w:w="1351"/>
        <w:gridCol w:w="1454"/>
        <w:gridCol w:w="850"/>
      </w:tblGrid>
      <w:tr w14:paraId="0377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blHeader/>
          <w:jc w:val="center"/>
        </w:trPr>
        <w:tc>
          <w:tcPr>
            <w:tcW w:w="720" w:type="dxa"/>
            <w:vAlign w:val="center"/>
          </w:tcPr>
          <w:p w14:paraId="0F5BFCB7">
            <w:pPr>
              <w:spacing w:line="400" w:lineRule="exact"/>
              <w:rPr>
                <w:rFonts w:hint="eastAsia"/>
                <w:color w:val="auto"/>
                <w:sz w:val="24"/>
                <w:szCs w:val="24"/>
              </w:rPr>
            </w:pPr>
            <w:r>
              <w:rPr>
                <w:rFonts w:hint="eastAsia"/>
                <w:color w:val="auto"/>
                <w:sz w:val="24"/>
                <w:szCs w:val="24"/>
              </w:rPr>
              <w:t>序号</w:t>
            </w:r>
          </w:p>
        </w:tc>
        <w:tc>
          <w:tcPr>
            <w:tcW w:w="1458" w:type="dxa"/>
            <w:vAlign w:val="center"/>
          </w:tcPr>
          <w:p w14:paraId="3D721A34">
            <w:pPr>
              <w:spacing w:line="400" w:lineRule="exact"/>
              <w:rPr>
                <w:rFonts w:hint="eastAsia"/>
                <w:color w:val="auto"/>
                <w:sz w:val="24"/>
                <w:szCs w:val="24"/>
              </w:rPr>
            </w:pPr>
            <w:r>
              <w:rPr>
                <w:rFonts w:hint="eastAsia"/>
                <w:color w:val="auto"/>
                <w:sz w:val="24"/>
                <w:szCs w:val="24"/>
              </w:rPr>
              <w:t>名称</w:t>
            </w:r>
          </w:p>
        </w:tc>
        <w:tc>
          <w:tcPr>
            <w:tcW w:w="1352" w:type="dxa"/>
            <w:vAlign w:val="center"/>
          </w:tcPr>
          <w:p w14:paraId="09CB15C6">
            <w:pPr>
              <w:spacing w:line="400" w:lineRule="exact"/>
              <w:jc w:val="center"/>
              <w:rPr>
                <w:rFonts w:hint="eastAsia"/>
                <w:color w:val="auto"/>
                <w:sz w:val="24"/>
                <w:szCs w:val="24"/>
              </w:rPr>
            </w:pPr>
            <w:r>
              <w:rPr>
                <w:rFonts w:hint="eastAsia"/>
                <w:color w:val="auto"/>
                <w:sz w:val="24"/>
                <w:szCs w:val="24"/>
              </w:rPr>
              <w:t>品牌</w:t>
            </w:r>
          </w:p>
        </w:tc>
        <w:tc>
          <w:tcPr>
            <w:tcW w:w="1210" w:type="dxa"/>
            <w:vAlign w:val="center"/>
          </w:tcPr>
          <w:p w14:paraId="0DF3D195">
            <w:pPr>
              <w:spacing w:line="400" w:lineRule="exact"/>
              <w:jc w:val="center"/>
              <w:rPr>
                <w:rFonts w:hint="eastAsia"/>
                <w:color w:val="auto"/>
                <w:sz w:val="24"/>
                <w:szCs w:val="24"/>
              </w:rPr>
            </w:pPr>
            <w:r>
              <w:rPr>
                <w:rFonts w:hint="eastAsia"/>
                <w:color w:val="auto"/>
                <w:sz w:val="24"/>
                <w:szCs w:val="24"/>
              </w:rPr>
              <w:t>型号</w:t>
            </w:r>
          </w:p>
        </w:tc>
        <w:tc>
          <w:tcPr>
            <w:tcW w:w="723" w:type="dxa"/>
            <w:vAlign w:val="center"/>
          </w:tcPr>
          <w:p w14:paraId="3CE23E4C">
            <w:pPr>
              <w:spacing w:line="400" w:lineRule="exact"/>
              <w:rPr>
                <w:rFonts w:hint="eastAsia"/>
                <w:color w:val="auto"/>
                <w:sz w:val="24"/>
                <w:szCs w:val="24"/>
              </w:rPr>
            </w:pPr>
            <w:r>
              <w:rPr>
                <w:rFonts w:hint="eastAsia"/>
                <w:color w:val="auto"/>
                <w:sz w:val="24"/>
                <w:szCs w:val="24"/>
              </w:rPr>
              <w:t>总数</w:t>
            </w:r>
          </w:p>
        </w:tc>
        <w:tc>
          <w:tcPr>
            <w:tcW w:w="1351" w:type="dxa"/>
            <w:vAlign w:val="center"/>
          </w:tcPr>
          <w:p w14:paraId="75D7046D">
            <w:pPr>
              <w:spacing w:line="400" w:lineRule="exact"/>
              <w:rPr>
                <w:rFonts w:hint="eastAsia"/>
                <w:color w:val="auto"/>
                <w:sz w:val="24"/>
                <w:szCs w:val="24"/>
              </w:rPr>
            </w:pPr>
            <w:r>
              <w:rPr>
                <w:rFonts w:hint="eastAsia"/>
                <w:color w:val="auto"/>
                <w:sz w:val="24"/>
                <w:szCs w:val="24"/>
              </w:rPr>
              <w:t>单价（万元）</w:t>
            </w:r>
          </w:p>
        </w:tc>
        <w:tc>
          <w:tcPr>
            <w:tcW w:w="1454" w:type="dxa"/>
            <w:vAlign w:val="center"/>
          </w:tcPr>
          <w:p w14:paraId="486D2351">
            <w:pPr>
              <w:spacing w:line="400" w:lineRule="exact"/>
              <w:rPr>
                <w:rFonts w:hint="eastAsia"/>
                <w:color w:val="auto"/>
                <w:sz w:val="24"/>
                <w:szCs w:val="24"/>
              </w:rPr>
            </w:pPr>
            <w:r>
              <w:rPr>
                <w:rFonts w:hint="eastAsia"/>
                <w:color w:val="auto"/>
                <w:sz w:val="24"/>
                <w:szCs w:val="24"/>
              </w:rPr>
              <w:t>总价（万元）</w:t>
            </w:r>
          </w:p>
        </w:tc>
        <w:tc>
          <w:tcPr>
            <w:tcW w:w="850" w:type="dxa"/>
            <w:vAlign w:val="center"/>
          </w:tcPr>
          <w:p w14:paraId="3B5453D0">
            <w:pPr>
              <w:spacing w:line="400" w:lineRule="exact"/>
              <w:rPr>
                <w:rFonts w:hint="eastAsia"/>
                <w:color w:val="auto"/>
                <w:sz w:val="24"/>
                <w:szCs w:val="24"/>
              </w:rPr>
            </w:pPr>
            <w:r>
              <w:rPr>
                <w:rFonts w:hint="eastAsia"/>
                <w:color w:val="auto"/>
                <w:sz w:val="24"/>
                <w:szCs w:val="24"/>
              </w:rPr>
              <w:t>备注</w:t>
            </w:r>
          </w:p>
        </w:tc>
      </w:tr>
      <w:tr w14:paraId="5E54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20" w:type="dxa"/>
            <w:vAlign w:val="center"/>
          </w:tcPr>
          <w:p w14:paraId="4576CD00">
            <w:pPr>
              <w:spacing w:line="400" w:lineRule="exact"/>
              <w:rPr>
                <w:rFonts w:hint="eastAsia"/>
                <w:color w:val="auto"/>
                <w:sz w:val="24"/>
                <w:szCs w:val="24"/>
              </w:rPr>
            </w:pPr>
          </w:p>
        </w:tc>
        <w:tc>
          <w:tcPr>
            <w:tcW w:w="1458" w:type="dxa"/>
            <w:vAlign w:val="center"/>
          </w:tcPr>
          <w:p w14:paraId="2E6E7BEB">
            <w:pPr>
              <w:spacing w:line="400" w:lineRule="exact"/>
              <w:rPr>
                <w:rFonts w:hint="eastAsia"/>
                <w:color w:val="auto"/>
                <w:sz w:val="24"/>
                <w:szCs w:val="24"/>
              </w:rPr>
            </w:pPr>
          </w:p>
        </w:tc>
        <w:tc>
          <w:tcPr>
            <w:tcW w:w="1352" w:type="dxa"/>
            <w:vAlign w:val="center"/>
          </w:tcPr>
          <w:p w14:paraId="5382DAB5">
            <w:pPr>
              <w:spacing w:line="400" w:lineRule="exact"/>
              <w:rPr>
                <w:rFonts w:hint="eastAsia"/>
                <w:color w:val="auto"/>
                <w:sz w:val="24"/>
                <w:szCs w:val="24"/>
              </w:rPr>
            </w:pPr>
          </w:p>
        </w:tc>
        <w:tc>
          <w:tcPr>
            <w:tcW w:w="1210" w:type="dxa"/>
            <w:vAlign w:val="center"/>
          </w:tcPr>
          <w:p w14:paraId="5E5FCD70">
            <w:pPr>
              <w:spacing w:line="400" w:lineRule="exact"/>
              <w:jc w:val="center"/>
              <w:rPr>
                <w:rFonts w:hint="eastAsia"/>
                <w:color w:val="auto"/>
                <w:sz w:val="24"/>
                <w:szCs w:val="24"/>
              </w:rPr>
            </w:pPr>
          </w:p>
        </w:tc>
        <w:tc>
          <w:tcPr>
            <w:tcW w:w="723" w:type="dxa"/>
            <w:vAlign w:val="center"/>
          </w:tcPr>
          <w:p w14:paraId="726E4199">
            <w:pPr>
              <w:spacing w:line="400" w:lineRule="exact"/>
              <w:rPr>
                <w:rFonts w:hint="eastAsia"/>
                <w:color w:val="auto"/>
                <w:sz w:val="24"/>
                <w:szCs w:val="24"/>
              </w:rPr>
            </w:pPr>
          </w:p>
        </w:tc>
        <w:tc>
          <w:tcPr>
            <w:tcW w:w="1351" w:type="dxa"/>
            <w:vAlign w:val="center"/>
          </w:tcPr>
          <w:p w14:paraId="57874279">
            <w:pPr>
              <w:widowControl/>
              <w:spacing w:line="400" w:lineRule="exact"/>
              <w:textAlignment w:val="top"/>
              <w:rPr>
                <w:rFonts w:hint="eastAsia"/>
                <w:color w:val="auto"/>
                <w:sz w:val="24"/>
                <w:szCs w:val="24"/>
              </w:rPr>
            </w:pPr>
          </w:p>
        </w:tc>
        <w:tc>
          <w:tcPr>
            <w:tcW w:w="1454" w:type="dxa"/>
            <w:vAlign w:val="center"/>
          </w:tcPr>
          <w:p w14:paraId="48ABEA88">
            <w:pPr>
              <w:widowControl/>
              <w:spacing w:line="400" w:lineRule="exact"/>
              <w:textAlignment w:val="top"/>
              <w:rPr>
                <w:rFonts w:hint="eastAsia"/>
                <w:color w:val="auto"/>
                <w:sz w:val="24"/>
                <w:szCs w:val="24"/>
              </w:rPr>
            </w:pPr>
          </w:p>
        </w:tc>
        <w:tc>
          <w:tcPr>
            <w:tcW w:w="850" w:type="dxa"/>
            <w:vMerge w:val="restart"/>
            <w:vAlign w:val="center"/>
          </w:tcPr>
          <w:p w14:paraId="18AEB103">
            <w:pPr>
              <w:spacing w:line="400" w:lineRule="exact"/>
              <w:rPr>
                <w:rFonts w:hint="eastAsia"/>
                <w:color w:val="auto"/>
                <w:sz w:val="24"/>
                <w:szCs w:val="24"/>
              </w:rPr>
            </w:pPr>
          </w:p>
        </w:tc>
      </w:tr>
      <w:tr w14:paraId="17DB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20" w:type="dxa"/>
            <w:vAlign w:val="center"/>
          </w:tcPr>
          <w:p w14:paraId="1F38D197">
            <w:pPr>
              <w:spacing w:line="400" w:lineRule="exact"/>
              <w:rPr>
                <w:rFonts w:hint="eastAsia"/>
                <w:color w:val="auto"/>
                <w:sz w:val="24"/>
                <w:szCs w:val="24"/>
              </w:rPr>
            </w:pPr>
          </w:p>
        </w:tc>
        <w:tc>
          <w:tcPr>
            <w:tcW w:w="1458" w:type="dxa"/>
            <w:vAlign w:val="center"/>
          </w:tcPr>
          <w:p w14:paraId="645C2287">
            <w:pPr>
              <w:spacing w:line="400" w:lineRule="exact"/>
              <w:rPr>
                <w:rFonts w:hint="eastAsia"/>
                <w:color w:val="auto"/>
                <w:sz w:val="24"/>
                <w:szCs w:val="24"/>
              </w:rPr>
            </w:pPr>
          </w:p>
        </w:tc>
        <w:tc>
          <w:tcPr>
            <w:tcW w:w="1352" w:type="dxa"/>
            <w:vAlign w:val="center"/>
          </w:tcPr>
          <w:p w14:paraId="30B6BDCE">
            <w:pPr>
              <w:spacing w:line="400" w:lineRule="exact"/>
              <w:rPr>
                <w:rFonts w:hint="eastAsia"/>
                <w:color w:val="auto"/>
                <w:sz w:val="24"/>
                <w:szCs w:val="24"/>
              </w:rPr>
            </w:pPr>
          </w:p>
        </w:tc>
        <w:tc>
          <w:tcPr>
            <w:tcW w:w="1210" w:type="dxa"/>
            <w:vAlign w:val="center"/>
          </w:tcPr>
          <w:p w14:paraId="20A21DF1">
            <w:pPr>
              <w:spacing w:line="400" w:lineRule="exact"/>
              <w:jc w:val="center"/>
              <w:rPr>
                <w:rFonts w:hint="eastAsia"/>
                <w:color w:val="auto"/>
                <w:sz w:val="24"/>
                <w:szCs w:val="24"/>
              </w:rPr>
            </w:pPr>
          </w:p>
        </w:tc>
        <w:tc>
          <w:tcPr>
            <w:tcW w:w="723" w:type="dxa"/>
            <w:vAlign w:val="center"/>
          </w:tcPr>
          <w:p w14:paraId="28D2A71F">
            <w:pPr>
              <w:spacing w:line="400" w:lineRule="exact"/>
              <w:rPr>
                <w:rFonts w:hint="eastAsia"/>
                <w:color w:val="auto"/>
                <w:sz w:val="24"/>
                <w:szCs w:val="24"/>
              </w:rPr>
            </w:pPr>
          </w:p>
        </w:tc>
        <w:tc>
          <w:tcPr>
            <w:tcW w:w="1351" w:type="dxa"/>
            <w:vAlign w:val="center"/>
          </w:tcPr>
          <w:p w14:paraId="15DAD8E1">
            <w:pPr>
              <w:widowControl/>
              <w:spacing w:line="400" w:lineRule="exact"/>
              <w:textAlignment w:val="top"/>
              <w:rPr>
                <w:rFonts w:hint="eastAsia"/>
                <w:color w:val="auto"/>
                <w:sz w:val="24"/>
                <w:szCs w:val="24"/>
              </w:rPr>
            </w:pPr>
          </w:p>
        </w:tc>
        <w:tc>
          <w:tcPr>
            <w:tcW w:w="1454" w:type="dxa"/>
            <w:vAlign w:val="center"/>
          </w:tcPr>
          <w:p w14:paraId="621EDAC0">
            <w:pPr>
              <w:widowControl/>
              <w:spacing w:line="400" w:lineRule="exact"/>
              <w:textAlignment w:val="top"/>
              <w:rPr>
                <w:rFonts w:hint="eastAsia"/>
                <w:color w:val="auto"/>
                <w:sz w:val="24"/>
                <w:szCs w:val="24"/>
              </w:rPr>
            </w:pPr>
          </w:p>
        </w:tc>
        <w:tc>
          <w:tcPr>
            <w:tcW w:w="850" w:type="dxa"/>
            <w:vMerge w:val="continue"/>
            <w:vAlign w:val="center"/>
          </w:tcPr>
          <w:p w14:paraId="5EDB91DE">
            <w:pPr>
              <w:spacing w:line="400" w:lineRule="exact"/>
              <w:rPr>
                <w:rFonts w:hint="eastAsia"/>
                <w:color w:val="auto"/>
                <w:sz w:val="24"/>
                <w:szCs w:val="24"/>
              </w:rPr>
            </w:pPr>
          </w:p>
        </w:tc>
      </w:tr>
      <w:tr w14:paraId="4609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20" w:type="dxa"/>
            <w:vAlign w:val="center"/>
          </w:tcPr>
          <w:p w14:paraId="66477842">
            <w:pPr>
              <w:spacing w:line="400" w:lineRule="exact"/>
              <w:rPr>
                <w:rFonts w:hint="eastAsia"/>
                <w:color w:val="auto"/>
                <w:sz w:val="24"/>
                <w:szCs w:val="24"/>
              </w:rPr>
            </w:pPr>
          </w:p>
        </w:tc>
        <w:tc>
          <w:tcPr>
            <w:tcW w:w="4743" w:type="dxa"/>
            <w:gridSpan w:val="4"/>
            <w:vAlign w:val="center"/>
          </w:tcPr>
          <w:p w14:paraId="43A0995B">
            <w:pPr>
              <w:spacing w:line="400" w:lineRule="exact"/>
              <w:rPr>
                <w:rFonts w:hint="eastAsia"/>
                <w:color w:val="auto"/>
                <w:sz w:val="24"/>
                <w:szCs w:val="24"/>
              </w:rPr>
            </w:pPr>
            <w:r>
              <w:rPr>
                <w:rFonts w:hint="eastAsia"/>
                <w:color w:val="auto"/>
                <w:sz w:val="24"/>
                <w:szCs w:val="24"/>
              </w:rPr>
              <w:t>合计：      元（          元整）</w:t>
            </w:r>
          </w:p>
        </w:tc>
        <w:tc>
          <w:tcPr>
            <w:tcW w:w="1351" w:type="dxa"/>
            <w:vAlign w:val="center"/>
          </w:tcPr>
          <w:p w14:paraId="5F48D88C">
            <w:pPr>
              <w:spacing w:line="400" w:lineRule="exact"/>
              <w:rPr>
                <w:rFonts w:hint="eastAsia"/>
                <w:color w:val="auto"/>
                <w:sz w:val="24"/>
                <w:szCs w:val="24"/>
              </w:rPr>
            </w:pPr>
          </w:p>
        </w:tc>
        <w:tc>
          <w:tcPr>
            <w:tcW w:w="1454" w:type="dxa"/>
            <w:vAlign w:val="center"/>
          </w:tcPr>
          <w:p w14:paraId="36167D12">
            <w:pPr>
              <w:spacing w:line="400" w:lineRule="exact"/>
              <w:rPr>
                <w:rFonts w:hint="eastAsia"/>
                <w:color w:val="auto"/>
                <w:sz w:val="24"/>
                <w:szCs w:val="24"/>
              </w:rPr>
            </w:pPr>
          </w:p>
        </w:tc>
        <w:tc>
          <w:tcPr>
            <w:tcW w:w="850" w:type="dxa"/>
            <w:vMerge w:val="continue"/>
            <w:vAlign w:val="center"/>
          </w:tcPr>
          <w:p w14:paraId="07996FAC">
            <w:pPr>
              <w:spacing w:line="400" w:lineRule="exact"/>
              <w:rPr>
                <w:rFonts w:hint="eastAsia"/>
                <w:color w:val="auto"/>
                <w:sz w:val="24"/>
                <w:szCs w:val="24"/>
              </w:rPr>
            </w:pPr>
          </w:p>
        </w:tc>
      </w:tr>
    </w:tbl>
    <w:p w14:paraId="3141C80D">
      <w:pPr>
        <w:ind w:firstLine="360" w:firstLineChars="150"/>
        <w:rPr>
          <w:rFonts w:hint="eastAsia"/>
          <w:color w:val="auto"/>
          <w:sz w:val="24"/>
          <w:szCs w:val="24"/>
        </w:rPr>
      </w:pPr>
      <w:r>
        <w:rPr>
          <w:rFonts w:hint="eastAsia"/>
          <w:color w:val="auto"/>
          <w:sz w:val="24"/>
          <w:szCs w:val="24"/>
        </w:rPr>
        <w:t>1、本合同中“中标货物”、“设备”均指上面列表中的货物及相关软件。</w:t>
      </w:r>
    </w:p>
    <w:p w14:paraId="6F09AB5F">
      <w:pPr>
        <w:pStyle w:val="40"/>
        <w:adjustRightInd/>
        <w:ind w:firstLine="360" w:firstLineChars="150"/>
        <w:rPr>
          <w:rFonts w:hint="eastAsia" w:ascii="宋体" w:hAnsi="宋体" w:cs="宋体"/>
          <w:color w:val="auto"/>
        </w:rPr>
      </w:pPr>
      <w:r>
        <w:rPr>
          <w:rFonts w:hint="eastAsia" w:ascii="宋体" w:hAnsi="宋体" w:cs="宋体"/>
          <w:color w:val="auto"/>
        </w:rPr>
        <w:t>2、“技术服务”指由乙方所提供的有关运输、保险、安装、集成、调试、培训、技术支持、维护和维修以及其它使货物正常运转所必需的服务。</w:t>
      </w:r>
    </w:p>
    <w:p w14:paraId="2D3B6326">
      <w:pPr>
        <w:numPr>
          <w:ilvl w:val="0"/>
          <w:numId w:val="4"/>
        </w:numPr>
        <w:rPr>
          <w:rFonts w:hint="eastAsia"/>
          <w:b/>
          <w:color w:val="auto"/>
          <w:sz w:val="24"/>
          <w:szCs w:val="24"/>
        </w:rPr>
      </w:pPr>
      <w:r>
        <w:rPr>
          <w:rFonts w:hint="eastAsia"/>
          <w:b/>
          <w:color w:val="auto"/>
          <w:sz w:val="24"/>
          <w:szCs w:val="24"/>
        </w:rPr>
        <w:t>报价币种、合同总价</w:t>
      </w:r>
    </w:p>
    <w:p w14:paraId="7B5FC9B0">
      <w:pPr>
        <w:ind w:firstLine="480" w:firstLineChars="200"/>
        <w:rPr>
          <w:rFonts w:hint="eastAsia"/>
          <w:color w:val="auto"/>
          <w:sz w:val="24"/>
          <w:szCs w:val="24"/>
        </w:rPr>
      </w:pPr>
      <w:r>
        <w:rPr>
          <w:rFonts w:hint="eastAsia"/>
          <w:color w:val="auto"/>
          <w:sz w:val="24"/>
          <w:szCs w:val="24"/>
        </w:rPr>
        <w:t>1、本合同总金额</w:t>
      </w:r>
      <w:r>
        <w:rPr>
          <w:rFonts w:hint="eastAsia"/>
          <w:color w:val="auto"/>
          <w:sz w:val="24"/>
          <w:szCs w:val="24"/>
          <w:u w:val="single"/>
        </w:rPr>
        <w:t xml:space="preserve">        元整</w:t>
      </w:r>
      <w:r>
        <w:rPr>
          <w:rFonts w:hint="eastAsia"/>
          <w:color w:val="auto"/>
          <w:sz w:val="24"/>
          <w:szCs w:val="24"/>
        </w:rPr>
        <w:t>，</w:t>
      </w:r>
      <w:r>
        <w:rPr>
          <w:rFonts w:hint="eastAsia"/>
          <w:color w:val="auto"/>
          <w:sz w:val="24"/>
          <w:szCs w:val="24"/>
          <w:u w:val="single"/>
        </w:rPr>
        <w:t>￥</w:t>
      </w:r>
      <w:r>
        <w:rPr>
          <w:rFonts w:hint="eastAsia"/>
          <w:b/>
          <w:color w:val="auto"/>
          <w:sz w:val="24"/>
          <w:szCs w:val="24"/>
          <w:u w:val="single"/>
        </w:rPr>
        <w:t xml:space="preserve">        </w:t>
      </w:r>
      <w:r>
        <w:rPr>
          <w:rFonts w:hint="eastAsia"/>
          <w:b/>
          <w:color w:val="auto"/>
          <w:sz w:val="24"/>
          <w:szCs w:val="24"/>
        </w:rPr>
        <w:t>元</w:t>
      </w:r>
      <w:r>
        <w:rPr>
          <w:rFonts w:hint="eastAsia"/>
          <w:color w:val="auto"/>
          <w:sz w:val="24"/>
          <w:szCs w:val="24"/>
        </w:rPr>
        <w:t>。合同总金额中包含设备及其运输、保管、税金、保险、组装、服务等所有的费用。</w:t>
      </w:r>
    </w:p>
    <w:p w14:paraId="107A3F41">
      <w:pPr>
        <w:ind w:firstLine="470" w:firstLineChars="196"/>
        <w:rPr>
          <w:rFonts w:hint="eastAsia"/>
          <w:color w:val="auto"/>
          <w:sz w:val="24"/>
          <w:szCs w:val="24"/>
        </w:rPr>
      </w:pPr>
      <w:r>
        <w:rPr>
          <w:rFonts w:hint="eastAsia"/>
          <w:color w:val="auto"/>
          <w:sz w:val="24"/>
          <w:szCs w:val="24"/>
        </w:rPr>
        <w:t>2、本合同正式签订后，若无重大变更，价格不再做任何调整，甲方为此项目不再向乙方付任何费用。</w:t>
      </w:r>
    </w:p>
    <w:p w14:paraId="1A8CD36B">
      <w:pPr>
        <w:ind w:firstLine="472" w:firstLineChars="196"/>
        <w:outlineLvl w:val="0"/>
        <w:rPr>
          <w:rFonts w:hint="eastAsia"/>
          <w:b/>
          <w:color w:val="auto"/>
          <w:sz w:val="24"/>
          <w:szCs w:val="24"/>
        </w:rPr>
      </w:pPr>
      <w:r>
        <w:rPr>
          <w:rFonts w:hint="eastAsia"/>
          <w:b/>
          <w:color w:val="auto"/>
          <w:sz w:val="24"/>
          <w:szCs w:val="24"/>
        </w:rPr>
        <w:t>三、付款方式</w:t>
      </w:r>
    </w:p>
    <w:p w14:paraId="50E6BD88">
      <w:pPr>
        <w:pStyle w:val="39"/>
        <w:ind w:firstLine="480"/>
        <w:rPr>
          <w:rFonts w:hint="eastAsia"/>
          <w:color w:val="auto"/>
        </w:rPr>
      </w:pPr>
      <w:r>
        <w:rPr>
          <w:rFonts w:hint="eastAsia"/>
          <w:color w:val="auto"/>
        </w:rPr>
        <w:t>1.</w:t>
      </w:r>
      <w:r>
        <w:rPr>
          <w:rFonts w:hint="eastAsia"/>
          <w:color w:val="auto"/>
          <w:sz w:val="24"/>
          <w:szCs w:val="24"/>
          <w:lang w:val="en-US"/>
        </w:rPr>
        <w:t>货到验收合格</w:t>
      </w:r>
      <w:r>
        <w:rPr>
          <w:rFonts w:hint="eastAsia"/>
          <w:color w:val="auto"/>
          <w:sz w:val="24"/>
          <w:szCs w:val="24"/>
          <w:lang w:val="en-US" w:eastAsia="zh-CN"/>
        </w:rPr>
        <w:t>，采购活动结束签订合同后先支付项目中标金额50%的预付款，待中标单位按照中标货物参数要求完成供货经验收合格后再支付中标价剩余50%的尾款</w:t>
      </w:r>
      <w:r>
        <w:rPr>
          <w:rFonts w:hint="eastAsia"/>
          <w:color w:val="auto"/>
          <w:sz w:val="24"/>
          <w:szCs w:val="24"/>
          <w:lang w:val="en-US"/>
        </w:rPr>
        <w:t>。</w:t>
      </w:r>
    </w:p>
    <w:p w14:paraId="4BD03863">
      <w:pPr>
        <w:ind w:firstLine="472" w:firstLineChars="196"/>
        <w:outlineLvl w:val="0"/>
        <w:rPr>
          <w:rFonts w:hint="eastAsia"/>
          <w:b/>
          <w:color w:val="auto"/>
          <w:sz w:val="24"/>
          <w:szCs w:val="24"/>
        </w:rPr>
      </w:pPr>
      <w:r>
        <w:rPr>
          <w:rFonts w:hint="eastAsia"/>
          <w:b/>
          <w:color w:val="auto"/>
          <w:sz w:val="24"/>
          <w:szCs w:val="24"/>
        </w:rPr>
        <w:t>四、交货日期</w:t>
      </w:r>
    </w:p>
    <w:p w14:paraId="540A8C72">
      <w:pPr>
        <w:ind w:firstLine="470" w:firstLineChars="196"/>
        <w:rPr>
          <w:rFonts w:hint="eastAsia"/>
          <w:color w:val="auto"/>
          <w:sz w:val="24"/>
          <w:szCs w:val="24"/>
        </w:rPr>
      </w:pPr>
      <w:r>
        <w:rPr>
          <w:rFonts w:hint="eastAsia"/>
          <w:bCs/>
          <w:color w:val="auto"/>
          <w:sz w:val="24"/>
          <w:szCs w:val="24"/>
        </w:rPr>
        <w:t>合同签订后</w:t>
      </w:r>
      <w:r>
        <w:rPr>
          <w:rFonts w:hint="eastAsia"/>
          <w:bCs/>
          <w:color w:val="auto"/>
          <w:sz w:val="24"/>
          <w:szCs w:val="24"/>
          <w:lang w:val="en-US" w:eastAsia="zh-CN"/>
        </w:rPr>
        <w:t>30</w:t>
      </w:r>
      <w:r>
        <w:rPr>
          <w:rFonts w:hint="eastAsia"/>
          <w:bCs/>
          <w:color w:val="auto"/>
          <w:sz w:val="24"/>
          <w:szCs w:val="24"/>
        </w:rPr>
        <w:t>日（日历日）内完成交货验收，安装调试根据甲方书面通知为准。</w:t>
      </w:r>
    </w:p>
    <w:p w14:paraId="1C81252B">
      <w:pPr>
        <w:ind w:firstLine="470" w:firstLineChars="196"/>
        <w:outlineLvl w:val="0"/>
        <w:rPr>
          <w:rFonts w:hint="eastAsia"/>
          <w:bCs/>
          <w:color w:val="auto"/>
          <w:sz w:val="24"/>
          <w:szCs w:val="24"/>
        </w:rPr>
      </w:pPr>
      <w:r>
        <w:rPr>
          <w:rFonts w:hint="eastAsia"/>
          <w:bCs/>
          <w:color w:val="auto"/>
          <w:sz w:val="24"/>
          <w:szCs w:val="24"/>
        </w:rPr>
        <w:t>其他备注说明：乙方技术人员必须来甲方使用现场进行设备的安装调试，并指导、培训甲方设备使用人员，确保甲方人员熟练操作使用设备。</w:t>
      </w:r>
    </w:p>
    <w:p w14:paraId="7B35754E">
      <w:pPr>
        <w:ind w:firstLine="472" w:firstLineChars="196"/>
        <w:outlineLvl w:val="0"/>
        <w:rPr>
          <w:rFonts w:hint="eastAsia"/>
          <w:b/>
          <w:color w:val="auto"/>
          <w:sz w:val="24"/>
          <w:szCs w:val="24"/>
        </w:rPr>
      </w:pPr>
      <w:r>
        <w:rPr>
          <w:rFonts w:hint="eastAsia"/>
          <w:b/>
          <w:color w:val="auto"/>
          <w:sz w:val="24"/>
          <w:szCs w:val="24"/>
        </w:rPr>
        <w:t>五、交货地点、方式、运费承担及其他</w:t>
      </w:r>
    </w:p>
    <w:p w14:paraId="78EE8329">
      <w:pPr>
        <w:ind w:firstLine="470" w:firstLineChars="196"/>
        <w:rPr>
          <w:rFonts w:hint="eastAsia"/>
          <w:color w:val="auto"/>
          <w:sz w:val="24"/>
          <w:szCs w:val="24"/>
        </w:rPr>
      </w:pPr>
      <w:r>
        <w:rPr>
          <w:rFonts w:hint="eastAsia"/>
          <w:color w:val="auto"/>
          <w:sz w:val="24"/>
          <w:szCs w:val="24"/>
          <w:lang w:val="en-US"/>
        </w:rPr>
        <w:t>1、</w:t>
      </w:r>
      <w:r>
        <w:rPr>
          <w:rFonts w:hint="eastAsia"/>
          <w:color w:val="auto"/>
          <w:sz w:val="24"/>
          <w:szCs w:val="24"/>
        </w:rPr>
        <w:t>交货地点：送货至甲方指定的地点（详细收货地址由甲方另行提供）</w:t>
      </w:r>
    </w:p>
    <w:p w14:paraId="44505AB8">
      <w:pPr>
        <w:ind w:firstLine="470" w:firstLineChars="196"/>
        <w:rPr>
          <w:rFonts w:hint="eastAsia"/>
          <w:color w:val="auto"/>
          <w:sz w:val="24"/>
          <w:szCs w:val="24"/>
        </w:rPr>
      </w:pPr>
      <w:r>
        <w:rPr>
          <w:rFonts w:hint="eastAsia"/>
          <w:color w:val="auto"/>
          <w:sz w:val="24"/>
          <w:szCs w:val="24"/>
        </w:rPr>
        <w:t>运费、装卸搬运费由乙方承担。</w:t>
      </w:r>
    </w:p>
    <w:p w14:paraId="108D9C43">
      <w:pPr>
        <w:ind w:firstLine="470" w:firstLineChars="196"/>
        <w:rPr>
          <w:rFonts w:hint="eastAsia"/>
          <w:color w:val="auto"/>
          <w:sz w:val="24"/>
          <w:szCs w:val="24"/>
        </w:rPr>
      </w:pPr>
      <w:r>
        <w:rPr>
          <w:rFonts w:hint="eastAsia"/>
          <w:color w:val="auto"/>
          <w:sz w:val="24"/>
          <w:szCs w:val="24"/>
          <w:lang w:val="en-US"/>
        </w:rPr>
        <w:t>2、</w:t>
      </w:r>
      <w:r>
        <w:rPr>
          <w:rFonts w:hint="eastAsia"/>
          <w:color w:val="auto"/>
          <w:sz w:val="24"/>
          <w:szCs w:val="24"/>
          <w:lang w:val="en-US" w:eastAsia="zh-CN"/>
        </w:rPr>
        <w:t>新和县农业技术推广中心</w:t>
      </w:r>
      <w:r>
        <w:rPr>
          <w:rFonts w:hint="eastAsia"/>
          <w:color w:val="auto"/>
          <w:sz w:val="24"/>
          <w:szCs w:val="24"/>
        </w:rPr>
        <w:t>指定的现场。</w:t>
      </w:r>
    </w:p>
    <w:p w14:paraId="411B6388">
      <w:pPr>
        <w:rPr>
          <w:rFonts w:hint="eastAsia"/>
          <w:color w:val="auto"/>
          <w:sz w:val="24"/>
          <w:szCs w:val="24"/>
          <w:lang w:val="en-US"/>
        </w:rPr>
      </w:pPr>
      <w:r>
        <w:rPr>
          <w:rFonts w:hint="eastAsia"/>
          <w:color w:val="auto"/>
          <w:sz w:val="24"/>
          <w:szCs w:val="24"/>
          <w:lang w:val="en-US"/>
        </w:rPr>
        <w:t xml:space="preserve">    3、合同项下设备在安装完毕，验收合格之前毁损灭失的风险由乙方承担，验收合格之后转移至甲方。</w:t>
      </w:r>
    </w:p>
    <w:p w14:paraId="00F283F1">
      <w:pPr>
        <w:ind w:firstLine="480" w:firstLineChars="200"/>
        <w:outlineLvl w:val="0"/>
        <w:rPr>
          <w:rFonts w:hint="eastAsia"/>
          <w:color w:val="auto"/>
          <w:kern w:val="2"/>
          <w:sz w:val="24"/>
          <w:szCs w:val="24"/>
          <w:lang w:val="en-US" w:bidi="ar-SA"/>
        </w:rPr>
      </w:pPr>
      <w:r>
        <w:rPr>
          <w:rFonts w:hint="eastAsia"/>
          <w:color w:val="auto"/>
          <w:kern w:val="2"/>
          <w:sz w:val="24"/>
          <w:szCs w:val="24"/>
          <w:lang w:val="en-US" w:bidi="ar-SA"/>
        </w:rPr>
        <w:t>六、产品质量保证</w:t>
      </w:r>
    </w:p>
    <w:p w14:paraId="510196ED">
      <w:pPr>
        <w:ind w:firstLine="720"/>
        <w:rPr>
          <w:rFonts w:hint="eastAsia"/>
          <w:color w:val="auto"/>
          <w:sz w:val="24"/>
          <w:szCs w:val="24"/>
        </w:rPr>
      </w:pPr>
      <w:r>
        <w:rPr>
          <w:rFonts w:hint="eastAsia"/>
          <w:color w:val="auto"/>
          <w:sz w:val="24"/>
          <w:szCs w:val="24"/>
        </w:rPr>
        <w:t>1、乙方保证提供的</w:t>
      </w:r>
      <w:r>
        <w:rPr>
          <w:rFonts w:hint="eastAsia"/>
          <w:color w:val="auto"/>
          <w:sz w:val="24"/>
          <w:szCs w:val="24"/>
          <w:u w:val="single"/>
        </w:rPr>
        <w:t>合同</w:t>
      </w:r>
      <w:r>
        <w:rPr>
          <w:rFonts w:hint="eastAsia"/>
          <w:color w:val="auto"/>
          <w:sz w:val="24"/>
          <w:szCs w:val="24"/>
        </w:rPr>
        <w:t>货物为全新的产品。</w:t>
      </w:r>
    </w:p>
    <w:p w14:paraId="5CF5243E">
      <w:pPr>
        <w:ind w:firstLine="360" w:firstLineChars="150"/>
        <w:rPr>
          <w:rFonts w:hint="eastAsia"/>
          <w:color w:val="auto"/>
          <w:sz w:val="24"/>
          <w:szCs w:val="24"/>
        </w:rPr>
      </w:pPr>
      <w:r>
        <w:rPr>
          <w:rFonts w:hint="eastAsia"/>
          <w:color w:val="auto"/>
          <w:sz w:val="24"/>
          <w:szCs w:val="24"/>
        </w:rPr>
        <w:t xml:space="preserve">  2、乙方所提供的货物的型号、数量、规格及技术、质量标准、售后服务必须满足</w:t>
      </w:r>
      <w:r>
        <w:rPr>
          <w:rFonts w:hint="eastAsia"/>
          <w:color w:val="auto"/>
          <w:sz w:val="24"/>
          <w:szCs w:val="24"/>
          <w:u w:val="single"/>
        </w:rPr>
        <w:t>附件</w:t>
      </w:r>
      <w:r>
        <w:rPr>
          <w:rFonts w:hint="eastAsia"/>
          <w:color w:val="auto"/>
          <w:sz w:val="24"/>
          <w:szCs w:val="24"/>
        </w:rPr>
        <w:t>文件规定的技术要求。</w:t>
      </w:r>
    </w:p>
    <w:p w14:paraId="337B1A52">
      <w:pPr>
        <w:ind w:firstLine="720"/>
        <w:rPr>
          <w:rFonts w:hint="eastAsia"/>
          <w:color w:val="auto"/>
          <w:sz w:val="24"/>
          <w:szCs w:val="24"/>
        </w:rPr>
      </w:pPr>
      <w:r>
        <w:rPr>
          <w:rFonts w:hint="eastAsia"/>
          <w:color w:val="auto"/>
          <w:sz w:val="24"/>
          <w:szCs w:val="24"/>
        </w:rPr>
        <w:t>3、乙方保证提供的货物按国家标准要求制造，质量完全满足甲方用户的要求。</w:t>
      </w:r>
    </w:p>
    <w:p w14:paraId="53582D8F">
      <w:pPr>
        <w:ind w:firstLine="720"/>
        <w:rPr>
          <w:rFonts w:hint="eastAsia" w:eastAsia="宋体"/>
          <w:color w:val="auto"/>
          <w:sz w:val="24"/>
          <w:szCs w:val="24"/>
          <w:lang w:val="en-US" w:eastAsia="zh-CN"/>
        </w:rPr>
      </w:pPr>
      <w:r>
        <w:rPr>
          <w:rFonts w:hint="eastAsia"/>
          <w:color w:val="auto"/>
          <w:sz w:val="24"/>
          <w:szCs w:val="24"/>
          <w:lang w:val="en-US" w:eastAsia="zh-CN"/>
        </w:rPr>
        <w:t>4、除提供检测报告和检测机构资质外，乙方所供货物如果甲方认为质量存疑，可以随机取样相关货物送到甲方指定的检测机构重新检测，相关检测和寄送等费用均由乙方承担。</w:t>
      </w:r>
    </w:p>
    <w:p w14:paraId="52966F08">
      <w:pPr>
        <w:ind w:firstLine="482" w:firstLineChars="200"/>
        <w:outlineLvl w:val="0"/>
        <w:rPr>
          <w:rFonts w:hint="eastAsia"/>
          <w:b/>
          <w:color w:val="auto"/>
          <w:sz w:val="24"/>
          <w:szCs w:val="24"/>
        </w:rPr>
      </w:pPr>
      <w:r>
        <w:rPr>
          <w:rFonts w:hint="eastAsia"/>
          <w:b/>
          <w:color w:val="auto"/>
          <w:sz w:val="24"/>
          <w:szCs w:val="24"/>
        </w:rPr>
        <w:t>七、质量保证期</w:t>
      </w:r>
    </w:p>
    <w:p w14:paraId="3D276BFC">
      <w:pPr>
        <w:ind w:firstLine="360" w:firstLineChars="150"/>
        <w:rPr>
          <w:rFonts w:hint="eastAsia"/>
          <w:color w:val="auto"/>
          <w:sz w:val="24"/>
          <w:szCs w:val="24"/>
        </w:rPr>
      </w:pPr>
      <w:r>
        <w:rPr>
          <w:rFonts w:hint="eastAsia"/>
          <w:color w:val="auto"/>
          <w:sz w:val="24"/>
          <w:szCs w:val="24"/>
        </w:rPr>
        <w:t xml:space="preserve">  </w:t>
      </w:r>
      <w:r>
        <w:rPr>
          <w:rFonts w:hint="eastAsia"/>
          <w:color w:val="auto"/>
          <w:sz w:val="24"/>
          <w:szCs w:val="24"/>
          <w:u w:val="single"/>
        </w:rPr>
        <w:t>中标</w:t>
      </w:r>
      <w:r>
        <w:rPr>
          <w:rFonts w:hint="eastAsia"/>
          <w:color w:val="auto"/>
          <w:sz w:val="24"/>
          <w:szCs w:val="24"/>
        </w:rPr>
        <w:t>货物质保期为</w:t>
      </w:r>
      <w:r>
        <w:rPr>
          <w:rFonts w:hint="eastAsia"/>
          <w:color w:val="auto"/>
          <w:sz w:val="24"/>
          <w:szCs w:val="24"/>
          <w:u w:val="single"/>
          <w:lang w:val="en-US"/>
        </w:rPr>
        <w:t>自收货之日起，质保期大于等于18个月</w:t>
      </w:r>
      <w:r>
        <w:rPr>
          <w:rFonts w:hint="eastAsia"/>
          <w:color w:val="auto"/>
          <w:sz w:val="24"/>
          <w:szCs w:val="24"/>
        </w:rPr>
        <w:t>，自全部中标货物验收合格之日起算。在质量保证期内，因产品质量出现问题，乙方负责免费维修或更换，并承担与维修和更换相关的运费、安装、调试、保险等全部费用。因维修或更换造成产品无法正常使用的时间，应当相应顺延质保期限。因此产生的诉讼费、律师代理费、保全费、保全担保费、执行费、送达费等合理的诉讼费用由败诉方承担。</w:t>
      </w:r>
    </w:p>
    <w:p w14:paraId="6E709086">
      <w:pPr>
        <w:ind w:firstLine="472" w:firstLineChars="196"/>
        <w:outlineLvl w:val="0"/>
        <w:rPr>
          <w:rFonts w:hint="eastAsia"/>
          <w:b/>
          <w:color w:val="auto"/>
          <w:sz w:val="24"/>
          <w:szCs w:val="24"/>
        </w:rPr>
      </w:pPr>
      <w:r>
        <w:rPr>
          <w:rFonts w:hint="eastAsia"/>
          <w:b/>
          <w:color w:val="auto"/>
          <w:sz w:val="24"/>
          <w:szCs w:val="24"/>
        </w:rPr>
        <w:t>八、技术资料</w:t>
      </w:r>
    </w:p>
    <w:p w14:paraId="5EE57FCA">
      <w:pPr>
        <w:pStyle w:val="40"/>
        <w:adjustRightInd/>
        <w:ind w:firstLine="480" w:firstLineChars="200"/>
        <w:rPr>
          <w:rFonts w:hint="eastAsia" w:ascii="宋体" w:hAnsi="宋体" w:cs="宋体"/>
          <w:color w:val="auto"/>
        </w:rPr>
      </w:pPr>
      <w:r>
        <w:rPr>
          <w:rFonts w:hint="eastAsia" w:ascii="宋体" w:hAnsi="宋体" w:cs="宋体"/>
          <w:color w:val="auto"/>
        </w:rPr>
        <w:t>乙方需向甲方提供下述资料：</w:t>
      </w:r>
    </w:p>
    <w:p w14:paraId="69568D61">
      <w:pPr>
        <w:pStyle w:val="40"/>
        <w:adjustRightInd/>
        <w:ind w:firstLine="480" w:firstLineChars="200"/>
        <w:rPr>
          <w:rFonts w:hint="eastAsia" w:ascii="宋体" w:hAnsi="宋体" w:cs="宋体"/>
          <w:color w:val="auto"/>
        </w:rPr>
      </w:pPr>
      <w:r>
        <w:rPr>
          <w:rFonts w:hint="eastAsia" w:ascii="宋体" w:hAnsi="宋体" w:cs="宋体"/>
          <w:color w:val="auto"/>
        </w:rPr>
        <w:t>所供货物的型号、规格、数量及生产厂家的产品检验证书、出厂检验报告、保修证明，提供甲方认可的省级以上计量检定机构出具确认合格的校准/检定证书。</w:t>
      </w:r>
    </w:p>
    <w:p w14:paraId="54FA3F3D">
      <w:pPr>
        <w:pStyle w:val="40"/>
        <w:adjustRightInd/>
        <w:ind w:firstLine="482" w:firstLineChars="200"/>
        <w:rPr>
          <w:rFonts w:hint="eastAsia" w:ascii="宋体" w:hAnsi="宋体" w:cs="宋体"/>
          <w:b/>
          <w:color w:val="auto"/>
        </w:rPr>
      </w:pPr>
      <w:r>
        <w:rPr>
          <w:rFonts w:hint="eastAsia" w:ascii="宋体" w:hAnsi="宋体" w:cs="宋体"/>
          <w:b/>
          <w:color w:val="auto"/>
        </w:rPr>
        <w:t>九、包装及验收</w:t>
      </w:r>
    </w:p>
    <w:p w14:paraId="35818F85">
      <w:pPr>
        <w:pStyle w:val="40"/>
        <w:spacing w:line="520" w:lineRule="exact"/>
        <w:ind w:firstLine="480" w:firstLineChars="200"/>
        <w:rPr>
          <w:rFonts w:hint="eastAsia" w:ascii="宋体" w:hAnsi="宋体" w:cs="宋体"/>
          <w:color w:val="auto"/>
        </w:rPr>
      </w:pPr>
      <w:r>
        <w:rPr>
          <w:rFonts w:hint="eastAsia" w:ascii="宋体" w:hAnsi="宋体" w:cs="宋体"/>
          <w:color w:val="auto"/>
        </w:rPr>
        <w:t>１、乙方所提供设备必须进行包装，免收包装费，包装物不回收。</w:t>
      </w:r>
    </w:p>
    <w:p w14:paraId="2064F4B3">
      <w:pPr>
        <w:pStyle w:val="40"/>
        <w:spacing w:line="520" w:lineRule="exact"/>
        <w:ind w:firstLine="480" w:firstLineChars="200"/>
        <w:rPr>
          <w:rFonts w:hint="eastAsia" w:ascii="宋体" w:hAnsi="宋体" w:cs="宋体"/>
          <w:color w:val="auto"/>
        </w:rPr>
      </w:pPr>
      <w:r>
        <w:rPr>
          <w:rFonts w:hint="eastAsia" w:ascii="宋体" w:hAnsi="宋体" w:cs="宋体"/>
          <w:color w:val="auto"/>
        </w:rPr>
        <w:t>２、设备运输过程中的保险费用由乙方承担，在运输过程中发生毁损、灭失均由乙方承担完全责任。</w:t>
      </w:r>
    </w:p>
    <w:p w14:paraId="04575B4A">
      <w:pPr>
        <w:pStyle w:val="40"/>
        <w:spacing w:line="520" w:lineRule="exact"/>
        <w:ind w:firstLine="480" w:firstLineChars="200"/>
        <w:rPr>
          <w:rFonts w:hint="eastAsia" w:ascii="宋体" w:hAnsi="宋体" w:cs="宋体"/>
          <w:color w:val="auto"/>
        </w:rPr>
      </w:pPr>
      <w:r>
        <w:rPr>
          <w:rFonts w:hint="eastAsia" w:ascii="宋体" w:hAnsi="宋体" w:cs="宋体"/>
          <w:color w:val="auto"/>
        </w:rPr>
        <w:t>３、验收方式、标准：</w:t>
      </w:r>
    </w:p>
    <w:p w14:paraId="5DD5541B">
      <w:pPr>
        <w:pStyle w:val="40"/>
        <w:spacing w:line="520" w:lineRule="exact"/>
        <w:ind w:firstLine="480" w:firstLineChars="200"/>
        <w:rPr>
          <w:rFonts w:hint="eastAsia" w:ascii="宋体" w:hAnsi="宋体" w:cs="宋体"/>
          <w:color w:val="auto"/>
        </w:rPr>
      </w:pPr>
      <w:r>
        <w:rPr>
          <w:rFonts w:hint="eastAsia" w:ascii="宋体" w:hAnsi="宋体" w:cs="宋体"/>
          <w:color w:val="auto"/>
        </w:rPr>
        <w:t>3.1货物接收</w:t>
      </w:r>
    </w:p>
    <w:p w14:paraId="3170D2AB">
      <w:pPr>
        <w:pStyle w:val="40"/>
        <w:spacing w:line="520" w:lineRule="exact"/>
        <w:ind w:firstLine="480" w:firstLineChars="200"/>
        <w:rPr>
          <w:rFonts w:hint="eastAsia" w:ascii="宋体" w:hAnsi="宋体" w:cs="宋体"/>
          <w:color w:val="auto"/>
        </w:rPr>
      </w:pPr>
      <w:r>
        <w:rPr>
          <w:rFonts w:hint="eastAsia" w:ascii="宋体" w:hAnsi="宋体" w:cs="宋体"/>
          <w:color w:val="auto"/>
        </w:rPr>
        <w:t>设备运到甲方指定地点当日，由甲乙双方按本合同要求共同验货。验货按乙方提供的《货物签收单》要求进行。验货合格后，双方共同签署《货物签收单》。</w:t>
      </w:r>
    </w:p>
    <w:p w14:paraId="5ABCFECA">
      <w:pPr>
        <w:pStyle w:val="40"/>
        <w:spacing w:line="520" w:lineRule="exact"/>
        <w:ind w:firstLine="480" w:firstLineChars="200"/>
        <w:rPr>
          <w:rFonts w:hint="eastAsia" w:ascii="宋体" w:hAnsi="宋体" w:cs="宋体"/>
          <w:color w:val="auto"/>
        </w:rPr>
      </w:pPr>
      <w:r>
        <w:rPr>
          <w:rFonts w:hint="eastAsia" w:ascii="宋体" w:hAnsi="宋体" w:cs="宋体"/>
          <w:color w:val="auto"/>
        </w:rPr>
        <w:t>3.2货物验收</w:t>
      </w:r>
    </w:p>
    <w:p w14:paraId="7FFD65D4">
      <w:pPr>
        <w:pStyle w:val="40"/>
        <w:spacing w:line="520" w:lineRule="exact"/>
        <w:ind w:firstLine="480" w:firstLineChars="200"/>
        <w:rPr>
          <w:rFonts w:hint="eastAsia" w:ascii="宋体" w:hAnsi="宋体" w:cs="宋体"/>
          <w:color w:val="auto"/>
        </w:rPr>
      </w:pPr>
      <w:r>
        <w:rPr>
          <w:rFonts w:hint="eastAsia" w:ascii="宋体" w:hAnsi="宋体" w:cs="宋体"/>
          <w:color w:val="auto"/>
        </w:rPr>
        <w:t>3.2.1开箱检验：</w:t>
      </w:r>
    </w:p>
    <w:p w14:paraId="69249FE3">
      <w:pPr>
        <w:pStyle w:val="40"/>
        <w:spacing w:line="520" w:lineRule="exact"/>
        <w:ind w:firstLine="480" w:firstLineChars="200"/>
        <w:rPr>
          <w:rFonts w:hint="eastAsia" w:ascii="宋体" w:hAnsi="宋体" w:cs="宋体"/>
          <w:color w:val="auto"/>
        </w:rPr>
      </w:pPr>
      <w:r>
        <w:rPr>
          <w:rFonts w:hint="eastAsia" w:ascii="宋体" w:hAnsi="宋体" w:cs="宋体"/>
          <w:color w:val="auto"/>
        </w:rPr>
        <w:t>甲乙双方根据装箱单和产品的技术指标及性能共同验收，如发现有不合格产品、错漏、损坏部件或与本合同约定的技术要求和规格不符时，双方应在现场联合作记录，签署备忘录。乙方负责在10天内按本合同要求标准予以更换，确保不影响工作进展，并承担一切费用。</w:t>
      </w:r>
    </w:p>
    <w:p w14:paraId="5B6A4F55">
      <w:pPr>
        <w:pStyle w:val="40"/>
        <w:spacing w:line="520" w:lineRule="exact"/>
        <w:ind w:firstLine="480" w:firstLineChars="200"/>
        <w:rPr>
          <w:rFonts w:hint="eastAsia" w:ascii="宋体" w:hAnsi="宋体" w:cs="宋体"/>
          <w:color w:val="auto"/>
        </w:rPr>
      </w:pPr>
      <w:r>
        <w:rPr>
          <w:rFonts w:hint="eastAsia" w:ascii="宋体" w:hAnsi="宋体" w:cs="宋体"/>
          <w:color w:val="auto"/>
        </w:rPr>
        <w:t>3.2.2安装验收：</w:t>
      </w:r>
    </w:p>
    <w:p w14:paraId="06439D2F">
      <w:pPr>
        <w:pStyle w:val="40"/>
        <w:spacing w:line="520" w:lineRule="exact"/>
        <w:ind w:firstLine="480" w:firstLineChars="200"/>
        <w:rPr>
          <w:rFonts w:hint="eastAsia" w:ascii="宋体" w:hAnsi="宋体" w:cs="宋体"/>
          <w:color w:val="auto"/>
        </w:rPr>
      </w:pPr>
      <w:r>
        <w:rPr>
          <w:rFonts w:hint="eastAsia" w:ascii="宋体" w:hAnsi="宋体" w:cs="宋体"/>
          <w:color w:val="auto"/>
        </w:rPr>
        <w:t>工作须在签署《货物签收单》之日后30个自然日内完成，安装测试结果如不符或测试结果不能确认，乙方应在10个自然日内调整配置直至重新测试合格，如果仍然测试不通过，甲方有权停止验收、拒收设备并解除合同，由乙方承担违约责任。如因甲方或不可抗力原因导致未能进行安装验收，甲方须向乙方出具和签署相关证明。</w:t>
      </w:r>
    </w:p>
    <w:p w14:paraId="2021C27F">
      <w:pPr>
        <w:pStyle w:val="40"/>
        <w:spacing w:line="520" w:lineRule="exact"/>
        <w:ind w:firstLine="480" w:firstLineChars="200"/>
        <w:rPr>
          <w:rFonts w:hint="eastAsia" w:ascii="宋体" w:hAnsi="宋体" w:cs="宋体"/>
          <w:color w:val="auto"/>
        </w:rPr>
      </w:pPr>
      <w:r>
        <w:rPr>
          <w:rFonts w:hint="eastAsia" w:ascii="宋体" w:hAnsi="宋体" w:cs="宋体"/>
          <w:color w:val="auto"/>
        </w:rPr>
        <w:t>3.2.3调试验收：</w:t>
      </w:r>
    </w:p>
    <w:p w14:paraId="1F48ECE8">
      <w:pPr>
        <w:pStyle w:val="40"/>
        <w:spacing w:line="520" w:lineRule="exact"/>
        <w:ind w:firstLine="480" w:firstLineChars="200"/>
        <w:rPr>
          <w:rFonts w:hint="eastAsia" w:ascii="宋体" w:hAnsi="宋体" w:cs="宋体"/>
          <w:color w:val="auto"/>
        </w:rPr>
      </w:pPr>
      <w:r>
        <w:rPr>
          <w:rFonts w:hint="eastAsia" w:ascii="宋体" w:hAnsi="宋体" w:cs="宋体"/>
          <w:color w:val="auto"/>
        </w:rPr>
        <w:t>全部产品由乙方安装并调试正常后，乙方负责派出相关技术人员现场指导甲方对设备功能进行测试，由甲乙双方按投标文件规定的型号、技术参数、数量、产地，并根据制造商签发的《产品合格证》、《出厂清单》、乙方向甲方提供包含验收方案、验收内容、验收标准（包括行业通行标准、厂方出厂标准、招标文件要求和乙方投标文件的承诺，并不低于国家有关部门最新颁布的标准及规范）、省级以上计量检定部门出具的检定/校准合格证书、验收人员等验收申请，进行现场验收，现场验收包括设备验收和数据验收，设备验收是完成了数据采集工作后，系统功能和性能达到试运行条件时，系统进入试运行阶段，在对试运行期间暴露的所有缺陷、问题和未实现的功能完全解决后，系统达到稳定运行，在稳定运行后对数据进行验收，当设备和数据都满足要求时申请现场验收。现场验收合格后甲乙双方根据测试结果共同签署《产品安装调试报告及验收报告》，现场验收完成后，系统正式投入运行，进入质保期。如对结果有异议，验收十个工作日内以书面形式通知对方。</w:t>
      </w:r>
    </w:p>
    <w:p w14:paraId="2392C0A8">
      <w:pPr>
        <w:pStyle w:val="40"/>
        <w:spacing w:line="520" w:lineRule="exact"/>
        <w:ind w:firstLine="480" w:firstLineChars="200"/>
        <w:rPr>
          <w:rFonts w:hint="eastAsia" w:ascii="宋体" w:hAnsi="宋体" w:cs="宋体"/>
          <w:color w:val="auto"/>
        </w:rPr>
      </w:pPr>
      <w:r>
        <w:rPr>
          <w:rFonts w:hint="eastAsia" w:ascii="宋体" w:hAnsi="宋体" w:cs="宋体"/>
          <w:color w:val="auto"/>
        </w:rPr>
        <w:t>3.2.4最终验收：</w:t>
      </w:r>
    </w:p>
    <w:p w14:paraId="2EF30AC4">
      <w:pPr>
        <w:pStyle w:val="40"/>
        <w:spacing w:line="520" w:lineRule="exact"/>
        <w:ind w:firstLine="480" w:firstLineChars="200"/>
        <w:rPr>
          <w:rFonts w:hint="eastAsia" w:ascii="宋体" w:hAnsi="宋体" w:cs="宋体"/>
          <w:color w:val="auto"/>
        </w:rPr>
      </w:pPr>
      <w:r>
        <w:rPr>
          <w:rFonts w:hint="eastAsia" w:ascii="宋体" w:hAnsi="宋体" w:cs="宋体"/>
          <w:color w:val="auto"/>
        </w:rPr>
        <w:t>系统在质保期期间没有出现任何重大缺陷，在质保期满时申请最终验收。</w:t>
      </w:r>
    </w:p>
    <w:p w14:paraId="5D7095F2">
      <w:pPr>
        <w:pStyle w:val="40"/>
        <w:spacing w:line="520" w:lineRule="exact"/>
        <w:ind w:firstLine="360" w:firstLineChars="150"/>
        <w:rPr>
          <w:rFonts w:hint="eastAsia" w:ascii="宋体" w:hAnsi="宋体" w:cs="宋体"/>
          <w:color w:val="auto"/>
        </w:rPr>
      </w:pPr>
      <w:r>
        <w:rPr>
          <w:rFonts w:hint="eastAsia" w:ascii="宋体" w:hAnsi="宋体" w:cs="宋体"/>
          <w:color w:val="auto"/>
        </w:rPr>
        <w:t>3.2.5综合验收：</w:t>
      </w:r>
    </w:p>
    <w:p w14:paraId="69CA2C1B">
      <w:pPr>
        <w:pStyle w:val="40"/>
        <w:spacing w:line="520" w:lineRule="exact"/>
        <w:ind w:firstLine="480" w:firstLineChars="200"/>
        <w:rPr>
          <w:rFonts w:hint="eastAsia" w:ascii="宋体" w:hAnsi="宋体" w:cs="宋体"/>
          <w:color w:val="auto"/>
        </w:rPr>
      </w:pPr>
      <w:r>
        <w:rPr>
          <w:rFonts w:hint="eastAsia" w:ascii="宋体" w:hAnsi="宋体" w:cs="宋体"/>
          <w:color w:val="auto"/>
        </w:rPr>
        <w:t>如果任何被检验的货物或服务不符合质量要求，甲方均可以拒绝接受，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14:paraId="0718260C">
      <w:pPr>
        <w:ind w:firstLine="472" w:firstLineChars="196"/>
        <w:outlineLvl w:val="0"/>
        <w:rPr>
          <w:rFonts w:hint="eastAsia"/>
          <w:b/>
          <w:color w:val="auto"/>
          <w:sz w:val="24"/>
          <w:szCs w:val="24"/>
        </w:rPr>
      </w:pPr>
      <w:r>
        <w:rPr>
          <w:rFonts w:hint="eastAsia"/>
          <w:b/>
          <w:color w:val="auto"/>
          <w:sz w:val="24"/>
          <w:szCs w:val="24"/>
        </w:rPr>
        <w:t>十、甲、乙双方的权利及义务</w:t>
      </w:r>
    </w:p>
    <w:p w14:paraId="02DAC1B5">
      <w:pPr>
        <w:pStyle w:val="40"/>
        <w:adjustRightInd/>
        <w:ind w:firstLine="480" w:firstLineChars="200"/>
        <w:rPr>
          <w:rFonts w:hint="eastAsia" w:ascii="宋体" w:hAnsi="宋体" w:cs="宋体"/>
          <w:color w:val="auto"/>
        </w:rPr>
      </w:pPr>
      <w:r>
        <w:rPr>
          <w:rFonts w:hint="eastAsia" w:ascii="宋体" w:hAnsi="宋体" w:cs="宋体"/>
          <w:color w:val="auto"/>
        </w:rPr>
        <w:t>1、若甲方对订购的货物有任何更改，包括货物的型号、品种、规格、数量、颜色、交货期等事宜，必须在双方签订合同后七天内书面通知乙方，经乙方同意并变更后，交货期相应从变更之日起顺延，若超过七天乙方不予更改。由于变更引起的合同总额的增减，则由甲乙双方友好协商后，多退少补。</w:t>
      </w:r>
    </w:p>
    <w:p w14:paraId="41615BC6">
      <w:pPr>
        <w:pStyle w:val="40"/>
        <w:adjustRightInd/>
        <w:ind w:firstLine="480" w:firstLineChars="200"/>
        <w:rPr>
          <w:rFonts w:hint="eastAsia" w:ascii="宋体" w:hAnsi="宋体" w:cs="宋体"/>
          <w:color w:val="auto"/>
        </w:rPr>
      </w:pPr>
      <w:r>
        <w:rPr>
          <w:rFonts w:hint="eastAsia" w:ascii="宋体" w:hAnsi="宋体" w:cs="宋体"/>
          <w:color w:val="auto"/>
        </w:rPr>
        <w:t>2、若乙方在交货时，由于甲方的原因或要求，不能及时将货物送达指定地点和验收时，则甲方负责承担与仓储及再次运输相关的费用，并给予乙方书面确认书，视为乙方已按期交付货物。</w:t>
      </w:r>
    </w:p>
    <w:p w14:paraId="544323ED">
      <w:pPr>
        <w:pStyle w:val="40"/>
        <w:adjustRightInd/>
        <w:ind w:firstLine="480" w:firstLineChars="200"/>
        <w:rPr>
          <w:rFonts w:hint="eastAsia" w:ascii="宋体" w:hAnsi="宋体" w:cs="宋体"/>
          <w:color w:val="auto"/>
        </w:rPr>
      </w:pPr>
      <w:r>
        <w:rPr>
          <w:rFonts w:hint="eastAsia" w:ascii="宋体" w:hAnsi="宋体" w:cs="宋体"/>
          <w:color w:val="auto"/>
        </w:rPr>
        <w:t>3、若甲方在验收后的质量保证期内，发现货物内有部分出现质量问题，应及时通知乙方，乙方应3天内到现场查看，若需要更换时，乙方应在接到通知后10天内给予更换。</w:t>
      </w:r>
    </w:p>
    <w:p w14:paraId="7CD77167">
      <w:pPr>
        <w:pStyle w:val="40"/>
        <w:adjustRightInd/>
        <w:ind w:firstLine="480" w:firstLineChars="200"/>
        <w:rPr>
          <w:rFonts w:hint="eastAsia" w:ascii="宋体" w:hAnsi="宋体" w:cs="宋体"/>
          <w:color w:val="auto"/>
        </w:rPr>
      </w:pPr>
      <w:r>
        <w:rPr>
          <w:rFonts w:hint="eastAsia" w:ascii="宋体" w:hAnsi="宋体" w:cs="宋体"/>
          <w:color w:val="auto"/>
        </w:rPr>
        <w:t>4、乙方须按合同要求提供质量合格的货物，如期在甲方指定的交货地点交付货物，并提供免费的安装调试。</w:t>
      </w:r>
    </w:p>
    <w:p w14:paraId="213333E4">
      <w:pPr>
        <w:pStyle w:val="40"/>
        <w:adjustRightInd/>
        <w:ind w:firstLine="480" w:firstLineChars="200"/>
        <w:rPr>
          <w:rFonts w:hint="eastAsia" w:ascii="宋体" w:hAnsi="宋体" w:cs="宋体"/>
          <w:color w:val="auto"/>
        </w:rPr>
      </w:pPr>
      <w:r>
        <w:rPr>
          <w:rFonts w:hint="eastAsia" w:ascii="宋体" w:hAnsi="宋体" w:cs="宋体"/>
          <w:color w:val="auto"/>
        </w:rPr>
        <w:t>5、乙方对售予甲方的货物提供的质量保证期的质量保证范围，不包括意外事件、不可抗力原因及违规使用。</w:t>
      </w:r>
    </w:p>
    <w:p w14:paraId="21F2BC10">
      <w:pPr>
        <w:ind w:firstLine="472" w:firstLineChars="196"/>
        <w:outlineLvl w:val="0"/>
        <w:rPr>
          <w:rFonts w:hint="eastAsia"/>
          <w:color w:val="auto"/>
          <w:sz w:val="24"/>
          <w:szCs w:val="24"/>
        </w:rPr>
      </w:pPr>
      <w:r>
        <w:rPr>
          <w:rFonts w:hint="eastAsia"/>
          <w:b/>
          <w:color w:val="auto"/>
          <w:sz w:val="24"/>
          <w:szCs w:val="24"/>
        </w:rPr>
        <w:t>十一、合同变更、违约及其它</w:t>
      </w:r>
    </w:p>
    <w:p w14:paraId="66DECA12">
      <w:pPr>
        <w:pStyle w:val="40"/>
        <w:adjustRightInd/>
        <w:ind w:firstLine="470" w:firstLineChars="196"/>
        <w:rPr>
          <w:rFonts w:hint="eastAsia" w:ascii="宋体" w:hAnsi="宋体" w:cs="宋体"/>
          <w:color w:val="auto"/>
        </w:rPr>
      </w:pPr>
      <w:r>
        <w:rPr>
          <w:rFonts w:ascii="宋体" w:hAnsi="宋体" w:cs="宋体"/>
          <w:color w:val="auto"/>
        </w:rPr>
        <w:t>1</w:t>
      </w:r>
      <w:r>
        <w:rPr>
          <w:rFonts w:hint="eastAsia" w:ascii="宋体" w:hAnsi="宋体" w:cs="宋体"/>
          <w:color w:val="auto"/>
        </w:rPr>
        <w:t>、乙方必须在本合同规定的时间内按时交货，否则由乙方负责承担全部违约责任。乙方迟延交货需向甲方支付违约金：每延误七天按合同总金额的千分之五支付；不满七天按七天计算，依次类推。乙方超过交货期限 35个自然日内仍不能交付全部货物时，甲方有权因乙方违约解除合同。</w:t>
      </w:r>
    </w:p>
    <w:p w14:paraId="45C76E2E">
      <w:pPr>
        <w:pStyle w:val="40"/>
        <w:adjustRightInd/>
        <w:rPr>
          <w:rFonts w:hint="eastAsia" w:ascii="宋体" w:hAnsi="宋体" w:cs="宋体"/>
          <w:color w:val="auto"/>
        </w:rPr>
      </w:pPr>
      <w:r>
        <w:rPr>
          <w:rFonts w:hint="eastAsia" w:ascii="宋体" w:hAnsi="宋体" w:cs="宋体"/>
          <w:color w:val="auto"/>
        </w:rPr>
        <w:t xml:space="preserve">     </w:t>
      </w:r>
      <w:r>
        <w:rPr>
          <w:rFonts w:ascii="宋体" w:hAnsi="宋体" w:cs="宋体"/>
          <w:color w:val="auto"/>
        </w:rPr>
        <w:t>2</w:t>
      </w:r>
      <w:r>
        <w:rPr>
          <w:rFonts w:hint="eastAsia" w:ascii="宋体" w:hAnsi="宋体" w:cs="宋体"/>
          <w:color w:val="auto"/>
        </w:rPr>
        <w:t>、乙方应严格按照招标、投标文件中规定的产品规格、型号名称、数量和质量提供相应的产品及服务，兑现服务承诺，否则将视为乙方违约，并按合同总价款的</w:t>
      </w:r>
      <w:r>
        <w:rPr>
          <w:rFonts w:hint="eastAsia" w:ascii="宋体" w:hAnsi="宋体" w:cs="宋体"/>
          <w:color w:val="auto"/>
          <w:u w:val="single"/>
        </w:rPr>
        <w:t>10</w:t>
      </w:r>
      <w:r>
        <w:rPr>
          <w:rFonts w:hint="eastAsia" w:ascii="宋体" w:hAnsi="宋体" w:cs="宋体"/>
          <w:color w:val="auto"/>
        </w:rPr>
        <w:t>%或单件设备款价的</w:t>
      </w:r>
      <w:r>
        <w:rPr>
          <w:rFonts w:hint="eastAsia" w:ascii="宋体" w:hAnsi="宋体" w:cs="宋体"/>
          <w:color w:val="auto"/>
          <w:u w:val="single"/>
        </w:rPr>
        <w:t>30</w:t>
      </w:r>
      <w:r>
        <w:rPr>
          <w:rFonts w:hint="eastAsia" w:ascii="宋体" w:hAnsi="宋体" w:cs="宋体"/>
          <w:color w:val="auto"/>
        </w:rPr>
        <w:t>%承担违约金。</w:t>
      </w:r>
    </w:p>
    <w:p w14:paraId="52726319">
      <w:pPr>
        <w:pStyle w:val="40"/>
        <w:adjustRightInd/>
        <w:rPr>
          <w:rFonts w:hint="eastAsia" w:ascii="宋体" w:hAnsi="宋体" w:cs="宋体"/>
          <w:color w:val="auto"/>
        </w:rPr>
      </w:pPr>
      <w:r>
        <w:rPr>
          <w:rFonts w:hint="eastAsia" w:ascii="宋体" w:hAnsi="宋体" w:cs="宋体"/>
          <w:color w:val="auto"/>
        </w:rPr>
        <w:t xml:space="preserve">    </w:t>
      </w:r>
      <w:r>
        <w:rPr>
          <w:rFonts w:ascii="宋体" w:hAnsi="宋体" w:cs="宋体"/>
          <w:color w:val="auto"/>
        </w:rPr>
        <w:t>3</w:t>
      </w:r>
      <w:r>
        <w:rPr>
          <w:rFonts w:hint="eastAsia" w:ascii="宋体" w:hAnsi="宋体" w:cs="宋体"/>
          <w:color w:val="auto"/>
        </w:rPr>
        <w:t>、合同文本不得涂改，如需修改应在合同附件中注明。经甲、乙双方协商达成一致修改意见，需经甲、乙双方代表共同签署此附件，并通报自治区政府采购中心认可后，方能生效。</w:t>
      </w:r>
    </w:p>
    <w:p w14:paraId="279A800F">
      <w:pPr>
        <w:pStyle w:val="40"/>
        <w:adjustRightInd/>
        <w:ind w:firstLine="645"/>
        <w:rPr>
          <w:rFonts w:hint="eastAsia" w:ascii="宋体" w:hAnsi="宋体" w:cs="宋体"/>
          <w:color w:val="auto"/>
        </w:rPr>
      </w:pPr>
      <w:r>
        <w:rPr>
          <w:rFonts w:ascii="宋体" w:hAnsi="宋体" w:cs="宋体"/>
          <w:color w:val="auto"/>
        </w:rPr>
        <w:t>4</w:t>
      </w:r>
      <w:r>
        <w:rPr>
          <w:rFonts w:hint="eastAsia" w:ascii="宋体" w:hAnsi="宋体" w:cs="宋体"/>
          <w:color w:val="auto"/>
        </w:rPr>
        <w:t>、招标文件、投标件及开标会议上签名的答疑记录、售后服务承诺等均作为合同的附件，是合同文本不可分割的组成部分。合同文本未述及不详之处，以附件为准。</w:t>
      </w:r>
    </w:p>
    <w:p w14:paraId="0C24E037">
      <w:pPr>
        <w:pStyle w:val="40"/>
        <w:adjustRightInd/>
        <w:ind w:firstLine="480" w:firstLineChars="200"/>
        <w:rPr>
          <w:rFonts w:hint="eastAsia" w:ascii="宋体" w:hAnsi="宋体" w:cs="宋体"/>
          <w:color w:val="auto"/>
        </w:rPr>
      </w:pPr>
      <w:r>
        <w:rPr>
          <w:rFonts w:ascii="宋体" w:hAnsi="宋体" w:cs="宋体"/>
          <w:color w:val="auto"/>
        </w:rPr>
        <w:t>5</w:t>
      </w:r>
      <w:r>
        <w:rPr>
          <w:rFonts w:hint="eastAsia" w:ascii="宋体" w:hAnsi="宋体" w:cs="宋体"/>
          <w:color w:val="auto"/>
        </w:rPr>
        <w:t>、合同经甲、乙双方签字盖章后即行生效。合同生效后 ，乙方中途废止合同（不可抗力原因除外），乙方中途解除合同（不可抗力原因除外）应按实际损失向甲方支付赔偿金，并向甲方支付合同总金额</w:t>
      </w:r>
      <w:r>
        <w:rPr>
          <w:rFonts w:hint="eastAsia" w:ascii="宋体" w:hAnsi="宋体" w:cs="宋体"/>
          <w:color w:val="auto"/>
          <w:u w:val="single"/>
        </w:rPr>
        <w:t>10</w:t>
      </w:r>
      <w:r>
        <w:rPr>
          <w:rFonts w:hint="eastAsia" w:ascii="宋体" w:hAnsi="宋体" w:cs="宋体"/>
          <w:color w:val="auto"/>
        </w:rPr>
        <w:t>%的违约金；甲方中途废止合同（不可抗力原因除外），甲方中途解除合同（不可抗力原因除外），向乙方支付合同总金额的</w:t>
      </w:r>
      <w:r>
        <w:rPr>
          <w:rFonts w:hint="eastAsia" w:ascii="宋体" w:hAnsi="宋体" w:cs="宋体"/>
          <w:color w:val="auto"/>
          <w:u w:val="single"/>
        </w:rPr>
        <w:t>10</w:t>
      </w:r>
      <w:r>
        <w:rPr>
          <w:rFonts w:hint="eastAsia" w:ascii="宋体" w:hAnsi="宋体" w:cs="宋体"/>
          <w:color w:val="auto"/>
        </w:rPr>
        <w:t>%的违约金。</w:t>
      </w:r>
    </w:p>
    <w:p w14:paraId="1219E65B">
      <w:pPr>
        <w:ind w:firstLine="480" w:firstLineChars="200"/>
        <w:rPr>
          <w:rFonts w:hint="eastAsia"/>
          <w:color w:val="auto"/>
          <w:sz w:val="24"/>
          <w:szCs w:val="24"/>
        </w:rPr>
      </w:pPr>
      <w:r>
        <w:rPr>
          <w:color w:val="auto"/>
          <w:sz w:val="24"/>
          <w:szCs w:val="24"/>
          <w:lang w:val="en-US"/>
        </w:rPr>
        <w:t>6</w:t>
      </w:r>
      <w:r>
        <w:rPr>
          <w:rFonts w:hint="eastAsia"/>
          <w:color w:val="auto"/>
          <w:sz w:val="24"/>
          <w:szCs w:val="24"/>
        </w:rPr>
        <w:t>、本合同依照《中华人民共和国政府采购法》和《《中华人民共和国民法典》等相关法律法规制定。未尽事项皆受上述法律法规约束。甲、乙双方发生争议时，应先协商解决，经协商在30天内不能达成协议时，应提交甲方所在地人民法院进行诉讼。</w:t>
      </w:r>
    </w:p>
    <w:p w14:paraId="7F9A4E72">
      <w:pPr>
        <w:ind w:firstLine="480" w:firstLineChars="200"/>
        <w:rPr>
          <w:rFonts w:hint="eastAsia"/>
          <w:color w:val="auto"/>
          <w:sz w:val="24"/>
          <w:szCs w:val="24"/>
        </w:rPr>
      </w:pPr>
      <w:r>
        <w:rPr>
          <w:color w:val="auto"/>
          <w:sz w:val="24"/>
          <w:szCs w:val="24"/>
          <w:lang w:val="en-US"/>
        </w:rPr>
        <w:t>7</w:t>
      </w:r>
      <w:r>
        <w:rPr>
          <w:rFonts w:hint="eastAsia"/>
          <w:color w:val="auto"/>
          <w:sz w:val="24"/>
          <w:szCs w:val="24"/>
        </w:rPr>
        <w:t>、人民法院生效判决为最终决定，并对双方具有约束力。</w:t>
      </w:r>
    </w:p>
    <w:p w14:paraId="03C6A495">
      <w:pPr>
        <w:pStyle w:val="40"/>
        <w:adjustRightInd/>
        <w:ind w:firstLine="556"/>
        <w:rPr>
          <w:rFonts w:hint="eastAsia" w:ascii="宋体" w:hAnsi="宋体" w:cs="宋体"/>
          <w:color w:val="auto"/>
        </w:rPr>
      </w:pPr>
      <w:r>
        <w:rPr>
          <w:rFonts w:ascii="宋体" w:hAnsi="宋体" w:cs="宋体"/>
          <w:color w:val="auto"/>
        </w:rPr>
        <w:t>8</w:t>
      </w:r>
      <w:r>
        <w:rPr>
          <w:rFonts w:hint="eastAsia" w:ascii="宋体" w:hAnsi="宋体" w:cs="宋体"/>
          <w:color w:val="auto"/>
        </w:rPr>
        <w:t>、本合同一式六份，甲方执四份，乙方执二份。</w:t>
      </w:r>
    </w:p>
    <w:p w14:paraId="326B9FA6">
      <w:pPr>
        <w:pStyle w:val="40"/>
        <w:adjustRightInd/>
        <w:ind w:firstLine="556"/>
        <w:rPr>
          <w:rFonts w:hint="eastAsia" w:ascii="宋体" w:hAnsi="宋体" w:cs="宋体"/>
          <w:color w:val="auto"/>
        </w:rPr>
      </w:pPr>
      <w:r>
        <w:rPr>
          <w:rFonts w:ascii="宋体" w:hAnsi="宋体" w:cs="宋体"/>
          <w:color w:val="auto"/>
        </w:rPr>
        <w:t>9</w:t>
      </w:r>
      <w:r>
        <w:rPr>
          <w:rFonts w:hint="eastAsia" w:ascii="宋体" w:hAnsi="宋体" w:cs="宋体"/>
          <w:color w:val="auto"/>
        </w:rPr>
        <w:t>、本合同自签字盖章完毕之日起生效，质量保证期满后终止。</w:t>
      </w:r>
    </w:p>
    <w:p w14:paraId="11D4826B">
      <w:pPr>
        <w:pStyle w:val="40"/>
        <w:adjustRightInd/>
        <w:ind w:firstLine="556"/>
        <w:rPr>
          <w:rFonts w:hint="eastAsia" w:ascii="宋体" w:hAnsi="宋体" w:cs="宋体"/>
          <w:color w:val="auto"/>
        </w:rPr>
      </w:pPr>
      <w:r>
        <w:rPr>
          <w:rFonts w:hint="eastAsia" w:ascii="宋体" w:hAnsi="宋体" w:cs="宋体"/>
          <w:color w:val="auto"/>
        </w:rPr>
        <w:t>1</w:t>
      </w:r>
      <w:r>
        <w:rPr>
          <w:rFonts w:ascii="宋体" w:hAnsi="宋体" w:cs="宋体"/>
          <w:color w:val="auto"/>
        </w:rPr>
        <w:t>0</w:t>
      </w:r>
      <w:r>
        <w:rPr>
          <w:rFonts w:hint="eastAsia" w:ascii="宋体" w:hAnsi="宋体" w:cs="宋体"/>
          <w:color w:val="auto"/>
        </w:rPr>
        <w:t>、本合同附件（一）</w:t>
      </w:r>
      <w:bookmarkStart w:id="6" w:name="OLE_LINK7"/>
      <w:r>
        <w:rPr>
          <w:rFonts w:hint="eastAsia" w:ascii="宋体" w:hAnsi="宋体" w:cs="宋体"/>
          <w:color w:val="auto"/>
        </w:rPr>
        <w:t>技术协议</w:t>
      </w:r>
      <w:bookmarkEnd w:id="6"/>
      <w:r>
        <w:rPr>
          <w:rFonts w:hint="eastAsia" w:ascii="宋体" w:hAnsi="宋体" w:cs="宋体"/>
          <w:color w:val="auto"/>
        </w:rPr>
        <w:t>属合同不可分割内容，与本合同具有同等法律效力。</w:t>
      </w:r>
    </w:p>
    <w:p w14:paraId="40A7C61A">
      <w:pPr>
        <w:pStyle w:val="40"/>
        <w:adjustRightInd/>
        <w:rPr>
          <w:rFonts w:hint="eastAsia" w:ascii="宋体" w:hAnsi="宋体" w:cs="宋体"/>
          <w:color w:val="auto"/>
        </w:rPr>
      </w:pPr>
    </w:p>
    <w:p w14:paraId="781CC8D5">
      <w:pPr>
        <w:pStyle w:val="40"/>
        <w:adjustRightInd/>
        <w:rPr>
          <w:rFonts w:hint="eastAsia" w:ascii="宋体" w:hAnsi="宋体" w:cs="宋体"/>
          <w:color w:val="auto"/>
        </w:rPr>
      </w:pPr>
    </w:p>
    <w:p w14:paraId="3F23D00F">
      <w:pPr>
        <w:pStyle w:val="40"/>
        <w:adjustRightInd/>
        <w:rPr>
          <w:rFonts w:hint="eastAsia" w:ascii="宋体" w:hAnsi="宋体" w:cs="宋体"/>
          <w:color w:val="auto"/>
        </w:rPr>
      </w:pPr>
    </w:p>
    <w:p w14:paraId="117D2CC8">
      <w:pPr>
        <w:pStyle w:val="40"/>
        <w:adjustRightInd/>
        <w:ind w:firstLine="556"/>
        <w:rPr>
          <w:rFonts w:hint="eastAsia" w:ascii="宋体" w:hAnsi="宋体" w:cs="宋体"/>
          <w:color w:val="auto"/>
        </w:rPr>
      </w:pPr>
    </w:p>
    <w:tbl>
      <w:tblPr>
        <w:tblStyle w:val="26"/>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1"/>
        <w:gridCol w:w="5041"/>
      </w:tblGrid>
      <w:tr w14:paraId="51DB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5041" w:type="dxa"/>
            <w:tcBorders>
              <w:top w:val="single" w:color="auto" w:sz="4" w:space="0"/>
              <w:left w:val="single" w:color="auto" w:sz="4" w:space="0"/>
              <w:bottom w:val="single" w:color="auto" w:sz="4" w:space="0"/>
              <w:right w:val="single" w:color="auto" w:sz="4" w:space="0"/>
            </w:tcBorders>
            <w:vAlign w:val="center"/>
          </w:tcPr>
          <w:p w14:paraId="35C2F129">
            <w:pPr>
              <w:rPr>
                <w:rFonts w:hint="eastAsia"/>
                <w:color w:val="auto"/>
                <w:sz w:val="24"/>
                <w:szCs w:val="24"/>
              </w:rPr>
            </w:pPr>
            <w:r>
              <w:rPr>
                <w:rFonts w:hint="eastAsia"/>
                <w:color w:val="auto"/>
                <w:sz w:val="24"/>
                <w:szCs w:val="24"/>
              </w:rPr>
              <w:t>甲方（公章）：</w:t>
            </w:r>
            <w:r>
              <w:rPr>
                <w:rFonts w:hint="eastAsia"/>
                <w:color w:val="auto"/>
                <w:sz w:val="24"/>
                <w:szCs w:val="24"/>
                <w:lang w:val="en-US" w:eastAsia="zh-CN"/>
              </w:rPr>
              <w:t>新和县农业技术推广中心</w:t>
            </w:r>
          </w:p>
        </w:tc>
        <w:tc>
          <w:tcPr>
            <w:tcW w:w="5041" w:type="dxa"/>
            <w:tcBorders>
              <w:top w:val="single" w:color="auto" w:sz="4" w:space="0"/>
              <w:left w:val="single" w:color="auto" w:sz="4" w:space="0"/>
              <w:bottom w:val="single" w:color="auto" w:sz="4" w:space="0"/>
              <w:right w:val="single" w:color="auto" w:sz="4" w:space="0"/>
            </w:tcBorders>
            <w:vAlign w:val="center"/>
          </w:tcPr>
          <w:p w14:paraId="458CEBC4">
            <w:pPr>
              <w:rPr>
                <w:rFonts w:hint="eastAsia"/>
                <w:color w:val="auto"/>
                <w:sz w:val="24"/>
                <w:szCs w:val="24"/>
              </w:rPr>
            </w:pPr>
            <w:r>
              <w:rPr>
                <w:rFonts w:hint="eastAsia"/>
                <w:color w:val="auto"/>
                <w:sz w:val="24"/>
                <w:szCs w:val="24"/>
              </w:rPr>
              <w:t xml:space="preserve">乙方（公章）： </w:t>
            </w:r>
          </w:p>
        </w:tc>
      </w:tr>
      <w:tr w14:paraId="33BA5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041" w:type="dxa"/>
            <w:tcBorders>
              <w:top w:val="single" w:color="auto" w:sz="4" w:space="0"/>
              <w:left w:val="single" w:color="auto" w:sz="4" w:space="0"/>
              <w:bottom w:val="single" w:color="auto" w:sz="4" w:space="0"/>
              <w:right w:val="single" w:color="auto" w:sz="4" w:space="0"/>
            </w:tcBorders>
            <w:vAlign w:val="center"/>
          </w:tcPr>
          <w:p w14:paraId="3ED6C954">
            <w:pPr>
              <w:rPr>
                <w:rFonts w:hint="eastAsia"/>
                <w:color w:val="auto"/>
                <w:sz w:val="24"/>
                <w:szCs w:val="24"/>
              </w:rPr>
            </w:pPr>
            <w:r>
              <w:rPr>
                <w:rFonts w:hint="eastAsia"/>
                <w:color w:val="auto"/>
                <w:sz w:val="24"/>
                <w:szCs w:val="24"/>
              </w:rPr>
              <w:t>授权代表签字：</w:t>
            </w:r>
          </w:p>
        </w:tc>
        <w:tc>
          <w:tcPr>
            <w:tcW w:w="5041" w:type="dxa"/>
            <w:tcBorders>
              <w:top w:val="single" w:color="auto" w:sz="4" w:space="0"/>
              <w:left w:val="single" w:color="auto" w:sz="4" w:space="0"/>
              <w:bottom w:val="single" w:color="auto" w:sz="4" w:space="0"/>
              <w:right w:val="single" w:color="auto" w:sz="4" w:space="0"/>
            </w:tcBorders>
            <w:vAlign w:val="center"/>
          </w:tcPr>
          <w:p w14:paraId="604453A9">
            <w:pPr>
              <w:rPr>
                <w:rFonts w:hint="eastAsia"/>
                <w:color w:val="auto"/>
                <w:sz w:val="24"/>
                <w:szCs w:val="24"/>
              </w:rPr>
            </w:pPr>
            <w:r>
              <w:rPr>
                <w:rFonts w:hint="eastAsia"/>
                <w:color w:val="auto"/>
                <w:sz w:val="24"/>
                <w:szCs w:val="24"/>
              </w:rPr>
              <w:t>法定代表人签字：</w:t>
            </w:r>
          </w:p>
        </w:tc>
      </w:tr>
      <w:tr w14:paraId="4737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041" w:type="dxa"/>
            <w:tcBorders>
              <w:top w:val="single" w:color="auto" w:sz="4" w:space="0"/>
              <w:left w:val="single" w:color="auto" w:sz="4" w:space="0"/>
              <w:bottom w:val="single" w:color="auto" w:sz="4" w:space="0"/>
              <w:right w:val="single" w:color="auto" w:sz="4" w:space="0"/>
            </w:tcBorders>
            <w:vAlign w:val="center"/>
          </w:tcPr>
          <w:p w14:paraId="68EA22BB">
            <w:pPr>
              <w:rPr>
                <w:rFonts w:hint="eastAsia"/>
                <w:color w:val="auto"/>
                <w:sz w:val="24"/>
                <w:szCs w:val="24"/>
              </w:rPr>
            </w:pPr>
            <w:r>
              <w:rPr>
                <w:rFonts w:hint="eastAsia"/>
                <w:color w:val="auto"/>
                <w:sz w:val="24"/>
                <w:szCs w:val="24"/>
              </w:rPr>
              <w:t>地址：</w:t>
            </w:r>
            <w:r>
              <w:rPr>
                <w:rFonts w:hint="eastAsia"/>
                <w:color w:val="auto"/>
                <w:sz w:val="24"/>
                <w:szCs w:val="24"/>
                <w:lang w:val="en-US" w:eastAsia="zh-CN"/>
              </w:rPr>
              <w:t>新和县农业技术推广中心</w:t>
            </w:r>
          </w:p>
        </w:tc>
        <w:tc>
          <w:tcPr>
            <w:tcW w:w="5041" w:type="dxa"/>
            <w:tcBorders>
              <w:top w:val="single" w:color="auto" w:sz="4" w:space="0"/>
              <w:left w:val="single" w:color="auto" w:sz="4" w:space="0"/>
              <w:bottom w:val="single" w:color="auto" w:sz="4" w:space="0"/>
              <w:right w:val="single" w:color="auto" w:sz="4" w:space="0"/>
            </w:tcBorders>
            <w:vAlign w:val="center"/>
          </w:tcPr>
          <w:p w14:paraId="175D4F3E">
            <w:pPr>
              <w:rPr>
                <w:rFonts w:hint="eastAsia"/>
                <w:color w:val="auto"/>
                <w:sz w:val="24"/>
                <w:szCs w:val="24"/>
              </w:rPr>
            </w:pPr>
            <w:r>
              <w:rPr>
                <w:rFonts w:hint="eastAsia"/>
                <w:color w:val="auto"/>
                <w:sz w:val="24"/>
                <w:szCs w:val="24"/>
              </w:rPr>
              <w:t xml:space="preserve">地址： </w:t>
            </w:r>
          </w:p>
        </w:tc>
      </w:tr>
      <w:tr w14:paraId="0DD6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5041" w:type="dxa"/>
            <w:tcBorders>
              <w:top w:val="single" w:color="auto" w:sz="4" w:space="0"/>
              <w:left w:val="single" w:color="auto" w:sz="4" w:space="0"/>
              <w:bottom w:val="single" w:color="auto" w:sz="4" w:space="0"/>
              <w:right w:val="single" w:color="auto" w:sz="4" w:space="0"/>
            </w:tcBorders>
            <w:vAlign w:val="center"/>
          </w:tcPr>
          <w:p w14:paraId="154746FF">
            <w:pPr>
              <w:rPr>
                <w:rFonts w:hint="eastAsia"/>
                <w:color w:val="auto"/>
                <w:sz w:val="24"/>
                <w:szCs w:val="24"/>
              </w:rPr>
            </w:pPr>
            <w:r>
              <w:rPr>
                <w:rFonts w:hint="eastAsia"/>
                <w:color w:val="auto"/>
                <w:sz w:val="24"/>
                <w:szCs w:val="24"/>
              </w:rPr>
              <w:t>电话：</w:t>
            </w:r>
            <w:r>
              <w:rPr>
                <w:rFonts w:hint="eastAsia"/>
                <w:color w:val="auto"/>
                <w:sz w:val="24"/>
                <w:szCs w:val="24"/>
                <w:lang w:val="en-US"/>
              </w:rPr>
              <w:t xml:space="preserve"> </w:t>
            </w:r>
          </w:p>
        </w:tc>
        <w:tc>
          <w:tcPr>
            <w:tcW w:w="5041" w:type="dxa"/>
            <w:tcBorders>
              <w:top w:val="single" w:color="auto" w:sz="4" w:space="0"/>
              <w:left w:val="single" w:color="auto" w:sz="4" w:space="0"/>
              <w:bottom w:val="single" w:color="auto" w:sz="4" w:space="0"/>
              <w:right w:val="single" w:color="auto" w:sz="4" w:space="0"/>
            </w:tcBorders>
            <w:vAlign w:val="center"/>
          </w:tcPr>
          <w:p w14:paraId="342DF404">
            <w:pPr>
              <w:rPr>
                <w:rFonts w:hint="eastAsia"/>
                <w:color w:val="auto"/>
                <w:sz w:val="24"/>
                <w:szCs w:val="24"/>
              </w:rPr>
            </w:pPr>
            <w:r>
              <w:rPr>
                <w:rFonts w:hint="eastAsia"/>
                <w:color w:val="auto"/>
                <w:sz w:val="24"/>
                <w:szCs w:val="24"/>
              </w:rPr>
              <w:t>电话：</w:t>
            </w:r>
          </w:p>
        </w:tc>
      </w:tr>
      <w:tr w14:paraId="1D2C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041" w:type="dxa"/>
            <w:tcBorders>
              <w:top w:val="single" w:color="auto" w:sz="4" w:space="0"/>
              <w:left w:val="single" w:color="auto" w:sz="4" w:space="0"/>
              <w:bottom w:val="single" w:color="auto" w:sz="4" w:space="0"/>
              <w:right w:val="single" w:color="auto" w:sz="4" w:space="0"/>
            </w:tcBorders>
            <w:vAlign w:val="center"/>
          </w:tcPr>
          <w:p w14:paraId="13BB7030">
            <w:pPr>
              <w:rPr>
                <w:rFonts w:hint="eastAsia"/>
                <w:color w:val="auto"/>
                <w:sz w:val="24"/>
                <w:szCs w:val="24"/>
              </w:rPr>
            </w:pPr>
            <w:r>
              <w:rPr>
                <w:rFonts w:hint="eastAsia"/>
                <w:color w:val="auto"/>
                <w:sz w:val="24"/>
                <w:szCs w:val="24"/>
              </w:rPr>
              <w:t>开户行：</w:t>
            </w:r>
            <w:r>
              <w:rPr>
                <w:rFonts w:hint="eastAsia"/>
                <w:color w:val="auto"/>
                <w:sz w:val="24"/>
                <w:szCs w:val="24"/>
                <w:lang w:val="en-US"/>
              </w:rPr>
              <w:t xml:space="preserve"> </w:t>
            </w:r>
          </w:p>
        </w:tc>
        <w:tc>
          <w:tcPr>
            <w:tcW w:w="5041" w:type="dxa"/>
            <w:tcBorders>
              <w:top w:val="single" w:color="auto" w:sz="4" w:space="0"/>
              <w:left w:val="single" w:color="auto" w:sz="4" w:space="0"/>
              <w:bottom w:val="single" w:color="auto" w:sz="4" w:space="0"/>
              <w:right w:val="single" w:color="auto" w:sz="4" w:space="0"/>
            </w:tcBorders>
            <w:vAlign w:val="center"/>
          </w:tcPr>
          <w:p w14:paraId="262CAEB6">
            <w:pPr>
              <w:rPr>
                <w:rFonts w:hint="eastAsia"/>
                <w:color w:val="auto"/>
                <w:sz w:val="24"/>
                <w:szCs w:val="24"/>
              </w:rPr>
            </w:pPr>
            <w:r>
              <w:rPr>
                <w:rFonts w:hint="eastAsia"/>
                <w:color w:val="auto"/>
                <w:sz w:val="24"/>
                <w:szCs w:val="24"/>
              </w:rPr>
              <w:t xml:space="preserve">开户行： </w:t>
            </w:r>
          </w:p>
        </w:tc>
      </w:tr>
      <w:tr w14:paraId="32B6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5041" w:type="dxa"/>
            <w:tcBorders>
              <w:top w:val="single" w:color="auto" w:sz="4" w:space="0"/>
              <w:left w:val="single" w:color="auto" w:sz="4" w:space="0"/>
              <w:bottom w:val="single" w:color="auto" w:sz="4" w:space="0"/>
              <w:right w:val="single" w:color="auto" w:sz="4" w:space="0"/>
            </w:tcBorders>
            <w:vAlign w:val="center"/>
          </w:tcPr>
          <w:p w14:paraId="322B250F">
            <w:pPr>
              <w:rPr>
                <w:rFonts w:hint="eastAsia"/>
                <w:color w:val="auto"/>
                <w:sz w:val="24"/>
                <w:szCs w:val="24"/>
              </w:rPr>
            </w:pPr>
            <w:r>
              <w:rPr>
                <w:rFonts w:hint="eastAsia"/>
                <w:color w:val="auto"/>
                <w:sz w:val="24"/>
                <w:szCs w:val="24"/>
              </w:rPr>
              <w:t>帐  号：</w:t>
            </w:r>
            <w:r>
              <w:rPr>
                <w:rFonts w:hint="eastAsia"/>
                <w:color w:val="auto"/>
                <w:sz w:val="24"/>
                <w:szCs w:val="24"/>
                <w:lang w:val="en-US"/>
              </w:rPr>
              <w:t xml:space="preserve"> </w:t>
            </w:r>
          </w:p>
        </w:tc>
        <w:tc>
          <w:tcPr>
            <w:tcW w:w="5041" w:type="dxa"/>
            <w:tcBorders>
              <w:top w:val="single" w:color="auto" w:sz="4" w:space="0"/>
              <w:left w:val="single" w:color="auto" w:sz="4" w:space="0"/>
              <w:bottom w:val="single" w:color="auto" w:sz="4" w:space="0"/>
              <w:right w:val="single" w:color="auto" w:sz="4" w:space="0"/>
            </w:tcBorders>
            <w:vAlign w:val="center"/>
          </w:tcPr>
          <w:p w14:paraId="56990A8D">
            <w:pPr>
              <w:rPr>
                <w:rFonts w:hint="eastAsia"/>
                <w:color w:val="auto"/>
                <w:sz w:val="24"/>
                <w:szCs w:val="24"/>
              </w:rPr>
            </w:pPr>
            <w:r>
              <w:rPr>
                <w:rFonts w:hint="eastAsia"/>
                <w:color w:val="auto"/>
                <w:sz w:val="24"/>
                <w:szCs w:val="24"/>
              </w:rPr>
              <w:t>帐  号：</w:t>
            </w:r>
          </w:p>
        </w:tc>
      </w:tr>
      <w:tr w14:paraId="429E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041" w:type="dxa"/>
            <w:tcBorders>
              <w:top w:val="single" w:color="auto" w:sz="4" w:space="0"/>
              <w:left w:val="single" w:color="auto" w:sz="4" w:space="0"/>
              <w:bottom w:val="single" w:color="auto" w:sz="4" w:space="0"/>
              <w:right w:val="single" w:color="auto" w:sz="4" w:space="0"/>
            </w:tcBorders>
            <w:vAlign w:val="center"/>
          </w:tcPr>
          <w:p w14:paraId="01A696C1">
            <w:pPr>
              <w:rPr>
                <w:rFonts w:hint="eastAsia"/>
                <w:color w:val="auto"/>
                <w:sz w:val="24"/>
                <w:szCs w:val="24"/>
              </w:rPr>
            </w:pPr>
            <w:r>
              <w:rPr>
                <w:rFonts w:hint="eastAsia"/>
                <w:color w:val="auto"/>
                <w:sz w:val="24"/>
                <w:szCs w:val="24"/>
              </w:rPr>
              <w:t>税  号：</w:t>
            </w:r>
            <w:r>
              <w:rPr>
                <w:rFonts w:hint="eastAsia"/>
                <w:color w:val="auto"/>
                <w:sz w:val="24"/>
                <w:szCs w:val="24"/>
                <w:lang w:val="en-US"/>
              </w:rPr>
              <w:t xml:space="preserve"> </w:t>
            </w:r>
          </w:p>
        </w:tc>
        <w:tc>
          <w:tcPr>
            <w:tcW w:w="5041" w:type="dxa"/>
            <w:tcBorders>
              <w:top w:val="single" w:color="auto" w:sz="4" w:space="0"/>
              <w:left w:val="single" w:color="auto" w:sz="4" w:space="0"/>
              <w:bottom w:val="single" w:color="auto" w:sz="4" w:space="0"/>
              <w:right w:val="single" w:color="auto" w:sz="4" w:space="0"/>
            </w:tcBorders>
            <w:vAlign w:val="center"/>
          </w:tcPr>
          <w:p w14:paraId="1B96D240">
            <w:pPr>
              <w:rPr>
                <w:rFonts w:hint="eastAsia"/>
                <w:color w:val="auto"/>
                <w:sz w:val="24"/>
                <w:szCs w:val="24"/>
              </w:rPr>
            </w:pPr>
            <w:r>
              <w:rPr>
                <w:rFonts w:hint="eastAsia"/>
                <w:color w:val="auto"/>
                <w:sz w:val="24"/>
                <w:szCs w:val="24"/>
              </w:rPr>
              <w:t>税  号：</w:t>
            </w:r>
          </w:p>
        </w:tc>
      </w:tr>
      <w:tr w14:paraId="57F5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041" w:type="dxa"/>
            <w:tcBorders>
              <w:top w:val="single" w:color="auto" w:sz="4" w:space="0"/>
              <w:left w:val="single" w:color="auto" w:sz="4" w:space="0"/>
              <w:bottom w:val="single" w:color="auto" w:sz="4" w:space="0"/>
              <w:right w:val="single" w:color="auto" w:sz="4" w:space="0"/>
            </w:tcBorders>
            <w:vAlign w:val="center"/>
          </w:tcPr>
          <w:p w14:paraId="0CDFC299">
            <w:pPr>
              <w:rPr>
                <w:rFonts w:hint="eastAsia"/>
                <w:color w:val="auto"/>
                <w:sz w:val="24"/>
                <w:szCs w:val="24"/>
              </w:rPr>
            </w:pPr>
            <w:r>
              <w:rPr>
                <w:rFonts w:hint="eastAsia"/>
                <w:color w:val="auto"/>
                <w:sz w:val="24"/>
                <w:szCs w:val="24"/>
              </w:rPr>
              <w:t>签订日期：</w:t>
            </w:r>
          </w:p>
        </w:tc>
        <w:tc>
          <w:tcPr>
            <w:tcW w:w="5041" w:type="dxa"/>
            <w:tcBorders>
              <w:top w:val="single" w:color="auto" w:sz="4" w:space="0"/>
              <w:left w:val="single" w:color="auto" w:sz="4" w:space="0"/>
              <w:bottom w:val="single" w:color="auto" w:sz="4" w:space="0"/>
              <w:right w:val="single" w:color="auto" w:sz="4" w:space="0"/>
            </w:tcBorders>
            <w:vAlign w:val="center"/>
          </w:tcPr>
          <w:p w14:paraId="457D9065">
            <w:pPr>
              <w:rPr>
                <w:rFonts w:hint="eastAsia"/>
                <w:color w:val="auto"/>
                <w:sz w:val="24"/>
                <w:szCs w:val="24"/>
              </w:rPr>
            </w:pPr>
            <w:r>
              <w:rPr>
                <w:rFonts w:hint="eastAsia"/>
                <w:color w:val="auto"/>
                <w:sz w:val="24"/>
                <w:szCs w:val="24"/>
              </w:rPr>
              <w:t>签订日期：</w:t>
            </w:r>
          </w:p>
        </w:tc>
      </w:tr>
    </w:tbl>
    <w:p w14:paraId="5DA62F34">
      <w:pPr>
        <w:rPr>
          <w:rFonts w:hint="eastAsia"/>
          <w:color w:val="auto"/>
          <w:sz w:val="24"/>
          <w:szCs w:val="24"/>
        </w:rPr>
      </w:pPr>
      <w:r>
        <w:rPr>
          <w:rFonts w:hint="eastAsia"/>
          <w:color w:val="auto"/>
          <w:sz w:val="24"/>
          <w:szCs w:val="24"/>
        </w:rPr>
        <w:br w:type="page"/>
      </w:r>
    </w:p>
    <w:p w14:paraId="7963C64A">
      <w:pPr>
        <w:pStyle w:val="40"/>
        <w:snapToGrid w:val="0"/>
        <w:spacing w:line="360" w:lineRule="auto"/>
        <w:rPr>
          <w:rFonts w:hint="eastAsia" w:ascii="宋体" w:hAnsi="宋体" w:cs="宋体"/>
          <w:color w:val="auto"/>
        </w:rPr>
      </w:pPr>
      <w:r>
        <w:rPr>
          <w:rFonts w:hint="eastAsia" w:ascii="宋体" w:hAnsi="宋体" w:cs="宋体"/>
          <w:color w:val="auto"/>
        </w:rPr>
        <w:t>附件（一）</w:t>
      </w:r>
    </w:p>
    <w:p w14:paraId="0A8AC73D">
      <w:pPr>
        <w:pStyle w:val="40"/>
        <w:snapToGrid w:val="0"/>
        <w:spacing w:line="360" w:lineRule="auto"/>
        <w:jc w:val="center"/>
        <w:rPr>
          <w:rFonts w:hint="eastAsia" w:ascii="宋体" w:hAnsi="宋体" w:cs="宋体"/>
          <w:b/>
          <w:bCs/>
          <w:color w:val="auto"/>
        </w:rPr>
      </w:pPr>
      <w:r>
        <w:rPr>
          <w:rFonts w:hint="eastAsia" w:ascii="宋体" w:hAnsi="宋体" w:cs="宋体"/>
          <w:b/>
          <w:bCs/>
          <w:color w:val="auto"/>
        </w:rPr>
        <w:t>技术协议</w:t>
      </w:r>
    </w:p>
    <w:p w14:paraId="10B5A6C6">
      <w:pPr>
        <w:rPr>
          <w:rFonts w:hint="eastAsia"/>
          <w:color w:val="auto"/>
          <w:sz w:val="24"/>
          <w:szCs w:val="24"/>
        </w:rPr>
      </w:pPr>
      <w:r>
        <w:rPr>
          <w:rFonts w:hint="eastAsia"/>
          <w:color w:val="auto"/>
          <w:sz w:val="24"/>
          <w:szCs w:val="24"/>
        </w:rPr>
        <w:t>甲</w:t>
      </w:r>
      <w:r>
        <w:rPr>
          <w:rFonts w:hint="eastAsia"/>
          <w:color w:val="auto"/>
          <w:sz w:val="24"/>
          <w:szCs w:val="24"/>
        </w:rPr>
        <w:tab/>
      </w:r>
      <w:r>
        <w:rPr>
          <w:rFonts w:hint="eastAsia"/>
          <w:color w:val="auto"/>
          <w:sz w:val="24"/>
          <w:szCs w:val="24"/>
        </w:rPr>
        <w:t xml:space="preserve">方: </w:t>
      </w:r>
      <w:r>
        <w:rPr>
          <w:rFonts w:hint="eastAsia"/>
          <w:color w:val="auto"/>
          <w:sz w:val="24"/>
          <w:szCs w:val="24"/>
          <w:lang w:val="en-US" w:eastAsia="zh-CN"/>
        </w:rPr>
        <w:t>新和县农业技术推广中心</w:t>
      </w:r>
    </w:p>
    <w:p w14:paraId="15DC6425">
      <w:pPr>
        <w:rPr>
          <w:rFonts w:hint="eastAsia"/>
          <w:color w:val="auto"/>
          <w:sz w:val="24"/>
          <w:szCs w:val="24"/>
        </w:rPr>
      </w:pPr>
      <w:r>
        <w:rPr>
          <w:rFonts w:hint="eastAsia"/>
          <w:color w:val="auto"/>
          <w:sz w:val="24"/>
          <w:szCs w:val="24"/>
        </w:rPr>
        <w:t xml:space="preserve">乙 方:  </w:t>
      </w:r>
    </w:p>
    <w:p w14:paraId="4ADA34EF">
      <w:pPr>
        <w:widowControl/>
        <w:spacing w:before="100" w:beforeAutospacing="1" w:after="100" w:afterAutospacing="1"/>
        <w:ind w:firstLine="480" w:firstLineChars="200"/>
        <w:rPr>
          <w:rFonts w:hint="eastAsia"/>
          <w:color w:val="auto"/>
          <w:sz w:val="24"/>
          <w:szCs w:val="24"/>
        </w:rPr>
      </w:pPr>
      <w:r>
        <w:rPr>
          <w:rFonts w:hint="eastAsia"/>
          <w:color w:val="auto"/>
          <w:sz w:val="24"/>
          <w:szCs w:val="24"/>
        </w:rPr>
        <w:t>甲、乙双方本着平等互利的原则，经友好协商，就甲方向乙方购买的由制造商制造的产品技术细节达成如下协议，本协议是订货合同不可侵害的一部分，与其具有同等的法律效力。</w:t>
      </w:r>
    </w:p>
    <w:p w14:paraId="7E6D9ACA">
      <w:pPr>
        <w:ind w:firstLine="120" w:firstLineChars="50"/>
        <w:rPr>
          <w:rFonts w:hint="eastAsia"/>
          <w:color w:val="auto"/>
          <w:sz w:val="24"/>
          <w:szCs w:val="24"/>
        </w:rPr>
      </w:pPr>
      <w:r>
        <w:rPr>
          <w:rFonts w:hint="eastAsia"/>
          <w:color w:val="auto"/>
          <w:sz w:val="24"/>
          <w:szCs w:val="24"/>
        </w:rPr>
        <w:t xml:space="preserve">一、性能特点及技术参数： </w:t>
      </w:r>
    </w:p>
    <w:tbl>
      <w:tblPr>
        <w:tblStyle w:val="26"/>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575"/>
        <w:gridCol w:w="7693"/>
      </w:tblGrid>
      <w:tr w14:paraId="1EF9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4" w:type="dxa"/>
            <w:vAlign w:val="center"/>
          </w:tcPr>
          <w:p w14:paraId="08042772">
            <w:pPr>
              <w:spacing w:line="400" w:lineRule="exact"/>
              <w:jc w:val="center"/>
              <w:rPr>
                <w:rFonts w:hint="eastAsia"/>
                <w:color w:val="auto"/>
                <w:sz w:val="24"/>
                <w:szCs w:val="24"/>
              </w:rPr>
            </w:pPr>
            <w:r>
              <w:rPr>
                <w:rFonts w:hint="eastAsia"/>
                <w:color w:val="auto"/>
                <w:sz w:val="24"/>
                <w:szCs w:val="24"/>
              </w:rPr>
              <w:t>序号</w:t>
            </w:r>
          </w:p>
        </w:tc>
        <w:tc>
          <w:tcPr>
            <w:tcW w:w="1575" w:type="dxa"/>
            <w:vAlign w:val="center"/>
          </w:tcPr>
          <w:p w14:paraId="01C7BC73">
            <w:pPr>
              <w:spacing w:line="400" w:lineRule="exact"/>
              <w:jc w:val="center"/>
              <w:rPr>
                <w:rFonts w:hint="eastAsia"/>
                <w:color w:val="auto"/>
                <w:sz w:val="24"/>
                <w:szCs w:val="24"/>
              </w:rPr>
            </w:pPr>
            <w:r>
              <w:rPr>
                <w:rFonts w:hint="eastAsia"/>
                <w:color w:val="auto"/>
                <w:sz w:val="24"/>
                <w:szCs w:val="24"/>
              </w:rPr>
              <w:t>产品名称</w:t>
            </w:r>
          </w:p>
        </w:tc>
        <w:tc>
          <w:tcPr>
            <w:tcW w:w="7693" w:type="dxa"/>
          </w:tcPr>
          <w:p w14:paraId="0C968900">
            <w:pPr>
              <w:spacing w:line="400" w:lineRule="exact"/>
              <w:jc w:val="center"/>
              <w:rPr>
                <w:rFonts w:hint="eastAsia"/>
                <w:color w:val="auto"/>
                <w:sz w:val="24"/>
                <w:szCs w:val="24"/>
              </w:rPr>
            </w:pPr>
            <w:r>
              <w:rPr>
                <w:rFonts w:hint="eastAsia"/>
                <w:color w:val="auto"/>
                <w:sz w:val="24"/>
                <w:szCs w:val="24"/>
              </w:rPr>
              <w:t>技术参数</w:t>
            </w:r>
          </w:p>
        </w:tc>
      </w:tr>
      <w:tr w14:paraId="4D9D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814" w:type="dxa"/>
            <w:vAlign w:val="center"/>
          </w:tcPr>
          <w:p w14:paraId="5FDB43C7">
            <w:pPr>
              <w:jc w:val="center"/>
              <w:rPr>
                <w:rFonts w:hint="eastAsia"/>
                <w:color w:val="auto"/>
                <w:sz w:val="24"/>
                <w:szCs w:val="24"/>
              </w:rPr>
            </w:pPr>
          </w:p>
        </w:tc>
        <w:tc>
          <w:tcPr>
            <w:tcW w:w="1575" w:type="dxa"/>
            <w:vAlign w:val="center"/>
          </w:tcPr>
          <w:p w14:paraId="5BF1685E">
            <w:pPr>
              <w:pStyle w:val="44"/>
              <w:rPr>
                <w:rFonts w:hint="eastAsia" w:ascii="宋体" w:hAnsi="宋体" w:eastAsia="宋体" w:cs="宋体"/>
                <w:color w:val="auto"/>
              </w:rPr>
            </w:pPr>
          </w:p>
        </w:tc>
        <w:tc>
          <w:tcPr>
            <w:tcW w:w="7693" w:type="dxa"/>
            <w:vAlign w:val="center"/>
          </w:tcPr>
          <w:p w14:paraId="4AC3D012">
            <w:pPr>
              <w:spacing w:line="320" w:lineRule="exact"/>
              <w:rPr>
                <w:rFonts w:hint="eastAsia"/>
                <w:color w:val="auto"/>
                <w:sz w:val="24"/>
                <w:szCs w:val="24"/>
              </w:rPr>
            </w:pPr>
          </w:p>
        </w:tc>
      </w:tr>
      <w:tr w14:paraId="1E7A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814" w:type="dxa"/>
            <w:vAlign w:val="center"/>
          </w:tcPr>
          <w:p w14:paraId="003399C6">
            <w:pPr>
              <w:jc w:val="center"/>
              <w:rPr>
                <w:rFonts w:hint="eastAsia"/>
                <w:color w:val="auto"/>
                <w:sz w:val="24"/>
                <w:szCs w:val="24"/>
              </w:rPr>
            </w:pPr>
          </w:p>
        </w:tc>
        <w:tc>
          <w:tcPr>
            <w:tcW w:w="1575" w:type="dxa"/>
            <w:vAlign w:val="center"/>
          </w:tcPr>
          <w:p w14:paraId="21395C0B">
            <w:pPr>
              <w:rPr>
                <w:rFonts w:hint="eastAsia"/>
                <w:color w:val="auto"/>
                <w:sz w:val="24"/>
                <w:szCs w:val="24"/>
              </w:rPr>
            </w:pPr>
          </w:p>
        </w:tc>
        <w:tc>
          <w:tcPr>
            <w:tcW w:w="7693" w:type="dxa"/>
            <w:vAlign w:val="center"/>
          </w:tcPr>
          <w:p w14:paraId="6E302B71">
            <w:pPr>
              <w:spacing w:line="320" w:lineRule="exact"/>
              <w:rPr>
                <w:rFonts w:hint="eastAsia"/>
                <w:color w:val="auto"/>
                <w:sz w:val="24"/>
                <w:szCs w:val="24"/>
              </w:rPr>
            </w:pPr>
          </w:p>
        </w:tc>
      </w:tr>
    </w:tbl>
    <w:p w14:paraId="1650BE54">
      <w:pPr>
        <w:rPr>
          <w:rFonts w:hint="eastAsia"/>
          <w:color w:val="auto"/>
          <w:sz w:val="24"/>
          <w:szCs w:val="24"/>
        </w:rPr>
      </w:pPr>
      <w:r>
        <w:rPr>
          <w:rFonts w:hint="eastAsia"/>
          <w:color w:val="auto"/>
          <w:sz w:val="24"/>
          <w:szCs w:val="24"/>
        </w:rPr>
        <w:t>二、售后服务承诺</w:t>
      </w:r>
    </w:p>
    <w:p w14:paraId="5276A37A">
      <w:pPr>
        <w:spacing w:line="360" w:lineRule="auto"/>
        <w:ind w:left="504" w:leftChars="229" w:firstLine="708" w:firstLineChars="295"/>
        <w:jc w:val="center"/>
        <w:rPr>
          <w:rFonts w:hint="eastAsia"/>
          <w:color w:val="auto"/>
          <w:sz w:val="24"/>
          <w:szCs w:val="24"/>
        </w:rPr>
      </w:pPr>
      <w:r>
        <w:rPr>
          <w:rFonts w:hint="eastAsia"/>
          <w:color w:val="auto"/>
          <w:sz w:val="24"/>
          <w:szCs w:val="24"/>
        </w:rPr>
        <w:t>售后服务承诺详述、维修、培训等计划详述</w:t>
      </w:r>
    </w:p>
    <w:p w14:paraId="51C3EE12">
      <w:pPr>
        <w:spacing w:line="500" w:lineRule="exact"/>
        <w:outlineLvl w:val="0"/>
        <w:rPr>
          <w:rFonts w:hint="eastAsia"/>
          <w:color w:val="auto"/>
          <w:sz w:val="24"/>
          <w:szCs w:val="24"/>
        </w:rPr>
      </w:pPr>
      <w:r>
        <w:rPr>
          <w:rFonts w:hint="eastAsia"/>
          <w:color w:val="auto"/>
          <w:sz w:val="24"/>
          <w:szCs w:val="24"/>
        </w:rPr>
        <w:t>1、仪器的保修</w:t>
      </w:r>
    </w:p>
    <w:p w14:paraId="3560C0CC">
      <w:pPr>
        <w:spacing w:line="500" w:lineRule="exact"/>
        <w:rPr>
          <w:rFonts w:hint="eastAsia"/>
          <w:color w:val="auto"/>
          <w:sz w:val="24"/>
          <w:szCs w:val="24"/>
        </w:rPr>
      </w:pPr>
      <w:r>
        <w:rPr>
          <w:rFonts w:hint="eastAsia"/>
          <w:color w:val="auto"/>
          <w:sz w:val="24"/>
          <w:szCs w:val="24"/>
        </w:rPr>
        <w:t>1.1仪器的保修期为</w:t>
      </w:r>
      <w:r>
        <w:rPr>
          <w:rFonts w:hint="eastAsia"/>
          <w:color w:val="auto"/>
          <w:sz w:val="24"/>
          <w:szCs w:val="24"/>
          <w:lang w:val="en-US"/>
        </w:rPr>
        <w:t xml:space="preserve">   </w:t>
      </w:r>
      <w:r>
        <w:rPr>
          <w:rFonts w:hint="eastAsia"/>
          <w:color w:val="auto"/>
          <w:sz w:val="24"/>
          <w:szCs w:val="24"/>
        </w:rPr>
        <w:t>年。保修期的起计日为数量验收齐全，质量验收合格之日。数量验收方式为：装箱清单、仪器配置清单、仪器组件三者一致；质量验收方式为：按照“合同” “九、包装及验收”执行。</w:t>
      </w:r>
    </w:p>
    <w:p w14:paraId="30ACF6A1">
      <w:pPr>
        <w:spacing w:line="500" w:lineRule="exact"/>
        <w:rPr>
          <w:rFonts w:hint="eastAsia"/>
          <w:color w:val="auto"/>
          <w:sz w:val="24"/>
          <w:szCs w:val="24"/>
        </w:rPr>
      </w:pPr>
      <w:r>
        <w:rPr>
          <w:rFonts w:hint="eastAsia"/>
          <w:color w:val="auto"/>
          <w:sz w:val="24"/>
          <w:szCs w:val="24"/>
        </w:rPr>
        <w:t>1.2在保修期内，如仪器出现故障停止运行，自报修日至仪器修复，恢复运行期超过5天的，则仪器的保修期应顺延相应的天数。</w:t>
      </w:r>
    </w:p>
    <w:p w14:paraId="09E2CEAD">
      <w:pPr>
        <w:spacing w:line="500" w:lineRule="exact"/>
        <w:rPr>
          <w:rFonts w:hint="eastAsia"/>
          <w:color w:val="auto"/>
          <w:sz w:val="24"/>
          <w:szCs w:val="24"/>
        </w:rPr>
      </w:pPr>
      <w:r>
        <w:rPr>
          <w:rFonts w:hint="eastAsia"/>
          <w:color w:val="auto"/>
          <w:sz w:val="24"/>
          <w:szCs w:val="24"/>
        </w:rPr>
        <w:t>1.3在保修期内，由于仪器本身质量问题引起的仪器故障，解除仪器故障所发生一切费用均由供货方承担。</w:t>
      </w:r>
    </w:p>
    <w:p w14:paraId="053BAA65">
      <w:pPr>
        <w:spacing w:line="500" w:lineRule="exact"/>
        <w:outlineLvl w:val="0"/>
        <w:rPr>
          <w:rFonts w:hint="eastAsia"/>
          <w:color w:val="auto"/>
          <w:sz w:val="24"/>
          <w:szCs w:val="24"/>
        </w:rPr>
      </w:pPr>
      <w:r>
        <w:rPr>
          <w:rFonts w:hint="eastAsia"/>
          <w:color w:val="auto"/>
          <w:sz w:val="24"/>
          <w:szCs w:val="24"/>
        </w:rPr>
        <w:t>2、安装与培训</w:t>
      </w:r>
    </w:p>
    <w:p w14:paraId="52BC87C2">
      <w:pPr>
        <w:spacing w:line="500" w:lineRule="exact"/>
        <w:rPr>
          <w:rFonts w:hint="eastAsia"/>
          <w:color w:val="auto"/>
          <w:sz w:val="24"/>
          <w:szCs w:val="24"/>
        </w:rPr>
      </w:pPr>
      <w:r>
        <w:rPr>
          <w:rFonts w:hint="eastAsia"/>
          <w:color w:val="auto"/>
          <w:sz w:val="24"/>
          <w:szCs w:val="24"/>
        </w:rPr>
        <w:t>2.1供方负责运输、吊运到需方的指定安装地，并由供方负责地基的建造和设备安装调试（使用方只提供房间内电源、水源，连接及材料由供方负责）。</w:t>
      </w:r>
    </w:p>
    <w:p w14:paraId="4C7BABD3">
      <w:pPr>
        <w:spacing w:line="500" w:lineRule="exact"/>
        <w:rPr>
          <w:rFonts w:hint="eastAsia"/>
          <w:color w:val="auto"/>
          <w:sz w:val="24"/>
          <w:szCs w:val="24"/>
        </w:rPr>
      </w:pPr>
      <w:r>
        <w:rPr>
          <w:rFonts w:hint="eastAsia"/>
          <w:color w:val="auto"/>
          <w:sz w:val="24"/>
          <w:szCs w:val="24"/>
        </w:rPr>
        <w:t>2.2仪器安装前，双方对货物的质量、规格、性能、数量进行详细全面的检查，并出具检验证明，如有缺失，供货方负责赔偿。</w:t>
      </w:r>
    </w:p>
    <w:p w14:paraId="7705431C">
      <w:pPr>
        <w:spacing w:line="500" w:lineRule="exact"/>
        <w:rPr>
          <w:rFonts w:hint="eastAsia"/>
          <w:color w:val="auto"/>
          <w:sz w:val="24"/>
          <w:szCs w:val="24"/>
        </w:rPr>
      </w:pPr>
      <w:r>
        <w:rPr>
          <w:rFonts w:hint="eastAsia"/>
          <w:color w:val="auto"/>
          <w:sz w:val="24"/>
          <w:szCs w:val="24"/>
        </w:rPr>
        <w:t>2.3仪器供货方及时安排公司专职工程师免费现场安装、调试，仪器设备所使用的软件终身不得加密。</w:t>
      </w:r>
    </w:p>
    <w:p w14:paraId="623BE34C">
      <w:pPr>
        <w:spacing w:line="500" w:lineRule="exact"/>
        <w:rPr>
          <w:rFonts w:hint="eastAsia"/>
          <w:color w:val="auto"/>
          <w:sz w:val="24"/>
          <w:szCs w:val="24"/>
        </w:rPr>
      </w:pPr>
      <w:r>
        <w:rPr>
          <w:rFonts w:hint="eastAsia"/>
          <w:color w:val="auto"/>
          <w:sz w:val="24"/>
          <w:szCs w:val="24"/>
        </w:rPr>
        <w:t>2.4仪器验收、安装、调试完成后，供方的安装工程师将对购方该仪器的使用人员进行常规的现场操作培训，培训要求为：使购方人员知道仪器的分析原理、组成及作用；掌握仪器的基本操作方法，并使之能独立熟练操作仪器，掌握设备维护和简单维修及故障诊断排除，并对使用人员进行实际操作考核合格，在实际操作考核单签字确认。</w:t>
      </w:r>
    </w:p>
    <w:p w14:paraId="580EB1D3">
      <w:pPr>
        <w:spacing w:line="500" w:lineRule="exact"/>
        <w:outlineLvl w:val="0"/>
        <w:rPr>
          <w:rFonts w:hint="eastAsia"/>
          <w:color w:val="auto"/>
          <w:sz w:val="24"/>
          <w:szCs w:val="24"/>
        </w:rPr>
      </w:pPr>
      <w:r>
        <w:rPr>
          <w:rFonts w:hint="eastAsia"/>
          <w:color w:val="auto"/>
          <w:sz w:val="24"/>
          <w:szCs w:val="24"/>
        </w:rPr>
        <w:t>3、保修期外的服务</w:t>
      </w:r>
    </w:p>
    <w:p w14:paraId="72306BA0">
      <w:pPr>
        <w:spacing w:line="500" w:lineRule="atLeast"/>
        <w:rPr>
          <w:rFonts w:hint="eastAsia"/>
          <w:color w:val="auto"/>
          <w:sz w:val="24"/>
          <w:szCs w:val="24"/>
        </w:rPr>
      </w:pPr>
      <w:r>
        <w:rPr>
          <w:rFonts w:hint="eastAsia"/>
          <w:color w:val="auto"/>
          <w:sz w:val="24"/>
          <w:szCs w:val="24"/>
        </w:rPr>
        <w:t>3.1仪器使用过程中遇到问题，供方保证24小时内给予答复，若确需工程师到达现场，供方在2周内保证恢复仪器正常运转。</w:t>
      </w:r>
    </w:p>
    <w:p w14:paraId="299CEDDA">
      <w:pPr>
        <w:pStyle w:val="45"/>
        <w:spacing w:line="500" w:lineRule="atLeast"/>
        <w:rPr>
          <w:rFonts w:hint="eastAsia" w:ascii="宋体" w:hAnsi="宋体" w:cs="宋体"/>
          <w:b/>
          <w:color w:val="auto"/>
          <w:sz w:val="24"/>
          <w:szCs w:val="24"/>
        </w:rPr>
      </w:pPr>
      <w:r>
        <w:rPr>
          <w:rFonts w:hint="eastAsia" w:ascii="宋体" w:hAnsi="宋体" w:cs="宋体"/>
          <w:color w:val="auto"/>
          <w:sz w:val="24"/>
          <w:szCs w:val="24"/>
        </w:rPr>
        <w:t>3.2仪器保修期外供方也负责仪器的终身维修。其费用按照厂家最低随主机供货配件的标准执行，软件终身免费升级。保修期后的设备维修应先维修验收合格后再付维修款,设备维修人员的差旅费购方不承担。</w:t>
      </w:r>
    </w:p>
    <w:p w14:paraId="6555054F">
      <w:pPr>
        <w:pStyle w:val="45"/>
        <w:spacing w:line="500" w:lineRule="atLeast"/>
        <w:rPr>
          <w:rFonts w:hint="eastAsia" w:ascii="宋体" w:hAnsi="宋体" w:cs="宋体"/>
          <w:color w:val="auto"/>
          <w:sz w:val="24"/>
          <w:szCs w:val="24"/>
        </w:rPr>
      </w:pPr>
    </w:p>
    <w:p w14:paraId="44F653EE">
      <w:pPr>
        <w:pStyle w:val="45"/>
        <w:spacing w:line="500" w:lineRule="atLeast"/>
        <w:rPr>
          <w:rFonts w:hint="eastAsia" w:ascii="宋体" w:hAnsi="宋体" w:cs="宋体"/>
          <w:color w:val="auto"/>
          <w:sz w:val="24"/>
          <w:szCs w:val="24"/>
        </w:rPr>
      </w:pPr>
      <w:r>
        <w:rPr>
          <w:rFonts w:hint="eastAsia" w:ascii="宋体" w:hAnsi="宋体" w:cs="宋体"/>
          <w:color w:val="auto"/>
          <w:sz w:val="24"/>
          <w:szCs w:val="24"/>
        </w:rPr>
        <w:t xml:space="preserve">4、售后联系人：          电话： </w:t>
      </w:r>
    </w:p>
    <w:p w14:paraId="2959E7A3">
      <w:pPr>
        <w:ind w:right="-680" w:rightChars="-309"/>
        <w:rPr>
          <w:rFonts w:hint="eastAsia"/>
          <w:color w:val="auto"/>
          <w:sz w:val="24"/>
          <w:szCs w:val="24"/>
        </w:rPr>
      </w:pPr>
      <w:r>
        <w:rPr>
          <w:rFonts w:hint="eastAsia"/>
          <w:color w:val="auto"/>
          <w:sz w:val="24"/>
          <w:szCs w:val="24"/>
        </w:rPr>
        <w:t>三、其他</w:t>
      </w:r>
    </w:p>
    <w:p w14:paraId="595159E9">
      <w:pPr>
        <w:tabs>
          <w:tab w:val="left" w:pos="900"/>
          <w:tab w:val="left" w:pos="1260"/>
        </w:tabs>
        <w:ind w:left="565" w:leftChars="257"/>
        <w:outlineLvl w:val="0"/>
        <w:rPr>
          <w:rFonts w:hint="eastAsia"/>
          <w:color w:val="auto"/>
          <w:sz w:val="24"/>
          <w:szCs w:val="24"/>
        </w:rPr>
      </w:pPr>
      <w:r>
        <w:rPr>
          <w:rFonts w:hint="eastAsia"/>
          <w:color w:val="auto"/>
          <w:sz w:val="24"/>
          <w:szCs w:val="24"/>
        </w:rPr>
        <w:t>本附件未尽事宜由甲、乙双方协商解决。</w:t>
      </w:r>
    </w:p>
    <w:tbl>
      <w:tblPr>
        <w:tblStyle w:val="26"/>
        <w:tblW w:w="9855" w:type="dxa"/>
        <w:tblInd w:w="0" w:type="dxa"/>
        <w:tblLayout w:type="fixed"/>
        <w:tblCellMar>
          <w:top w:w="0" w:type="dxa"/>
          <w:left w:w="108" w:type="dxa"/>
          <w:bottom w:w="0" w:type="dxa"/>
          <w:right w:w="108" w:type="dxa"/>
        </w:tblCellMar>
      </w:tblPr>
      <w:tblGrid>
        <w:gridCol w:w="5495"/>
        <w:gridCol w:w="4360"/>
      </w:tblGrid>
      <w:tr w14:paraId="75400544">
        <w:tblPrEx>
          <w:tblCellMar>
            <w:top w:w="0" w:type="dxa"/>
            <w:left w:w="108" w:type="dxa"/>
            <w:bottom w:w="0" w:type="dxa"/>
            <w:right w:w="108" w:type="dxa"/>
          </w:tblCellMar>
        </w:tblPrEx>
        <w:tc>
          <w:tcPr>
            <w:tcW w:w="5495" w:type="dxa"/>
            <w:tcBorders>
              <w:tl2br w:val="nil"/>
              <w:tr2bl w:val="nil"/>
            </w:tcBorders>
            <w:vAlign w:val="center"/>
          </w:tcPr>
          <w:p w14:paraId="0F0D637C">
            <w:pPr>
              <w:spacing w:line="440" w:lineRule="exact"/>
              <w:ind w:right="-273" w:rightChars="-124"/>
              <w:rPr>
                <w:rFonts w:hint="eastAsia"/>
                <w:color w:val="auto"/>
                <w:sz w:val="24"/>
                <w:szCs w:val="24"/>
              </w:rPr>
            </w:pPr>
            <w:r>
              <w:rPr>
                <w:rFonts w:hint="eastAsia"/>
                <w:color w:val="auto"/>
                <w:sz w:val="24"/>
                <w:szCs w:val="24"/>
              </w:rPr>
              <w:t>甲方：</w:t>
            </w:r>
            <w:r>
              <w:rPr>
                <w:rFonts w:hint="eastAsia"/>
                <w:color w:val="auto"/>
                <w:sz w:val="24"/>
                <w:szCs w:val="24"/>
                <w:lang w:val="en-US" w:eastAsia="zh-CN"/>
              </w:rPr>
              <w:t>新和县农业技术推广中心</w:t>
            </w:r>
          </w:p>
          <w:p w14:paraId="1BB83BD6">
            <w:pPr>
              <w:spacing w:line="440" w:lineRule="exact"/>
              <w:ind w:right="-273" w:rightChars="-124"/>
              <w:rPr>
                <w:rFonts w:hint="eastAsia"/>
                <w:color w:val="auto"/>
                <w:sz w:val="24"/>
                <w:szCs w:val="24"/>
              </w:rPr>
            </w:pPr>
          </w:p>
          <w:p w14:paraId="76A6CE3F">
            <w:pPr>
              <w:spacing w:line="440" w:lineRule="exact"/>
              <w:ind w:right="-273" w:rightChars="-124"/>
              <w:rPr>
                <w:rFonts w:hint="eastAsia"/>
                <w:color w:val="auto"/>
                <w:sz w:val="24"/>
                <w:szCs w:val="24"/>
              </w:rPr>
            </w:pPr>
            <w:r>
              <w:rPr>
                <w:rFonts w:hint="eastAsia"/>
                <w:color w:val="auto"/>
                <w:sz w:val="24"/>
                <w:szCs w:val="24"/>
              </w:rPr>
              <w:t>甲方代表签字</w:t>
            </w:r>
          </w:p>
          <w:p w14:paraId="1D5BF52A">
            <w:pPr>
              <w:spacing w:line="440" w:lineRule="exact"/>
              <w:ind w:right="-273" w:rightChars="-124"/>
              <w:rPr>
                <w:rFonts w:hint="eastAsia"/>
                <w:color w:val="auto"/>
                <w:sz w:val="24"/>
                <w:szCs w:val="24"/>
              </w:rPr>
            </w:pPr>
          </w:p>
          <w:p w14:paraId="5ED8CE9E">
            <w:pPr>
              <w:spacing w:line="440" w:lineRule="exact"/>
              <w:ind w:right="-273" w:rightChars="-124"/>
              <w:rPr>
                <w:rFonts w:hint="eastAsia"/>
                <w:color w:val="auto"/>
                <w:sz w:val="24"/>
                <w:szCs w:val="24"/>
              </w:rPr>
            </w:pPr>
            <w:r>
              <w:rPr>
                <w:rFonts w:hint="eastAsia"/>
                <w:color w:val="auto"/>
                <w:sz w:val="24"/>
                <w:szCs w:val="24"/>
              </w:rPr>
              <w:t>日期：</w:t>
            </w:r>
          </w:p>
        </w:tc>
        <w:tc>
          <w:tcPr>
            <w:tcW w:w="4360" w:type="dxa"/>
            <w:tcBorders>
              <w:tl2br w:val="nil"/>
              <w:tr2bl w:val="nil"/>
            </w:tcBorders>
            <w:vAlign w:val="center"/>
          </w:tcPr>
          <w:p w14:paraId="3327036B">
            <w:pPr>
              <w:spacing w:line="440" w:lineRule="exact"/>
              <w:ind w:right="-273" w:rightChars="-124"/>
              <w:rPr>
                <w:rFonts w:hint="eastAsia"/>
                <w:color w:val="auto"/>
                <w:sz w:val="24"/>
                <w:szCs w:val="24"/>
              </w:rPr>
            </w:pPr>
            <w:r>
              <w:rPr>
                <w:rFonts w:hint="eastAsia"/>
                <w:color w:val="auto"/>
                <w:sz w:val="24"/>
                <w:szCs w:val="24"/>
              </w:rPr>
              <w:t xml:space="preserve">乙方： </w:t>
            </w:r>
          </w:p>
          <w:p w14:paraId="5C44444D">
            <w:pPr>
              <w:spacing w:line="440" w:lineRule="exact"/>
              <w:ind w:left="-187" w:leftChars="-85" w:right="-273" w:rightChars="-124" w:firstLine="240" w:firstLineChars="100"/>
              <w:rPr>
                <w:rFonts w:hint="eastAsia"/>
                <w:color w:val="auto"/>
                <w:sz w:val="24"/>
                <w:szCs w:val="24"/>
              </w:rPr>
            </w:pPr>
          </w:p>
          <w:p w14:paraId="0BED9AD9">
            <w:pPr>
              <w:spacing w:line="440" w:lineRule="exact"/>
              <w:ind w:left="-187" w:leftChars="-85" w:right="-273" w:rightChars="-124" w:firstLine="240" w:firstLineChars="100"/>
              <w:rPr>
                <w:rFonts w:hint="eastAsia"/>
                <w:color w:val="auto"/>
                <w:sz w:val="24"/>
                <w:szCs w:val="24"/>
              </w:rPr>
            </w:pPr>
            <w:r>
              <w:rPr>
                <w:rFonts w:hint="eastAsia"/>
                <w:color w:val="auto"/>
                <w:sz w:val="24"/>
                <w:szCs w:val="24"/>
              </w:rPr>
              <w:t>乙方代表签字：</w:t>
            </w:r>
          </w:p>
          <w:p w14:paraId="2D838249">
            <w:pPr>
              <w:ind w:left="-187" w:leftChars="-85"/>
              <w:rPr>
                <w:rFonts w:hint="eastAsia"/>
                <w:color w:val="auto"/>
                <w:sz w:val="24"/>
                <w:szCs w:val="24"/>
              </w:rPr>
            </w:pPr>
            <w:r>
              <w:rPr>
                <w:rFonts w:hint="eastAsia"/>
                <w:color w:val="auto"/>
                <w:sz w:val="24"/>
                <w:szCs w:val="24"/>
              </w:rPr>
              <w:t xml:space="preserve">                                   </w:t>
            </w:r>
          </w:p>
          <w:p w14:paraId="57B32158">
            <w:pPr>
              <w:spacing w:line="440" w:lineRule="exact"/>
              <w:ind w:left="-187" w:leftChars="-85" w:right="-273" w:rightChars="-124"/>
              <w:rPr>
                <w:rFonts w:hint="eastAsia"/>
                <w:color w:val="auto"/>
                <w:sz w:val="24"/>
                <w:szCs w:val="24"/>
              </w:rPr>
            </w:pPr>
            <w:r>
              <w:rPr>
                <w:rFonts w:hint="eastAsia"/>
                <w:color w:val="auto"/>
                <w:sz w:val="24"/>
                <w:szCs w:val="24"/>
              </w:rPr>
              <w:t xml:space="preserve">  日期</w:t>
            </w:r>
          </w:p>
        </w:tc>
      </w:tr>
    </w:tbl>
    <w:p w14:paraId="0CA93BBD">
      <w:pPr>
        <w:rPr>
          <w:rFonts w:ascii="仿宋" w:hAnsi="仿宋" w:eastAsia="仿宋" w:cs="仿宋"/>
          <w:color w:val="auto"/>
        </w:rPr>
      </w:pPr>
    </w:p>
    <w:p w14:paraId="553A60F3">
      <w:pPr>
        <w:ind w:firstLine="480"/>
        <w:rPr>
          <w:rFonts w:hint="eastAsia"/>
          <w:color w:val="auto"/>
        </w:rPr>
      </w:pPr>
      <w:r>
        <w:rPr>
          <w:rFonts w:hint="eastAsia"/>
          <w:color w:val="auto"/>
        </w:rPr>
        <w:t>以上为合同模板，具体以甲方提供模板为准。</w:t>
      </w:r>
    </w:p>
    <w:p w14:paraId="5CE5F0B6">
      <w:pPr>
        <w:rPr>
          <w:color w:val="auto"/>
        </w:rPr>
      </w:pPr>
    </w:p>
    <w:p w14:paraId="27D3E3A5">
      <w:pPr>
        <w:rPr>
          <w:color w:val="auto"/>
        </w:rPr>
      </w:pPr>
    </w:p>
    <w:p w14:paraId="7AA0D1BB">
      <w:pPr>
        <w:rPr>
          <w:color w:val="auto"/>
        </w:rPr>
      </w:pPr>
    </w:p>
    <w:p w14:paraId="4016AC8F">
      <w:pPr>
        <w:pStyle w:val="3"/>
        <w:ind w:left="1540" w:right="1540"/>
        <w:rPr>
          <w:color w:val="auto"/>
        </w:rPr>
      </w:pPr>
    </w:p>
    <w:p w14:paraId="5D83ED2E">
      <w:pPr>
        <w:pStyle w:val="3"/>
        <w:ind w:left="1540" w:right="1540"/>
        <w:rPr>
          <w:color w:val="auto"/>
        </w:rPr>
      </w:pPr>
    </w:p>
    <w:p w14:paraId="4E53F71B">
      <w:pPr>
        <w:pStyle w:val="2"/>
        <w:spacing w:before="0"/>
        <w:ind w:left="0" w:leftChars="0" w:right="0" w:rightChars="0"/>
        <w:rPr>
          <w:color w:val="auto"/>
        </w:rPr>
      </w:pPr>
      <w:r>
        <w:rPr>
          <w:color w:val="auto"/>
        </w:rPr>
        <w:br w:type="page"/>
      </w:r>
      <w:r>
        <w:rPr>
          <w:color w:val="auto"/>
        </w:rPr>
        <w:t>第八部分 投标文件的编制装订</w:t>
      </w:r>
    </w:p>
    <w:p w14:paraId="7C2C0639">
      <w:pPr>
        <w:rPr>
          <w:color w:val="auto"/>
        </w:rPr>
      </w:pPr>
    </w:p>
    <w:p w14:paraId="53CD97C6">
      <w:pPr>
        <w:pStyle w:val="5"/>
        <w:spacing w:before="163" w:line="360" w:lineRule="auto"/>
        <w:ind w:left="0"/>
        <w:rPr>
          <w:rFonts w:hint="eastAsia"/>
          <w:color w:val="auto"/>
        </w:rPr>
      </w:pPr>
      <w:r>
        <w:rPr>
          <w:color w:val="auto"/>
        </w:rPr>
        <w:t>一、投标文件</w:t>
      </w:r>
      <w:r>
        <w:rPr>
          <w:rFonts w:hint="eastAsia"/>
          <w:color w:val="auto"/>
          <w:lang w:val="en-US"/>
        </w:rPr>
        <w:t>应包含以下内容</w:t>
      </w:r>
      <w:r>
        <w:rPr>
          <w:rFonts w:hint="eastAsia"/>
          <w:color w:val="auto"/>
        </w:rPr>
        <w:t>（</w:t>
      </w:r>
      <w:r>
        <w:rPr>
          <w:rFonts w:hint="eastAsia"/>
          <w:color w:val="auto"/>
          <w:lang w:val="en-US"/>
        </w:rPr>
        <w:t>包含但不限于</w:t>
      </w:r>
      <w:r>
        <w:rPr>
          <w:rFonts w:hint="eastAsia"/>
          <w:color w:val="auto"/>
        </w:rPr>
        <w:t>）</w:t>
      </w:r>
    </w:p>
    <w:p w14:paraId="360B2166">
      <w:pPr>
        <w:pStyle w:val="14"/>
        <w:spacing w:before="2" w:line="360" w:lineRule="auto"/>
        <w:ind w:left="0" w:firstLine="597"/>
        <w:rPr>
          <w:color w:val="auto"/>
        </w:rPr>
      </w:pPr>
      <w:r>
        <w:rPr>
          <w:color w:val="auto"/>
        </w:rPr>
        <w:t>1、投标函</w:t>
      </w:r>
    </w:p>
    <w:p w14:paraId="253DD8EE">
      <w:pPr>
        <w:pStyle w:val="14"/>
        <w:spacing w:before="2" w:line="360" w:lineRule="auto"/>
        <w:ind w:left="0" w:firstLine="597"/>
        <w:rPr>
          <w:color w:val="auto"/>
        </w:rPr>
      </w:pPr>
      <w:r>
        <w:rPr>
          <w:color w:val="auto"/>
        </w:rPr>
        <w:t>2、法定代表人资格证明书或法定代表人授权委托书</w:t>
      </w:r>
    </w:p>
    <w:p w14:paraId="49AA6519">
      <w:pPr>
        <w:pStyle w:val="14"/>
        <w:spacing w:before="2" w:line="360" w:lineRule="auto"/>
        <w:ind w:left="0" w:firstLine="597"/>
        <w:rPr>
          <w:color w:val="auto"/>
        </w:rPr>
      </w:pPr>
      <w:r>
        <w:rPr>
          <w:color w:val="auto"/>
        </w:rPr>
        <w:t>3、开标一览表</w:t>
      </w:r>
    </w:p>
    <w:p w14:paraId="54004856">
      <w:pPr>
        <w:pStyle w:val="14"/>
        <w:spacing w:before="2" w:line="360" w:lineRule="auto"/>
        <w:ind w:left="0" w:firstLine="597"/>
        <w:rPr>
          <w:color w:val="auto"/>
          <w:lang w:val="en-US"/>
        </w:rPr>
      </w:pPr>
      <w:r>
        <w:rPr>
          <w:rFonts w:hint="eastAsia"/>
          <w:color w:val="auto"/>
          <w:lang w:val="en-US"/>
        </w:rPr>
        <w:t>4</w:t>
      </w:r>
      <w:r>
        <w:rPr>
          <w:color w:val="auto"/>
          <w:lang w:val="en-US"/>
        </w:rPr>
        <w:t>、产品规格报价明细表；</w:t>
      </w:r>
    </w:p>
    <w:p w14:paraId="24D5B03F">
      <w:pPr>
        <w:pStyle w:val="14"/>
        <w:spacing w:before="2" w:line="360" w:lineRule="auto"/>
        <w:ind w:left="0" w:firstLine="597"/>
        <w:rPr>
          <w:color w:val="auto"/>
        </w:rPr>
      </w:pPr>
      <w:r>
        <w:rPr>
          <w:rFonts w:hint="eastAsia"/>
          <w:color w:val="auto"/>
          <w:lang w:val="en-US"/>
        </w:rPr>
        <w:t>5</w:t>
      </w:r>
      <w:r>
        <w:rPr>
          <w:color w:val="auto"/>
          <w:lang w:val="en-US"/>
        </w:rPr>
        <w:t>、</w:t>
      </w:r>
      <w:r>
        <w:rPr>
          <w:rFonts w:hint="eastAsia"/>
          <w:color w:val="auto"/>
          <w:lang w:val="en-US"/>
        </w:rPr>
        <w:t>核心设备规格型号一览表</w:t>
      </w:r>
      <w:r>
        <w:rPr>
          <w:color w:val="auto"/>
          <w:lang w:val="en-US"/>
        </w:rPr>
        <w:t>（</w:t>
      </w:r>
      <w:r>
        <w:rPr>
          <w:color w:val="auto"/>
        </w:rPr>
        <w:t>格式附后</w:t>
      </w:r>
      <w:r>
        <w:rPr>
          <w:color w:val="auto"/>
          <w:lang w:val="en-US"/>
        </w:rPr>
        <w:t>）</w:t>
      </w:r>
    </w:p>
    <w:p w14:paraId="46608EC6">
      <w:pPr>
        <w:pStyle w:val="14"/>
        <w:spacing w:before="2" w:line="360" w:lineRule="auto"/>
        <w:ind w:left="0" w:firstLine="597"/>
        <w:rPr>
          <w:rFonts w:hint="eastAsia"/>
          <w:color w:val="auto"/>
        </w:rPr>
      </w:pPr>
      <w:r>
        <w:rPr>
          <w:rFonts w:hint="eastAsia"/>
          <w:color w:val="auto"/>
          <w:lang w:val="en-US"/>
        </w:rPr>
        <w:t>6</w:t>
      </w:r>
      <w:r>
        <w:rPr>
          <w:color w:val="auto"/>
        </w:rPr>
        <w:t>、投标人资质证明文件，包括：</w:t>
      </w:r>
      <w:r>
        <w:rPr>
          <w:rFonts w:hint="eastAsia"/>
          <w:color w:val="auto"/>
        </w:rPr>
        <w:t>（</w:t>
      </w:r>
      <w:r>
        <w:rPr>
          <w:rFonts w:hint="eastAsia"/>
          <w:color w:val="auto"/>
          <w:lang w:val="en-US"/>
        </w:rPr>
        <w:t>但不限于</w:t>
      </w:r>
      <w:r>
        <w:rPr>
          <w:rFonts w:hint="eastAsia"/>
          <w:color w:val="auto"/>
        </w:rPr>
        <w:t>）</w:t>
      </w:r>
    </w:p>
    <w:p w14:paraId="1F04A3EF">
      <w:pPr>
        <w:pStyle w:val="14"/>
        <w:spacing w:before="2" w:line="360" w:lineRule="auto"/>
        <w:ind w:left="0" w:firstLine="597"/>
        <w:rPr>
          <w:rFonts w:hint="eastAsia"/>
          <w:color w:val="auto"/>
          <w:lang w:val="en-US"/>
        </w:rPr>
      </w:pPr>
      <w:r>
        <w:rPr>
          <w:color w:val="auto"/>
          <w:lang w:val="en-US"/>
        </w:rPr>
        <w:t>（1）关于资格的声明函</w:t>
      </w:r>
    </w:p>
    <w:p w14:paraId="24AAA19D">
      <w:pPr>
        <w:pStyle w:val="14"/>
        <w:spacing w:before="2" w:line="360" w:lineRule="auto"/>
        <w:ind w:left="0" w:firstLine="597"/>
        <w:rPr>
          <w:rFonts w:hint="eastAsia"/>
          <w:color w:val="auto"/>
          <w:lang w:val="en-US"/>
        </w:rPr>
      </w:pPr>
      <w:r>
        <w:rPr>
          <w:rFonts w:hint="eastAsia"/>
          <w:color w:val="auto"/>
          <w:lang w:val="en-US"/>
        </w:rPr>
        <w:t>（2）法人营业执照或其他资格证明</w:t>
      </w:r>
    </w:p>
    <w:p w14:paraId="413A4775">
      <w:pPr>
        <w:pStyle w:val="14"/>
        <w:spacing w:before="2" w:line="360" w:lineRule="auto"/>
        <w:ind w:left="0" w:firstLine="597"/>
        <w:rPr>
          <w:rFonts w:hint="eastAsia"/>
          <w:color w:val="auto"/>
          <w:lang w:val="en-US"/>
        </w:rPr>
      </w:pPr>
      <w:r>
        <w:rPr>
          <w:rFonts w:hint="eastAsia"/>
          <w:color w:val="auto"/>
          <w:lang w:val="en-US"/>
        </w:rPr>
        <w:t>（3）法定代表人授权书</w:t>
      </w:r>
    </w:p>
    <w:p w14:paraId="2FE29DA0">
      <w:pPr>
        <w:pStyle w:val="14"/>
        <w:spacing w:before="2" w:line="360" w:lineRule="auto"/>
        <w:ind w:left="0" w:firstLine="597"/>
        <w:rPr>
          <w:rFonts w:hint="eastAsia"/>
          <w:color w:val="auto"/>
          <w:lang w:val="en-US"/>
        </w:rPr>
      </w:pPr>
      <w:r>
        <w:rPr>
          <w:rFonts w:hint="eastAsia"/>
          <w:color w:val="auto"/>
          <w:lang w:val="en-US"/>
        </w:rPr>
        <w:t>（4）供应商财务状况报告（提供上年度财务审计报告或财务报表）</w:t>
      </w:r>
    </w:p>
    <w:p w14:paraId="6F9D36B5">
      <w:pPr>
        <w:pStyle w:val="14"/>
        <w:spacing w:before="2" w:line="360" w:lineRule="auto"/>
        <w:ind w:left="0" w:firstLine="597"/>
        <w:rPr>
          <w:rFonts w:hint="eastAsia"/>
          <w:color w:val="auto"/>
          <w:lang w:val="en-US"/>
        </w:rPr>
      </w:pPr>
      <w:r>
        <w:rPr>
          <w:rFonts w:hint="eastAsia"/>
          <w:color w:val="auto"/>
          <w:lang w:val="en-US"/>
        </w:rPr>
        <w:t>（5）社会保障资金缴纳记录（提供近半年社保缴纳凭证）</w:t>
      </w:r>
    </w:p>
    <w:p w14:paraId="74FF76D6">
      <w:pPr>
        <w:pStyle w:val="14"/>
        <w:spacing w:before="2" w:line="360" w:lineRule="auto"/>
        <w:ind w:left="0" w:firstLine="597"/>
        <w:rPr>
          <w:rFonts w:hint="eastAsia"/>
          <w:color w:val="auto"/>
          <w:lang w:val="en-US"/>
        </w:rPr>
      </w:pPr>
      <w:r>
        <w:rPr>
          <w:rFonts w:hint="eastAsia"/>
          <w:color w:val="auto"/>
          <w:lang w:val="en-US"/>
        </w:rPr>
        <w:t>（6）依法缴纳税收的证明材料（提供近半年完税证明）</w:t>
      </w:r>
    </w:p>
    <w:p w14:paraId="302845E8">
      <w:pPr>
        <w:pStyle w:val="14"/>
        <w:spacing w:before="2" w:line="360" w:lineRule="auto"/>
        <w:ind w:left="0" w:firstLine="597"/>
        <w:rPr>
          <w:rFonts w:hint="eastAsia"/>
          <w:color w:val="auto"/>
          <w:lang w:val="en-US"/>
        </w:rPr>
      </w:pPr>
      <w:r>
        <w:rPr>
          <w:rFonts w:hint="eastAsia"/>
          <w:color w:val="auto"/>
          <w:lang w:val="en-US"/>
        </w:rPr>
        <w:t>（7）具备履行合同所必需的设备和专业技术能力的书面声明</w:t>
      </w:r>
    </w:p>
    <w:p w14:paraId="066841B1">
      <w:pPr>
        <w:pStyle w:val="14"/>
        <w:spacing w:before="2" w:line="360" w:lineRule="auto"/>
        <w:ind w:left="0" w:firstLine="597"/>
        <w:rPr>
          <w:rFonts w:hint="eastAsia"/>
          <w:color w:val="auto"/>
          <w:lang w:val="en-US"/>
        </w:rPr>
      </w:pPr>
      <w:r>
        <w:rPr>
          <w:rFonts w:hint="eastAsia"/>
          <w:color w:val="auto"/>
          <w:lang w:val="en-US"/>
        </w:rPr>
        <w:t>（8） 参加本次采购活动前三年内，在经营活动中没有重大违法记录的书面声明</w:t>
      </w:r>
    </w:p>
    <w:p w14:paraId="1F2C19D2">
      <w:pPr>
        <w:pStyle w:val="14"/>
        <w:spacing w:before="2" w:line="360" w:lineRule="auto"/>
        <w:ind w:left="0" w:firstLine="597"/>
        <w:rPr>
          <w:rFonts w:hint="eastAsia"/>
          <w:color w:val="auto"/>
          <w:lang w:val="en-US"/>
        </w:rPr>
      </w:pPr>
      <w:r>
        <w:rPr>
          <w:rFonts w:hint="eastAsia"/>
          <w:color w:val="auto"/>
          <w:lang w:val="en-US"/>
        </w:rPr>
        <w:t>（9）未参与本项目整体设计、规范编制或者项目管理、监理、检测等服务、与参与本次政府采购活动的其他供应商不存在法人(单位负责人)为同一人或者直接控股、管理关系的（提供承诺书）</w:t>
      </w:r>
    </w:p>
    <w:p w14:paraId="61CD943C">
      <w:pPr>
        <w:pStyle w:val="14"/>
        <w:spacing w:before="2" w:line="360" w:lineRule="auto"/>
        <w:ind w:left="0" w:firstLine="597"/>
        <w:rPr>
          <w:rFonts w:hint="eastAsia"/>
          <w:color w:val="auto"/>
          <w:lang w:val="en-US"/>
        </w:rPr>
      </w:pPr>
      <w:r>
        <w:rPr>
          <w:rFonts w:hint="eastAsia"/>
          <w:color w:val="auto"/>
          <w:lang w:val="en-US"/>
        </w:rPr>
        <w:t>（10）投标保证金（提供汇款凭证）</w:t>
      </w:r>
    </w:p>
    <w:p w14:paraId="6ABFF833">
      <w:pPr>
        <w:pStyle w:val="14"/>
        <w:spacing w:before="2" w:line="360" w:lineRule="auto"/>
        <w:ind w:left="0" w:firstLine="597"/>
        <w:rPr>
          <w:color w:val="auto"/>
          <w:lang w:val="en-US"/>
        </w:rPr>
      </w:pPr>
      <w:r>
        <w:rPr>
          <w:rFonts w:hint="eastAsia"/>
          <w:color w:val="auto"/>
          <w:lang w:val="en-US"/>
        </w:rPr>
        <w:t>（11）信用信息查询截图（包含不限于信用中国网站（重大税收违法案件当事人名单查询）、中国政府采购网（政府采购严重违法失信名单查询）、中国执行信息公开网（失信被执行人名单查询）、国家企业信用信息公示系统（行政处罚信息、列入经营异常名录信息、列入严重违法失信名单（黑名单）信息）、裁判文书网（行贿犯罪记录查询））</w:t>
      </w:r>
      <w:r>
        <w:rPr>
          <w:color w:val="auto"/>
          <w:lang w:val="en-US"/>
        </w:rPr>
        <w:t>；</w:t>
      </w:r>
    </w:p>
    <w:p w14:paraId="66C9BD08">
      <w:pPr>
        <w:pStyle w:val="14"/>
        <w:spacing w:before="2" w:line="360" w:lineRule="auto"/>
        <w:ind w:left="0" w:firstLine="597"/>
        <w:rPr>
          <w:color w:val="auto"/>
          <w:lang w:val="en-US"/>
        </w:rPr>
      </w:pPr>
      <w:r>
        <w:rPr>
          <w:color w:val="auto"/>
          <w:lang w:val="en-US"/>
        </w:rPr>
        <w:t>（</w:t>
      </w:r>
      <w:r>
        <w:rPr>
          <w:rFonts w:hint="eastAsia"/>
          <w:color w:val="auto"/>
          <w:lang w:val="en-US"/>
        </w:rPr>
        <w:t>12</w:t>
      </w:r>
      <w:r>
        <w:rPr>
          <w:color w:val="auto"/>
          <w:lang w:val="en-US"/>
        </w:rPr>
        <w:t>）投标单位（供应商）《反商业贿赂承诺书》；</w:t>
      </w:r>
    </w:p>
    <w:p w14:paraId="4163B0D5">
      <w:pPr>
        <w:pStyle w:val="14"/>
        <w:spacing w:before="2" w:line="360" w:lineRule="auto"/>
        <w:ind w:left="0" w:firstLine="597"/>
        <w:rPr>
          <w:color w:val="auto"/>
          <w:lang w:val="en-US"/>
        </w:rPr>
      </w:pPr>
      <w:r>
        <w:rPr>
          <w:color w:val="auto"/>
          <w:lang w:val="en-US"/>
        </w:rPr>
        <w:t>（</w:t>
      </w:r>
      <w:r>
        <w:rPr>
          <w:rFonts w:hint="eastAsia"/>
          <w:color w:val="auto"/>
          <w:lang w:val="en-US"/>
        </w:rPr>
        <w:t>13</w:t>
      </w:r>
      <w:r>
        <w:rPr>
          <w:color w:val="auto"/>
          <w:lang w:val="en-US"/>
        </w:rPr>
        <w:t>）未组成联合体进行投标的声明。</w:t>
      </w:r>
    </w:p>
    <w:p w14:paraId="2A327856">
      <w:pPr>
        <w:pStyle w:val="14"/>
        <w:spacing w:before="2" w:line="360" w:lineRule="auto"/>
        <w:ind w:left="0" w:firstLine="597"/>
        <w:rPr>
          <w:rFonts w:hint="eastAsia"/>
          <w:color w:val="auto"/>
          <w:lang w:val="en-US"/>
        </w:rPr>
      </w:pPr>
      <w:r>
        <w:rPr>
          <w:color w:val="auto"/>
          <w:lang w:val="en-US"/>
        </w:rPr>
        <w:t>（</w:t>
      </w:r>
      <w:r>
        <w:rPr>
          <w:rFonts w:hint="eastAsia"/>
          <w:color w:val="auto"/>
          <w:lang w:val="en-US"/>
        </w:rPr>
        <w:t>14</w:t>
      </w:r>
      <w:r>
        <w:rPr>
          <w:color w:val="auto"/>
          <w:lang w:val="en-US"/>
        </w:rPr>
        <w:t>）其它补充资料</w:t>
      </w:r>
    </w:p>
    <w:p w14:paraId="7DDCE8F5">
      <w:pPr>
        <w:spacing w:line="360" w:lineRule="auto"/>
        <w:ind w:firstLine="480" w:firstLineChars="200"/>
        <w:rPr>
          <w:rFonts w:ascii="Times New Roman" w:cs="Times New Roman"/>
          <w:color w:val="auto"/>
          <w:sz w:val="24"/>
          <w:lang w:val="en-US"/>
        </w:rPr>
      </w:pPr>
      <w:r>
        <w:rPr>
          <w:rFonts w:hint="eastAsia" w:ascii="Times New Roman" w:hAnsi="Times New Roman" w:cs="Times New Roman"/>
          <w:color w:val="auto"/>
          <w:sz w:val="24"/>
          <w:lang w:val="en-US"/>
        </w:rPr>
        <w:t>7</w:t>
      </w:r>
      <w:r>
        <w:rPr>
          <w:rFonts w:ascii="Times New Roman" w:cs="Times New Roman"/>
          <w:color w:val="auto"/>
          <w:sz w:val="24"/>
          <w:lang w:val="en-US"/>
        </w:rPr>
        <w:t>、技术及商务响应（偏离）表；</w:t>
      </w:r>
    </w:p>
    <w:p w14:paraId="6083A80E">
      <w:pPr>
        <w:spacing w:line="360" w:lineRule="auto"/>
        <w:ind w:firstLine="480" w:firstLineChars="200"/>
        <w:rPr>
          <w:color w:val="auto"/>
          <w:lang w:val="en-US"/>
        </w:rPr>
      </w:pPr>
      <w:r>
        <w:rPr>
          <w:rFonts w:hint="eastAsia" w:ascii="Times New Roman" w:hAnsi="Times New Roman" w:cs="Times New Roman"/>
          <w:color w:val="auto"/>
          <w:sz w:val="24"/>
          <w:lang w:val="en-US"/>
        </w:rPr>
        <w:t>8</w:t>
      </w:r>
      <w:r>
        <w:rPr>
          <w:rFonts w:ascii="Times New Roman" w:cs="Times New Roman"/>
          <w:color w:val="auto"/>
          <w:sz w:val="24"/>
          <w:lang w:val="en-US"/>
        </w:rPr>
        <w:t>、产品</w:t>
      </w:r>
      <w:r>
        <w:rPr>
          <w:rFonts w:ascii="Times New Roman" w:cs="Times New Roman"/>
          <w:color w:val="auto"/>
          <w:sz w:val="24"/>
        </w:rPr>
        <w:t>配置及性能指标；</w:t>
      </w:r>
    </w:p>
    <w:p w14:paraId="79716F74">
      <w:pPr>
        <w:spacing w:line="360" w:lineRule="auto"/>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rPr>
        <w:t>9</w:t>
      </w:r>
      <w:r>
        <w:rPr>
          <w:rFonts w:ascii="Times New Roman" w:cs="Times New Roman"/>
          <w:color w:val="auto"/>
          <w:sz w:val="24"/>
          <w:lang w:val="en-US"/>
        </w:rPr>
        <w:t>、质量保证措施；</w:t>
      </w:r>
    </w:p>
    <w:p w14:paraId="1B526837">
      <w:pPr>
        <w:spacing w:line="360" w:lineRule="auto"/>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rPr>
        <w:t>10</w:t>
      </w:r>
      <w:r>
        <w:rPr>
          <w:rFonts w:ascii="Times New Roman" w:cs="Times New Roman"/>
          <w:color w:val="auto"/>
          <w:sz w:val="24"/>
          <w:lang w:val="en-US"/>
        </w:rPr>
        <w:t>、</w:t>
      </w:r>
      <w:r>
        <w:rPr>
          <w:rFonts w:ascii="Times New Roman" w:cs="Times New Roman"/>
          <w:color w:val="auto"/>
          <w:sz w:val="24"/>
        </w:rPr>
        <w:t>货物供应</w:t>
      </w:r>
      <w:r>
        <w:rPr>
          <w:rFonts w:hint="eastAsia" w:ascii="Times New Roman" w:cs="Times New Roman"/>
          <w:color w:val="auto"/>
          <w:sz w:val="24"/>
          <w:lang w:val="en-US"/>
        </w:rPr>
        <w:t>服务方案</w:t>
      </w:r>
      <w:r>
        <w:rPr>
          <w:rFonts w:ascii="Times New Roman" w:cs="Times New Roman"/>
          <w:color w:val="auto"/>
          <w:sz w:val="24"/>
        </w:rPr>
        <w:t>；</w:t>
      </w:r>
    </w:p>
    <w:p w14:paraId="70101951">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1</w:t>
      </w:r>
      <w:r>
        <w:rPr>
          <w:rFonts w:ascii="Times New Roman" w:cs="Times New Roman"/>
          <w:color w:val="auto"/>
          <w:sz w:val="24"/>
          <w:lang w:val="en-US"/>
        </w:rPr>
        <w:t>、</w:t>
      </w:r>
      <w:r>
        <w:rPr>
          <w:rFonts w:ascii="Times New Roman" w:cs="Times New Roman"/>
          <w:color w:val="auto"/>
          <w:sz w:val="24"/>
        </w:rPr>
        <w:t>售后服务；</w:t>
      </w:r>
    </w:p>
    <w:p w14:paraId="47B6DF9D">
      <w:pPr>
        <w:spacing w:line="360" w:lineRule="auto"/>
        <w:ind w:firstLine="480" w:firstLineChars="200"/>
        <w:rPr>
          <w:rFonts w:ascii="Times New Roman" w:hAnsi="Times New Roman" w:cs="Times New Roman"/>
          <w:color w:val="auto"/>
          <w:sz w:val="24"/>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2</w:t>
      </w:r>
      <w:r>
        <w:rPr>
          <w:rFonts w:ascii="Times New Roman" w:cs="Times New Roman"/>
          <w:color w:val="auto"/>
          <w:sz w:val="24"/>
          <w:lang w:val="en-US"/>
        </w:rPr>
        <w:t>、</w:t>
      </w:r>
      <w:r>
        <w:rPr>
          <w:rFonts w:ascii="Times New Roman" w:cs="Times New Roman"/>
          <w:color w:val="auto"/>
          <w:sz w:val="24"/>
        </w:rPr>
        <w:t>项目的业绩；</w:t>
      </w:r>
    </w:p>
    <w:p w14:paraId="524FCB56">
      <w:pPr>
        <w:spacing w:line="360" w:lineRule="auto"/>
        <w:ind w:firstLine="480" w:firstLineChars="200"/>
        <w:rPr>
          <w:rFonts w:ascii="Times New Roman" w:hAnsi="Times New Roman" w:cs="Times New Roman"/>
          <w:color w:val="auto"/>
          <w:sz w:val="24"/>
          <w:lang w:val="en-US"/>
        </w:rPr>
      </w:pPr>
      <w:r>
        <w:rPr>
          <w:rFonts w:ascii="Times New Roman" w:hAnsi="Times New Roman" w:cs="Times New Roman"/>
          <w:color w:val="auto"/>
          <w:sz w:val="24"/>
          <w:lang w:val="en-US"/>
        </w:rPr>
        <w:t>1</w:t>
      </w:r>
      <w:r>
        <w:rPr>
          <w:rFonts w:hint="eastAsia" w:ascii="Times New Roman" w:hAnsi="Times New Roman" w:cs="Times New Roman"/>
          <w:color w:val="auto"/>
          <w:sz w:val="24"/>
          <w:lang w:val="en-US"/>
        </w:rPr>
        <w:t>3</w:t>
      </w:r>
      <w:r>
        <w:rPr>
          <w:rFonts w:ascii="Times New Roman" w:cs="Times New Roman"/>
          <w:color w:val="auto"/>
          <w:sz w:val="24"/>
          <w:lang w:val="en-US"/>
        </w:rPr>
        <w:t>、提供其它有利于投标的资料；</w:t>
      </w:r>
    </w:p>
    <w:p w14:paraId="49401BA4">
      <w:pPr>
        <w:pStyle w:val="14"/>
        <w:spacing w:before="2" w:line="360" w:lineRule="auto"/>
        <w:ind w:left="0" w:firstLine="597"/>
        <w:rPr>
          <w:color w:val="auto"/>
          <w:lang w:val="en-US"/>
        </w:rPr>
      </w:pPr>
    </w:p>
    <w:p w14:paraId="0C8FDEFD">
      <w:pPr>
        <w:spacing w:before="161" w:line="364" w:lineRule="auto"/>
        <w:rPr>
          <w:rFonts w:ascii="Times New Roman" w:hAnsi="Times New Roman" w:cs="Times New Roman"/>
          <w:b/>
          <w:color w:val="auto"/>
          <w:sz w:val="24"/>
        </w:rPr>
      </w:pPr>
      <w:r>
        <w:rPr>
          <w:rFonts w:ascii="Times New Roman" w:cs="Times New Roman"/>
          <w:b/>
          <w:color w:val="auto"/>
          <w:sz w:val="24"/>
        </w:rPr>
        <w:t>二、投标文件顺序及格式范本</w:t>
      </w:r>
    </w:p>
    <w:p w14:paraId="290D7D06">
      <w:pPr>
        <w:pStyle w:val="14"/>
        <w:spacing w:line="364" w:lineRule="auto"/>
        <w:ind w:left="0" w:firstLine="600"/>
        <w:rPr>
          <w:color w:val="auto"/>
        </w:rPr>
      </w:pPr>
      <w:r>
        <w:rPr>
          <w:rFonts w:hint="eastAsia"/>
          <w:color w:val="auto"/>
          <w:lang w:val="en-US"/>
        </w:rPr>
        <w:t>1</w:t>
      </w:r>
      <w:r>
        <w:rPr>
          <w:color w:val="auto"/>
        </w:rPr>
        <w:t>、凡须要签字盖章的，必须有符合</w:t>
      </w:r>
      <w:r>
        <w:rPr>
          <w:rFonts w:hint="eastAsia"/>
          <w:color w:val="auto"/>
        </w:rPr>
        <w:t>采购文件</w:t>
      </w:r>
      <w:r>
        <w:rPr>
          <w:color w:val="auto"/>
        </w:rPr>
        <w:t>规定要求的人员签字，公章必须是单位印章。</w:t>
      </w:r>
    </w:p>
    <w:p w14:paraId="7F9BC52F">
      <w:pPr>
        <w:pStyle w:val="14"/>
        <w:spacing w:line="364" w:lineRule="auto"/>
        <w:ind w:left="0" w:firstLine="600"/>
        <w:rPr>
          <w:color w:val="auto"/>
        </w:rPr>
      </w:pPr>
      <w:r>
        <w:rPr>
          <w:rFonts w:hint="eastAsia"/>
          <w:color w:val="auto"/>
          <w:lang w:val="en-US"/>
        </w:rPr>
        <w:t>2</w:t>
      </w:r>
      <w:r>
        <w:rPr>
          <w:color w:val="auto"/>
        </w:rPr>
        <w:t>、凡有备注说明的，必须符合说明的要求。</w:t>
      </w:r>
    </w:p>
    <w:p w14:paraId="59AF1DF5">
      <w:pPr>
        <w:pStyle w:val="14"/>
        <w:spacing w:line="364" w:lineRule="auto"/>
        <w:ind w:left="0" w:firstLine="600"/>
        <w:rPr>
          <w:color w:val="auto"/>
        </w:rPr>
        <w:sectPr>
          <w:headerReference r:id="rId6" w:type="default"/>
          <w:footerReference r:id="rId7" w:type="default"/>
          <w:pgSz w:w="11910" w:h="16840"/>
          <w:pgMar w:top="1420" w:right="1134" w:bottom="1180" w:left="1134" w:header="878" w:footer="993" w:gutter="0"/>
          <w:cols w:space="720" w:num="1"/>
        </w:sectPr>
      </w:pPr>
      <w:r>
        <w:rPr>
          <w:rFonts w:hint="eastAsia"/>
          <w:color w:val="auto"/>
          <w:lang w:val="en-US"/>
        </w:rPr>
        <w:t>3</w:t>
      </w:r>
      <w:r>
        <w:rPr>
          <w:color w:val="auto"/>
        </w:rPr>
        <w:t>、凡</w:t>
      </w:r>
      <w:r>
        <w:rPr>
          <w:rFonts w:hint="eastAsia"/>
          <w:color w:val="auto"/>
        </w:rPr>
        <w:t>采购文件</w:t>
      </w:r>
      <w:r>
        <w:rPr>
          <w:color w:val="auto"/>
        </w:rPr>
        <w:t>要求提供的，必须提供。否则，将视为不响应</w:t>
      </w:r>
      <w:r>
        <w:rPr>
          <w:rFonts w:hint="eastAsia"/>
          <w:color w:val="auto"/>
        </w:rPr>
        <w:t>采购文件</w:t>
      </w:r>
      <w:r>
        <w:rPr>
          <w:color w:val="auto"/>
        </w:rPr>
        <w:t>的实质性要求，可能投标文件将会被拒绝。</w:t>
      </w:r>
    </w:p>
    <w:p w14:paraId="31D50DD1">
      <w:pPr>
        <w:pStyle w:val="5"/>
        <w:ind w:left="0" w:firstLine="843" w:firstLineChars="300"/>
        <w:rPr>
          <w:color w:val="auto"/>
        </w:rPr>
      </w:pPr>
      <w:r>
        <w:rPr>
          <w:color w:val="auto"/>
        </w:rPr>
        <w:t>（二）投标文件格式范本</w:t>
      </w:r>
    </w:p>
    <w:p w14:paraId="52608859">
      <w:pPr>
        <w:spacing w:before="58"/>
        <w:jc w:val="center"/>
        <w:rPr>
          <w:rFonts w:ascii="Times New Roman" w:hAnsi="Times New Roman" w:cs="Times New Roman"/>
          <w:b/>
          <w:color w:val="auto"/>
          <w:sz w:val="30"/>
        </w:rPr>
      </w:pPr>
      <w:r>
        <w:rPr>
          <w:rFonts w:ascii="Times New Roman" w:hAnsi="Times New Roman" w:cs="Times New Roman"/>
          <w:b/>
          <w:color w:val="auto"/>
          <w:sz w:val="30"/>
          <w:lang w:val="en-US"/>
        </w:rPr>
        <w:t xml:space="preserve">  </w:t>
      </w:r>
      <w:r>
        <w:rPr>
          <w:rFonts w:ascii="Times New Roman" w:cs="Times New Roman"/>
          <w:b/>
          <w:color w:val="auto"/>
          <w:sz w:val="30"/>
        </w:rPr>
        <w:t>投标函</w:t>
      </w:r>
    </w:p>
    <w:p w14:paraId="287C4877">
      <w:pPr>
        <w:pStyle w:val="14"/>
        <w:spacing w:before="0"/>
        <w:ind w:left="0" w:firstLine="480" w:firstLineChars="200"/>
        <w:rPr>
          <w:rFonts w:hint="eastAsia"/>
          <w:color w:val="auto"/>
          <w:lang w:val="en-US"/>
        </w:rPr>
      </w:pPr>
      <w:r>
        <w:rPr>
          <w:color w:val="auto"/>
        </w:rPr>
        <w:t>致：</w:t>
      </w:r>
      <w:r>
        <w:rPr>
          <w:rFonts w:hint="eastAsia"/>
          <w:color w:val="auto"/>
          <w:lang w:val="en-US"/>
        </w:rPr>
        <w:t>招标人</w:t>
      </w:r>
    </w:p>
    <w:p w14:paraId="757EF75D">
      <w:pPr>
        <w:pStyle w:val="14"/>
        <w:tabs>
          <w:tab w:val="left" w:pos="3116"/>
        </w:tabs>
        <w:spacing w:before="0" w:line="364" w:lineRule="auto"/>
        <w:ind w:left="0" w:firstLine="480" w:firstLineChars="200"/>
        <w:jc w:val="both"/>
        <w:rPr>
          <w:rFonts w:hint="eastAsia"/>
          <w:b w:val="0"/>
          <w:bCs/>
          <w:color w:val="auto"/>
        </w:rPr>
      </w:pPr>
      <w:r>
        <w:rPr>
          <w:b w:val="0"/>
          <w:bCs/>
          <w:color w:val="auto"/>
        </w:rPr>
        <w:t>根据贵方为</w:t>
      </w:r>
      <w:r>
        <w:rPr>
          <w:b w:val="0"/>
          <w:bCs/>
          <w:color w:val="auto"/>
          <w:u w:val="single"/>
        </w:rPr>
        <w:t xml:space="preserve"> （项目名称）   </w:t>
      </w:r>
      <w:r>
        <w:rPr>
          <w:b w:val="0"/>
          <w:bCs/>
          <w:color w:val="auto"/>
        </w:rPr>
        <w:t>项目招标</w:t>
      </w:r>
      <w:r>
        <w:rPr>
          <w:rFonts w:hint="eastAsia"/>
          <w:b w:val="0"/>
          <w:bCs/>
          <w:color w:val="auto"/>
        </w:rPr>
        <w:t>采购货物</w:t>
      </w:r>
      <w:r>
        <w:rPr>
          <w:b w:val="0"/>
          <w:bCs/>
          <w:color w:val="auto"/>
        </w:rPr>
        <w:t>的投标邀请</w:t>
      </w:r>
      <w:r>
        <w:rPr>
          <w:b w:val="0"/>
          <w:bCs/>
          <w:color w:val="auto"/>
          <w:u w:val="single"/>
        </w:rPr>
        <w:t xml:space="preserve">（项目编号） </w:t>
      </w:r>
      <w:r>
        <w:rPr>
          <w:b w:val="0"/>
          <w:bCs/>
          <w:color w:val="auto"/>
        </w:rPr>
        <w:t>，签字代表</w:t>
      </w:r>
      <w:r>
        <w:rPr>
          <w:b w:val="0"/>
          <w:bCs/>
          <w:color w:val="auto"/>
          <w:u w:val="single"/>
        </w:rPr>
        <w:t>（姓名、职务）</w:t>
      </w:r>
      <w:r>
        <w:rPr>
          <w:b w:val="0"/>
          <w:bCs/>
          <w:color w:val="auto"/>
        </w:rPr>
        <w:t>经正式授权并代表投标人</w:t>
      </w:r>
      <w:r>
        <w:rPr>
          <w:b w:val="0"/>
          <w:bCs/>
          <w:color w:val="auto"/>
          <w:u w:val="single"/>
        </w:rPr>
        <w:t>（投标人名称、地址）</w:t>
      </w:r>
      <w:r>
        <w:rPr>
          <w:rFonts w:hint="eastAsia"/>
          <w:b w:val="0"/>
          <w:bCs/>
          <w:color w:val="auto"/>
        </w:rPr>
        <w:t>提交下述文件。</w:t>
      </w:r>
    </w:p>
    <w:p w14:paraId="3EE2E576">
      <w:pPr>
        <w:pStyle w:val="14"/>
        <w:tabs>
          <w:tab w:val="left" w:pos="3116"/>
        </w:tabs>
        <w:spacing w:before="0" w:line="364" w:lineRule="auto"/>
        <w:ind w:left="0" w:firstLine="480" w:firstLineChars="200"/>
        <w:jc w:val="both"/>
        <w:rPr>
          <w:rFonts w:hint="eastAsia"/>
          <w:b w:val="0"/>
          <w:bCs/>
          <w:color w:val="auto"/>
        </w:rPr>
      </w:pPr>
      <w:r>
        <w:rPr>
          <w:rFonts w:hint="eastAsia"/>
          <w:b w:val="0"/>
          <w:bCs/>
          <w:color w:val="auto"/>
        </w:rPr>
        <w:t>据此函，签字代表宣布并同意如下：</w:t>
      </w:r>
    </w:p>
    <w:p w14:paraId="3D1DE4F1">
      <w:pPr>
        <w:pStyle w:val="43"/>
        <w:numPr>
          <w:ilvl w:val="0"/>
          <w:numId w:val="5"/>
        </w:numPr>
        <w:tabs>
          <w:tab w:val="left" w:pos="1881"/>
        </w:tabs>
        <w:spacing w:before="0" w:line="360" w:lineRule="auto"/>
        <w:ind w:left="-40" w:firstLine="480"/>
        <w:jc w:val="both"/>
        <w:rPr>
          <w:color w:val="auto"/>
          <w:sz w:val="24"/>
        </w:rPr>
      </w:pPr>
      <w:r>
        <w:rPr>
          <w:color w:val="auto"/>
          <w:sz w:val="24"/>
        </w:rPr>
        <w:t>开标一览表</w:t>
      </w:r>
    </w:p>
    <w:p w14:paraId="071EDBAE">
      <w:pPr>
        <w:pStyle w:val="43"/>
        <w:numPr>
          <w:ilvl w:val="0"/>
          <w:numId w:val="5"/>
        </w:numPr>
        <w:tabs>
          <w:tab w:val="left" w:pos="1881"/>
        </w:tabs>
        <w:spacing w:before="0" w:line="360" w:lineRule="auto"/>
        <w:ind w:left="-40" w:firstLine="480"/>
        <w:jc w:val="both"/>
        <w:rPr>
          <w:color w:val="auto"/>
          <w:sz w:val="24"/>
        </w:rPr>
      </w:pPr>
      <w:r>
        <w:rPr>
          <w:color w:val="auto"/>
          <w:sz w:val="24"/>
          <w:lang w:val="en-US"/>
        </w:rPr>
        <w:t>报价明细</w:t>
      </w:r>
      <w:r>
        <w:rPr>
          <w:color w:val="auto"/>
          <w:sz w:val="24"/>
        </w:rPr>
        <w:t>表</w:t>
      </w:r>
    </w:p>
    <w:p w14:paraId="24A35A61">
      <w:pPr>
        <w:pStyle w:val="43"/>
        <w:numPr>
          <w:ilvl w:val="0"/>
          <w:numId w:val="5"/>
        </w:numPr>
        <w:tabs>
          <w:tab w:val="left" w:pos="1881"/>
        </w:tabs>
        <w:spacing w:before="0" w:line="360" w:lineRule="auto"/>
        <w:ind w:left="-40" w:firstLine="480"/>
        <w:rPr>
          <w:color w:val="auto"/>
          <w:sz w:val="24"/>
        </w:rPr>
      </w:pPr>
      <w:r>
        <w:rPr>
          <w:color w:val="auto"/>
          <w:sz w:val="24"/>
          <w:lang w:val="en-US"/>
        </w:rPr>
        <w:t>技术、商务</w:t>
      </w:r>
      <w:r>
        <w:rPr>
          <w:color w:val="auto"/>
          <w:sz w:val="24"/>
        </w:rPr>
        <w:t>偏离表</w:t>
      </w:r>
    </w:p>
    <w:p w14:paraId="57DDA3AA">
      <w:pPr>
        <w:pStyle w:val="43"/>
        <w:numPr>
          <w:ilvl w:val="0"/>
          <w:numId w:val="5"/>
        </w:numPr>
        <w:tabs>
          <w:tab w:val="left" w:pos="1881"/>
        </w:tabs>
        <w:spacing w:before="0" w:line="360" w:lineRule="auto"/>
        <w:ind w:left="-40" w:firstLine="480"/>
        <w:rPr>
          <w:color w:val="auto"/>
          <w:sz w:val="24"/>
        </w:rPr>
      </w:pPr>
      <w:r>
        <w:rPr>
          <w:color w:val="auto"/>
          <w:sz w:val="24"/>
        </w:rPr>
        <w:t>资格证明文件</w:t>
      </w:r>
    </w:p>
    <w:p w14:paraId="63CDE381">
      <w:pPr>
        <w:pStyle w:val="43"/>
        <w:numPr>
          <w:ilvl w:val="0"/>
          <w:numId w:val="5"/>
        </w:numPr>
        <w:tabs>
          <w:tab w:val="left" w:pos="1881"/>
        </w:tabs>
        <w:spacing w:before="0" w:line="360" w:lineRule="auto"/>
        <w:ind w:left="-40" w:firstLine="480"/>
        <w:rPr>
          <w:color w:val="auto"/>
          <w:sz w:val="24"/>
        </w:rPr>
      </w:pPr>
      <w:r>
        <w:rPr>
          <w:rFonts w:hint="eastAsia"/>
          <w:color w:val="auto"/>
          <w:sz w:val="24"/>
          <w:lang w:val="en-US"/>
        </w:rPr>
        <w:t>技术服务方案</w:t>
      </w:r>
    </w:p>
    <w:p w14:paraId="4C10F809">
      <w:pPr>
        <w:pStyle w:val="43"/>
        <w:numPr>
          <w:ilvl w:val="0"/>
          <w:numId w:val="5"/>
        </w:numPr>
        <w:tabs>
          <w:tab w:val="left" w:pos="1881"/>
        </w:tabs>
        <w:spacing w:before="0" w:line="360" w:lineRule="auto"/>
        <w:ind w:left="-40" w:firstLine="480"/>
        <w:rPr>
          <w:color w:val="auto"/>
          <w:sz w:val="24"/>
        </w:rPr>
      </w:pPr>
      <w:r>
        <w:rPr>
          <w:rFonts w:hint="eastAsia"/>
          <w:color w:val="auto"/>
          <w:sz w:val="24"/>
        </w:rPr>
        <w:t>按采购文件要求提供有关文件</w:t>
      </w:r>
    </w:p>
    <w:p w14:paraId="1619A45B">
      <w:pPr>
        <w:pStyle w:val="43"/>
        <w:numPr>
          <w:ilvl w:val="0"/>
          <w:numId w:val="5"/>
        </w:numPr>
        <w:tabs>
          <w:tab w:val="left" w:pos="1881"/>
          <w:tab w:val="left" w:pos="6680"/>
        </w:tabs>
        <w:spacing w:before="0" w:line="360" w:lineRule="auto"/>
        <w:ind w:left="-40" w:firstLine="480"/>
        <w:rPr>
          <w:color w:val="auto"/>
          <w:sz w:val="24"/>
        </w:rPr>
      </w:pPr>
      <w:r>
        <w:rPr>
          <w:color w:val="auto"/>
          <w:sz w:val="24"/>
        </w:rPr>
        <w:t>投标保证金，金额为</w:t>
      </w:r>
      <w:r>
        <w:rPr>
          <w:color w:val="auto"/>
          <w:sz w:val="24"/>
          <w:u w:val="single"/>
        </w:rPr>
        <w:t xml:space="preserve"> </w:t>
      </w:r>
      <w:r>
        <w:rPr>
          <w:color w:val="auto"/>
          <w:sz w:val="24"/>
          <w:u w:val="single"/>
        </w:rPr>
        <w:tab/>
      </w:r>
      <w:r>
        <w:rPr>
          <w:color w:val="auto"/>
          <w:sz w:val="24"/>
        </w:rPr>
        <w:t>。。</w:t>
      </w:r>
    </w:p>
    <w:p w14:paraId="0116AB4E">
      <w:pPr>
        <w:pStyle w:val="14"/>
        <w:numPr>
          <w:ilvl w:val="0"/>
          <w:numId w:val="6"/>
        </w:numPr>
        <w:tabs>
          <w:tab w:val="left" w:pos="-220"/>
        </w:tabs>
        <w:spacing w:before="0" w:line="364" w:lineRule="auto"/>
        <w:ind w:left="0" w:firstLine="480" w:firstLineChars="200"/>
        <w:rPr>
          <w:color w:val="auto"/>
        </w:rPr>
      </w:pPr>
      <w:r>
        <w:rPr>
          <w:color w:val="auto"/>
        </w:rPr>
        <w:t>所附投标报价表中规定的应提交和交付的货物和服务投标总价为</w:t>
      </w:r>
      <w:r>
        <w:rPr>
          <w:rFonts w:hint="eastAsia"/>
          <w:color w:val="auto"/>
          <w:lang w:val="en-US"/>
        </w:rPr>
        <w:t xml:space="preserve">  </w:t>
      </w:r>
      <w:r>
        <w:rPr>
          <w:color w:val="auto"/>
          <w:u w:val="single"/>
        </w:rPr>
        <w:t>（注明币种</w:t>
      </w:r>
      <w:r>
        <w:rPr>
          <w:rFonts w:hint="eastAsia"/>
          <w:color w:val="auto"/>
          <w:u w:val="single"/>
          <w:lang w:val="en-US"/>
        </w:rPr>
        <w:t xml:space="preserve">     </w:t>
      </w:r>
      <w:r>
        <w:rPr>
          <w:color w:val="auto"/>
          <w:u w:val="single"/>
        </w:rPr>
        <w:t>，</w:t>
      </w:r>
      <w:r>
        <w:rPr>
          <w:color w:val="auto"/>
          <w:u w:val="single"/>
        </w:rPr>
        <w:tab/>
      </w:r>
      <w:r>
        <w:rPr>
          <w:color w:val="auto"/>
          <w:u w:val="single"/>
        </w:rPr>
        <w:t>并用文字和数字表示的投标总价）。</w:t>
      </w:r>
    </w:p>
    <w:p w14:paraId="2EED4F36">
      <w:pPr>
        <w:pStyle w:val="14"/>
        <w:spacing w:before="0"/>
        <w:ind w:left="0"/>
        <w:rPr>
          <w:color w:val="auto"/>
        </w:rPr>
      </w:pPr>
      <w:r>
        <w:rPr>
          <w:rFonts w:hint="eastAsia"/>
          <w:color w:val="auto"/>
          <w:lang w:val="en-US"/>
        </w:rPr>
        <w:t xml:space="preserve">    </w:t>
      </w:r>
      <w:r>
        <w:rPr>
          <w:color w:val="auto"/>
        </w:rPr>
        <w:t>2、投标人将按</w:t>
      </w:r>
      <w:r>
        <w:rPr>
          <w:rFonts w:hint="eastAsia"/>
          <w:color w:val="auto"/>
        </w:rPr>
        <w:t>采购文件</w:t>
      </w:r>
      <w:r>
        <w:rPr>
          <w:color w:val="auto"/>
        </w:rPr>
        <w:t>的规定履行合同责任和义务；</w:t>
      </w:r>
    </w:p>
    <w:p w14:paraId="6DE6A5A7">
      <w:pPr>
        <w:pStyle w:val="14"/>
        <w:spacing w:before="0" w:line="364" w:lineRule="auto"/>
        <w:ind w:left="0" w:firstLine="480" w:firstLineChars="200"/>
        <w:rPr>
          <w:color w:val="auto"/>
        </w:rPr>
      </w:pPr>
      <w:r>
        <w:rPr>
          <w:color w:val="auto"/>
        </w:rPr>
        <w:t>3、投标人已详细阅读并理解了</w:t>
      </w:r>
      <w:r>
        <w:rPr>
          <w:rFonts w:hint="eastAsia"/>
          <w:color w:val="auto"/>
        </w:rPr>
        <w:t>采购文件</w:t>
      </w:r>
      <w:r>
        <w:rPr>
          <w:color w:val="auto"/>
        </w:rPr>
        <w:t>的全部，包括修改文件。我们完全理解并同意放弃对这方面有不明及误解的权利。</w:t>
      </w:r>
    </w:p>
    <w:p w14:paraId="7329C5F4">
      <w:pPr>
        <w:pStyle w:val="14"/>
        <w:tabs>
          <w:tab w:val="left" w:pos="5151"/>
        </w:tabs>
        <w:spacing w:before="0"/>
        <w:ind w:left="0" w:firstLine="480" w:firstLineChars="200"/>
        <w:rPr>
          <w:color w:val="auto"/>
        </w:rPr>
      </w:pPr>
      <w:r>
        <w:rPr>
          <w:color w:val="auto"/>
        </w:rPr>
        <w:t>4、本投标有效期自开标之日起</w:t>
      </w:r>
      <w:r>
        <w:rPr>
          <w:color w:val="auto"/>
          <w:u w:val="single"/>
        </w:rPr>
        <w:t xml:space="preserve"> </w:t>
      </w:r>
      <w:r>
        <w:rPr>
          <w:color w:val="auto"/>
          <w:u w:val="single"/>
        </w:rPr>
        <w:tab/>
      </w:r>
      <w:r>
        <w:rPr>
          <w:color w:val="auto"/>
        </w:rPr>
        <w:t>个日历日。</w:t>
      </w:r>
    </w:p>
    <w:p w14:paraId="103B7C58">
      <w:pPr>
        <w:pStyle w:val="14"/>
        <w:spacing w:before="0" w:line="364" w:lineRule="auto"/>
        <w:ind w:left="0" w:firstLine="480" w:firstLineChars="200"/>
        <w:rPr>
          <w:color w:val="auto"/>
        </w:rPr>
      </w:pPr>
      <w:r>
        <w:rPr>
          <w:color w:val="auto"/>
        </w:rPr>
        <w:t>5、在规定的开标时间后，如果在投标有效期内撤回投标，同意投标保证金将被贵方没收。</w:t>
      </w:r>
    </w:p>
    <w:p w14:paraId="368C9556">
      <w:pPr>
        <w:pStyle w:val="14"/>
        <w:spacing w:before="0" w:line="364" w:lineRule="auto"/>
        <w:ind w:left="0" w:firstLine="480" w:firstLineChars="200"/>
        <w:rPr>
          <w:color w:val="auto"/>
        </w:rPr>
      </w:pPr>
      <w:r>
        <w:rPr>
          <w:color w:val="auto"/>
        </w:rPr>
        <w:t>6、投标人同意提供按照贵方可能要求的与其投标有关的一切数据或资料，完全理解贵方不一定接受最低价的投标或收到的任何投标的约定。</w:t>
      </w:r>
    </w:p>
    <w:p w14:paraId="3A8C905A">
      <w:pPr>
        <w:pStyle w:val="14"/>
        <w:spacing w:before="0"/>
        <w:ind w:left="0" w:firstLine="480" w:firstLineChars="200"/>
        <w:rPr>
          <w:color w:val="auto"/>
        </w:rPr>
      </w:pPr>
      <w:r>
        <w:rPr>
          <w:color w:val="auto"/>
        </w:rPr>
        <w:t>7、与本投标有关的一切正式往来信函请寄：</w:t>
      </w:r>
    </w:p>
    <w:p w14:paraId="50270FB9">
      <w:pPr>
        <w:pStyle w:val="14"/>
        <w:spacing w:before="0"/>
        <w:ind w:left="0" w:firstLine="480" w:firstLineChars="200"/>
        <w:rPr>
          <w:color w:val="auto"/>
        </w:rPr>
      </w:pPr>
    </w:p>
    <w:p w14:paraId="7472C2E5">
      <w:pPr>
        <w:pStyle w:val="14"/>
        <w:spacing w:before="0" w:line="364" w:lineRule="auto"/>
        <w:ind w:left="0" w:firstLine="480" w:firstLineChars="200"/>
        <w:rPr>
          <w:color w:val="auto"/>
        </w:rPr>
      </w:pPr>
      <w:r>
        <w:rPr>
          <w:color w:val="auto"/>
        </w:rPr>
        <w:t>投标人名称（盖章）：</w:t>
      </w:r>
      <w:r>
        <w:rPr>
          <w:color w:val="auto"/>
          <w:u w:val="single"/>
          <w:lang w:val="en-US"/>
        </w:rPr>
        <w:t xml:space="preserve">                       </w:t>
      </w:r>
      <w:r>
        <w:rPr>
          <w:color w:val="auto"/>
          <w:lang w:val="en-US"/>
        </w:rPr>
        <w:t xml:space="preserve">              </w:t>
      </w:r>
      <w:r>
        <w:rPr>
          <w:color w:val="auto"/>
        </w:rPr>
        <w:t xml:space="preserve"> </w:t>
      </w:r>
    </w:p>
    <w:p w14:paraId="27CD7482">
      <w:pPr>
        <w:pStyle w:val="14"/>
        <w:spacing w:before="0" w:line="364" w:lineRule="auto"/>
        <w:ind w:left="0" w:firstLine="480" w:firstLineChars="200"/>
        <w:rPr>
          <w:color w:val="auto"/>
          <w:lang w:val="en-US"/>
        </w:rPr>
      </w:pPr>
      <w:r>
        <w:rPr>
          <w:color w:val="auto"/>
        </w:rPr>
        <w:t>法定代表人或委托代理人签字（或盖章）：</w:t>
      </w:r>
      <w:r>
        <w:rPr>
          <w:color w:val="auto"/>
          <w:u w:val="single"/>
          <w:lang w:val="en-US"/>
        </w:rPr>
        <w:t xml:space="preserve">                 </w:t>
      </w:r>
      <w:r>
        <w:rPr>
          <w:color w:val="auto"/>
          <w:lang w:val="en-US"/>
        </w:rPr>
        <w:t xml:space="preserve">                        </w:t>
      </w:r>
      <w:r>
        <w:rPr>
          <w:color w:val="auto"/>
        </w:rPr>
        <w:t xml:space="preserve">  </w:t>
      </w:r>
      <w:r>
        <w:rPr>
          <w:color w:val="auto"/>
          <w:lang w:val="en-US"/>
        </w:rPr>
        <w:t xml:space="preserve">                          </w:t>
      </w:r>
    </w:p>
    <w:p w14:paraId="3E989D1A">
      <w:pPr>
        <w:pStyle w:val="14"/>
        <w:spacing w:before="0" w:line="364" w:lineRule="auto"/>
        <w:ind w:left="0" w:firstLine="480" w:firstLineChars="200"/>
        <w:rPr>
          <w:color w:val="auto"/>
          <w:lang w:val="en-US"/>
        </w:rPr>
      </w:pPr>
      <w:r>
        <w:rPr>
          <w:color w:val="auto"/>
        </w:rPr>
        <w:t>地</w:t>
      </w:r>
      <w:r>
        <w:rPr>
          <w:color w:val="auto"/>
          <w:lang w:val="en-US"/>
        </w:rPr>
        <w:t xml:space="preserve"> </w:t>
      </w:r>
      <w:r>
        <w:rPr>
          <w:color w:val="auto"/>
        </w:rPr>
        <w:t>址：</w:t>
      </w:r>
      <w:r>
        <w:rPr>
          <w:color w:val="auto"/>
          <w:u w:val="single"/>
          <w:lang w:val="en-US"/>
        </w:rPr>
        <w:t xml:space="preserve">                       </w:t>
      </w:r>
      <w:r>
        <w:rPr>
          <w:color w:val="auto"/>
        </w:rPr>
        <w:t xml:space="preserve"> </w:t>
      </w:r>
      <w:r>
        <w:rPr>
          <w:color w:val="auto"/>
          <w:lang w:val="en-US"/>
        </w:rPr>
        <w:t xml:space="preserve">         </w:t>
      </w:r>
      <w:r>
        <w:rPr>
          <w:color w:val="auto"/>
        </w:rPr>
        <w:tab/>
      </w:r>
      <w:r>
        <w:rPr>
          <w:color w:val="auto"/>
          <w:lang w:val="en-US"/>
        </w:rPr>
        <w:t xml:space="preserve">      </w:t>
      </w:r>
    </w:p>
    <w:p w14:paraId="75C8FBF0">
      <w:pPr>
        <w:pStyle w:val="14"/>
        <w:spacing w:before="0" w:line="364" w:lineRule="auto"/>
        <w:ind w:left="0" w:firstLine="480" w:firstLineChars="200"/>
        <w:rPr>
          <w:b/>
          <w:bCs/>
          <w:color w:val="auto"/>
        </w:rPr>
      </w:pPr>
      <w:r>
        <w:rPr>
          <w:color w:val="auto"/>
        </w:rPr>
        <w:t>电话：</w:t>
      </w:r>
      <w:r>
        <w:rPr>
          <w:color w:val="auto"/>
          <w:u w:val="single"/>
          <w:lang w:val="en-US"/>
        </w:rPr>
        <w:t xml:space="preserve">                       </w:t>
      </w:r>
      <w:r>
        <w:rPr>
          <w:color w:val="auto"/>
          <w:lang w:val="en-US"/>
        </w:rPr>
        <w:t xml:space="preserve"> </w:t>
      </w:r>
      <w:r>
        <w:rPr>
          <w:b/>
          <w:bCs/>
          <w:color w:val="auto"/>
          <w:lang w:val="en-US"/>
        </w:rPr>
        <w:t xml:space="preserve">        </w:t>
      </w:r>
      <w:r>
        <w:rPr>
          <w:b/>
          <w:bCs/>
          <w:color w:val="auto"/>
        </w:rPr>
        <w:t xml:space="preserve"> </w:t>
      </w:r>
      <w:r>
        <w:rPr>
          <w:b/>
          <w:bCs/>
          <w:color w:val="auto"/>
        </w:rPr>
        <w:tab/>
      </w:r>
    </w:p>
    <w:p w14:paraId="487CA040">
      <w:pPr>
        <w:pStyle w:val="14"/>
        <w:tabs>
          <w:tab w:val="left" w:pos="2917"/>
          <w:tab w:val="left" w:pos="5496"/>
        </w:tabs>
        <w:spacing w:before="0"/>
        <w:ind w:left="0" w:firstLine="480" w:firstLineChars="200"/>
        <w:jc w:val="center"/>
        <w:rPr>
          <w:color w:val="auto"/>
          <w:u w:val="single"/>
        </w:rPr>
      </w:pPr>
      <w:r>
        <w:rPr>
          <w:color w:val="auto"/>
          <w:lang w:val="en-US"/>
        </w:rPr>
        <w:t xml:space="preserve">            </w:t>
      </w:r>
      <w:r>
        <w:rPr>
          <w:color w:val="auto"/>
          <w:u w:val="single"/>
          <w:lang w:val="en-US"/>
        </w:rPr>
        <w:t xml:space="preserve">           </w:t>
      </w:r>
      <w:r>
        <w:rPr>
          <w:color w:val="auto"/>
        </w:rPr>
        <w:t>年</w:t>
      </w:r>
      <w:r>
        <w:rPr>
          <w:color w:val="auto"/>
          <w:u w:val="single"/>
        </w:rPr>
        <w:t xml:space="preserve"> </w:t>
      </w:r>
      <w:r>
        <w:rPr>
          <w:color w:val="auto"/>
          <w:u w:val="single"/>
          <w:lang w:val="en-US"/>
        </w:rPr>
        <w:t xml:space="preserve">      </w:t>
      </w:r>
      <w:r>
        <w:rPr>
          <w:color w:val="auto"/>
          <w:lang w:val="en-US"/>
        </w:rPr>
        <w:t xml:space="preserve"> </w:t>
      </w:r>
      <w:r>
        <w:rPr>
          <w:color w:val="auto"/>
        </w:rPr>
        <w:t>月</w:t>
      </w:r>
      <w:r>
        <w:rPr>
          <w:color w:val="auto"/>
          <w:lang w:val="en-US"/>
        </w:rPr>
        <w:t xml:space="preserve"> </w:t>
      </w:r>
      <w:r>
        <w:rPr>
          <w:color w:val="auto"/>
          <w:u w:val="single"/>
          <w:lang w:val="en-US"/>
        </w:rPr>
        <w:t xml:space="preserve">      </w:t>
      </w:r>
      <w:r>
        <w:rPr>
          <w:color w:val="auto"/>
        </w:rPr>
        <w:t>日</w:t>
      </w:r>
    </w:p>
    <w:p w14:paraId="53E3431F">
      <w:pPr>
        <w:rPr>
          <w:color w:val="auto"/>
        </w:rPr>
      </w:pPr>
    </w:p>
    <w:p w14:paraId="7F08C33B">
      <w:pPr>
        <w:pStyle w:val="5"/>
        <w:spacing w:before="67"/>
        <w:ind w:left="0"/>
        <w:rPr>
          <w:color w:val="auto"/>
        </w:rPr>
      </w:pPr>
      <w:r>
        <w:rPr>
          <w:color w:val="auto"/>
        </w:rPr>
        <w:br w:type="page"/>
      </w:r>
      <w:r>
        <w:rPr>
          <w:color w:val="auto"/>
        </w:rPr>
        <w:t>法定代表人资格证明书或法定代表人授权委托书格式</w:t>
      </w:r>
    </w:p>
    <w:p w14:paraId="786EA243">
      <w:pPr>
        <w:pStyle w:val="14"/>
        <w:spacing w:before="0"/>
        <w:ind w:left="0"/>
        <w:rPr>
          <w:b/>
          <w:color w:val="auto"/>
        </w:rPr>
      </w:pPr>
    </w:p>
    <w:p w14:paraId="16487DCA">
      <w:pPr>
        <w:pStyle w:val="46"/>
        <w:adjustRightInd w:val="0"/>
        <w:snapToGrid w:val="0"/>
        <w:spacing w:line="400" w:lineRule="exact"/>
        <w:jc w:val="center"/>
        <w:rPr>
          <w:b/>
          <w:bCs/>
          <w:color w:val="auto"/>
          <w:sz w:val="24"/>
          <w:szCs w:val="24"/>
        </w:rPr>
      </w:pPr>
    </w:p>
    <w:p w14:paraId="2A67B712">
      <w:pPr>
        <w:pStyle w:val="46"/>
        <w:adjustRightInd w:val="0"/>
        <w:snapToGrid w:val="0"/>
        <w:spacing w:line="400" w:lineRule="exact"/>
        <w:jc w:val="center"/>
        <w:rPr>
          <w:b/>
          <w:bCs/>
          <w:color w:val="auto"/>
          <w:szCs w:val="28"/>
        </w:rPr>
      </w:pPr>
      <w:r>
        <w:rPr>
          <w:rFonts w:hAnsi="宋体"/>
          <w:b/>
          <w:bCs/>
          <w:color w:val="auto"/>
          <w:szCs w:val="28"/>
        </w:rPr>
        <w:t>法定代表人资格证明书</w:t>
      </w:r>
    </w:p>
    <w:p w14:paraId="7C13E2C3">
      <w:pPr>
        <w:pStyle w:val="46"/>
        <w:adjustRightInd w:val="0"/>
        <w:snapToGrid w:val="0"/>
        <w:spacing w:line="400" w:lineRule="exact"/>
        <w:jc w:val="center"/>
        <w:rPr>
          <w:b/>
          <w:bCs/>
          <w:color w:val="auto"/>
          <w:szCs w:val="28"/>
        </w:rPr>
      </w:pPr>
    </w:p>
    <w:p w14:paraId="15FB6DE6">
      <w:pPr>
        <w:pStyle w:val="46"/>
        <w:adjustRightInd w:val="0"/>
        <w:snapToGrid w:val="0"/>
        <w:spacing w:line="360" w:lineRule="auto"/>
        <w:ind w:firstLine="1200" w:firstLineChars="500"/>
        <w:rPr>
          <w:color w:val="auto"/>
          <w:sz w:val="24"/>
          <w:szCs w:val="24"/>
        </w:rPr>
      </w:pPr>
      <w:r>
        <w:rPr>
          <w:rFonts w:hAnsi="宋体"/>
          <w:color w:val="auto"/>
          <w:sz w:val="24"/>
          <w:szCs w:val="24"/>
          <w:u w:val="single"/>
        </w:rPr>
        <w:t>（采购人名称）</w:t>
      </w:r>
      <w:r>
        <w:rPr>
          <w:color w:val="auto"/>
          <w:sz w:val="24"/>
          <w:szCs w:val="24"/>
          <w:u w:val="single"/>
        </w:rPr>
        <w:t xml:space="preserve">                </w:t>
      </w:r>
      <w:r>
        <w:rPr>
          <w:rFonts w:hAnsi="宋体"/>
          <w:color w:val="auto"/>
          <w:sz w:val="24"/>
          <w:szCs w:val="24"/>
        </w:rPr>
        <w:t>：</w:t>
      </w:r>
    </w:p>
    <w:p w14:paraId="5E2FE3B0">
      <w:pPr>
        <w:pStyle w:val="46"/>
        <w:adjustRightInd w:val="0"/>
        <w:snapToGrid w:val="0"/>
        <w:spacing w:line="360" w:lineRule="auto"/>
        <w:ind w:firstLine="720" w:firstLineChars="300"/>
        <w:rPr>
          <w:color w:val="auto"/>
          <w:sz w:val="24"/>
          <w:szCs w:val="24"/>
        </w:rPr>
      </w:pPr>
      <w:r>
        <w:rPr>
          <w:rFonts w:hAnsi="宋体"/>
          <w:color w:val="auto"/>
          <w:sz w:val="24"/>
          <w:szCs w:val="24"/>
        </w:rPr>
        <w:t>兹有</w:t>
      </w:r>
      <w:r>
        <w:rPr>
          <w:color w:val="auto"/>
          <w:sz w:val="24"/>
          <w:szCs w:val="24"/>
          <w:u w:val="single"/>
        </w:rPr>
        <w:t xml:space="preserve">          </w:t>
      </w:r>
      <w:r>
        <w:rPr>
          <w:rFonts w:hAnsi="宋体"/>
          <w:color w:val="auto"/>
          <w:sz w:val="24"/>
          <w:szCs w:val="24"/>
        </w:rPr>
        <w:t>同志为</w:t>
      </w:r>
      <w:r>
        <w:rPr>
          <w:color w:val="auto"/>
          <w:sz w:val="24"/>
          <w:szCs w:val="24"/>
          <w:u w:val="single"/>
        </w:rPr>
        <w:t xml:space="preserve">             </w:t>
      </w:r>
      <w:r>
        <w:rPr>
          <w:rFonts w:hAnsi="宋体"/>
          <w:color w:val="auto"/>
          <w:sz w:val="24"/>
          <w:szCs w:val="24"/>
        </w:rPr>
        <w:t>公司法定代表人，代表我公司办理一切社会公务事宜，具有法律效力。</w:t>
      </w:r>
      <w:r>
        <w:rPr>
          <w:color w:val="auto"/>
          <w:sz w:val="24"/>
          <w:szCs w:val="24"/>
        </w:rPr>
        <w:t xml:space="preserve"> </w:t>
      </w:r>
    </w:p>
    <w:p w14:paraId="5F3ABC01">
      <w:pPr>
        <w:pStyle w:val="46"/>
        <w:adjustRightInd w:val="0"/>
        <w:snapToGrid w:val="0"/>
        <w:spacing w:line="360" w:lineRule="auto"/>
        <w:ind w:firstLine="1200" w:firstLineChars="500"/>
        <w:rPr>
          <w:color w:val="auto"/>
          <w:sz w:val="24"/>
          <w:szCs w:val="24"/>
        </w:rPr>
      </w:pPr>
      <w:r>
        <w:rPr>
          <w:rFonts w:hAnsi="宋体"/>
          <w:color w:val="auto"/>
          <w:sz w:val="24"/>
          <w:szCs w:val="24"/>
        </w:rPr>
        <w:t>附法定代表人基本情况：</w:t>
      </w:r>
      <w:r>
        <w:rPr>
          <w:color w:val="auto"/>
          <w:sz w:val="24"/>
          <w:szCs w:val="24"/>
        </w:rPr>
        <w:t xml:space="preserve"> </w:t>
      </w:r>
    </w:p>
    <w:p w14:paraId="16A5887A">
      <w:pPr>
        <w:pStyle w:val="46"/>
        <w:adjustRightInd w:val="0"/>
        <w:snapToGrid w:val="0"/>
        <w:spacing w:line="360" w:lineRule="auto"/>
        <w:ind w:firstLine="1200" w:firstLineChars="500"/>
        <w:rPr>
          <w:color w:val="auto"/>
          <w:sz w:val="24"/>
          <w:szCs w:val="24"/>
          <w:u w:val="single"/>
        </w:rPr>
      </w:pPr>
      <w:r>
        <w:rPr>
          <w:rFonts w:hAnsi="宋体"/>
          <w:color w:val="auto"/>
          <w:sz w:val="24"/>
          <w:szCs w:val="24"/>
        </w:rPr>
        <w:t>姓名：</w:t>
      </w:r>
      <w:r>
        <w:rPr>
          <w:color w:val="auto"/>
          <w:sz w:val="24"/>
          <w:szCs w:val="24"/>
          <w:u w:val="single"/>
        </w:rPr>
        <w:t xml:space="preserve">                 </w:t>
      </w:r>
      <w:r>
        <w:rPr>
          <w:color w:val="auto"/>
          <w:sz w:val="24"/>
          <w:szCs w:val="24"/>
        </w:rPr>
        <w:t xml:space="preserve">  </w:t>
      </w:r>
      <w:r>
        <w:rPr>
          <w:rFonts w:hAnsi="宋体"/>
          <w:color w:val="auto"/>
          <w:sz w:val="24"/>
          <w:szCs w:val="24"/>
        </w:rPr>
        <w:t>性别：</w:t>
      </w:r>
      <w:r>
        <w:rPr>
          <w:color w:val="auto"/>
          <w:sz w:val="24"/>
          <w:szCs w:val="24"/>
          <w:u w:val="single"/>
        </w:rPr>
        <w:t xml:space="preserve">                     </w:t>
      </w:r>
    </w:p>
    <w:p w14:paraId="2ACA57C4">
      <w:pPr>
        <w:pStyle w:val="46"/>
        <w:adjustRightInd w:val="0"/>
        <w:snapToGrid w:val="0"/>
        <w:spacing w:line="360" w:lineRule="auto"/>
        <w:ind w:firstLine="1200" w:firstLineChars="500"/>
        <w:rPr>
          <w:color w:val="auto"/>
          <w:sz w:val="24"/>
          <w:szCs w:val="24"/>
          <w:u w:val="single"/>
        </w:rPr>
      </w:pPr>
      <w:r>
        <w:rPr>
          <w:rFonts w:hAnsi="宋体"/>
          <w:color w:val="auto"/>
          <w:sz w:val="24"/>
          <w:szCs w:val="24"/>
        </w:rPr>
        <w:t>年龄：</w:t>
      </w:r>
      <w:r>
        <w:rPr>
          <w:color w:val="auto"/>
          <w:sz w:val="24"/>
          <w:szCs w:val="24"/>
          <w:u w:val="single"/>
        </w:rPr>
        <w:t xml:space="preserve">                 </w:t>
      </w:r>
      <w:r>
        <w:rPr>
          <w:color w:val="auto"/>
          <w:sz w:val="24"/>
          <w:szCs w:val="24"/>
        </w:rPr>
        <w:t xml:space="preserve">  </w:t>
      </w:r>
      <w:r>
        <w:rPr>
          <w:rFonts w:hAnsi="宋体"/>
          <w:color w:val="auto"/>
          <w:sz w:val="24"/>
          <w:szCs w:val="24"/>
        </w:rPr>
        <w:t>职务：</w:t>
      </w:r>
      <w:r>
        <w:rPr>
          <w:color w:val="auto"/>
          <w:sz w:val="24"/>
          <w:szCs w:val="24"/>
          <w:u w:val="single"/>
        </w:rPr>
        <w:t xml:space="preserve">                     </w:t>
      </w:r>
    </w:p>
    <w:p w14:paraId="60FB65C7">
      <w:pPr>
        <w:pStyle w:val="46"/>
        <w:adjustRightInd w:val="0"/>
        <w:snapToGrid w:val="0"/>
        <w:spacing w:line="360" w:lineRule="auto"/>
        <w:ind w:firstLine="1200" w:firstLineChars="500"/>
        <w:rPr>
          <w:color w:val="auto"/>
          <w:sz w:val="24"/>
          <w:szCs w:val="24"/>
        </w:rPr>
      </w:pPr>
      <w:r>
        <w:rPr>
          <w:rFonts w:hAnsi="宋体"/>
          <w:color w:val="auto"/>
          <w:sz w:val="24"/>
          <w:szCs w:val="24"/>
        </w:rPr>
        <w:t>身份证号码：</w:t>
      </w:r>
      <w:r>
        <w:rPr>
          <w:color w:val="auto"/>
          <w:sz w:val="24"/>
          <w:szCs w:val="24"/>
          <w:u w:val="single"/>
        </w:rPr>
        <w:t xml:space="preserve">                     </w:t>
      </w:r>
    </w:p>
    <w:p w14:paraId="1A3CE3AA">
      <w:pPr>
        <w:pStyle w:val="46"/>
        <w:adjustRightInd w:val="0"/>
        <w:snapToGrid w:val="0"/>
        <w:spacing w:line="360" w:lineRule="auto"/>
        <w:ind w:firstLine="1200" w:firstLineChars="500"/>
        <w:rPr>
          <w:color w:val="auto"/>
          <w:sz w:val="24"/>
          <w:szCs w:val="24"/>
        </w:rPr>
      </w:pPr>
      <w:r>
        <w:rPr>
          <w:rFonts w:hAnsi="宋体"/>
          <w:color w:val="auto"/>
          <w:sz w:val="24"/>
          <w:szCs w:val="24"/>
        </w:rPr>
        <w:t>通讯地址：</w:t>
      </w:r>
      <w:r>
        <w:rPr>
          <w:color w:val="auto"/>
          <w:sz w:val="24"/>
          <w:szCs w:val="24"/>
          <w:u w:val="single"/>
        </w:rPr>
        <w:t xml:space="preserve">                       </w:t>
      </w:r>
    </w:p>
    <w:p w14:paraId="5323F698">
      <w:pPr>
        <w:pStyle w:val="46"/>
        <w:adjustRightInd w:val="0"/>
        <w:snapToGrid w:val="0"/>
        <w:spacing w:line="360" w:lineRule="auto"/>
        <w:ind w:firstLine="1200" w:firstLineChars="500"/>
        <w:rPr>
          <w:color w:val="auto"/>
          <w:sz w:val="24"/>
          <w:szCs w:val="24"/>
        </w:rPr>
      </w:pPr>
      <w:r>
        <w:rPr>
          <w:rFonts w:hAnsi="宋体"/>
          <w:color w:val="auto"/>
          <w:sz w:val="24"/>
          <w:szCs w:val="24"/>
        </w:rPr>
        <w:t>电话号码：</w:t>
      </w:r>
      <w:r>
        <w:rPr>
          <w:color w:val="auto"/>
          <w:sz w:val="24"/>
          <w:szCs w:val="24"/>
          <w:u w:val="single"/>
        </w:rPr>
        <w:t xml:space="preserve">                   </w:t>
      </w:r>
      <w:r>
        <w:rPr>
          <w:rFonts w:hAnsi="宋体"/>
          <w:color w:val="auto"/>
          <w:sz w:val="24"/>
          <w:szCs w:val="24"/>
        </w:rPr>
        <w:t>邮政编码：</w:t>
      </w:r>
      <w:r>
        <w:rPr>
          <w:color w:val="auto"/>
          <w:sz w:val="24"/>
          <w:szCs w:val="24"/>
          <w:u w:val="single"/>
        </w:rPr>
        <w:t xml:space="preserve">               </w:t>
      </w:r>
    </w:p>
    <w:p w14:paraId="3856D2ED">
      <w:pPr>
        <w:pStyle w:val="46"/>
        <w:adjustRightInd w:val="0"/>
        <w:snapToGrid w:val="0"/>
        <w:spacing w:line="360" w:lineRule="auto"/>
        <w:rPr>
          <w:color w:val="auto"/>
          <w:sz w:val="24"/>
          <w:szCs w:val="24"/>
        </w:rPr>
      </w:pPr>
      <w:r>
        <w:rPr>
          <w:color w:val="auto"/>
          <w:sz w:val="24"/>
          <w:szCs w:val="24"/>
        </w:rPr>
        <w:t xml:space="preserve"> </w:t>
      </w:r>
    </w:p>
    <w:tbl>
      <w:tblPr>
        <w:tblStyle w:val="26"/>
        <w:tblW w:w="0" w:type="auto"/>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tblGrid>
      <w:tr w14:paraId="1839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804" w:type="dxa"/>
            <w:tcBorders>
              <w:top w:val="single" w:color="auto" w:sz="4" w:space="0"/>
              <w:left w:val="single" w:color="auto" w:sz="4" w:space="0"/>
              <w:bottom w:val="single" w:color="auto" w:sz="4" w:space="0"/>
              <w:right w:val="single" w:color="auto" w:sz="4" w:space="0"/>
            </w:tcBorders>
          </w:tcPr>
          <w:p w14:paraId="3D739C83">
            <w:pPr>
              <w:pStyle w:val="46"/>
              <w:adjustRightInd w:val="0"/>
              <w:snapToGrid w:val="0"/>
              <w:spacing w:line="400" w:lineRule="exact"/>
              <w:jc w:val="center"/>
              <w:rPr>
                <w:color w:val="auto"/>
                <w:sz w:val="24"/>
                <w:szCs w:val="24"/>
              </w:rPr>
            </w:pPr>
          </w:p>
          <w:p w14:paraId="471FC013">
            <w:pPr>
              <w:pStyle w:val="46"/>
              <w:adjustRightInd w:val="0"/>
              <w:snapToGrid w:val="0"/>
              <w:spacing w:line="400" w:lineRule="exact"/>
              <w:jc w:val="center"/>
              <w:rPr>
                <w:color w:val="auto"/>
                <w:sz w:val="24"/>
                <w:szCs w:val="24"/>
              </w:rPr>
            </w:pPr>
          </w:p>
          <w:p w14:paraId="03C52294">
            <w:pPr>
              <w:pStyle w:val="46"/>
              <w:adjustRightInd w:val="0"/>
              <w:snapToGrid w:val="0"/>
              <w:spacing w:line="400" w:lineRule="exact"/>
              <w:jc w:val="center"/>
              <w:rPr>
                <w:color w:val="auto"/>
                <w:sz w:val="24"/>
                <w:szCs w:val="24"/>
              </w:rPr>
            </w:pPr>
            <w:r>
              <w:rPr>
                <w:rFonts w:hAnsi="宋体"/>
                <w:color w:val="auto"/>
                <w:sz w:val="24"/>
                <w:szCs w:val="24"/>
              </w:rPr>
              <w:t>法定代表人《居民身份证》扫描件</w:t>
            </w:r>
          </w:p>
        </w:tc>
      </w:tr>
    </w:tbl>
    <w:p w14:paraId="2F1B8659">
      <w:pPr>
        <w:pStyle w:val="46"/>
        <w:adjustRightInd w:val="0"/>
        <w:snapToGrid w:val="0"/>
        <w:spacing w:line="400" w:lineRule="exact"/>
        <w:rPr>
          <w:color w:val="auto"/>
          <w:sz w:val="24"/>
          <w:szCs w:val="24"/>
        </w:rPr>
      </w:pPr>
    </w:p>
    <w:p w14:paraId="3C634791">
      <w:pPr>
        <w:pStyle w:val="46"/>
        <w:tabs>
          <w:tab w:val="left" w:pos="750"/>
        </w:tabs>
        <w:adjustRightInd w:val="0"/>
        <w:snapToGrid w:val="0"/>
        <w:spacing w:line="400" w:lineRule="exact"/>
        <w:rPr>
          <w:color w:val="auto"/>
          <w:sz w:val="24"/>
          <w:szCs w:val="24"/>
        </w:rPr>
      </w:pPr>
      <w:r>
        <w:rPr>
          <w:color w:val="auto"/>
          <w:sz w:val="24"/>
          <w:szCs w:val="24"/>
        </w:rPr>
        <w:t xml:space="preserve"> </w:t>
      </w:r>
      <w:r>
        <w:rPr>
          <w:color w:val="auto"/>
          <w:sz w:val="24"/>
          <w:szCs w:val="24"/>
        </w:rPr>
        <w:tab/>
      </w:r>
      <w:r>
        <w:rPr>
          <w:rFonts w:hAnsi="宋体"/>
          <w:color w:val="auto"/>
          <w:sz w:val="24"/>
          <w:szCs w:val="24"/>
        </w:rPr>
        <w:t>投标人名称（盖章）：</w:t>
      </w:r>
      <w:r>
        <w:rPr>
          <w:color w:val="auto"/>
          <w:sz w:val="24"/>
          <w:szCs w:val="24"/>
          <w:u w:val="single"/>
        </w:rPr>
        <w:t xml:space="preserve">                        </w:t>
      </w:r>
    </w:p>
    <w:p w14:paraId="580C269E">
      <w:pPr>
        <w:pStyle w:val="40"/>
        <w:spacing w:line="400" w:lineRule="exact"/>
        <w:ind w:firstLine="480" w:firstLineChars="200"/>
        <w:rPr>
          <w:color w:val="auto"/>
          <w:kern w:val="2"/>
        </w:rPr>
      </w:pPr>
      <w:r>
        <w:rPr>
          <w:color w:val="auto"/>
          <w:kern w:val="2"/>
        </w:rPr>
        <w:t xml:space="preserve">  </w:t>
      </w:r>
    </w:p>
    <w:p w14:paraId="666FC123">
      <w:pPr>
        <w:pStyle w:val="46"/>
        <w:tabs>
          <w:tab w:val="left" w:pos="750"/>
        </w:tabs>
        <w:adjustRightInd w:val="0"/>
        <w:snapToGrid w:val="0"/>
        <w:spacing w:line="400" w:lineRule="exact"/>
        <w:ind w:firstLine="720" w:firstLineChars="300"/>
        <w:rPr>
          <w:color w:val="auto"/>
          <w:sz w:val="24"/>
          <w:szCs w:val="24"/>
        </w:rPr>
      </w:pPr>
      <w:r>
        <w:rPr>
          <w:rFonts w:hAnsi="宋体"/>
          <w:color w:val="auto"/>
          <w:sz w:val="24"/>
          <w:szCs w:val="24"/>
        </w:rPr>
        <w:t>法人代表人（签字或盖章）：</w:t>
      </w:r>
      <w:r>
        <w:rPr>
          <w:color w:val="auto"/>
          <w:sz w:val="24"/>
          <w:szCs w:val="24"/>
          <w:u w:val="single"/>
        </w:rPr>
        <w:t xml:space="preserve">                       </w:t>
      </w:r>
    </w:p>
    <w:p w14:paraId="30EC3349">
      <w:pPr>
        <w:pStyle w:val="40"/>
        <w:spacing w:line="400" w:lineRule="exact"/>
        <w:rPr>
          <w:color w:val="auto"/>
          <w:kern w:val="2"/>
        </w:rPr>
      </w:pPr>
    </w:p>
    <w:p w14:paraId="42B2DEBC">
      <w:pPr>
        <w:pStyle w:val="46"/>
        <w:tabs>
          <w:tab w:val="left" w:pos="750"/>
        </w:tabs>
        <w:adjustRightInd w:val="0"/>
        <w:snapToGrid w:val="0"/>
        <w:spacing w:line="400" w:lineRule="exact"/>
        <w:ind w:firstLine="720" w:firstLineChars="300"/>
        <w:rPr>
          <w:color w:val="auto"/>
          <w:sz w:val="24"/>
          <w:szCs w:val="24"/>
        </w:rPr>
      </w:pPr>
      <w:r>
        <w:rPr>
          <w:rFonts w:hAnsi="宋体"/>
          <w:color w:val="auto"/>
          <w:sz w:val="24"/>
          <w:szCs w:val="24"/>
        </w:rPr>
        <w:t>日期：</w:t>
      </w:r>
      <w:r>
        <w:rPr>
          <w:color w:val="auto"/>
          <w:sz w:val="24"/>
          <w:szCs w:val="24"/>
          <w:u w:val="single"/>
        </w:rPr>
        <w:t xml:space="preserve">      </w:t>
      </w:r>
      <w:r>
        <w:rPr>
          <w:rFonts w:hAnsi="宋体"/>
          <w:color w:val="auto"/>
          <w:sz w:val="24"/>
          <w:szCs w:val="24"/>
        </w:rPr>
        <w:t>年</w:t>
      </w:r>
      <w:r>
        <w:rPr>
          <w:color w:val="auto"/>
          <w:sz w:val="24"/>
          <w:szCs w:val="24"/>
          <w:u w:val="single"/>
        </w:rPr>
        <w:t xml:space="preserve">    </w:t>
      </w:r>
      <w:r>
        <w:rPr>
          <w:rFonts w:hAnsi="宋体"/>
          <w:color w:val="auto"/>
          <w:sz w:val="24"/>
          <w:szCs w:val="24"/>
        </w:rPr>
        <w:t>月</w:t>
      </w:r>
      <w:r>
        <w:rPr>
          <w:color w:val="auto"/>
          <w:sz w:val="24"/>
          <w:szCs w:val="24"/>
          <w:u w:val="single"/>
        </w:rPr>
        <w:t xml:space="preserve">    </w:t>
      </w:r>
      <w:r>
        <w:rPr>
          <w:rFonts w:hAnsi="宋体"/>
          <w:color w:val="auto"/>
          <w:sz w:val="24"/>
          <w:szCs w:val="24"/>
        </w:rPr>
        <w:t>日</w:t>
      </w:r>
    </w:p>
    <w:p w14:paraId="06BF7B9E">
      <w:pPr>
        <w:pStyle w:val="46"/>
        <w:tabs>
          <w:tab w:val="left" w:pos="750"/>
        </w:tabs>
        <w:adjustRightInd w:val="0"/>
        <w:snapToGrid w:val="0"/>
        <w:spacing w:line="400" w:lineRule="exact"/>
        <w:ind w:firstLine="720" w:firstLineChars="300"/>
        <w:rPr>
          <w:color w:val="auto"/>
          <w:sz w:val="24"/>
          <w:szCs w:val="24"/>
        </w:rPr>
      </w:pPr>
    </w:p>
    <w:p w14:paraId="741C83D2">
      <w:pPr>
        <w:pStyle w:val="46"/>
        <w:adjustRightInd w:val="0"/>
        <w:snapToGrid w:val="0"/>
        <w:spacing w:line="400" w:lineRule="exact"/>
        <w:rPr>
          <w:color w:val="auto"/>
          <w:sz w:val="24"/>
          <w:szCs w:val="24"/>
        </w:rPr>
      </w:pPr>
    </w:p>
    <w:p w14:paraId="1F96545F">
      <w:pPr>
        <w:pStyle w:val="46"/>
        <w:adjustRightInd w:val="0"/>
        <w:snapToGrid w:val="0"/>
        <w:spacing w:line="400" w:lineRule="exact"/>
        <w:jc w:val="center"/>
        <w:rPr>
          <w:b/>
          <w:bCs/>
          <w:color w:val="auto"/>
          <w:szCs w:val="28"/>
        </w:rPr>
      </w:pPr>
    </w:p>
    <w:p w14:paraId="1EE9B1F3">
      <w:pPr>
        <w:pStyle w:val="46"/>
        <w:adjustRightInd w:val="0"/>
        <w:snapToGrid w:val="0"/>
        <w:spacing w:line="400" w:lineRule="exact"/>
        <w:rPr>
          <w:b/>
          <w:bCs/>
          <w:color w:val="auto"/>
          <w:szCs w:val="28"/>
        </w:rPr>
      </w:pPr>
    </w:p>
    <w:p w14:paraId="7C5A7E28">
      <w:pPr>
        <w:pStyle w:val="46"/>
        <w:adjustRightInd w:val="0"/>
        <w:snapToGrid w:val="0"/>
        <w:spacing w:line="400" w:lineRule="exact"/>
        <w:jc w:val="center"/>
        <w:rPr>
          <w:b/>
          <w:bCs/>
          <w:color w:val="auto"/>
          <w:szCs w:val="28"/>
        </w:rPr>
      </w:pPr>
    </w:p>
    <w:p w14:paraId="3F8D5D98">
      <w:pPr>
        <w:pStyle w:val="46"/>
        <w:adjustRightInd w:val="0"/>
        <w:snapToGrid w:val="0"/>
        <w:spacing w:line="400" w:lineRule="exact"/>
        <w:jc w:val="center"/>
        <w:rPr>
          <w:b/>
          <w:bCs/>
          <w:color w:val="auto"/>
          <w:szCs w:val="28"/>
        </w:rPr>
      </w:pPr>
      <w:r>
        <w:rPr>
          <w:rFonts w:hAnsi="宋体"/>
          <w:b/>
          <w:bCs/>
          <w:color w:val="auto"/>
          <w:szCs w:val="28"/>
        </w:rPr>
        <w:br w:type="page"/>
      </w:r>
      <w:r>
        <w:rPr>
          <w:rFonts w:hAnsi="宋体"/>
          <w:b/>
          <w:bCs/>
          <w:color w:val="auto"/>
          <w:szCs w:val="28"/>
        </w:rPr>
        <w:t>法定代表人授权委托书</w:t>
      </w:r>
    </w:p>
    <w:p w14:paraId="407F6DBE">
      <w:pPr>
        <w:pStyle w:val="46"/>
        <w:adjustRightInd w:val="0"/>
        <w:snapToGrid w:val="0"/>
        <w:spacing w:line="360" w:lineRule="auto"/>
        <w:jc w:val="left"/>
        <w:rPr>
          <w:color w:val="auto"/>
          <w:sz w:val="24"/>
          <w:szCs w:val="24"/>
        </w:rPr>
      </w:pPr>
      <w:r>
        <w:rPr>
          <w:color w:val="auto"/>
          <w:sz w:val="24"/>
          <w:szCs w:val="24"/>
        </w:rPr>
        <w:t xml:space="preserve">   </w:t>
      </w:r>
    </w:p>
    <w:p w14:paraId="5997430B">
      <w:pPr>
        <w:pStyle w:val="46"/>
        <w:adjustRightInd w:val="0"/>
        <w:snapToGrid w:val="0"/>
        <w:spacing w:line="360" w:lineRule="auto"/>
        <w:ind w:firstLine="518" w:firstLineChars="216"/>
        <w:jc w:val="left"/>
        <w:rPr>
          <w:color w:val="auto"/>
          <w:sz w:val="24"/>
          <w:szCs w:val="24"/>
        </w:rPr>
      </w:pPr>
      <w:r>
        <w:rPr>
          <w:rFonts w:hAnsi="宋体"/>
          <w:color w:val="auto"/>
          <w:sz w:val="24"/>
          <w:szCs w:val="24"/>
        </w:rPr>
        <w:t>本授权委托书声明：我系</w:t>
      </w:r>
      <w:r>
        <w:rPr>
          <w:rFonts w:hAnsi="宋体"/>
          <w:color w:val="auto"/>
          <w:sz w:val="24"/>
          <w:szCs w:val="24"/>
          <w:u w:val="single"/>
        </w:rPr>
        <w:t>（供应商名称）</w:t>
      </w:r>
      <w:r>
        <w:rPr>
          <w:color w:val="auto"/>
          <w:sz w:val="24"/>
          <w:szCs w:val="24"/>
          <w:u w:val="single"/>
        </w:rPr>
        <w:t xml:space="preserve">                   </w:t>
      </w:r>
      <w:r>
        <w:rPr>
          <w:rFonts w:hAnsi="宋体"/>
          <w:color w:val="auto"/>
          <w:sz w:val="24"/>
          <w:szCs w:val="24"/>
        </w:rPr>
        <w:t>的法定代表人，现授权委托</w:t>
      </w:r>
      <w:r>
        <w:rPr>
          <w:color w:val="auto"/>
          <w:sz w:val="24"/>
          <w:szCs w:val="24"/>
          <w:u w:val="single"/>
        </w:rPr>
        <w:t xml:space="preserve">         </w:t>
      </w:r>
      <w:r>
        <w:rPr>
          <w:color w:val="auto"/>
          <w:sz w:val="24"/>
          <w:szCs w:val="24"/>
        </w:rPr>
        <w:t xml:space="preserve"> </w:t>
      </w:r>
      <w:r>
        <w:rPr>
          <w:rFonts w:hAnsi="宋体"/>
          <w:color w:val="auto"/>
          <w:sz w:val="24"/>
          <w:szCs w:val="24"/>
        </w:rPr>
        <w:t>的为我的代理人，以</w:t>
      </w:r>
      <w:r>
        <w:rPr>
          <w:color w:val="auto"/>
          <w:sz w:val="24"/>
          <w:szCs w:val="24"/>
          <w:u w:val="single"/>
        </w:rPr>
        <w:t xml:space="preserve"> </w:t>
      </w:r>
      <w:r>
        <w:rPr>
          <w:rFonts w:hAnsi="宋体"/>
          <w:color w:val="auto"/>
          <w:sz w:val="24"/>
          <w:szCs w:val="24"/>
          <w:u w:val="single"/>
        </w:rPr>
        <w:t>（供应商名称）</w:t>
      </w:r>
      <w:r>
        <w:rPr>
          <w:color w:val="auto"/>
          <w:sz w:val="24"/>
          <w:szCs w:val="24"/>
          <w:u w:val="single"/>
        </w:rPr>
        <w:t xml:space="preserve">                    </w:t>
      </w:r>
      <w:r>
        <w:rPr>
          <w:rFonts w:hAnsi="宋体"/>
          <w:color w:val="auto"/>
          <w:sz w:val="24"/>
          <w:szCs w:val="24"/>
        </w:rPr>
        <w:t>的名义参加</w:t>
      </w:r>
      <w:r>
        <w:rPr>
          <w:rFonts w:hAnsi="宋体"/>
          <w:color w:val="auto"/>
          <w:sz w:val="24"/>
          <w:szCs w:val="24"/>
          <w:u w:val="single"/>
        </w:rPr>
        <w:t>（项目名称和项目编号）</w:t>
      </w:r>
      <w:r>
        <w:rPr>
          <w:color w:val="auto"/>
          <w:sz w:val="24"/>
          <w:szCs w:val="24"/>
          <w:u w:val="single"/>
        </w:rPr>
        <w:t xml:space="preserve">               </w:t>
      </w:r>
      <w:r>
        <w:rPr>
          <w:color w:val="auto"/>
          <w:sz w:val="24"/>
          <w:szCs w:val="24"/>
        </w:rPr>
        <w:t xml:space="preserve"> </w:t>
      </w:r>
      <w:r>
        <w:rPr>
          <w:rFonts w:hAnsi="宋体"/>
          <w:color w:val="auto"/>
          <w:sz w:val="24"/>
          <w:szCs w:val="24"/>
        </w:rPr>
        <w:t>招标项目的投标活动。代理人在参加整个招标投标活动所签署的一切文件和处理与之相关的一切事物，我均予承认。</w:t>
      </w:r>
    </w:p>
    <w:p w14:paraId="1FCDF24E">
      <w:pPr>
        <w:pStyle w:val="46"/>
        <w:adjustRightInd w:val="0"/>
        <w:snapToGrid w:val="0"/>
        <w:spacing w:line="360" w:lineRule="auto"/>
        <w:ind w:firstLine="960" w:firstLineChars="400"/>
        <w:rPr>
          <w:color w:val="auto"/>
          <w:sz w:val="24"/>
          <w:szCs w:val="24"/>
        </w:rPr>
      </w:pPr>
      <w:r>
        <w:rPr>
          <w:rFonts w:hAnsi="宋体"/>
          <w:color w:val="auto"/>
          <w:sz w:val="24"/>
          <w:szCs w:val="24"/>
        </w:rPr>
        <w:t>代理人：</w:t>
      </w:r>
      <w:r>
        <w:rPr>
          <w:color w:val="auto"/>
          <w:sz w:val="24"/>
          <w:szCs w:val="24"/>
        </w:rPr>
        <w:t xml:space="preserve">                 </w:t>
      </w:r>
      <w:r>
        <w:rPr>
          <w:rFonts w:hAnsi="宋体"/>
          <w:color w:val="auto"/>
          <w:sz w:val="24"/>
          <w:szCs w:val="24"/>
        </w:rPr>
        <w:t>性别：</w:t>
      </w:r>
      <w:r>
        <w:rPr>
          <w:color w:val="auto"/>
          <w:sz w:val="24"/>
          <w:szCs w:val="24"/>
        </w:rPr>
        <w:t xml:space="preserve">                </w:t>
      </w:r>
      <w:r>
        <w:rPr>
          <w:rFonts w:hAnsi="宋体"/>
          <w:color w:val="auto"/>
          <w:sz w:val="24"/>
          <w:szCs w:val="24"/>
        </w:rPr>
        <w:t>年龄：</w:t>
      </w:r>
    </w:p>
    <w:p w14:paraId="257A00F2">
      <w:pPr>
        <w:pStyle w:val="46"/>
        <w:adjustRightInd w:val="0"/>
        <w:snapToGrid w:val="0"/>
        <w:spacing w:line="360" w:lineRule="auto"/>
        <w:ind w:firstLine="960" w:firstLineChars="400"/>
        <w:rPr>
          <w:color w:val="auto"/>
          <w:sz w:val="24"/>
          <w:szCs w:val="24"/>
        </w:rPr>
      </w:pPr>
      <w:r>
        <w:rPr>
          <w:rFonts w:hAnsi="宋体"/>
          <w:color w:val="auto"/>
          <w:sz w:val="24"/>
          <w:szCs w:val="24"/>
        </w:rPr>
        <w:t>部</w:t>
      </w:r>
      <w:r>
        <w:rPr>
          <w:color w:val="auto"/>
          <w:sz w:val="24"/>
          <w:szCs w:val="24"/>
        </w:rPr>
        <w:t xml:space="preserve">  </w:t>
      </w:r>
      <w:r>
        <w:rPr>
          <w:rFonts w:hAnsi="宋体"/>
          <w:color w:val="auto"/>
          <w:sz w:val="24"/>
          <w:szCs w:val="24"/>
        </w:rPr>
        <w:t>门：</w:t>
      </w:r>
      <w:r>
        <w:rPr>
          <w:color w:val="auto"/>
          <w:sz w:val="24"/>
          <w:szCs w:val="24"/>
        </w:rPr>
        <w:t xml:space="preserve">                 </w:t>
      </w:r>
      <w:r>
        <w:rPr>
          <w:rFonts w:hAnsi="宋体"/>
          <w:color w:val="auto"/>
          <w:sz w:val="24"/>
          <w:szCs w:val="24"/>
        </w:rPr>
        <w:t>职务：</w:t>
      </w:r>
    </w:p>
    <w:p w14:paraId="10A42484">
      <w:pPr>
        <w:pStyle w:val="46"/>
        <w:adjustRightInd w:val="0"/>
        <w:snapToGrid w:val="0"/>
        <w:spacing w:line="400" w:lineRule="exact"/>
        <w:jc w:val="center"/>
        <w:rPr>
          <w:color w:val="auto"/>
          <w:sz w:val="24"/>
          <w:szCs w:val="24"/>
        </w:rPr>
      </w:pPr>
      <w:r>
        <w:rPr>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-92710</wp:posOffset>
                </wp:positionH>
                <wp:positionV relativeFrom="paragraph">
                  <wp:posOffset>122555</wp:posOffset>
                </wp:positionV>
                <wp:extent cx="2971800" cy="1895475"/>
                <wp:effectExtent l="4445" t="4445" r="14605" b="5080"/>
                <wp:wrapNone/>
                <wp:docPr id="9" name="文本框 9"/>
                <wp:cNvGraphicFramePr/>
                <a:graphic xmlns:a="http://schemas.openxmlformats.org/drawingml/2006/main">
                  <a:graphicData uri="http://schemas.microsoft.com/office/word/2010/wordprocessingShape">
                    <wps:wsp>
                      <wps:cNvSpPr txBox="1">
                        <a:spLocks noChangeArrowheads="1"/>
                      </wps:cNvSpPr>
                      <wps:spPr bwMode="auto">
                        <a:xfrm>
                          <a:off x="0" y="0"/>
                          <a:ext cx="2971800" cy="1895475"/>
                        </a:xfrm>
                        <a:prstGeom prst="rect">
                          <a:avLst/>
                        </a:prstGeom>
                        <a:solidFill>
                          <a:srgbClr val="FFFFFF"/>
                        </a:solidFill>
                        <a:ln w="9525">
                          <a:solidFill>
                            <a:srgbClr val="000000"/>
                          </a:solidFill>
                          <a:miter lim="200000"/>
                        </a:ln>
                        <a:effectLst/>
                      </wps:spPr>
                      <wps:txbx>
                        <w:txbxContent>
                          <w:p w14:paraId="20E01452"/>
                          <w:p w14:paraId="333B9C14"/>
                          <w:p w14:paraId="1C0268D2"/>
                          <w:p w14:paraId="490142BD"/>
                          <w:p w14:paraId="21469BCE">
                            <w:pPr>
                              <w:jc w:val="center"/>
                              <w:rPr>
                                <w:rFonts w:ascii="仿宋" w:hAnsi="仿宋" w:eastAsia="仿宋"/>
                                <w:sz w:val="36"/>
                                <w:szCs w:val="36"/>
                              </w:rPr>
                            </w:pPr>
                            <w:r>
                              <w:rPr>
                                <w:rFonts w:hint="eastAsia" w:ascii="仿宋" w:hAnsi="仿宋" w:eastAsia="仿宋"/>
                                <w:sz w:val="36"/>
                                <w:szCs w:val="36"/>
                              </w:rPr>
                              <w:t>代理人身份证复印件</w:t>
                            </w:r>
                          </w:p>
                          <w:p w14:paraId="06D7D48E">
                            <w:pPr>
                              <w:jc w:val="center"/>
                              <w:rPr>
                                <w:rFonts w:ascii="仿宋" w:hAnsi="仿宋" w:eastAsia="仿宋"/>
                                <w:sz w:val="36"/>
                                <w:szCs w:val="36"/>
                              </w:rPr>
                            </w:pPr>
                            <w:r>
                              <w:rPr>
                                <w:rFonts w:hint="eastAsia" w:ascii="仿宋" w:hAnsi="仿宋" w:eastAsia="仿宋"/>
                                <w:sz w:val="36"/>
                                <w:szCs w:val="36"/>
                              </w:rPr>
                              <w:t>（正面）</w:t>
                            </w:r>
                          </w:p>
                          <w:p w14:paraId="6F9726B4"/>
                          <w:p w14:paraId="38FB7C72"/>
                          <w:p w14:paraId="5470A1A8"/>
                          <w:p w14:paraId="76769475"/>
                          <w:p w14:paraId="06EA44CA"/>
                          <w:p w14:paraId="17EFF73B"/>
                          <w:p w14:paraId="58463ED9">
                            <w:pPr>
                              <w:rPr>
                                <w:sz w:val="32"/>
                                <w:szCs w:val="32"/>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7.3pt;margin-top:9.65pt;height:149.25pt;width:234pt;z-index:251661312;mso-width-relative:page;mso-height-relative:page;" fillcolor="#FFFFFF" filled="t" stroked="t" coordsize="21600,21600" o:gfxdata="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ajczHbAAAACgEAAA8AAAAAAAAA&#10;AQAgAAAAIgAAAGRycy9kb3ducmV2LnhtbFBLAQIUABQAAAAIAIdO4kBnPBNYRwIAAJYEAAAOAAAA&#10;AAAAAAEAIAAAACoBAABkcnMvZTJvRG9jLnhtbFBLBQYAAAAABgAGAFkBAADjBQAAAAA=&#10;">
                <v:fill on="t" focussize="0,0"/>
                <v:stroke color="#000000" miterlimit="2" joinstyle="miter"/>
                <v:imagedata o:title=""/>
                <o:lock v:ext="edit" aspectratio="f"/>
                <v:textbox>
                  <w:txbxContent>
                    <w:p w14:paraId="20E01452"/>
                    <w:p w14:paraId="333B9C14"/>
                    <w:p w14:paraId="1C0268D2"/>
                    <w:p w14:paraId="490142BD"/>
                    <w:p w14:paraId="21469BCE">
                      <w:pPr>
                        <w:jc w:val="center"/>
                        <w:rPr>
                          <w:rFonts w:ascii="仿宋" w:hAnsi="仿宋" w:eastAsia="仿宋"/>
                          <w:sz w:val="36"/>
                          <w:szCs w:val="36"/>
                        </w:rPr>
                      </w:pPr>
                      <w:r>
                        <w:rPr>
                          <w:rFonts w:hint="eastAsia" w:ascii="仿宋" w:hAnsi="仿宋" w:eastAsia="仿宋"/>
                          <w:sz w:val="36"/>
                          <w:szCs w:val="36"/>
                        </w:rPr>
                        <w:t>代理人身份证复印件</w:t>
                      </w:r>
                    </w:p>
                    <w:p w14:paraId="06D7D48E">
                      <w:pPr>
                        <w:jc w:val="center"/>
                        <w:rPr>
                          <w:rFonts w:ascii="仿宋" w:hAnsi="仿宋" w:eastAsia="仿宋"/>
                          <w:sz w:val="36"/>
                          <w:szCs w:val="36"/>
                        </w:rPr>
                      </w:pPr>
                      <w:r>
                        <w:rPr>
                          <w:rFonts w:hint="eastAsia" w:ascii="仿宋" w:hAnsi="仿宋" w:eastAsia="仿宋"/>
                          <w:sz w:val="36"/>
                          <w:szCs w:val="36"/>
                        </w:rPr>
                        <w:t>（正面）</w:t>
                      </w:r>
                    </w:p>
                    <w:p w14:paraId="6F9726B4"/>
                    <w:p w14:paraId="38FB7C72"/>
                    <w:p w14:paraId="5470A1A8"/>
                    <w:p w14:paraId="76769475"/>
                    <w:p w14:paraId="06EA44CA"/>
                    <w:p w14:paraId="17EFF73B"/>
                    <w:p w14:paraId="58463ED9">
                      <w:pPr>
                        <w:rPr>
                          <w:sz w:val="32"/>
                          <w:szCs w:val="32"/>
                        </w:rPr>
                      </w:pPr>
                    </w:p>
                  </w:txbxContent>
                </v:textbox>
              </v:shape>
            </w:pict>
          </mc:Fallback>
        </mc:AlternateContent>
      </w:r>
      <w:r>
        <w:rPr>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3107690</wp:posOffset>
                </wp:positionH>
                <wp:positionV relativeFrom="paragraph">
                  <wp:posOffset>122555</wp:posOffset>
                </wp:positionV>
                <wp:extent cx="2971800" cy="1895475"/>
                <wp:effectExtent l="4445" t="4445" r="14605" b="5080"/>
                <wp:wrapNone/>
                <wp:docPr id="10"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2971800" cy="1895475"/>
                        </a:xfrm>
                        <a:prstGeom prst="rect">
                          <a:avLst/>
                        </a:prstGeom>
                        <a:solidFill>
                          <a:srgbClr val="FFFFFF"/>
                        </a:solidFill>
                        <a:ln w="9525">
                          <a:solidFill>
                            <a:srgbClr val="000000"/>
                          </a:solidFill>
                          <a:miter lim="200000"/>
                        </a:ln>
                        <a:effectLst/>
                      </wps:spPr>
                      <wps:txbx>
                        <w:txbxContent>
                          <w:p w14:paraId="4DD30203"/>
                          <w:p w14:paraId="798A188E"/>
                          <w:p w14:paraId="21FF1D75"/>
                          <w:p w14:paraId="1FFBD75B"/>
                          <w:p w14:paraId="47D07A7E">
                            <w:pPr>
                              <w:jc w:val="center"/>
                              <w:rPr>
                                <w:rFonts w:ascii="仿宋" w:hAnsi="仿宋" w:eastAsia="仿宋"/>
                                <w:sz w:val="36"/>
                                <w:szCs w:val="36"/>
                              </w:rPr>
                            </w:pPr>
                            <w:r>
                              <w:rPr>
                                <w:rFonts w:hint="eastAsia" w:ascii="仿宋" w:hAnsi="仿宋" w:eastAsia="仿宋"/>
                                <w:sz w:val="36"/>
                                <w:szCs w:val="36"/>
                              </w:rPr>
                              <w:t>代理人身份证复印件</w:t>
                            </w:r>
                          </w:p>
                          <w:p w14:paraId="50916E23">
                            <w:pPr>
                              <w:jc w:val="center"/>
                              <w:rPr>
                                <w:rFonts w:ascii="仿宋" w:hAnsi="仿宋" w:eastAsia="仿宋"/>
                                <w:sz w:val="36"/>
                                <w:szCs w:val="36"/>
                              </w:rPr>
                            </w:pPr>
                            <w:r>
                              <w:rPr>
                                <w:rFonts w:hint="eastAsia" w:ascii="仿宋" w:hAnsi="仿宋" w:eastAsia="仿宋"/>
                                <w:sz w:val="36"/>
                                <w:szCs w:val="36"/>
                              </w:rPr>
                              <w:t>（背面）</w:t>
                            </w:r>
                          </w:p>
                          <w:p w14:paraId="04018F17"/>
                          <w:p w14:paraId="644F930B"/>
                          <w:p w14:paraId="3364EADD"/>
                          <w:p w14:paraId="26E8C168"/>
                          <w:p w14:paraId="1E938C29"/>
                          <w:p w14:paraId="05C91D39"/>
                          <w:p w14:paraId="72A3115C">
                            <w:pPr>
                              <w:rPr>
                                <w:sz w:val="32"/>
                                <w:szCs w:val="32"/>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44.7pt;margin-top:9.65pt;height:149.25pt;width:234pt;z-index:251662336;mso-width-relative:page;mso-height-relative:page;" fillcolor="#FFFFFF" filled="t" stroked="t" coordsize="21600,21600" o:gfxdata="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nqNdZ2wAAAAoBAAAPAAAAAAAA&#10;AAEAIAAAACIAAABkcnMvZG93bnJldi54bWxQSwECFAAUAAAACACHTuJATM17OUgCAACYBAAADgAA&#10;AAAAAAABACAAAAAqAQAAZHJzL2Uyb0RvYy54bWxQSwUGAAAAAAYABgBZAQAA5AUAAAAA&#10;">
                <v:fill on="t" focussize="0,0"/>
                <v:stroke color="#000000" miterlimit="2" joinstyle="miter"/>
                <v:imagedata o:title=""/>
                <o:lock v:ext="edit" aspectratio="f"/>
                <v:textbox>
                  <w:txbxContent>
                    <w:p w14:paraId="4DD30203"/>
                    <w:p w14:paraId="798A188E"/>
                    <w:p w14:paraId="21FF1D75"/>
                    <w:p w14:paraId="1FFBD75B"/>
                    <w:p w14:paraId="47D07A7E">
                      <w:pPr>
                        <w:jc w:val="center"/>
                        <w:rPr>
                          <w:rFonts w:ascii="仿宋" w:hAnsi="仿宋" w:eastAsia="仿宋"/>
                          <w:sz w:val="36"/>
                          <w:szCs w:val="36"/>
                        </w:rPr>
                      </w:pPr>
                      <w:r>
                        <w:rPr>
                          <w:rFonts w:hint="eastAsia" w:ascii="仿宋" w:hAnsi="仿宋" w:eastAsia="仿宋"/>
                          <w:sz w:val="36"/>
                          <w:szCs w:val="36"/>
                        </w:rPr>
                        <w:t>代理人身份证复印件</w:t>
                      </w:r>
                    </w:p>
                    <w:p w14:paraId="50916E23">
                      <w:pPr>
                        <w:jc w:val="center"/>
                        <w:rPr>
                          <w:rFonts w:ascii="仿宋" w:hAnsi="仿宋" w:eastAsia="仿宋"/>
                          <w:sz w:val="36"/>
                          <w:szCs w:val="36"/>
                        </w:rPr>
                      </w:pPr>
                      <w:r>
                        <w:rPr>
                          <w:rFonts w:hint="eastAsia" w:ascii="仿宋" w:hAnsi="仿宋" w:eastAsia="仿宋"/>
                          <w:sz w:val="36"/>
                          <w:szCs w:val="36"/>
                        </w:rPr>
                        <w:t>（背面）</w:t>
                      </w:r>
                    </w:p>
                    <w:p w14:paraId="04018F17"/>
                    <w:p w14:paraId="644F930B"/>
                    <w:p w14:paraId="3364EADD"/>
                    <w:p w14:paraId="26E8C168"/>
                    <w:p w14:paraId="1E938C29"/>
                    <w:p w14:paraId="05C91D39"/>
                    <w:p w14:paraId="72A3115C">
                      <w:pPr>
                        <w:rPr>
                          <w:sz w:val="32"/>
                          <w:szCs w:val="32"/>
                        </w:rPr>
                      </w:pPr>
                    </w:p>
                  </w:txbxContent>
                </v:textbox>
              </v:shape>
            </w:pict>
          </mc:Fallback>
        </mc:AlternateContent>
      </w:r>
    </w:p>
    <w:p w14:paraId="42708C55">
      <w:pPr>
        <w:pStyle w:val="46"/>
        <w:adjustRightInd w:val="0"/>
        <w:snapToGrid w:val="0"/>
        <w:spacing w:line="400" w:lineRule="exact"/>
        <w:jc w:val="center"/>
        <w:rPr>
          <w:color w:val="auto"/>
          <w:sz w:val="24"/>
          <w:szCs w:val="24"/>
        </w:rPr>
      </w:pPr>
    </w:p>
    <w:p w14:paraId="7428452D">
      <w:pPr>
        <w:pStyle w:val="46"/>
        <w:adjustRightInd w:val="0"/>
        <w:snapToGrid w:val="0"/>
        <w:spacing w:line="400" w:lineRule="exact"/>
        <w:jc w:val="center"/>
        <w:rPr>
          <w:color w:val="auto"/>
          <w:sz w:val="24"/>
          <w:szCs w:val="24"/>
        </w:rPr>
      </w:pPr>
    </w:p>
    <w:p w14:paraId="05FEADE9">
      <w:pPr>
        <w:pStyle w:val="46"/>
        <w:adjustRightInd w:val="0"/>
        <w:snapToGrid w:val="0"/>
        <w:spacing w:line="400" w:lineRule="exact"/>
        <w:jc w:val="center"/>
        <w:rPr>
          <w:color w:val="auto"/>
          <w:sz w:val="24"/>
          <w:szCs w:val="24"/>
        </w:rPr>
      </w:pPr>
    </w:p>
    <w:p w14:paraId="7FC763B5">
      <w:pPr>
        <w:pStyle w:val="46"/>
        <w:adjustRightInd w:val="0"/>
        <w:snapToGrid w:val="0"/>
        <w:spacing w:line="400" w:lineRule="exact"/>
        <w:jc w:val="center"/>
        <w:rPr>
          <w:color w:val="auto"/>
          <w:sz w:val="24"/>
          <w:szCs w:val="24"/>
        </w:rPr>
      </w:pPr>
    </w:p>
    <w:p w14:paraId="58F165F8">
      <w:pPr>
        <w:pStyle w:val="46"/>
        <w:adjustRightInd w:val="0"/>
        <w:snapToGrid w:val="0"/>
        <w:spacing w:line="400" w:lineRule="exact"/>
        <w:jc w:val="center"/>
        <w:rPr>
          <w:color w:val="auto"/>
          <w:sz w:val="24"/>
          <w:szCs w:val="24"/>
        </w:rPr>
      </w:pPr>
    </w:p>
    <w:p w14:paraId="2F38553E">
      <w:pPr>
        <w:pStyle w:val="46"/>
        <w:adjustRightInd w:val="0"/>
        <w:snapToGrid w:val="0"/>
        <w:spacing w:line="400" w:lineRule="exact"/>
        <w:jc w:val="center"/>
        <w:rPr>
          <w:color w:val="auto"/>
          <w:sz w:val="24"/>
          <w:szCs w:val="24"/>
        </w:rPr>
      </w:pPr>
    </w:p>
    <w:p w14:paraId="50AB9F77">
      <w:pPr>
        <w:pStyle w:val="46"/>
        <w:adjustRightInd w:val="0"/>
        <w:snapToGrid w:val="0"/>
        <w:spacing w:line="400" w:lineRule="exact"/>
        <w:jc w:val="center"/>
        <w:rPr>
          <w:color w:val="auto"/>
          <w:sz w:val="24"/>
          <w:szCs w:val="24"/>
        </w:rPr>
      </w:pPr>
    </w:p>
    <w:p w14:paraId="68076D9F">
      <w:pPr>
        <w:pStyle w:val="46"/>
        <w:tabs>
          <w:tab w:val="left" w:pos="750"/>
        </w:tabs>
        <w:adjustRightInd w:val="0"/>
        <w:snapToGrid w:val="0"/>
        <w:rPr>
          <w:color w:val="auto"/>
          <w:sz w:val="24"/>
          <w:szCs w:val="24"/>
        </w:rPr>
      </w:pPr>
      <w:r>
        <w:rPr>
          <w:color w:val="auto"/>
          <w:sz w:val="24"/>
          <w:szCs w:val="24"/>
        </w:rPr>
        <w:t xml:space="preserve"> </w:t>
      </w:r>
      <w:r>
        <w:rPr>
          <w:color w:val="auto"/>
          <w:sz w:val="24"/>
          <w:szCs w:val="24"/>
        </w:rPr>
        <w:tab/>
      </w:r>
      <w:r>
        <w:rPr>
          <w:rFonts w:hAnsi="宋体"/>
          <w:color w:val="auto"/>
          <w:sz w:val="24"/>
          <w:szCs w:val="24"/>
        </w:rPr>
        <w:t>投标人名称（盖章）：</w:t>
      </w:r>
      <w:r>
        <w:rPr>
          <w:color w:val="auto"/>
          <w:sz w:val="24"/>
          <w:szCs w:val="24"/>
          <w:u w:val="single"/>
        </w:rPr>
        <w:t xml:space="preserve">                        </w:t>
      </w:r>
    </w:p>
    <w:p w14:paraId="185FE48A">
      <w:pPr>
        <w:pStyle w:val="40"/>
        <w:ind w:firstLine="480" w:firstLineChars="200"/>
        <w:rPr>
          <w:color w:val="auto"/>
          <w:kern w:val="2"/>
        </w:rPr>
      </w:pPr>
      <w:r>
        <w:rPr>
          <w:color w:val="auto"/>
          <w:kern w:val="2"/>
        </w:rPr>
        <w:t xml:space="preserve">  </w:t>
      </w:r>
    </w:p>
    <w:p w14:paraId="03355B91">
      <w:pPr>
        <w:pStyle w:val="46"/>
        <w:tabs>
          <w:tab w:val="left" w:pos="750"/>
        </w:tabs>
        <w:adjustRightInd w:val="0"/>
        <w:snapToGrid w:val="0"/>
        <w:ind w:firstLine="720" w:firstLineChars="300"/>
        <w:rPr>
          <w:color w:val="auto"/>
          <w:sz w:val="24"/>
          <w:szCs w:val="24"/>
          <w:u w:val="single"/>
        </w:rPr>
      </w:pPr>
      <w:r>
        <w:rPr>
          <w:rFonts w:hAnsi="宋体"/>
          <w:color w:val="auto"/>
          <w:sz w:val="24"/>
          <w:szCs w:val="24"/>
        </w:rPr>
        <w:t>法人代表人（</w:t>
      </w:r>
      <w:r>
        <w:rPr>
          <w:rFonts w:hint="eastAsia" w:hAnsi="宋体"/>
          <w:color w:val="auto"/>
          <w:sz w:val="24"/>
          <w:szCs w:val="24"/>
        </w:rPr>
        <w:t>签字或</w:t>
      </w:r>
      <w:r>
        <w:rPr>
          <w:rFonts w:hAnsi="宋体"/>
          <w:color w:val="auto"/>
          <w:sz w:val="24"/>
          <w:szCs w:val="24"/>
        </w:rPr>
        <w:t>盖章）：</w:t>
      </w:r>
      <w:r>
        <w:rPr>
          <w:color w:val="auto"/>
          <w:sz w:val="24"/>
          <w:szCs w:val="24"/>
          <w:u w:val="single"/>
        </w:rPr>
        <w:t xml:space="preserve">                        </w:t>
      </w:r>
    </w:p>
    <w:p w14:paraId="552EED3A">
      <w:pPr>
        <w:pStyle w:val="46"/>
        <w:tabs>
          <w:tab w:val="left" w:pos="750"/>
        </w:tabs>
        <w:adjustRightInd w:val="0"/>
        <w:snapToGrid w:val="0"/>
        <w:ind w:firstLine="720" w:firstLineChars="300"/>
        <w:rPr>
          <w:color w:val="auto"/>
          <w:sz w:val="24"/>
          <w:szCs w:val="24"/>
          <w:u w:val="single"/>
        </w:rPr>
      </w:pPr>
    </w:p>
    <w:p w14:paraId="0A9192CF">
      <w:pPr>
        <w:pStyle w:val="46"/>
        <w:tabs>
          <w:tab w:val="left" w:pos="750"/>
        </w:tabs>
        <w:adjustRightInd w:val="0"/>
        <w:snapToGrid w:val="0"/>
        <w:ind w:firstLine="720" w:firstLineChars="300"/>
        <w:rPr>
          <w:color w:val="auto"/>
          <w:sz w:val="24"/>
          <w:szCs w:val="24"/>
          <w:u w:val="single"/>
        </w:rPr>
      </w:pPr>
      <w:r>
        <w:rPr>
          <w:rFonts w:hAnsi="宋体"/>
          <w:color w:val="auto"/>
          <w:sz w:val="24"/>
          <w:szCs w:val="24"/>
        </w:rPr>
        <w:t>身份证号码：</w:t>
      </w:r>
      <w:r>
        <w:rPr>
          <w:color w:val="auto"/>
          <w:sz w:val="24"/>
          <w:szCs w:val="24"/>
          <w:u w:val="single"/>
        </w:rPr>
        <w:t xml:space="preserve">                               </w:t>
      </w:r>
    </w:p>
    <w:p w14:paraId="3C48D2C5">
      <w:pPr>
        <w:pStyle w:val="46"/>
        <w:tabs>
          <w:tab w:val="left" w:pos="750"/>
        </w:tabs>
        <w:adjustRightInd w:val="0"/>
        <w:snapToGrid w:val="0"/>
        <w:rPr>
          <w:color w:val="auto"/>
          <w:sz w:val="24"/>
          <w:szCs w:val="24"/>
        </w:rPr>
      </w:pPr>
    </w:p>
    <w:p w14:paraId="385D5B22">
      <w:pPr>
        <w:pStyle w:val="46"/>
        <w:tabs>
          <w:tab w:val="left" w:pos="750"/>
        </w:tabs>
        <w:adjustRightInd w:val="0"/>
        <w:snapToGrid w:val="0"/>
        <w:ind w:firstLine="720" w:firstLineChars="300"/>
        <w:rPr>
          <w:color w:val="auto"/>
          <w:sz w:val="24"/>
          <w:szCs w:val="24"/>
          <w:u w:val="single"/>
        </w:rPr>
      </w:pPr>
      <w:r>
        <w:rPr>
          <w:rFonts w:hAnsi="宋体"/>
          <w:color w:val="auto"/>
          <w:sz w:val="24"/>
          <w:szCs w:val="24"/>
        </w:rPr>
        <w:t>委托代理人（</w:t>
      </w:r>
      <w:r>
        <w:rPr>
          <w:rFonts w:hint="eastAsia" w:hAnsi="宋体"/>
          <w:color w:val="auto"/>
          <w:sz w:val="24"/>
          <w:szCs w:val="24"/>
        </w:rPr>
        <w:t>签字或</w:t>
      </w:r>
      <w:r>
        <w:rPr>
          <w:rFonts w:hAnsi="宋体"/>
          <w:color w:val="auto"/>
          <w:sz w:val="24"/>
          <w:szCs w:val="24"/>
        </w:rPr>
        <w:t>盖章）：</w:t>
      </w:r>
      <w:r>
        <w:rPr>
          <w:color w:val="auto"/>
          <w:sz w:val="24"/>
          <w:szCs w:val="24"/>
          <w:u w:val="single"/>
        </w:rPr>
        <w:t xml:space="preserve">                        </w:t>
      </w:r>
    </w:p>
    <w:p w14:paraId="3A6E8060">
      <w:pPr>
        <w:pStyle w:val="46"/>
        <w:tabs>
          <w:tab w:val="left" w:pos="750"/>
        </w:tabs>
        <w:adjustRightInd w:val="0"/>
        <w:snapToGrid w:val="0"/>
        <w:ind w:firstLine="720" w:firstLineChars="300"/>
        <w:rPr>
          <w:color w:val="auto"/>
          <w:sz w:val="24"/>
          <w:szCs w:val="24"/>
          <w:u w:val="single"/>
        </w:rPr>
      </w:pPr>
    </w:p>
    <w:p w14:paraId="32788F06">
      <w:pPr>
        <w:pStyle w:val="46"/>
        <w:tabs>
          <w:tab w:val="left" w:pos="750"/>
        </w:tabs>
        <w:adjustRightInd w:val="0"/>
        <w:snapToGrid w:val="0"/>
        <w:ind w:firstLine="720" w:firstLineChars="300"/>
        <w:rPr>
          <w:color w:val="auto"/>
          <w:sz w:val="24"/>
          <w:szCs w:val="24"/>
          <w:u w:val="single"/>
        </w:rPr>
      </w:pPr>
      <w:r>
        <w:rPr>
          <w:rFonts w:hAnsi="宋体"/>
          <w:color w:val="auto"/>
          <w:sz w:val="24"/>
          <w:szCs w:val="24"/>
        </w:rPr>
        <w:t>身份证号码：</w:t>
      </w:r>
      <w:r>
        <w:rPr>
          <w:color w:val="auto"/>
          <w:sz w:val="24"/>
          <w:szCs w:val="24"/>
          <w:u w:val="single"/>
        </w:rPr>
        <w:t xml:space="preserve">                                     </w:t>
      </w:r>
    </w:p>
    <w:p w14:paraId="299EA913">
      <w:pPr>
        <w:pStyle w:val="40"/>
        <w:ind w:firstLine="480" w:firstLineChars="200"/>
        <w:rPr>
          <w:color w:val="auto"/>
          <w:kern w:val="2"/>
        </w:rPr>
      </w:pPr>
    </w:p>
    <w:p w14:paraId="2191A157">
      <w:pPr>
        <w:pStyle w:val="40"/>
        <w:ind w:firstLine="1440" w:firstLineChars="600"/>
        <w:rPr>
          <w:color w:val="auto"/>
          <w:kern w:val="2"/>
        </w:rPr>
      </w:pPr>
    </w:p>
    <w:p w14:paraId="50741E43">
      <w:pPr>
        <w:pStyle w:val="46"/>
        <w:tabs>
          <w:tab w:val="left" w:pos="750"/>
        </w:tabs>
        <w:adjustRightInd w:val="0"/>
        <w:snapToGrid w:val="0"/>
        <w:ind w:firstLine="720" w:firstLineChars="300"/>
        <w:rPr>
          <w:color w:val="auto"/>
          <w:sz w:val="24"/>
          <w:szCs w:val="24"/>
        </w:rPr>
      </w:pPr>
      <w:r>
        <w:rPr>
          <w:rFonts w:hAnsi="宋体"/>
          <w:color w:val="auto"/>
          <w:sz w:val="24"/>
          <w:szCs w:val="24"/>
        </w:rPr>
        <w:t>日期：</w:t>
      </w:r>
      <w:r>
        <w:rPr>
          <w:color w:val="auto"/>
          <w:sz w:val="24"/>
          <w:szCs w:val="24"/>
          <w:u w:val="single"/>
        </w:rPr>
        <w:t xml:space="preserve">           </w:t>
      </w:r>
      <w:r>
        <w:rPr>
          <w:rFonts w:hAnsi="宋体"/>
          <w:color w:val="auto"/>
          <w:sz w:val="24"/>
          <w:szCs w:val="24"/>
        </w:rPr>
        <w:t>年</w:t>
      </w:r>
      <w:r>
        <w:rPr>
          <w:color w:val="auto"/>
          <w:sz w:val="24"/>
          <w:szCs w:val="24"/>
          <w:u w:val="single"/>
        </w:rPr>
        <w:t xml:space="preserve">           </w:t>
      </w:r>
      <w:r>
        <w:rPr>
          <w:rFonts w:hAnsi="宋体"/>
          <w:color w:val="auto"/>
          <w:sz w:val="24"/>
          <w:szCs w:val="24"/>
        </w:rPr>
        <w:t>月</w:t>
      </w:r>
      <w:r>
        <w:rPr>
          <w:color w:val="auto"/>
          <w:sz w:val="24"/>
          <w:szCs w:val="24"/>
          <w:u w:val="single"/>
        </w:rPr>
        <w:t xml:space="preserve">           </w:t>
      </w:r>
      <w:r>
        <w:rPr>
          <w:rFonts w:hAnsi="宋体"/>
          <w:color w:val="auto"/>
          <w:sz w:val="24"/>
          <w:szCs w:val="24"/>
        </w:rPr>
        <w:t>日</w:t>
      </w:r>
    </w:p>
    <w:p w14:paraId="40D1A1AE">
      <w:pPr>
        <w:pStyle w:val="46"/>
        <w:tabs>
          <w:tab w:val="left" w:pos="750"/>
        </w:tabs>
        <w:adjustRightInd w:val="0"/>
        <w:snapToGrid w:val="0"/>
        <w:spacing w:line="400" w:lineRule="exact"/>
        <w:ind w:firstLine="720" w:firstLineChars="300"/>
        <w:rPr>
          <w:color w:val="auto"/>
          <w:sz w:val="24"/>
          <w:szCs w:val="24"/>
        </w:rPr>
      </w:pPr>
    </w:p>
    <w:p w14:paraId="0195C4E2">
      <w:pPr>
        <w:pStyle w:val="46"/>
        <w:adjustRightInd w:val="0"/>
        <w:snapToGrid w:val="0"/>
        <w:spacing w:line="400" w:lineRule="exact"/>
        <w:ind w:firstLine="720" w:firstLineChars="300"/>
        <w:jc w:val="left"/>
        <w:rPr>
          <w:b/>
          <w:color w:val="auto"/>
          <w:szCs w:val="24"/>
        </w:rPr>
      </w:pPr>
      <w:r>
        <w:rPr>
          <w:rFonts w:hAnsi="宋体"/>
          <w:color w:val="auto"/>
          <w:sz w:val="24"/>
          <w:szCs w:val="24"/>
        </w:rPr>
        <w:t>注：法人代表本人参加</w:t>
      </w:r>
      <w:r>
        <w:rPr>
          <w:rFonts w:hint="eastAsia" w:hAnsi="宋体"/>
          <w:color w:val="auto"/>
          <w:sz w:val="24"/>
          <w:szCs w:val="24"/>
        </w:rPr>
        <w:t>现场</w:t>
      </w:r>
      <w:r>
        <w:rPr>
          <w:rFonts w:hAnsi="宋体"/>
          <w:color w:val="auto"/>
          <w:sz w:val="24"/>
          <w:szCs w:val="24"/>
        </w:rPr>
        <w:t>投标的，投标人可以不提供此项证明文件。</w:t>
      </w:r>
    </w:p>
    <w:p w14:paraId="3DF5F1DF">
      <w:pPr>
        <w:pStyle w:val="9"/>
        <w:spacing w:line="400" w:lineRule="exact"/>
        <w:ind w:firstLine="0"/>
        <w:rPr>
          <w:b/>
          <w:color w:val="auto"/>
          <w:sz w:val="28"/>
          <w:szCs w:val="24"/>
        </w:rPr>
      </w:pPr>
    </w:p>
    <w:p w14:paraId="3B6D88DA">
      <w:pPr>
        <w:pStyle w:val="14"/>
        <w:spacing w:before="3"/>
        <w:ind w:left="0"/>
        <w:rPr>
          <w:b/>
          <w:color w:val="auto"/>
          <w:sz w:val="28"/>
        </w:rPr>
      </w:pPr>
    </w:p>
    <w:p w14:paraId="63E1E9E5">
      <w:pPr>
        <w:pStyle w:val="14"/>
        <w:spacing w:before="3"/>
        <w:ind w:left="0"/>
        <w:rPr>
          <w:b/>
          <w:color w:val="auto"/>
          <w:sz w:val="28"/>
        </w:rPr>
      </w:pPr>
    </w:p>
    <w:p w14:paraId="6852D135">
      <w:pPr>
        <w:pStyle w:val="14"/>
        <w:spacing w:before="3"/>
        <w:ind w:left="0"/>
        <w:rPr>
          <w:b/>
          <w:color w:val="auto"/>
          <w:sz w:val="28"/>
        </w:rPr>
      </w:pPr>
    </w:p>
    <w:p w14:paraId="491C344A">
      <w:pPr>
        <w:rPr>
          <w:rFonts w:ascii="Times New Roman" w:hAnsi="Times New Roman" w:cs="Times New Roman"/>
          <w:color w:val="auto"/>
          <w:sz w:val="28"/>
        </w:rPr>
        <w:sectPr>
          <w:pgSz w:w="11910" w:h="16840"/>
          <w:pgMar w:top="1134" w:right="1134" w:bottom="1134" w:left="1800" w:header="878" w:footer="993" w:gutter="0"/>
          <w:cols w:space="720" w:num="1"/>
        </w:sectPr>
      </w:pPr>
    </w:p>
    <w:p w14:paraId="18AD3014">
      <w:pPr>
        <w:ind w:firstLine="3313" w:firstLineChars="1100"/>
        <w:jc w:val="both"/>
        <w:rPr>
          <w:rFonts w:ascii="Times New Roman" w:hAnsi="Times New Roman" w:cs="Times New Roman"/>
          <w:b/>
          <w:color w:val="auto"/>
          <w:sz w:val="30"/>
        </w:rPr>
      </w:pPr>
    </w:p>
    <w:p w14:paraId="265C9FD1">
      <w:pPr>
        <w:ind w:firstLine="4216" w:firstLineChars="1400"/>
        <w:jc w:val="both"/>
        <w:rPr>
          <w:rFonts w:ascii="Times New Roman" w:hAnsi="Times New Roman" w:cs="Times New Roman"/>
          <w:b/>
          <w:color w:val="auto"/>
          <w:sz w:val="30"/>
        </w:rPr>
      </w:pPr>
      <w:r>
        <w:rPr>
          <w:rFonts w:ascii="Times New Roman" w:cs="Times New Roman"/>
          <w:b/>
          <w:color w:val="auto"/>
          <w:sz w:val="30"/>
        </w:rPr>
        <w:t>开标一览表</w:t>
      </w:r>
    </w:p>
    <w:p w14:paraId="2937CD74">
      <w:pPr>
        <w:pStyle w:val="14"/>
        <w:spacing w:before="5"/>
        <w:ind w:left="0"/>
        <w:rPr>
          <w:b/>
          <w:color w:val="auto"/>
          <w:sz w:val="10"/>
        </w:rPr>
      </w:pPr>
    </w:p>
    <w:p w14:paraId="2FC0C1A7">
      <w:pPr>
        <w:spacing w:before="90" w:line="364" w:lineRule="auto"/>
        <w:rPr>
          <w:rFonts w:ascii="Times New Roman" w:hAnsi="Times New Roman" w:cs="Times New Roman"/>
          <w:b/>
          <w:color w:val="auto"/>
          <w:sz w:val="24"/>
        </w:rPr>
      </w:pPr>
      <w:r>
        <w:rPr>
          <w:rFonts w:ascii="Times New Roman" w:cs="Times New Roman"/>
          <w:b/>
          <w:color w:val="auto"/>
          <w:sz w:val="24"/>
        </w:rPr>
        <w:t>项目编号：</w:t>
      </w:r>
    </w:p>
    <w:p w14:paraId="59B7CF1D">
      <w:pPr>
        <w:spacing w:before="90" w:line="364" w:lineRule="auto"/>
        <w:rPr>
          <w:rFonts w:ascii="Times New Roman" w:hAnsi="Times New Roman" w:cs="Times New Roman"/>
          <w:b/>
          <w:color w:val="auto"/>
        </w:rPr>
      </w:pPr>
      <w:r>
        <w:rPr>
          <w:rFonts w:ascii="Times New Roman" w:cs="Times New Roman"/>
          <w:b/>
          <w:color w:val="auto"/>
          <w:sz w:val="24"/>
        </w:rPr>
        <w:t>项目名称：</w:t>
      </w:r>
      <w:r>
        <w:rPr>
          <w:rFonts w:ascii="Times New Roman" w:hAnsi="Times New Roman" w:cs="Times New Roman"/>
          <w:b/>
          <w:color w:val="auto"/>
          <w:sz w:val="24"/>
          <w:lang w:val="en-US"/>
        </w:rPr>
        <w:t xml:space="preserve">                                                   </w:t>
      </w:r>
    </w:p>
    <w:tbl>
      <w:tblPr>
        <w:tblStyle w:val="26"/>
        <w:tblW w:w="0" w:type="auto"/>
        <w:tblInd w:w="5" w:type="dxa"/>
        <w:tblLayout w:type="fixed"/>
        <w:tblCellMar>
          <w:top w:w="0" w:type="dxa"/>
          <w:left w:w="0" w:type="dxa"/>
          <w:bottom w:w="0" w:type="dxa"/>
          <w:right w:w="0" w:type="dxa"/>
        </w:tblCellMar>
      </w:tblPr>
      <w:tblGrid>
        <w:gridCol w:w="1859"/>
        <w:gridCol w:w="3065"/>
        <w:gridCol w:w="1892"/>
        <w:gridCol w:w="1331"/>
        <w:gridCol w:w="1480"/>
      </w:tblGrid>
      <w:tr w14:paraId="69B35557">
        <w:tblPrEx>
          <w:tblCellMar>
            <w:top w:w="0" w:type="dxa"/>
            <w:left w:w="0" w:type="dxa"/>
            <w:bottom w:w="0" w:type="dxa"/>
            <w:right w:w="0" w:type="dxa"/>
          </w:tblCellMar>
        </w:tblPrEx>
        <w:trPr>
          <w:trHeight w:val="662" w:hRule="atLeast"/>
        </w:trPr>
        <w:tc>
          <w:tcPr>
            <w:tcW w:w="1859" w:type="dxa"/>
            <w:tcBorders>
              <w:top w:val="single" w:color="auto" w:sz="4" w:space="0"/>
              <w:left w:val="single" w:color="auto" w:sz="4" w:space="0"/>
              <w:bottom w:val="single" w:color="auto" w:sz="8" w:space="0"/>
              <w:right w:val="single" w:color="auto" w:sz="4" w:space="0"/>
            </w:tcBorders>
            <w:vAlign w:val="center"/>
          </w:tcPr>
          <w:p w14:paraId="7B45F7A2">
            <w:pPr>
              <w:tabs>
                <w:tab w:val="left" w:pos="5580"/>
              </w:tabs>
              <w:spacing w:line="360" w:lineRule="auto"/>
              <w:ind w:right="-199"/>
              <w:jc w:val="center"/>
              <w:rPr>
                <w:rFonts w:hint="eastAsia" w:ascii="仿宋_GB2312" w:eastAsia="仿宋_GB2312"/>
                <w:color w:val="auto"/>
                <w:sz w:val="24"/>
              </w:rPr>
            </w:pPr>
            <w:r>
              <w:rPr>
                <w:rFonts w:hint="eastAsia" w:ascii="仿宋_GB2312" w:eastAsia="仿宋_GB2312"/>
                <w:color w:val="auto"/>
                <w:sz w:val="24"/>
                <w:lang w:val="en-US"/>
              </w:rPr>
              <w:t>项目</w:t>
            </w:r>
            <w:r>
              <w:rPr>
                <w:rFonts w:hint="eastAsia" w:ascii="仿宋_GB2312" w:eastAsia="仿宋_GB2312"/>
                <w:color w:val="auto"/>
                <w:sz w:val="24"/>
              </w:rPr>
              <w:t>名称</w:t>
            </w:r>
          </w:p>
        </w:tc>
        <w:tc>
          <w:tcPr>
            <w:tcW w:w="3065" w:type="dxa"/>
            <w:tcBorders>
              <w:top w:val="single" w:color="auto" w:sz="4" w:space="0"/>
              <w:left w:val="single" w:color="auto" w:sz="8" w:space="0"/>
              <w:bottom w:val="single" w:color="auto" w:sz="8" w:space="0"/>
              <w:right w:val="single" w:color="auto" w:sz="4" w:space="0"/>
            </w:tcBorders>
            <w:vAlign w:val="center"/>
          </w:tcPr>
          <w:p w14:paraId="7A911384">
            <w:pPr>
              <w:tabs>
                <w:tab w:val="left" w:pos="5580"/>
              </w:tabs>
              <w:spacing w:line="360" w:lineRule="auto"/>
              <w:jc w:val="center"/>
              <w:rPr>
                <w:rFonts w:ascii="仿宋_GB2312" w:eastAsia="仿宋_GB2312"/>
                <w:color w:val="auto"/>
                <w:sz w:val="24"/>
              </w:rPr>
            </w:pPr>
            <w:r>
              <w:rPr>
                <w:rFonts w:hint="eastAsia" w:ascii="仿宋_GB2312" w:eastAsia="仿宋_GB2312"/>
                <w:color w:val="auto"/>
                <w:sz w:val="24"/>
              </w:rPr>
              <w:t>投标总价</w:t>
            </w:r>
          </w:p>
        </w:tc>
        <w:tc>
          <w:tcPr>
            <w:tcW w:w="1892" w:type="dxa"/>
            <w:tcBorders>
              <w:top w:val="single" w:color="auto" w:sz="8" w:space="0"/>
              <w:left w:val="nil"/>
              <w:bottom w:val="single" w:color="auto" w:sz="8" w:space="0"/>
              <w:right w:val="single" w:color="auto" w:sz="4" w:space="0"/>
            </w:tcBorders>
            <w:vAlign w:val="center"/>
          </w:tcPr>
          <w:p w14:paraId="2F885A77">
            <w:pPr>
              <w:tabs>
                <w:tab w:val="left" w:pos="5580"/>
              </w:tabs>
              <w:spacing w:line="360" w:lineRule="auto"/>
              <w:jc w:val="center"/>
              <w:rPr>
                <w:rFonts w:ascii="仿宋_GB2312" w:eastAsia="仿宋_GB2312"/>
                <w:color w:val="auto"/>
                <w:sz w:val="24"/>
              </w:rPr>
            </w:pPr>
            <w:r>
              <w:rPr>
                <w:rFonts w:hint="eastAsia" w:ascii="仿宋_GB2312" w:eastAsia="仿宋_GB2312"/>
                <w:color w:val="auto"/>
                <w:sz w:val="24"/>
              </w:rPr>
              <w:t>交货期</w:t>
            </w:r>
          </w:p>
        </w:tc>
        <w:tc>
          <w:tcPr>
            <w:tcW w:w="1331" w:type="dxa"/>
            <w:tcBorders>
              <w:top w:val="single" w:color="auto" w:sz="8" w:space="0"/>
              <w:left w:val="nil"/>
              <w:bottom w:val="single" w:color="auto" w:sz="8" w:space="0"/>
              <w:right w:val="single" w:color="auto" w:sz="4" w:space="0"/>
            </w:tcBorders>
            <w:vAlign w:val="center"/>
          </w:tcPr>
          <w:p w14:paraId="23372E58">
            <w:pPr>
              <w:tabs>
                <w:tab w:val="left" w:pos="5580"/>
              </w:tabs>
              <w:spacing w:line="360" w:lineRule="auto"/>
              <w:jc w:val="center"/>
              <w:rPr>
                <w:rFonts w:ascii="仿宋_GB2312" w:eastAsia="仿宋_GB2312"/>
                <w:color w:val="auto"/>
                <w:sz w:val="24"/>
              </w:rPr>
            </w:pPr>
            <w:r>
              <w:rPr>
                <w:rFonts w:hint="eastAsia" w:ascii="仿宋_GB2312" w:eastAsia="仿宋_GB2312"/>
                <w:color w:val="auto"/>
                <w:sz w:val="24"/>
              </w:rPr>
              <w:t>交货地点</w:t>
            </w:r>
          </w:p>
        </w:tc>
        <w:tc>
          <w:tcPr>
            <w:tcW w:w="1480" w:type="dxa"/>
            <w:tcBorders>
              <w:top w:val="single" w:color="auto" w:sz="8" w:space="0"/>
              <w:left w:val="single" w:color="auto" w:sz="4" w:space="0"/>
              <w:bottom w:val="single" w:color="auto" w:sz="8" w:space="0"/>
              <w:right w:val="single" w:color="auto" w:sz="8" w:space="0"/>
            </w:tcBorders>
            <w:vAlign w:val="center"/>
          </w:tcPr>
          <w:p w14:paraId="61B349D1">
            <w:pPr>
              <w:tabs>
                <w:tab w:val="left" w:pos="5580"/>
              </w:tabs>
              <w:spacing w:line="360" w:lineRule="auto"/>
              <w:jc w:val="center"/>
              <w:rPr>
                <w:rFonts w:hint="eastAsia" w:ascii="仿宋_GB2312" w:eastAsia="仿宋_GB2312"/>
                <w:color w:val="auto"/>
                <w:sz w:val="24"/>
              </w:rPr>
            </w:pPr>
            <w:r>
              <w:rPr>
                <w:rFonts w:hint="eastAsia" w:ascii="仿宋_GB2312" w:eastAsia="仿宋_GB2312"/>
                <w:color w:val="auto"/>
                <w:sz w:val="24"/>
              </w:rPr>
              <w:t>备注</w:t>
            </w:r>
          </w:p>
        </w:tc>
      </w:tr>
      <w:tr w14:paraId="1677C5A6">
        <w:tblPrEx>
          <w:tblCellMar>
            <w:top w:w="0" w:type="dxa"/>
            <w:left w:w="0" w:type="dxa"/>
            <w:bottom w:w="0" w:type="dxa"/>
            <w:right w:w="0" w:type="dxa"/>
          </w:tblCellMar>
        </w:tblPrEx>
        <w:trPr>
          <w:cantSplit/>
          <w:trHeight w:val="1640" w:hRule="atLeast"/>
        </w:trPr>
        <w:tc>
          <w:tcPr>
            <w:tcW w:w="1859" w:type="dxa"/>
            <w:tcBorders>
              <w:top w:val="single" w:color="auto" w:sz="8" w:space="0"/>
              <w:left w:val="single" w:color="auto" w:sz="4" w:space="0"/>
              <w:bottom w:val="single" w:color="auto" w:sz="4" w:space="0"/>
              <w:right w:val="single" w:color="auto" w:sz="4" w:space="0"/>
            </w:tcBorders>
            <w:vAlign w:val="center"/>
          </w:tcPr>
          <w:p w14:paraId="6BBEC068">
            <w:pPr>
              <w:tabs>
                <w:tab w:val="left" w:pos="5580"/>
              </w:tabs>
              <w:spacing w:line="360" w:lineRule="auto"/>
              <w:ind w:left="1105" w:leftChars="257" w:hanging="540"/>
              <w:jc w:val="center"/>
              <w:rPr>
                <w:rFonts w:hint="eastAsia" w:ascii="仿宋_GB2312" w:eastAsia="仿宋_GB2312"/>
                <w:color w:val="auto"/>
                <w:sz w:val="24"/>
              </w:rPr>
            </w:pPr>
          </w:p>
        </w:tc>
        <w:tc>
          <w:tcPr>
            <w:tcW w:w="3065" w:type="dxa"/>
            <w:tcBorders>
              <w:top w:val="single" w:color="auto" w:sz="8" w:space="0"/>
              <w:left w:val="single" w:color="auto" w:sz="8" w:space="0"/>
              <w:bottom w:val="single" w:color="auto" w:sz="4" w:space="0"/>
              <w:right w:val="single" w:color="auto" w:sz="4" w:space="0"/>
            </w:tcBorders>
            <w:vAlign w:val="center"/>
          </w:tcPr>
          <w:p w14:paraId="7857C724">
            <w:pPr>
              <w:tabs>
                <w:tab w:val="left" w:pos="5580"/>
              </w:tabs>
              <w:spacing w:line="360" w:lineRule="auto"/>
              <w:rPr>
                <w:rFonts w:hint="eastAsia" w:ascii="仿宋_GB2312" w:eastAsia="仿宋_GB2312"/>
                <w:color w:val="auto"/>
                <w:sz w:val="24"/>
              </w:rPr>
            </w:pPr>
            <w:r>
              <w:rPr>
                <w:rFonts w:hint="eastAsia" w:ascii="仿宋_GB2312" w:eastAsia="仿宋_GB2312"/>
                <w:color w:val="auto"/>
                <w:sz w:val="24"/>
              </w:rPr>
              <w:t>大写：</w:t>
            </w:r>
          </w:p>
          <w:p w14:paraId="274DE346">
            <w:pPr>
              <w:tabs>
                <w:tab w:val="left" w:pos="5580"/>
              </w:tabs>
              <w:spacing w:line="360" w:lineRule="auto"/>
              <w:rPr>
                <w:rFonts w:hint="eastAsia" w:ascii="仿宋_GB2312" w:eastAsia="仿宋_GB2312"/>
                <w:color w:val="auto"/>
                <w:sz w:val="24"/>
              </w:rPr>
            </w:pPr>
            <w:r>
              <w:rPr>
                <w:rFonts w:hint="eastAsia" w:ascii="仿宋_GB2312" w:eastAsia="仿宋_GB2312"/>
                <w:color w:val="auto"/>
                <w:sz w:val="24"/>
              </w:rPr>
              <w:t>小写：</w:t>
            </w:r>
          </w:p>
        </w:tc>
        <w:tc>
          <w:tcPr>
            <w:tcW w:w="1892" w:type="dxa"/>
            <w:tcBorders>
              <w:top w:val="single" w:color="auto" w:sz="8" w:space="0"/>
              <w:left w:val="nil"/>
              <w:bottom w:val="single" w:color="auto" w:sz="4" w:space="0"/>
              <w:right w:val="single" w:color="auto" w:sz="4" w:space="0"/>
            </w:tcBorders>
            <w:vAlign w:val="center"/>
          </w:tcPr>
          <w:p w14:paraId="0E424223">
            <w:pPr>
              <w:tabs>
                <w:tab w:val="left" w:pos="5580"/>
              </w:tabs>
              <w:spacing w:line="360" w:lineRule="auto"/>
              <w:ind w:left="1105" w:leftChars="257" w:hanging="540"/>
              <w:jc w:val="both"/>
              <w:rPr>
                <w:rFonts w:hint="eastAsia" w:ascii="仿宋_GB2312" w:eastAsia="仿宋_GB2312"/>
                <w:color w:val="auto"/>
                <w:sz w:val="24"/>
              </w:rPr>
            </w:pPr>
          </w:p>
        </w:tc>
        <w:tc>
          <w:tcPr>
            <w:tcW w:w="1331" w:type="dxa"/>
            <w:tcBorders>
              <w:top w:val="single" w:color="auto" w:sz="8" w:space="0"/>
              <w:left w:val="nil"/>
              <w:bottom w:val="single" w:color="auto" w:sz="4" w:space="0"/>
              <w:right w:val="single" w:color="auto" w:sz="4" w:space="0"/>
            </w:tcBorders>
            <w:vAlign w:val="center"/>
          </w:tcPr>
          <w:p w14:paraId="4954D874">
            <w:pPr>
              <w:tabs>
                <w:tab w:val="left" w:pos="5580"/>
              </w:tabs>
              <w:spacing w:line="360" w:lineRule="auto"/>
              <w:ind w:left="1105" w:leftChars="257" w:hanging="540"/>
              <w:jc w:val="center"/>
              <w:rPr>
                <w:rFonts w:hint="eastAsia" w:ascii="仿宋_GB2312" w:eastAsia="仿宋_GB2312"/>
                <w:color w:val="auto"/>
                <w:sz w:val="24"/>
              </w:rPr>
            </w:pPr>
          </w:p>
        </w:tc>
        <w:tc>
          <w:tcPr>
            <w:tcW w:w="1480" w:type="dxa"/>
            <w:tcBorders>
              <w:top w:val="single" w:color="auto" w:sz="8" w:space="0"/>
              <w:left w:val="single" w:color="auto" w:sz="4" w:space="0"/>
              <w:bottom w:val="single" w:color="auto" w:sz="4" w:space="0"/>
              <w:right w:val="single" w:color="auto" w:sz="8" w:space="0"/>
            </w:tcBorders>
            <w:vAlign w:val="center"/>
          </w:tcPr>
          <w:p w14:paraId="67BA2F96">
            <w:pPr>
              <w:tabs>
                <w:tab w:val="left" w:pos="5580"/>
              </w:tabs>
              <w:spacing w:line="360" w:lineRule="auto"/>
              <w:ind w:left="1105" w:leftChars="257" w:hanging="540"/>
              <w:jc w:val="center"/>
              <w:rPr>
                <w:rFonts w:hint="eastAsia" w:ascii="仿宋_GB2312" w:eastAsia="仿宋_GB2312"/>
                <w:color w:val="auto"/>
                <w:sz w:val="24"/>
              </w:rPr>
            </w:pPr>
          </w:p>
        </w:tc>
      </w:tr>
    </w:tbl>
    <w:p w14:paraId="52CD6055">
      <w:pPr>
        <w:pStyle w:val="14"/>
        <w:spacing w:before="0"/>
        <w:ind w:left="0"/>
        <w:rPr>
          <w:b/>
          <w:color w:val="auto"/>
        </w:rPr>
      </w:pPr>
    </w:p>
    <w:p w14:paraId="2507CA4D">
      <w:pPr>
        <w:pStyle w:val="46"/>
        <w:tabs>
          <w:tab w:val="left" w:pos="750"/>
        </w:tabs>
        <w:adjustRightInd w:val="0"/>
        <w:snapToGrid w:val="0"/>
        <w:spacing w:line="480" w:lineRule="auto"/>
        <w:ind w:firstLine="720" w:firstLineChars="300"/>
        <w:rPr>
          <w:rFonts w:hint="eastAsia" w:hAnsi="宋体"/>
          <w:b w:val="0"/>
          <w:bCs/>
          <w:color w:val="auto"/>
          <w:kern w:val="0"/>
          <w:sz w:val="24"/>
          <w:lang w:val="zh-CN" w:bidi="zh-CN"/>
        </w:rPr>
      </w:pPr>
      <w:r>
        <w:rPr>
          <w:rFonts w:hint="eastAsia" w:hAnsi="宋体"/>
          <w:b w:val="0"/>
          <w:bCs/>
          <w:color w:val="auto"/>
          <w:kern w:val="0"/>
          <w:sz w:val="24"/>
          <w:lang w:val="zh-CN" w:bidi="zh-CN"/>
        </w:rPr>
        <w:t>备注：</w:t>
      </w:r>
    </w:p>
    <w:p w14:paraId="3AF30BCF">
      <w:pPr>
        <w:pStyle w:val="46"/>
        <w:numPr>
          <w:ilvl w:val="0"/>
          <w:numId w:val="7"/>
        </w:numPr>
        <w:tabs>
          <w:tab w:val="left" w:pos="750"/>
        </w:tabs>
        <w:adjustRightInd w:val="0"/>
        <w:snapToGrid w:val="0"/>
        <w:spacing w:line="480" w:lineRule="auto"/>
        <w:ind w:firstLine="720" w:firstLineChars="300"/>
        <w:rPr>
          <w:rFonts w:hint="eastAsia" w:hAnsi="宋体"/>
          <w:b w:val="0"/>
          <w:bCs/>
          <w:color w:val="auto"/>
          <w:kern w:val="0"/>
          <w:sz w:val="24"/>
          <w:lang w:val="zh-CN" w:bidi="zh-CN"/>
        </w:rPr>
      </w:pPr>
      <w:r>
        <w:rPr>
          <w:rFonts w:hint="eastAsia" w:hAnsi="宋体"/>
          <w:b w:val="0"/>
          <w:bCs/>
          <w:color w:val="auto"/>
          <w:kern w:val="0"/>
          <w:sz w:val="24"/>
          <w:lang w:val="zh-CN" w:bidi="zh-CN"/>
        </w:rPr>
        <w:t>总价中包括但不限于税费、运输费、保险费、</w:t>
      </w:r>
      <w:r>
        <w:rPr>
          <w:rFonts w:hint="eastAsia" w:hAnsi="宋体"/>
          <w:b w:val="0"/>
          <w:bCs/>
          <w:color w:val="auto"/>
          <w:kern w:val="0"/>
          <w:sz w:val="24"/>
          <w:lang w:bidi="zh-CN"/>
        </w:rPr>
        <w:t>检测费</w:t>
      </w:r>
      <w:r>
        <w:rPr>
          <w:rFonts w:hint="eastAsia" w:hAnsi="宋体"/>
          <w:b w:val="0"/>
          <w:bCs/>
          <w:color w:val="auto"/>
          <w:kern w:val="0"/>
          <w:sz w:val="24"/>
          <w:lang w:val="zh-CN" w:bidi="zh-CN"/>
        </w:rPr>
        <w:t>及所配套的土建、吊装就位，培训、安装、调试等所有相关费用。</w:t>
      </w:r>
    </w:p>
    <w:p w14:paraId="3F25D022">
      <w:pPr>
        <w:pStyle w:val="46"/>
        <w:numPr>
          <w:ilvl w:val="0"/>
          <w:numId w:val="7"/>
        </w:numPr>
        <w:tabs>
          <w:tab w:val="left" w:pos="750"/>
        </w:tabs>
        <w:adjustRightInd w:val="0"/>
        <w:snapToGrid w:val="0"/>
        <w:spacing w:line="480" w:lineRule="auto"/>
        <w:ind w:firstLine="720" w:firstLineChars="300"/>
        <w:rPr>
          <w:rFonts w:hint="eastAsia" w:hAnsi="宋体"/>
          <w:b w:val="0"/>
          <w:bCs/>
          <w:color w:val="auto"/>
          <w:kern w:val="0"/>
          <w:sz w:val="24"/>
          <w:lang w:val="zh-CN" w:bidi="zh-CN"/>
        </w:rPr>
      </w:pPr>
      <w:r>
        <w:rPr>
          <w:rFonts w:hint="eastAsia" w:hAnsi="宋体"/>
          <w:b w:val="0"/>
          <w:bCs/>
          <w:color w:val="auto"/>
          <w:kern w:val="0"/>
          <w:sz w:val="24"/>
          <w:lang w:val="zh-CN" w:bidi="zh-CN"/>
        </w:rPr>
        <w:t>货物需运送到甲方指定地点，报价</w:t>
      </w:r>
      <w:r>
        <w:rPr>
          <w:rFonts w:hint="eastAsia" w:hAnsi="宋体"/>
          <w:b w:val="0"/>
          <w:bCs/>
          <w:color w:val="auto"/>
          <w:kern w:val="0"/>
          <w:sz w:val="24"/>
          <w:lang w:bidi="zh-CN"/>
        </w:rPr>
        <w:t>包含</w:t>
      </w:r>
      <w:r>
        <w:rPr>
          <w:rFonts w:hint="eastAsia" w:hAnsi="宋体"/>
          <w:b w:val="0"/>
          <w:bCs/>
          <w:color w:val="auto"/>
          <w:kern w:val="0"/>
          <w:sz w:val="24"/>
          <w:lang w:val="zh-CN" w:bidi="zh-CN"/>
        </w:rPr>
        <w:t>运输、搬运等费用（货物需运送到甲方指定地点，报价保含运输、搬运、安装、调试等费用）。</w:t>
      </w:r>
    </w:p>
    <w:p w14:paraId="7ABEB022">
      <w:pPr>
        <w:pStyle w:val="46"/>
        <w:tabs>
          <w:tab w:val="left" w:pos="750"/>
        </w:tabs>
        <w:adjustRightInd w:val="0"/>
        <w:snapToGrid w:val="0"/>
        <w:spacing w:line="480" w:lineRule="auto"/>
        <w:ind w:firstLine="720" w:firstLineChars="300"/>
        <w:rPr>
          <w:rFonts w:hAnsi="宋体"/>
          <w:b w:val="0"/>
          <w:bCs/>
          <w:color w:val="auto"/>
          <w:kern w:val="0"/>
          <w:sz w:val="24"/>
          <w:lang w:val="zh-CN" w:bidi="zh-CN"/>
        </w:rPr>
      </w:pPr>
    </w:p>
    <w:p w14:paraId="7CCEA1F5">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投标人名称（盖章）：</w:t>
      </w:r>
      <w:r>
        <w:rPr>
          <w:b w:val="0"/>
          <w:bCs/>
          <w:color w:val="auto"/>
          <w:kern w:val="0"/>
          <w:sz w:val="24"/>
          <w:u w:val="single"/>
          <w:lang w:bidi="zh-CN"/>
        </w:rPr>
        <w:t xml:space="preserve">                 </w:t>
      </w:r>
      <w:r>
        <w:rPr>
          <w:b w:val="0"/>
          <w:bCs/>
          <w:color w:val="auto"/>
          <w:kern w:val="0"/>
          <w:sz w:val="24"/>
          <w:lang w:val="zh-CN" w:bidi="zh-CN"/>
        </w:rPr>
        <w:t xml:space="preserve">                        </w:t>
      </w:r>
    </w:p>
    <w:p w14:paraId="7D709F37">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法定代表人或委托代理人签字（或盖章）：</w:t>
      </w:r>
      <w:r>
        <w:rPr>
          <w:b w:val="0"/>
          <w:bCs/>
          <w:color w:val="auto"/>
          <w:kern w:val="0"/>
          <w:sz w:val="24"/>
          <w:u w:val="single"/>
          <w:lang w:bidi="zh-CN"/>
        </w:rPr>
        <w:t xml:space="preserve">                 </w:t>
      </w:r>
      <w:r>
        <w:rPr>
          <w:b w:val="0"/>
          <w:bCs/>
          <w:color w:val="auto"/>
          <w:kern w:val="0"/>
          <w:sz w:val="24"/>
          <w:lang w:val="zh-CN" w:bidi="zh-CN"/>
        </w:rPr>
        <w:t xml:space="preserve">                        </w:t>
      </w:r>
    </w:p>
    <w:p w14:paraId="05EEC6C1">
      <w:pPr>
        <w:pStyle w:val="46"/>
        <w:tabs>
          <w:tab w:val="left" w:pos="750"/>
        </w:tabs>
        <w:adjustRightInd w:val="0"/>
        <w:snapToGrid w:val="0"/>
        <w:spacing w:line="480" w:lineRule="auto"/>
        <w:ind w:firstLine="5760" w:firstLineChars="2400"/>
        <w:rPr>
          <w:b w:val="0"/>
          <w:bCs/>
          <w:color w:val="auto"/>
          <w:kern w:val="0"/>
          <w:sz w:val="24"/>
          <w:lang w:val="zh-CN" w:bidi="zh-CN"/>
        </w:rPr>
      </w:pPr>
      <w:r>
        <w:rPr>
          <w:rFonts w:hAnsi="宋体"/>
          <w:b w:val="0"/>
          <w:bCs/>
          <w:color w:val="auto"/>
          <w:kern w:val="0"/>
          <w:sz w:val="24"/>
          <w:lang w:val="zh-CN" w:bidi="zh-CN"/>
        </w:rPr>
        <w:t>日期：</w:t>
      </w:r>
      <w:r>
        <w:rPr>
          <w:b w:val="0"/>
          <w:bCs/>
          <w:color w:val="auto"/>
          <w:kern w:val="0"/>
          <w:sz w:val="24"/>
          <w:lang w:val="zh-CN" w:bidi="zh-CN"/>
        </w:rPr>
        <w:t xml:space="preserve"> </w:t>
      </w:r>
      <w:r>
        <w:rPr>
          <w:b w:val="0"/>
          <w:bCs/>
          <w:color w:val="auto"/>
          <w:kern w:val="0"/>
          <w:sz w:val="24"/>
          <w:u w:val="single"/>
          <w:lang w:val="zh-CN" w:bidi="zh-CN"/>
        </w:rPr>
        <w:t xml:space="preserve">    </w:t>
      </w:r>
      <w:r>
        <w:rPr>
          <w:b w:val="0"/>
          <w:bCs/>
          <w:color w:val="auto"/>
          <w:kern w:val="0"/>
          <w:sz w:val="24"/>
          <w:lang w:val="zh-CN" w:bidi="zh-CN"/>
        </w:rPr>
        <w:t xml:space="preserve"> </w:t>
      </w:r>
      <w:r>
        <w:rPr>
          <w:rFonts w:hAnsi="宋体"/>
          <w:b w:val="0"/>
          <w:bCs/>
          <w:color w:val="auto"/>
          <w:kern w:val="0"/>
          <w:sz w:val="24"/>
          <w:lang w:val="zh-CN" w:bidi="zh-CN"/>
        </w:rPr>
        <w:t>年</w:t>
      </w:r>
      <w:r>
        <w:rPr>
          <w:b w:val="0"/>
          <w:bCs/>
          <w:color w:val="auto"/>
          <w:kern w:val="0"/>
          <w:sz w:val="24"/>
          <w:u w:val="single"/>
          <w:lang w:val="zh-CN" w:bidi="zh-CN"/>
        </w:rPr>
        <w:t xml:space="preserve">    </w:t>
      </w:r>
      <w:r>
        <w:rPr>
          <w:rFonts w:hAnsi="宋体"/>
          <w:b w:val="0"/>
          <w:bCs/>
          <w:color w:val="auto"/>
          <w:kern w:val="0"/>
          <w:sz w:val="24"/>
          <w:lang w:val="zh-CN" w:bidi="zh-CN"/>
        </w:rPr>
        <w:t>月</w:t>
      </w:r>
      <w:r>
        <w:rPr>
          <w:b w:val="0"/>
          <w:bCs/>
          <w:color w:val="auto"/>
          <w:kern w:val="0"/>
          <w:sz w:val="24"/>
          <w:u w:val="single"/>
          <w:lang w:val="zh-CN" w:bidi="zh-CN"/>
        </w:rPr>
        <w:t xml:space="preserve">     </w:t>
      </w:r>
      <w:r>
        <w:rPr>
          <w:rFonts w:hAnsi="宋体"/>
          <w:b w:val="0"/>
          <w:bCs/>
          <w:color w:val="auto"/>
          <w:kern w:val="0"/>
          <w:sz w:val="24"/>
          <w:lang w:val="zh-CN" w:bidi="zh-CN"/>
        </w:rPr>
        <w:t>日</w:t>
      </w:r>
    </w:p>
    <w:p w14:paraId="0D6D3F25">
      <w:pPr>
        <w:spacing w:line="400" w:lineRule="exact"/>
        <w:ind w:firstLine="560" w:firstLineChars="200"/>
        <w:jc w:val="center"/>
        <w:rPr>
          <w:rFonts w:ascii="Times New Roman" w:hAnsi="Times New Roman" w:cs="Times New Roman"/>
          <w:b w:val="0"/>
          <w:bCs/>
          <w:color w:val="auto"/>
          <w:sz w:val="28"/>
          <w:szCs w:val="24"/>
        </w:rPr>
      </w:pPr>
    </w:p>
    <w:p w14:paraId="705989C1">
      <w:pPr>
        <w:rPr>
          <w:rFonts w:ascii="Times New Roman" w:hAnsi="Times New Roman" w:cs="Times New Roman"/>
          <w:b w:val="0"/>
          <w:bCs/>
          <w:color w:val="auto"/>
          <w:sz w:val="24"/>
        </w:rPr>
      </w:pPr>
    </w:p>
    <w:p w14:paraId="1A04813A">
      <w:pPr>
        <w:pStyle w:val="14"/>
        <w:spacing w:line="364" w:lineRule="auto"/>
        <w:ind w:left="0" w:firstLine="482" w:firstLineChars="200"/>
        <w:rPr>
          <w:b/>
          <w:bCs/>
          <w:color w:val="auto"/>
        </w:rPr>
      </w:pPr>
      <w:r>
        <w:rPr>
          <w:b/>
          <w:bCs/>
          <w:color w:val="auto"/>
          <w:lang w:val="en-US"/>
        </w:rPr>
        <w:t xml:space="preserve">    </w:t>
      </w:r>
      <w:r>
        <w:rPr>
          <w:b/>
          <w:bCs/>
          <w:color w:val="auto"/>
        </w:rPr>
        <w:t xml:space="preserve"> </w:t>
      </w:r>
      <w:r>
        <w:rPr>
          <w:b/>
          <w:bCs/>
          <w:color w:val="auto"/>
        </w:rPr>
        <w:tab/>
      </w:r>
    </w:p>
    <w:p w14:paraId="53D44AD8">
      <w:pPr>
        <w:pStyle w:val="14"/>
        <w:tabs>
          <w:tab w:val="left" w:pos="2917"/>
          <w:tab w:val="left" w:pos="5496"/>
        </w:tabs>
        <w:spacing w:before="161"/>
        <w:ind w:left="0"/>
        <w:jc w:val="center"/>
        <w:rPr>
          <w:color w:val="auto"/>
          <w:u w:val="single"/>
        </w:rPr>
      </w:pPr>
      <w:r>
        <w:rPr>
          <w:color w:val="auto"/>
          <w:lang w:val="en-US"/>
        </w:rPr>
        <w:t xml:space="preserve">         </w:t>
      </w:r>
    </w:p>
    <w:p w14:paraId="5834ED45">
      <w:pPr>
        <w:rPr>
          <w:rFonts w:ascii="Times New Roman" w:hAnsi="Times New Roman" w:cs="Times New Roman"/>
          <w:b/>
          <w:color w:val="auto"/>
          <w:sz w:val="24"/>
        </w:rPr>
      </w:pPr>
    </w:p>
    <w:p w14:paraId="40D7F3CE">
      <w:pPr>
        <w:rPr>
          <w:rFonts w:ascii="Times New Roman" w:hAnsi="Times New Roman" w:cs="Times New Roman"/>
          <w:b/>
          <w:color w:val="auto"/>
          <w:sz w:val="24"/>
        </w:rPr>
      </w:pPr>
    </w:p>
    <w:p w14:paraId="40E8D60A">
      <w:pPr>
        <w:spacing w:before="201"/>
        <w:jc w:val="center"/>
        <w:rPr>
          <w:rFonts w:ascii="Times New Roman" w:hAnsi="Times New Roman" w:cs="Times New Roman"/>
          <w:color w:val="auto"/>
        </w:rPr>
      </w:pPr>
      <w:r>
        <w:rPr>
          <w:rFonts w:ascii="Times New Roman" w:cs="Times New Roman"/>
          <w:b/>
          <w:color w:val="auto"/>
          <w:sz w:val="30"/>
        </w:rPr>
        <w:br w:type="page"/>
      </w:r>
      <w:r>
        <w:rPr>
          <w:rFonts w:ascii="Times New Roman" w:cs="Times New Roman"/>
          <w:b/>
          <w:color w:val="auto"/>
          <w:sz w:val="30"/>
        </w:rPr>
        <w:t>产品规格报价明细表</w:t>
      </w:r>
    </w:p>
    <w:p w14:paraId="6752064B">
      <w:pPr>
        <w:tabs>
          <w:tab w:val="left" w:pos="5860"/>
          <w:tab w:val="left" w:pos="8378"/>
        </w:tabs>
        <w:spacing w:before="161"/>
        <w:ind w:firstLine="630" w:firstLineChars="300"/>
        <w:jc w:val="both"/>
        <w:rPr>
          <w:rFonts w:ascii="Times New Roman" w:hAnsi="Times New Roman" w:cs="Times New Roman"/>
          <w:b w:val="0"/>
          <w:bCs/>
          <w:color w:val="auto"/>
          <w:sz w:val="21"/>
        </w:rPr>
      </w:pPr>
      <w:r>
        <w:rPr>
          <w:rFonts w:ascii="Times New Roman" w:cs="Times New Roman"/>
          <w:b w:val="0"/>
          <w:bCs/>
          <w:color w:val="auto"/>
          <w:sz w:val="21"/>
        </w:rPr>
        <w:t>项目名称：</w:t>
      </w:r>
      <w:r>
        <w:rPr>
          <w:rFonts w:ascii="Times New Roman" w:hAnsi="Times New Roman" w:cs="Times New Roman"/>
          <w:b w:val="0"/>
          <w:bCs/>
          <w:color w:val="auto"/>
          <w:sz w:val="21"/>
        </w:rPr>
        <w:tab/>
      </w:r>
    </w:p>
    <w:p w14:paraId="4537D343">
      <w:pPr>
        <w:tabs>
          <w:tab w:val="left" w:pos="5860"/>
          <w:tab w:val="left" w:pos="8378"/>
        </w:tabs>
        <w:spacing w:before="161"/>
        <w:ind w:firstLine="630" w:firstLineChars="300"/>
        <w:jc w:val="both"/>
        <w:rPr>
          <w:rFonts w:ascii="Times New Roman" w:hAnsi="Times New Roman" w:cs="Times New Roman"/>
          <w:b w:val="0"/>
          <w:bCs/>
          <w:color w:val="auto"/>
          <w:sz w:val="24"/>
        </w:rPr>
      </w:pPr>
      <w:r>
        <w:rPr>
          <w:rFonts w:ascii="Times New Roman" w:cs="Times New Roman"/>
          <w:b w:val="0"/>
          <w:bCs/>
          <w:color w:val="auto"/>
          <w:sz w:val="21"/>
        </w:rPr>
        <w:t>项目编号：</w:t>
      </w:r>
      <w:r>
        <w:rPr>
          <w:rFonts w:ascii="Times New Roman" w:hAnsi="Times New Roman" w:cs="Times New Roman"/>
          <w:b w:val="0"/>
          <w:bCs/>
          <w:color w:val="auto"/>
          <w:sz w:val="24"/>
        </w:rPr>
        <w:tab/>
      </w:r>
    </w:p>
    <w:p w14:paraId="2D79C99D">
      <w:pPr>
        <w:pStyle w:val="14"/>
        <w:spacing w:before="3"/>
        <w:ind w:left="0"/>
        <w:rPr>
          <w:b w:val="0"/>
          <w:bCs/>
          <w:color w:val="auto"/>
          <w:sz w:val="6"/>
        </w:rPr>
      </w:pPr>
    </w:p>
    <w:tbl>
      <w:tblPr>
        <w:tblStyle w:val="26"/>
        <w:tblpPr w:leftFromText="180" w:rightFromText="180" w:vertAnchor="text" w:horzAnchor="page" w:tblpX="1256" w:tblpY="1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33"/>
        <w:gridCol w:w="1749"/>
        <w:gridCol w:w="1422"/>
        <w:gridCol w:w="600"/>
        <w:gridCol w:w="690"/>
        <w:gridCol w:w="1148"/>
        <w:gridCol w:w="977"/>
        <w:gridCol w:w="828"/>
        <w:gridCol w:w="583"/>
        <w:gridCol w:w="501"/>
        <w:gridCol w:w="784"/>
      </w:tblGrid>
      <w:tr w14:paraId="646A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5" w:hRule="atLeast"/>
        </w:trPr>
        <w:tc>
          <w:tcPr>
            <w:tcW w:w="533" w:type="dxa"/>
            <w:vAlign w:val="center"/>
          </w:tcPr>
          <w:p w14:paraId="1B89804D">
            <w:pPr>
              <w:pStyle w:val="47"/>
              <w:spacing w:before="98"/>
              <w:jc w:val="center"/>
              <w:rPr>
                <w:b w:val="0"/>
                <w:bCs/>
                <w:color w:val="auto"/>
                <w:sz w:val="21"/>
              </w:rPr>
            </w:pPr>
            <w:r>
              <w:rPr>
                <w:b w:val="0"/>
                <w:bCs/>
                <w:color w:val="auto"/>
                <w:sz w:val="21"/>
              </w:rPr>
              <w:t>序号</w:t>
            </w:r>
          </w:p>
        </w:tc>
        <w:tc>
          <w:tcPr>
            <w:tcW w:w="1749" w:type="dxa"/>
            <w:vAlign w:val="center"/>
          </w:tcPr>
          <w:p w14:paraId="1F55A13C">
            <w:pPr>
              <w:pStyle w:val="47"/>
              <w:spacing w:before="98"/>
              <w:jc w:val="center"/>
              <w:rPr>
                <w:b w:val="0"/>
                <w:bCs/>
                <w:color w:val="auto"/>
                <w:sz w:val="21"/>
              </w:rPr>
            </w:pPr>
            <w:r>
              <w:rPr>
                <w:b w:val="0"/>
                <w:bCs/>
                <w:color w:val="auto"/>
                <w:sz w:val="21"/>
              </w:rPr>
              <w:t>名称</w:t>
            </w:r>
          </w:p>
        </w:tc>
        <w:tc>
          <w:tcPr>
            <w:tcW w:w="1422" w:type="dxa"/>
            <w:vAlign w:val="center"/>
          </w:tcPr>
          <w:p w14:paraId="79E1FAE7">
            <w:pPr>
              <w:pStyle w:val="47"/>
              <w:spacing w:before="98"/>
              <w:jc w:val="center"/>
              <w:rPr>
                <w:b w:val="0"/>
                <w:bCs/>
                <w:color w:val="auto"/>
                <w:sz w:val="21"/>
              </w:rPr>
            </w:pPr>
            <w:r>
              <w:rPr>
                <w:b w:val="0"/>
                <w:bCs/>
                <w:color w:val="auto"/>
                <w:sz w:val="21"/>
              </w:rPr>
              <w:t>规格型号及主要技术参数</w:t>
            </w:r>
          </w:p>
        </w:tc>
        <w:tc>
          <w:tcPr>
            <w:tcW w:w="600" w:type="dxa"/>
            <w:vAlign w:val="center"/>
          </w:tcPr>
          <w:p w14:paraId="5CC11FE1">
            <w:pPr>
              <w:pStyle w:val="47"/>
              <w:spacing w:before="98"/>
              <w:jc w:val="center"/>
              <w:rPr>
                <w:b w:val="0"/>
                <w:bCs/>
                <w:color w:val="auto"/>
                <w:sz w:val="21"/>
              </w:rPr>
            </w:pPr>
            <w:r>
              <w:rPr>
                <w:b w:val="0"/>
                <w:bCs/>
                <w:color w:val="auto"/>
                <w:sz w:val="21"/>
              </w:rPr>
              <w:t>产地</w:t>
            </w:r>
          </w:p>
        </w:tc>
        <w:tc>
          <w:tcPr>
            <w:tcW w:w="690" w:type="dxa"/>
            <w:vAlign w:val="center"/>
          </w:tcPr>
          <w:p w14:paraId="4A79E330">
            <w:pPr>
              <w:pStyle w:val="47"/>
              <w:spacing w:before="98"/>
              <w:jc w:val="center"/>
              <w:rPr>
                <w:b w:val="0"/>
                <w:bCs/>
                <w:color w:val="auto"/>
                <w:sz w:val="21"/>
              </w:rPr>
            </w:pPr>
            <w:r>
              <w:rPr>
                <w:b w:val="0"/>
                <w:bCs/>
                <w:color w:val="auto"/>
                <w:sz w:val="21"/>
              </w:rPr>
              <w:t>品牌</w:t>
            </w:r>
          </w:p>
        </w:tc>
        <w:tc>
          <w:tcPr>
            <w:tcW w:w="1148" w:type="dxa"/>
            <w:vAlign w:val="center"/>
          </w:tcPr>
          <w:p w14:paraId="6B639918">
            <w:pPr>
              <w:pStyle w:val="47"/>
              <w:spacing w:before="98"/>
              <w:jc w:val="center"/>
              <w:rPr>
                <w:b w:val="0"/>
                <w:bCs/>
                <w:color w:val="auto"/>
                <w:sz w:val="21"/>
              </w:rPr>
            </w:pPr>
            <w:r>
              <w:rPr>
                <w:b w:val="0"/>
                <w:bCs/>
                <w:color w:val="auto"/>
                <w:sz w:val="21"/>
              </w:rPr>
              <w:t>数量</w:t>
            </w:r>
          </w:p>
          <w:p w14:paraId="6311B3CC">
            <w:pPr>
              <w:pStyle w:val="47"/>
              <w:spacing w:before="98"/>
              <w:jc w:val="center"/>
              <w:rPr>
                <w:b w:val="0"/>
                <w:bCs/>
                <w:color w:val="auto"/>
                <w:sz w:val="21"/>
              </w:rPr>
            </w:pPr>
            <w:r>
              <w:rPr>
                <w:b w:val="0"/>
                <w:bCs/>
                <w:color w:val="auto"/>
                <w:sz w:val="15"/>
                <w:szCs w:val="15"/>
              </w:rPr>
              <w:t>（标明单位）</w:t>
            </w:r>
          </w:p>
        </w:tc>
        <w:tc>
          <w:tcPr>
            <w:tcW w:w="977" w:type="dxa"/>
            <w:vAlign w:val="center"/>
          </w:tcPr>
          <w:p w14:paraId="695FEEC1">
            <w:pPr>
              <w:pStyle w:val="47"/>
              <w:spacing w:before="98"/>
              <w:jc w:val="center"/>
              <w:rPr>
                <w:b w:val="0"/>
                <w:bCs/>
                <w:color w:val="auto"/>
                <w:sz w:val="21"/>
              </w:rPr>
            </w:pPr>
            <w:r>
              <w:rPr>
                <w:b w:val="0"/>
                <w:bCs/>
                <w:color w:val="auto"/>
                <w:sz w:val="21"/>
              </w:rPr>
              <w:t>单价</w:t>
            </w:r>
          </w:p>
          <w:p w14:paraId="7A3592A8">
            <w:pPr>
              <w:pStyle w:val="47"/>
              <w:spacing w:before="98"/>
              <w:jc w:val="center"/>
              <w:rPr>
                <w:b w:val="0"/>
                <w:bCs/>
                <w:color w:val="auto"/>
                <w:sz w:val="21"/>
              </w:rPr>
            </w:pPr>
            <w:r>
              <w:rPr>
                <w:b w:val="0"/>
                <w:bCs/>
                <w:color w:val="auto"/>
                <w:sz w:val="21"/>
              </w:rPr>
              <w:t>（元）</w:t>
            </w:r>
          </w:p>
        </w:tc>
        <w:tc>
          <w:tcPr>
            <w:tcW w:w="828" w:type="dxa"/>
            <w:tcBorders>
              <w:right w:val="single" w:color="auto" w:sz="4" w:space="0"/>
            </w:tcBorders>
            <w:vAlign w:val="center"/>
          </w:tcPr>
          <w:p w14:paraId="2B0B6A4C">
            <w:pPr>
              <w:pStyle w:val="47"/>
              <w:spacing w:before="98"/>
              <w:jc w:val="center"/>
              <w:rPr>
                <w:b w:val="0"/>
                <w:bCs/>
                <w:color w:val="auto"/>
                <w:sz w:val="21"/>
              </w:rPr>
            </w:pPr>
            <w:r>
              <w:rPr>
                <w:b w:val="0"/>
                <w:bCs/>
                <w:color w:val="auto"/>
                <w:sz w:val="21"/>
              </w:rPr>
              <w:t>总价</w:t>
            </w:r>
          </w:p>
          <w:p w14:paraId="654D0643">
            <w:pPr>
              <w:pStyle w:val="47"/>
              <w:spacing w:before="98"/>
              <w:jc w:val="center"/>
              <w:rPr>
                <w:b w:val="0"/>
                <w:bCs/>
                <w:color w:val="auto"/>
                <w:sz w:val="21"/>
              </w:rPr>
            </w:pPr>
            <w:r>
              <w:rPr>
                <w:b w:val="0"/>
                <w:bCs/>
                <w:color w:val="auto"/>
                <w:sz w:val="21"/>
              </w:rPr>
              <w:t>（元）</w:t>
            </w:r>
          </w:p>
        </w:tc>
        <w:tc>
          <w:tcPr>
            <w:tcW w:w="583" w:type="dxa"/>
            <w:tcBorders>
              <w:left w:val="single" w:color="auto" w:sz="4" w:space="0"/>
              <w:right w:val="single" w:color="auto" w:sz="4" w:space="0"/>
            </w:tcBorders>
            <w:vAlign w:val="center"/>
          </w:tcPr>
          <w:p w14:paraId="135F2D7D">
            <w:pPr>
              <w:pStyle w:val="47"/>
              <w:spacing w:before="98"/>
              <w:jc w:val="center"/>
              <w:rPr>
                <w:rFonts w:hint="eastAsia"/>
                <w:b w:val="0"/>
                <w:bCs/>
                <w:color w:val="auto"/>
                <w:sz w:val="21"/>
                <w:lang w:val="en-US"/>
              </w:rPr>
            </w:pPr>
            <w:r>
              <w:rPr>
                <w:rFonts w:hint="eastAsia"/>
                <w:b w:val="0"/>
                <w:bCs/>
                <w:color w:val="auto"/>
                <w:sz w:val="21"/>
                <w:lang w:val="en-US"/>
              </w:rPr>
              <w:t>交货期</w:t>
            </w:r>
          </w:p>
        </w:tc>
        <w:tc>
          <w:tcPr>
            <w:tcW w:w="501" w:type="dxa"/>
            <w:tcBorders>
              <w:left w:val="single" w:color="auto" w:sz="4" w:space="0"/>
            </w:tcBorders>
            <w:vAlign w:val="center"/>
          </w:tcPr>
          <w:p w14:paraId="082CDB74">
            <w:pPr>
              <w:pStyle w:val="47"/>
              <w:spacing w:before="98"/>
              <w:jc w:val="center"/>
              <w:rPr>
                <w:rFonts w:hint="eastAsia"/>
                <w:b w:val="0"/>
                <w:bCs/>
                <w:color w:val="auto"/>
                <w:sz w:val="21"/>
                <w:lang w:val="en-US"/>
              </w:rPr>
            </w:pPr>
            <w:r>
              <w:rPr>
                <w:rFonts w:hint="eastAsia"/>
                <w:b w:val="0"/>
                <w:bCs/>
                <w:color w:val="auto"/>
                <w:sz w:val="21"/>
                <w:lang w:val="en-US"/>
              </w:rPr>
              <w:t>质保期</w:t>
            </w:r>
          </w:p>
        </w:tc>
        <w:tc>
          <w:tcPr>
            <w:tcW w:w="784" w:type="dxa"/>
            <w:vAlign w:val="center"/>
          </w:tcPr>
          <w:p w14:paraId="3980C33D">
            <w:pPr>
              <w:pStyle w:val="47"/>
              <w:spacing w:before="98"/>
              <w:jc w:val="center"/>
              <w:rPr>
                <w:b w:val="0"/>
                <w:bCs/>
                <w:color w:val="auto"/>
                <w:sz w:val="21"/>
              </w:rPr>
            </w:pPr>
            <w:r>
              <w:rPr>
                <w:b w:val="0"/>
                <w:bCs/>
                <w:color w:val="auto"/>
                <w:sz w:val="21"/>
              </w:rPr>
              <w:t>备注</w:t>
            </w:r>
          </w:p>
        </w:tc>
      </w:tr>
      <w:tr w14:paraId="73CB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trPr>
        <w:tc>
          <w:tcPr>
            <w:tcW w:w="533" w:type="dxa"/>
            <w:vAlign w:val="center"/>
          </w:tcPr>
          <w:p w14:paraId="6E21F357">
            <w:pPr>
              <w:pStyle w:val="47"/>
              <w:spacing w:before="118"/>
              <w:jc w:val="center"/>
              <w:rPr>
                <w:b w:val="0"/>
                <w:bCs/>
                <w:color w:val="auto"/>
                <w:sz w:val="18"/>
              </w:rPr>
            </w:pPr>
          </w:p>
        </w:tc>
        <w:tc>
          <w:tcPr>
            <w:tcW w:w="1749" w:type="dxa"/>
            <w:vAlign w:val="center"/>
          </w:tcPr>
          <w:p w14:paraId="5DE850FF">
            <w:pPr>
              <w:pStyle w:val="48"/>
              <w:adjustRightInd w:val="0"/>
              <w:ind w:firstLine="0" w:firstLineChars="0"/>
              <w:jc w:val="center"/>
              <w:rPr>
                <w:b w:val="0"/>
                <w:bCs/>
                <w:color w:val="auto"/>
              </w:rPr>
            </w:pPr>
          </w:p>
        </w:tc>
        <w:tc>
          <w:tcPr>
            <w:tcW w:w="1422" w:type="dxa"/>
          </w:tcPr>
          <w:p w14:paraId="6DA7C819">
            <w:pPr>
              <w:pStyle w:val="47"/>
              <w:jc w:val="center"/>
              <w:rPr>
                <w:b w:val="0"/>
                <w:bCs/>
                <w:color w:val="auto"/>
              </w:rPr>
            </w:pPr>
          </w:p>
        </w:tc>
        <w:tc>
          <w:tcPr>
            <w:tcW w:w="600" w:type="dxa"/>
          </w:tcPr>
          <w:p w14:paraId="5B6341E5">
            <w:pPr>
              <w:pStyle w:val="47"/>
              <w:jc w:val="center"/>
              <w:rPr>
                <w:b w:val="0"/>
                <w:bCs/>
                <w:color w:val="auto"/>
              </w:rPr>
            </w:pPr>
          </w:p>
        </w:tc>
        <w:tc>
          <w:tcPr>
            <w:tcW w:w="690" w:type="dxa"/>
          </w:tcPr>
          <w:p w14:paraId="3EACDCE8">
            <w:pPr>
              <w:pStyle w:val="47"/>
              <w:jc w:val="center"/>
              <w:rPr>
                <w:b w:val="0"/>
                <w:bCs/>
                <w:color w:val="auto"/>
              </w:rPr>
            </w:pPr>
          </w:p>
        </w:tc>
        <w:tc>
          <w:tcPr>
            <w:tcW w:w="1148" w:type="dxa"/>
          </w:tcPr>
          <w:p w14:paraId="0CCB3545">
            <w:pPr>
              <w:pStyle w:val="47"/>
              <w:jc w:val="center"/>
              <w:rPr>
                <w:b w:val="0"/>
                <w:bCs/>
                <w:color w:val="auto"/>
              </w:rPr>
            </w:pPr>
          </w:p>
        </w:tc>
        <w:tc>
          <w:tcPr>
            <w:tcW w:w="977" w:type="dxa"/>
          </w:tcPr>
          <w:p w14:paraId="1B39D24F">
            <w:pPr>
              <w:pStyle w:val="47"/>
              <w:rPr>
                <w:b w:val="0"/>
                <w:bCs/>
                <w:color w:val="auto"/>
              </w:rPr>
            </w:pPr>
          </w:p>
        </w:tc>
        <w:tc>
          <w:tcPr>
            <w:tcW w:w="828" w:type="dxa"/>
            <w:tcBorders>
              <w:right w:val="single" w:color="auto" w:sz="4" w:space="0"/>
            </w:tcBorders>
          </w:tcPr>
          <w:p w14:paraId="376980CF">
            <w:pPr>
              <w:pStyle w:val="47"/>
              <w:rPr>
                <w:b w:val="0"/>
                <w:bCs/>
                <w:color w:val="auto"/>
              </w:rPr>
            </w:pPr>
          </w:p>
        </w:tc>
        <w:tc>
          <w:tcPr>
            <w:tcW w:w="583" w:type="dxa"/>
            <w:tcBorders>
              <w:left w:val="single" w:color="auto" w:sz="4" w:space="0"/>
              <w:right w:val="single" w:color="auto" w:sz="4" w:space="0"/>
            </w:tcBorders>
          </w:tcPr>
          <w:p w14:paraId="188B2706">
            <w:pPr>
              <w:pStyle w:val="47"/>
              <w:rPr>
                <w:b w:val="0"/>
                <w:bCs/>
                <w:color w:val="auto"/>
              </w:rPr>
            </w:pPr>
          </w:p>
        </w:tc>
        <w:tc>
          <w:tcPr>
            <w:tcW w:w="501" w:type="dxa"/>
            <w:tcBorders>
              <w:left w:val="single" w:color="auto" w:sz="4" w:space="0"/>
            </w:tcBorders>
          </w:tcPr>
          <w:p w14:paraId="1C8160D5">
            <w:pPr>
              <w:pStyle w:val="47"/>
              <w:rPr>
                <w:b w:val="0"/>
                <w:bCs/>
                <w:color w:val="auto"/>
              </w:rPr>
            </w:pPr>
          </w:p>
        </w:tc>
        <w:tc>
          <w:tcPr>
            <w:tcW w:w="784" w:type="dxa"/>
          </w:tcPr>
          <w:p w14:paraId="7B148237">
            <w:pPr>
              <w:pStyle w:val="47"/>
              <w:rPr>
                <w:b w:val="0"/>
                <w:bCs/>
                <w:color w:val="auto"/>
              </w:rPr>
            </w:pPr>
          </w:p>
        </w:tc>
      </w:tr>
      <w:tr w14:paraId="40AC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533" w:type="dxa"/>
            <w:vAlign w:val="center"/>
          </w:tcPr>
          <w:p w14:paraId="675B222A">
            <w:pPr>
              <w:pStyle w:val="47"/>
              <w:spacing w:before="120"/>
              <w:jc w:val="center"/>
              <w:rPr>
                <w:b w:val="0"/>
                <w:bCs/>
                <w:color w:val="auto"/>
                <w:sz w:val="18"/>
              </w:rPr>
            </w:pPr>
          </w:p>
        </w:tc>
        <w:tc>
          <w:tcPr>
            <w:tcW w:w="1749" w:type="dxa"/>
            <w:vAlign w:val="center"/>
          </w:tcPr>
          <w:p w14:paraId="2D545C1B">
            <w:pPr>
              <w:pStyle w:val="48"/>
              <w:adjustRightInd w:val="0"/>
              <w:ind w:firstLine="0" w:firstLineChars="0"/>
              <w:jc w:val="center"/>
              <w:rPr>
                <w:b w:val="0"/>
                <w:bCs/>
                <w:color w:val="auto"/>
                <w:lang w:val="en-US"/>
              </w:rPr>
            </w:pPr>
          </w:p>
        </w:tc>
        <w:tc>
          <w:tcPr>
            <w:tcW w:w="1422" w:type="dxa"/>
          </w:tcPr>
          <w:p w14:paraId="43B7FF34">
            <w:pPr>
              <w:pStyle w:val="47"/>
              <w:rPr>
                <w:b w:val="0"/>
                <w:bCs/>
                <w:color w:val="auto"/>
              </w:rPr>
            </w:pPr>
          </w:p>
        </w:tc>
        <w:tc>
          <w:tcPr>
            <w:tcW w:w="600" w:type="dxa"/>
          </w:tcPr>
          <w:p w14:paraId="28478E8F">
            <w:pPr>
              <w:pStyle w:val="47"/>
              <w:rPr>
                <w:b w:val="0"/>
                <w:bCs/>
                <w:color w:val="auto"/>
              </w:rPr>
            </w:pPr>
          </w:p>
        </w:tc>
        <w:tc>
          <w:tcPr>
            <w:tcW w:w="690" w:type="dxa"/>
          </w:tcPr>
          <w:p w14:paraId="2379E506">
            <w:pPr>
              <w:pStyle w:val="47"/>
              <w:rPr>
                <w:b w:val="0"/>
                <w:bCs/>
                <w:color w:val="auto"/>
              </w:rPr>
            </w:pPr>
          </w:p>
        </w:tc>
        <w:tc>
          <w:tcPr>
            <w:tcW w:w="1148" w:type="dxa"/>
          </w:tcPr>
          <w:p w14:paraId="13668EF5">
            <w:pPr>
              <w:pStyle w:val="47"/>
              <w:rPr>
                <w:b w:val="0"/>
                <w:bCs/>
                <w:color w:val="auto"/>
              </w:rPr>
            </w:pPr>
          </w:p>
        </w:tc>
        <w:tc>
          <w:tcPr>
            <w:tcW w:w="977" w:type="dxa"/>
          </w:tcPr>
          <w:p w14:paraId="5240E5D8">
            <w:pPr>
              <w:pStyle w:val="47"/>
              <w:rPr>
                <w:b w:val="0"/>
                <w:bCs/>
                <w:color w:val="auto"/>
              </w:rPr>
            </w:pPr>
          </w:p>
        </w:tc>
        <w:tc>
          <w:tcPr>
            <w:tcW w:w="828" w:type="dxa"/>
            <w:tcBorders>
              <w:right w:val="single" w:color="auto" w:sz="4" w:space="0"/>
            </w:tcBorders>
          </w:tcPr>
          <w:p w14:paraId="1E975C25">
            <w:pPr>
              <w:pStyle w:val="47"/>
              <w:rPr>
                <w:b w:val="0"/>
                <w:bCs/>
                <w:color w:val="auto"/>
              </w:rPr>
            </w:pPr>
          </w:p>
        </w:tc>
        <w:tc>
          <w:tcPr>
            <w:tcW w:w="583" w:type="dxa"/>
            <w:tcBorders>
              <w:left w:val="single" w:color="auto" w:sz="4" w:space="0"/>
              <w:right w:val="single" w:color="auto" w:sz="4" w:space="0"/>
            </w:tcBorders>
          </w:tcPr>
          <w:p w14:paraId="4E03AB48">
            <w:pPr>
              <w:pStyle w:val="47"/>
              <w:rPr>
                <w:b w:val="0"/>
                <w:bCs/>
                <w:color w:val="auto"/>
              </w:rPr>
            </w:pPr>
          </w:p>
        </w:tc>
        <w:tc>
          <w:tcPr>
            <w:tcW w:w="501" w:type="dxa"/>
            <w:tcBorders>
              <w:left w:val="single" w:color="auto" w:sz="4" w:space="0"/>
            </w:tcBorders>
          </w:tcPr>
          <w:p w14:paraId="1C5AB332">
            <w:pPr>
              <w:pStyle w:val="47"/>
              <w:rPr>
                <w:b w:val="0"/>
                <w:bCs/>
                <w:color w:val="auto"/>
              </w:rPr>
            </w:pPr>
          </w:p>
        </w:tc>
        <w:tc>
          <w:tcPr>
            <w:tcW w:w="784" w:type="dxa"/>
          </w:tcPr>
          <w:p w14:paraId="69485A96">
            <w:pPr>
              <w:pStyle w:val="47"/>
              <w:rPr>
                <w:b w:val="0"/>
                <w:bCs/>
                <w:color w:val="auto"/>
              </w:rPr>
            </w:pPr>
          </w:p>
        </w:tc>
      </w:tr>
      <w:tr w14:paraId="125F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327467A5">
            <w:pPr>
              <w:pStyle w:val="47"/>
              <w:spacing w:before="119"/>
              <w:jc w:val="center"/>
              <w:rPr>
                <w:rFonts w:hint="eastAsia"/>
                <w:b w:val="0"/>
                <w:bCs/>
                <w:color w:val="auto"/>
                <w:sz w:val="18"/>
                <w:lang w:val="en-US"/>
              </w:rPr>
            </w:pPr>
          </w:p>
        </w:tc>
        <w:tc>
          <w:tcPr>
            <w:tcW w:w="1749" w:type="dxa"/>
            <w:vAlign w:val="center"/>
          </w:tcPr>
          <w:p w14:paraId="211DE89C">
            <w:pPr>
              <w:jc w:val="center"/>
              <w:rPr>
                <w:rFonts w:ascii="Times New Roman" w:hAnsi="Times New Roman" w:cs="Times New Roman"/>
                <w:b w:val="0"/>
                <w:bCs/>
                <w:color w:val="auto"/>
                <w:sz w:val="18"/>
                <w:szCs w:val="18"/>
              </w:rPr>
            </w:pPr>
          </w:p>
        </w:tc>
        <w:tc>
          <w:tcPr>
            <w:tcW w:w="1422" w:type="dxa"/>
          </w:tcPr>
          <w:p w14:paraId="2CCB8B0C">
            <w:pPr>
              <w:pStyle w:val="47"/>
              <w:rPr>
                <w:b w:val="0"/>
                <w:bCs/>
                <w:color w:val="auto"/>
              </w:rPr>
            </w:pPr>
          </w:p>
        </w:tc>
        <w:tc>
          <w:tcPr>
            <w:tcW w:w="600" w:type="dxa"/>
          </w:tcPr>
          <w:p w14:paraId="34339411">
            <w:pPr>
              <w:pStyle w:val="47"/>
              <w:rPr>
                <w:b w:val="0"/>
                <w:bCs/>
                <w:color w:val="auto"/>
              </w:rPr>
            </w:pPr>
          </w:p>
        </w:tc>
        <w:tc>
          <w:tcPr>
            <w:tcW w:w="690" w:type="dxa"/>
          </w:tcPr>
          <w:p w14:paraId="11B3CB4E">
            <w:pPr>
              <w:pStyle w:val="47"/>
              <w:rPr>
                <w:b w:val="0"/>
                <w:bCs/>
                <w:color w:val="auto"/>
              </w:rPr>
            </w:pPr>
          </w:p>
        </w:tc>
        <w:tc>
          <w:tcPr>
            <w:tcW w:w="1148" w:type="dxa"/>
          </w:tcPr>
          <w:p w14:paraId="6AA28EF1">
            <w:pPr>
              <w:pStyle w:val="47"/>
              <w:rPr>
                <w:b w:val="0"/>
                <w:bCs/>
                <w:color w:val="auto"/>
              </w:rPr>
            </w:pPr>
          </w:p>
        </w:tc>
        <w:tc>
          <w:tcPr>
            <w:tcW w:w="977" w:type="dxa"/>
          </w:tcPr>
          <w:p w14:paraId="56BD97C4">
            <w:pPr>
              <w:pStyle w:val="47"/>
              <w:rPr>
                <w:b w:val="0"/>
                <w:bCs/>
                <w:color w:val="auto"/>
              </w:rPr>
            </w:pPr>
          </w:p>
        </w:tc>
        <w:tc>
          <w:tcPr>
            <w:tcW w:w="828" w:type="dxa"/>
            <w:tcBorders>
              <w:right w:val="single" w:color="auto" w:sz="4" w:space="0"/>
            </w:tcBorders>
          </w:tcPr>
          <w:p w14:paraId="4702CFBB">
            <w:pPr>
              <w:pStyle w:val="47"/>
              <w:rPr>
                <w:b w:val="0"/>
                <w:bCs/>
                <w:color w:val="auto"/>
              </w:rPr>
            </w:pPr>
          </w:p>
        </w:tc>
        <w:tc>
          <w:tcPr>
            <w:tcW w:w="583" w:type="dxa"/>
            <w:tcBorders>
              <w:left w:val="single" w:color="auto" w:sz="4" w:space="0"/>
              <w:right w:val="single" w:color="auto" w:sz="4" w:space="0"/>
            </w:tcBorders>
          </w:tcPr>
          <w:p w14:paraId="225BE101">
            <w:pPr>
              <w:pStyle w:val="47"/>
              <w:rPr>
                <w:b w:val="0"/>
                <w:bCs/>
                <w:color w:val="auto"/>
              </w:rPr>
            </w:pPr>
          </w:p>
        </w:tc>
        <w:tc>
          <w:tcPr>
            <w:tcW w:w="501" w:type="dxa"/>
            <w:tcBorders>
              <w:left w:val="single" w:color="auto" w:sz="4" w:space="0"/>
            </w:tcBorders>
          </w:tcPr>
          <w:p w14:paraId="4E5069BF">
            <w:pPr>
              <w:pStyle w:val="47"/>
              <w:rPr>
                <w:b w:val="0"/>
                <w:bCs/>
                <w:color w:val="auto"/>
              </w:rPr>
            </w:pPr>
          </w:p>
        </w:tc>
        <w:tc>
          <w:tcPr>
            <w:tcW w:w="784" w:type="dxa"/>
          </w:tcPr>
          <w:p w14:paraId="0AA75AA4">
            <w:pPr>
              <w:pStyle w:val="47"/>
              <w:rPr>
                <w:b w:val="0"/>
                <w:bCs/>
                <w:color w:val="auto"/>
              </w:rPr>
            </w:pPr>
          </w:p>
        </w:tc>
      </w:tr>
      <w:tr w14:paraId="1B43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1FB0F2EA">
            <w:pPr>
              <w:pStyle w:val="47"/>
              <w:spacing w:before="119"/>
              <w:jc w:val="center"/>
              <w:rPr>
                <w:b w:val="0"/>
                <w:bCs/>
                <w:color w:val="auto"/>
                <w:sz w:val="18"/>
                <w:lang w:val="en-US"/>
              </w:rPr>
            </w:pPr>
          </w:p>
        </w:tc>
        <w:tc>
          <w:tcPr>
            <w:tcW w:w="1749" w:type="dxa"/>
            <w:vAlign w:val="center"/>
          </w:tcPr>
          <w:p w14:paraId="31A3ED87">
            <w:pPr>
              <w:jc w:val="center"/>
              <w:rPr>
                <w:rFonts w:ascii="Times New Roman" w:hAnsi="Times New Roman" w:cs="Times New Roman"/>
                <w:b w:val="0"/>
                <w:bCs/>
                <w:color w:val="auto"/>
                <w:sz w:val="18"/>
                <w:szCs w:val="18"/>
                <w:lang w:val="en-US"/>
              </w:rPr>
            </w:pPr>
          </w:p>
        </w:tc>
        <w:tc>
          <w:tcPr>
            <w:tcW w:w="1422" w:type="dxa"/>
          </w:tcPr>
          <w:p w14:paraId="0B7DC9F5">
            <w:pPr>
              <w:pStyle w:val="47"/>
              <w:rPr>
                <w:b w:val="0"/>
                <w:bCs/>
                <w:color w:val="auto"/>
              </w:rPr>
            </w:pPr>
          </w:p>
        </w:tc>
        <w:tc>
          <w:tcPr>
            <w:tcW w:w="600" w:type="dxa"/>
          </w:tcPr>
          <w:p w14:paraId="3756D121">
            <w:pPr>
              <w:pStyle w:val="47"/>
              <w:rPr>
                <w:b w:val="0"/>
                <w:bCs/>
                <w:color w:val="auto"/>
              </w:rPr>
            </w:pPr>
          </w:p>
        </w:tc>
        <w:tc>
          <w:tcPr>
            <w:tcW w:w="690" w:type="dxa"/>
          </w:tcPr>
          <w:p w14:paraId="3C13B6E7">
            <w:pPr>
              <w:pStyle w:val="47"/>
              <w:rPr>
                <w:b w:val="0"/>
                <w:bCs/>
                <w:color w:val="auto"/>
              </w:rPr>
            </w:pPr>
          </w:p>
        </w:tc>
        <w:tc>
          <w:tcPr>
            <w:tcW w:w="1148" w:type="dxa"/>
          </w:tcPr>
          <w:p w14:paraId="410C8876">
            <w:pPr>
              <w:pStyle w:val="47"/>
              <w:rPr>
                <w:b w:val="0"/>
                <w:bCs/>
                <w:color w:val="auto"/>
              </w:rPr>
            </w:pPr>
          </w:p>
        </w:tc>
        <w:tc>
          <w:tcPr>
            <w:tcW w:w="977" w:type="dxa"/>
          </w:tcPr>
          <w:p w14:paraId="22833312">
            <w:pPr>
              <w:pStyle w:val="47"/>
              <w:rPr>
                <w:b w:val="0"/>
                <w:bCs/>
                <w:color w:val="auto"/>
              </w:rPr>
            </w:pPr>
          </w:p>
        </w:tc>
        <w:tc>
          <w:tcPr>
            <w:tcW w:w="828" w:type="dxa"/>
            <w:tcBorders>
              <w:right w:val="single" w:color="auto" w:sz="4" w:space="0"/>
            </w:tcBorders>
          </w:tcPr>
          <w:p w14:paraId="10D826B8">
            <w:pPr>
              <w:pStyle w:val="47"/>
              <w:rPr>
                <w:b w:val="0"/>
                <w:bCs/>
                <w:color w:val="auto"/>
              </w:rPr>
            </w:pPr>
          </w:p>
        </w:tc>
        <w:tc>
          <w:tcPr>
            <w:tcW w:w="583" w:type="dxa"/>
            <w:tcBorders>
              <w:left w:val="single" w:color="auto" w:sz="4" w:space="0"/>
              <w:right w:val="single" w:color="auto" w:sz="4" w:space="0"/>
            </w:tcBorders>
          </w:tcPr>
          <w:p w14:paraId="2AB03A97">
            <w:pPr>
              <w:pStyle w:val="47"/>
              <w:rPr>
                <w:b w:val="0"/>
                <w:bCs/>
                <w:color w:val="auto"/>
              </w:rPr>
            </w:pPr>
          </w:p>
        </w:tc>
        <w:tc>
          <w:tcPr>
            <w:tcW w:w="501" w:type="dxa"/>
            <w:tcBorders>
              <w:left w:val="single" w:color="auto" w:sz="4" w:space="0"/>
            </w:tcBorders>
          </w:tcPr>
          <w:p w14:paraId="075605D7">
            <w:pPr>
              <w:pStyle w:val="47"/>
              <w:rPr>
                <w:b w:val="0"/>
                <w:bCs/>
                <w:color w:val="auto"/>
              </w:rPr>
            </w:pPr>
          </w:p>
        </w:tc>
        <w:tc>
          <w:tcPr>
            <w:tcW w:w="784" w:type="dxa"/>
          </w:tcPr>
          <w:p w14:paraId="01D8779E">
            <w:pPr>
              <w:pStyle w:val="47"/>
              <w:rPr>
                <w:b w:val="0"/>
                <w:bCs/>
                <w:color w:val="auto"/>
              </w:rPr>
            </w:pPr>
          </w:p>
        </w:tc>
      </w:tr>
      <w:tr w14:paraId="79F6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1DE5D0D6">
            <w:pPr>
              <w:pStyle w:val="47"/>
              <w:spacing w:before="119"/>
              <w:jc w:val="center"/>
              <w:rPr>
                <w:rFonts w:hint="eastAsia"/>
                <w:b w:val="0"/>
                <w:bCs/>
                <w:color w:val="auto"/>
                <w:sz w:val="18"/>
                <w:lang w:val="en-US"/>
              </w:rPr>
            </w:pPr>
          </w:p>
        </w:tc>
        <w:tc>
          <w:tcPr>
            <w:tcW w:w="1749" w:type="dxa"/>
            <w:vAlign w:val="center"/>
          </w:tcPr>
          <w:p w14:paraId="327C80BE">
            <w:pPr>
              <w:jc w:val="center"/>
              <w:rPr>
                <w:rFonts w:ascii="Times New Roman" w:hAnsi="Times New Roman" w:cs="Times New Roman"/>
                <w:b w:val="0"/>
                <w:bCs/>
                <w:color w:val="auto"/>
                <w:sz w:val="18"/>
                <w:szCs w:val="18"/>
                <w:lang w:val="en-US"/>
              </w:rPr>
            </w:pPr>
          </w:p>
        </w:tc>
        <w:tc>
          <w:tcPr>
            <w:tcW w:w="1422" w:type="dxa"/>
          </w:tcPr>
          <w:p w14:paraId="2E55466D">
            <w:pPr>
              <w:pStyle w:val="47"/>
              <w:rPr>
                <w:b w:val="0"/>
                <w:bCs/>
                <w:color w:val="auto"/>
              </w:rPr>
            </w:pPr>
          </w:p>
        </w:tc>
        <w:tc>
          <w:tcPr>
            <w:tcW w:w="600" w:type="dxa"/>
          </w:tcPr>
          <w:p w14:paraId="7539138A">
            <w:pPr>
              <w:pStyle w:val="47"/>
              <w:rPr>
                <w:b w:val="0"/>
                <w:bCs/>
                <w:color w:val="auto"/>
              </w:rPr>
            </w:pPr>
          </w:p>
        </w:tc>
        <w:tc>
          <w:tcPr>
            <w:tcW w:w="690" w:type="dxa"/>
          </w:tcPr>
          <w:p w14:paraId="20C179F1">
            <w:pPr>
              <w:pStyle w:val="47"/>
              <w:rPr>
                <w:b w:val="0"/>
                <w:bCs/>
                <w:color w:val="auto"/>
              </w:rPr>
            </w:pPr>
          </w:p>
        </w:tc>
        <w:tc>
          <w:tcPr>
            <w:tcW w:w="1148" w:type="dxa"/>
          </w:tcPr>
          <w:p w14:paraId="73AFC265">
            <w:pPr>
              <w:pStyle w:val="47"/>
              <w:rPr>
                <w:b w:val="0"/>
                <w:bCs/>
                <w:color w:val="auto"/>
              </w:rPr>
            </w:pPr>
          </w:p>
        </w:tc>
        <w:tc>
          <w:tcPr>
            <w:tcW w:w="977" w:type="dxa"/>
          </w:tcPr>
          <w:p w14:paraId="2E08C523">
            <w:pPr>
              <w:pStyle w:val="47"/>
              <w:rPr>
                <w:b w:val="0"/>
                <w:bCs/>
                <w:color w:val="auto"/>
              </w:rPr>
            </w:pPr>
          </w:p>
        </w:tc>
        <w:tc>
          <w:tcPr>
            <w:tcW w:w="828" w:type="dxa"/>
            <w:tcBorders>
              <w:right w:val="single" w:color="auto" w:sz="4" w:space="0"/>
            </w:tcBorders>
          </w:tcPr>
          <w:p w14:paraId="6F33A7AA">
            <w:pPr>
              <w:pStyle w:val="47"/>
              <w:rPr>
                <w:b w:val="0"/>
                <w:bCs/>
                <w:color w:val="auto"/>
              </w:rPr>
            </w:pPr>
          </w:p>
        </w:tc>
        <w:tc>
          <w:tcPr>
            <w:tcW w:w="583" w:type="dxa"/>
            <w:tcBorders>
              <w:left w:val="single" w:color="auto" w:sz="4" w:space="0"/>
              <w:right w:val="single" w:color="auto" w:sz="4" w:space="0"/>
            </w:tcBorders>
          </w:tcPr>
          <w:p w14:paraId="5346F458">
            <w:pPr>
              <w:pStyle w:val="47"/>
              <w:rPr>
                <w:b w:val="0"/>
                <w:bCs/>
                <w:color w:val="auto"/>
              </w:rPr>
            </w:pPr>
          </w:p>
        </w:tc>
        <w:tc>
          <w:tcPr>
            <w:tcW w:w="501" w:type="dxa"/>
            <w:tcBorders>
              <w:left w:val="single" w:color="auto" w:sz="4" w:space="0"/>
            </w:tcBorders>
          </w:tcPr>
          <w:p w14:paraId="1F6DE762">
            <w:pPr>
              <w:pStyle w:val="47"/>
              <w:rPr>
                <w:b w:val="0"/>
                <w:bCs/>
                <w:color w:val="auto"/>
              </w:rPr>
            </w:pPr>
          </w:p>
        </w:tc>
        <w:tc>
          <w:tcPr>
            <w:tcW w:w="784" w:type="dxa"/>
          </w:tcPr>
          <w:p w14:paraId="2F254D68">
            <w:pPr>
              <w:pStyle w:val="47"/>
              <w:rPr>
                <w:b w:val="0"/>
                <w:bCs/>
                <w:color w:val="auto"/>
              </w:rPr>
            </w:pPr>
          </w:p>
        </w:tc>
      </w:tr>
      <w:tr w14:paraId="47E0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09FB4EFE">
            <w:pPr>
              <w:pStyle w:val="47"/>
              <w:spacing w:before="119"/>
              <w:jc w:val="center"/>
              <w:rPr>
                <w:rFonts w:hint="eastAsia"/>
                <w:b w:val="0"/>
                <w:bCs/>
                <w:color w:val="auto"/>
                <w:sz w:val="18"/>
                <w:lang w:val="en-US"/>
              </w:rPr>
            </w:pPr>
          </w:p>
        </w:tc>
        <w:tc>
          <w:tcPr>
            <w:tcW w:w="1749" w:type="dxa"/>
            <w:vAlign w:val="center"/>
          </w:tcPr>
          <w:p w14:paraId="0F839F13">
            <w:pPr>
              <w:jc w:val="center"/>
              <w:rPr>
                <w:rFonts w:ascii="Times New Roman" w:hAnsi="Times New Roman" w:cs="Times New Roman"/>
                <w:b w:val="0"/>
                <w:bCs/>
                <w:color w:val="auto"/>
                <w:sz w:val="18"/>
                <w:szCs w:val="18"/>
              </w:rPr>
            </w:pPr>
          </w:p>
        </w:tc>
        <w:tc>
          <w:tcPr>
            <w:tcW w:w="1422" w:type="dxa"/>
          </w:tcPr>
          <w:p w14:paraId="6ADAB1B5">
            <w:pPr>
              <w:pStyle w:val="47"/>
              <w:rPr>
                <w:b w:val="0"/>
                <w:bCs/>
                <w:color w:val="auto"/>
              </w:rPr>
            </w:pPr>
          </w:p>
        </w:tc>
        <w:tc>
          <w:tcPr>
            <w:tcW w:w="600" w:type="dxa"/>
          </w:tcPr>
          <w:p w14:paraId="23B8511D">
            <w:pPr>
              <w:pStyle w:val="47"/>
              <w:rPr>
                <w:b w:val="0"/>
                <w:bCs/>
                <w:color w:val="auto"/>
              </w:rPr>
            </w:pPr>
          </w:p>
        </w:tc>
        <w:tc>
          <w:tcPr>
            <w:tcW w:w="690" w:type="dxa"/>
          </w:tcPr>
          <w:p w14:paraId="4774293A">
            <w:pPr>
              <w:pStyle w:val="47"/>
              <w:rPr>
                <w:b w:val="0"/>
                <w:bCs/>
                <w:color w:val="auto"/>
              </w:rPr>
            </w:pPr>
          </w:p>
        </w:tc>
        <w:tc>
          <w:tcPr>
            <w:tcW w:w="1148" w:type="dxa"/>
          </w:tcPr>
          <w:p w14:paraId="2A69A202">
            <w:pPr>
              <w:pStyle w:val="47"/>
              <w:rPr>
                <w:b w:val="0"/>
                <w:bCs/>
                <w:color w:val="auto"/>
              </w:rPr>
            </w:pPr>
          </w:p>
        </w:tc>
        <w:tc>
          <w:tcPr>
            <w:tcW w:w="977" w:type="dxa"/>
          </w:tcPr>
          <w:p w14:paraId="1C9D76F0">
            <w:pPr>
              <w:pStyle w:val="47"/>
              <w:rPr>
                <w:b w:val="0"/>
                <w:bCs/>
                <w:color w:val="auto"/>
              </w:rPr>
            </w:pPr>
          </w:p>
        </w:tc>
        <w:tc>
          <w:tcPr>
            <w:tcW w:w="828" w:type="dxa"/>
            <w:tcBorders>
              <w:right w:val="single" w:color="auto" w:sz="4" w:space="0"/>
            </w:tcBorders>
          </w:tcPr>
          <w:p w14:paraId="222FC3A3">
            <w:pPr>
              <w:pStyle w:val="47"/>
              <w:rPr>
                <w:b w:val="0"/>
                <w:bCs/>
                <w:color w:val="auto"/>
              </w:rPr>
            </w:pPr>
          </w:p>
        </w:tc>
        <w:tc>
          <w:tcPr>
            <w:tcW w:w="583" w:type="dxa"/>
            <w:tcBorders>
              <w:left w:val="single" w:color="auto" w:sz="4" w:space="0"/>
              <w:right w:val="single" w:color="auto" w:sz="4" w:space="0"/>
            </w:tcBorders>
          </w:tcPr>
          <w:p w14:paraId="276EFFE9">
            <w:pPr>
              <w:pStyle w:val="47"/>
              <w:rPr>
                <w:b w:val="0"/>
                <w:bCs/>
                <w:color w:val="auto"/>
              </w:rPr>
            </w:pPr>
          </w:p>
        </w:tc>
        <w:tc>
          <w:tcPr>
            <w:tcW w:w="501" w:type="dxa"/>
            <w:tcBorders>
              <w:left w:val="single" w:color="auto" w:sz="4" w:space="0"/>
            </w:tcBorders>
          </w:tcPr>
          <w:p w14:paraId="701B2C98">
            <w:pPr>
              <w:pStyle w:val="47"/>
              <w:rPr>
                <w:b w:val="0"/>
                <w:bCs/>
                <w:color w:val="auto"/>
              </w:rPr>
            </w:pPr>
          </w:p>
        </w:tc>
        <w:tc>
          <w:tcPr>
            <w:tcW w:w="784" w:type="dxa"/>
          </w:tcPr>
          <w:p w14:paraId="3750C620">
            <w:pPr>
              <w:pStyle w:val="47"/>
              <w:rPr>
                <w:b w:val="0"/>
                <w:bCs/>
                <w:color w:val="auto"/>
              </w:rPr>
            </w:pPr>
          </w:p>
        </w:tc>
      </w:tr>
      <w:tr w14:paraId="0A07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7BAC02AE">
            <w:pPr>
              <w:pStyle w:val="47"/>
              <w:spacing w:before="119"/>
              <w:jc w:val="center"/>
              <w:rPr>
                <w:rFonts w:hint="eastAsia"/>
                <w:b w:val="0"/>
                <w:bCs/>
                <w:color w:val="auto"/>
                <w:sz w:val="18"/>
                <w:lang w:val="en-US"/>
              </w:rPr>
            </w:pPr>
          </w:p>
        </w:tc>
        <w:tc>
          <w:tcPr>
            <w:tcW w:w="1749" w:type="dxa"/>
            <w:vAlign w:val="center"/>
          </w:tcPr>
          <w:p w14:paraId="08EF962D">
            <w:pPr>
              <w:jc w:val="center"/>
              <w:rPr>
                <w:rFonts w:ascii="Times New Roman" w:hAnsi="Times New Roman" w:cs="Times New Roman"/>
                <w:b w:val="0"/>
                <w:bCs/>
                <w:color w:val="auto"/>
                <w:sz w:val="24"/>
                <w:szCs w:val="24"/>
              </w:rPr>
            </w:pPr>
          </w:p>
        </w:tc>
        <w:tc>
          <w:tcPr>
            <w:tcW w:w="1422" w:type="dxa"/>
          </w:tcPr>
          <w:p w14:paraId="050947BE">
            <w:pPr>
              <w:pStyle w:val="47"/>
              <w:rPr>
                <w:b w:val="0"/>
                <w:bCs/>
                <w:color w:val="auto"/>
              </w:rPr>
            </w:pPr>
          </w:p>
        </w:tc>
        <w:tc>
          <w:tcPr>
            <w:tcW w:w="600" w:type="dxa"/>
          </w:tcPr>
          <w:p w14:paraId="6A53B1D9">
            <w:pPr>
              <w:pStyle w:val="47"/>
              <w:rPr>
                <w:b w:val="0"/>
                <w:bCs/>
                <w:color w:val="auto"/>
              </w:rPr>
            </w:pPr>
          </w:p>
        </w:tc>
        <w:tc>
          <w:tcPr>
            <w:tcW w:w="690" w:type="dxa"/>
          </w:tcPr>
          <w:p w14:paraId="3B49987A">
            <w:pPr>
              <w:pStyle w:val="47"/>
              <w:rPr>
                <w:b w:val="0"/>
                <w:bCs/>
                <w:color w:val="auto"/>
              </w:rPr>
            </w:pPr>
          </w:p>
        </w:tc>
        <w:tc>
          <w:tcPr>
            <w:tcW w:w="1148" w:type="dxa"/>
          </w:tcPr>
          <w:p w14:paraId="11FB31DF">
            <w:pPr>
              <w:pStyle w:val="47"/>
              <w:rPr>
                <w:b w:val="0"/>
                <w:bCs/>
                <w:color w:val="auto"/>
              </w:rPr>
            </w:pPr>
          </w:p>
        </w:tc>
        <w:tc>
          <w:tcPr>
            <w:tcW w:w="977" w:type="dxa"/>
          </w:tcPr>
          <w:p w14:paraId="543A9261">
            <w:pPr>
              <w:pStyle w:val="47"/>
              <w:rPr>
                <w:b w:val="0"/>
                <w:bCs/>
                <w:color w:val="auto"/>
              </w:rPr>
            </w:pPr>
          </w:p>
        </w:tc>
        <w:tc>
          <w:tcPr>
            <w:tcW w:w="828" w:type="dxa"/>
            <w:tcBorders>
              <w:right w:val="single" w:color="auto" w:sz="4" w:space="0"/>
            </w:tcBorders>
          </w:tcPr>
          <w:p w14:paraId="08D2B596">
            <w:pPr>
              <w:pStyle w:val="47"/>
              <w:rPr>
                <w:b w:val="0"/>
                <w:bCs/>
                <w:color w:val="auto"/>
              </w:rPr>
            </w:pPr>
          </w:p>
        </w:tc>
        <w:tc>
          <w:tcPr>
            <w:tcW w:w="583" w:type="dxa"/>
            <w:tcBorders>
              <w:left w:val="single" w:color="auto" w:sz="4" w:space="0"/>
              <w:right w:val="single" w:color="auto" w:sz="4" w:space="0"/>
            </w:tcBorders>
          </w:tcPr>
          <w:p w14:paraId="3656E466">
            <w:pPr>
              <w:pStyle w:val="47"/>
              <w:rPr>
                <w:b w:val="0"/>
                <w:bCs/>
                <w:color w:val="auto"/>
              </w:rPr>
            </w:pPr>
          </w:p>
        </w:tc>
        <w:tc>
          <w:tcPr>
            <w:tcW w:w="501" w:type="dxa"/>
            <w:tcBorders>
              <w:left w:val="single" w:color="auto" w:sz="4" w:space="0"/>
            </w:tcBorders>
          </w:tcPr>
          <w:p w14:paraId="5AA82634">
            <w:pPr>
              <w:pStyle w:val="47"/>
              <w:rPr>
                <w:b w:val="0"/>
                <w:bCs/>
                <w:color w:val="auto"/>
              </w:rPr>
            </w:pPr>
          </w:p>
        </w:tc>
        <w:tc>
          <w:tcPr>
            <w:tcW w:w="784" w:type="dxa"/>
          </w:tcPr>
          <w:p w14:paraId="716E5600">
            <w:pPr>
              <w:pStyle w:val="47"/>
              <w:rPr>
                <w:b w:val="0"/>
                <w:bCs/>
                <w:color w:val="auto"/>
              </w:rPr>
            </w:pPr>
          </w:p>
        </w:tc>
      </w:tr>
      <w:tr w14:paraId="2957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533" w:type="dxa"/>
          </w:tcPr>
          <w:p w14:paraId="3A6D1CD3">
            <w:pPr>
              <w:pStyle w:val="47"/>
              <w:spacing w:before="119"/>
              <w:jc w:val="center"/>
              <w:rPr>
                <w:rFonts w:hint="eastAsia"/>
                <w:b w:val="0"/>
                <w:bCs/>
                <w:color w:val="auto"/>
                <w:sz w:val="18"/>
                <w:lang w:val="en-US"/>
              </w:rPr>
            </w:pPr>
          </w:p>
        </w:tc>
        <w:tc>
          <w:tcPr>
            <w:tcW w:w="1749" w:type="dxa"/>
            <w:vAlign w:val="center"/>
          </w:tcPr>
          <w:p w14:paraId="0AD8E3C4">
            <w:pPr>
              <w:jc w:val="center"/>
              <w:rPr>
                <w:rFonts w:ascii="Times New Roman" w:hAnsi="Times New Roman" w:cs="Times New Roman"/>
                <w:b w:val="0"/>
                <w:bCs/>
                <w:color w:val="auto"/>
                <w:sz w:val="24"/>
                <w:szCs w:val="24"/>
              </w:rPr>
            </w:pPr>
          </w:p>
        </w:tc>
        <w:tc>
          <w:tcPr>
            <w:tcW w:w="1422" w:type="dxa"/>
          </w:tcPr>
          <w:p w14:paraId="67EA4542">
            <w:pPr>
              <w:pStyle w:val="47"/>
              <w:rPr>
                <w:b w:val="0"/>
                <w:bCs/>
                <w:color w:val="auto"/>
              </w:rPr>
            </w:pPr>
          </w:p>
        </w:tc>
        <w:tc>
          <w:tcPr>
            <w:tcW w:w="600" w:type="dxa"/>
          </w:tcPr>
          <w:p w14:paraId="2B810388">
            <w:pPr>
              <w:pStyle w:val="47"/>
              <w:rPr>
                <w:b w:val="0"/>
                <w:bCs/>
                <w:color w:val="auto"/>
              </w:rPr>
            </w:pPr>
          </w:p>
        </w:tc>
        <w:tc>
          <w:tcPr>
            <w:tcW w:w="690" w:type="dxa"/>
          </w:tcPr>
          <w:p w14:paraId="5AA435DA">
            <w:pPr>
              <w:pStyle w:val="47"/>
              <w:rPr>
                <w:b w:val="0"/>
                <w:bCs/>
                <w:color w:val="auto"/>
              </w:rPr>
            </w:pPr>
          </w:p>
        </w:tc>
        <w:tc>
          <w:tcPr>
            <w:tcW w:w="1148" w:type="dxa"/>
          </w:tcPr>
          <w:p w14:paraId="5C26F1FC">
            <w:pPr>
              <w:pStyle w:val="47"/>
              <w:rPr>
                <w:b w:val="0"/>
                <w:bCs/>
                <w:color w:val="auto"/>
              </w:rPr>
            </w:pPr>
          </w:p>
        </w:tc>
        <w:tc>
          <w:tcPr>
            <w:tcW w:w="977" w:type="dxa"/>
          </w:tcPr>
          <w:p w14:paraId="2AE4DCF9">
            <w:pPr>
              <w:pStyle w:val="47"/>
              <w:rPr>
                <w:b w:val="0"/>
                <w:bCs/>
                <w:color w:val="auto"/>
              </w:rPr>
            </w:pPr>
          </w:p>
        </w:tc>
        <w:tc>
          <w:tcPr>
            <w:tcW w:w="828" w:type="dxa"/>
            <w:tcBorders>
              <w:right w:val="single" w:color="auto" w:sz="4" w:space="0"/>
            </w:tcBorders>
          </w:tcPr>
          <w:p w14:paraId="5113E426">
            <w:pPr>
              <w:pStyle w:val="47"/>
              <w:rPr>
                <w:b w:val="0"/>
                <w:bCs/>
                <w:color w:val="auto"/>
              </w:rPr>
            </w:pPr>
          </w:p>
        </w:tc>
        <w:tc>
          <w:tcPr>
            <w:tcW w:w="583" w:type="dxa"/>
            <w:tcBorders>
              <w:left w:val="single" w:color="auto" w:sz="4" w:space="0"/>
              <w:right w:val="single" w:color="auto" w:sz="4" w:space="0"/>
            </w:tcBorders>
          </w:tcPr>
          <w:p w14:paraId="6FC0221A">
            <w:pPr>
              <w:pStyle w:val="47"/>
              <w:rPr>
                <w:b w:val="0"/>
                <w:bCs/>
                <w:color w:val="auto"/>
              </w:rPr>
            </w:pPr>
          </w:p>
        </w:tc>
        <w:tc>
          <w:tcPr>
            <w:tcW w:w="501" w:type="dxa"/>
            <w:tcBorders>
              <w:left w:val="single" w:color="auto" w:sz="4" w:space="0"/>
            </w:tcBorders>
          </w:tcPr>
          <w:p w14:paraId="01AB569B">
            <w:pPr>
              <w:pStyle w:val="47"/>
              <w:rPr>
                <w:b w:val="0"/>
                <w:bCs/>
                <w:color w:val="auto"/>
              </w:rPr>
            </w:pPr>
          </w:p>
        </w:tc>
        <w:tc>
          <w:tcPr>
            <w:tcW w:w="784" w:type="dxa"/>
          </w:tcPr>
          <w:p w14:paraId="4E4AE0DF">
            <w:pPr>
              <w:pStyle w:val="47"/>
              <w:rPr>
                <w:b w:val="0"/>
                <w:bCs/>
                <w:color w:val="auto"/>
              </w:rPr>
            </w:pPr>
          </w:p>
        </w:tc>
      </w:tr>
      <w:tr w14:paraId="3E07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9815" w:type="dxa"/>
            <w:gridSpan w:val="11"/>
            <w:vAlign w:val="center"/>
          </w:tcPr>
          <w:p w14:paraId="0B3CBD33">
            <w:pPr>
              <w:pStyle w:val="43"/>
              <w:tabs>
                <w:tab w:val="left" w:pos="1840"/>
              </w:tabs>
              <w:spacing w:before="2" w:line="364" w:lineRule="auto"/>
              <w:ind w:left="0" w:firstLine="210" w:firstLineChars="100"/>
              <w:jc w:val="both"/>
              <w:rPr>
                <w:b w:val="0"/>
                <w:bCs/>
                <w:color w:val="auto"/>
                <w:sz w:val="21"/>
              </w:rPr>
            </w:pPr>
            <w:r>
              <w:rPr>
                <w:b w:val="0"/>
                <w:bCs/>
                <w:color w:val="auto"/>
                <w:sz w:val="21"/>
                <w:lang w:val="en-US"/>
              </w:rPr>
              <w:t>货物</w:t>
            </w:r>
            <w:r>
              <w:rPr>
                <w:b w:val="0"/>
                <w:bCs/>
                <w:color w:val="auto"/>
                <w:sz w:val="21"/>
              </w:rPr>
              <w:t>制造、</w:t>
            </w:r>
            <w:r>
              <w:rPr>
                <w:b w:val="0"/>
                <w:bCs/>
                <w:color w:val="auto"/>
                <w:sz w:val="21"/>
                <w:lang w:val="en-US"/>
              </w:rPr>
              <w:t>运输、包装、保险、后期服务、利润、税金</w:t>
            </w:r>
            <w:r>
              <w:rPr>
                <w:b w:val="0"/>
                <w:bCs/>
                <w:color w:val="auto"/>
                <w:sz w:val="21"/>
              </w:rPr>
              <w:t>及其它费用均含在</w:t>
            </w:r>
            <w:r>
              <w:rPr>
                <w:b w:val="0"/>
                <w:bCs/>
                <w:color w:val="auto"/>
                <w:sz w:val="21"/>
                <w:lang w:val="en-US"/>
              </w:rPr>
              <w:t>单项</w:t>
            </w:r>
            <w:r>
              <w:rPr>
                <w:b w:val="0"/>
                <w:bCs/>
                <w:color w:val="auto"/>
                <w:sz w:val="21"/>
              </w:rPr>
              <w:t>报价中。</w:t>
            </w:r>
          </w:p>
        </w:tc>
      </w:tr>
      <w:tr w14:paraId="61C8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trPr>
        <w:tc>
          <w:tcPr>
            <w:tcW w:w="9815" w:type="dxa"/>
            <w:gridSpan w:val="11"/>
          </w:tcPr>
          <w:p w14:paraId="6FCFE727">
            <w:pPr>
              <w:pStyle w:val="47"/>
              <w:tabs>
                <w:tab w:val="left" w:pos="3374"/>
                <w:tab w:val="left" w:pos="6115"/>
              </w:tabs>
              <w:spacing w:before="98"/>
              <w:ind w:firstLine="210" w:firstLineChars="100"/>
              <w:rPr>
                <w:b w:val="0"/>
                <w:bCs/>
                <w:color w:val="auto"/>
                <w:sz w:val="21"/>
              </w:rPr>
            </w:pPr>
            <w:r>
              <w:rPr>
                <w:b w:val="0"/>
                <w:bCs/>
                <w:color w:val="auto"/>
                <w:sz w:val="21"/>
              </w:rPr>
              <w:t>投标总报价：￥</w:t>
            </w:r>
            <w:r>
              <w:rPr>
                <w:b w:val="0"/>
                <w:bCs/>
                <w:color w:val="auto"/>
                <w:sz w:val="21"/>
              </w:rPr>
              <w:tab/>
            </w:r>
            <w:r>
              <w:rPr>
                <w:b w:val="0"/>
                <w:bCs/>
                <w:color w:val="auto"/>
                <w:sz w:val="21"/>
              </w:rPr>
              <w:t>元（大写：</w:t>
            </w:r>
            <w:r>
              <w:rPr>
                <w:b w:val="0"/>
                <w:bCs/>
                <w:color w:val="auto"/>
                <w:sz w:val="21"/>
              </w:rPr>
              <w:tab/>
            </w:r>
            <w:r>
              <w:rPr>
                <w:b w:val="0"/>
                <w:bCs/>
                <w:color w:val="auto"/>
                <w:sz w:val="21"/>
              </w:rPr>
              <w:t>）</w:t>
            </w:r>
          </w:p>
        </w:tc>
      </w:tr>
    </w:tbl>
    <w:p w14:paraId="67D65361">
      <w:pPr>
        <w:spacing w:before="80"/>
        <w:ind w:firstLine="240" w:firstLineChars="100"/>
        <w:rPr>
          <w:rFonts w:ascii="Times New Roman" w:hAnsi="Times New Roman" w:cs="Times New Roman"/>
          <w:color w:val="auto"/>
          <w:kern w:val="2"/>
          <w:sz w:val="24"/>
          <w:lang w:val="en-US" w:bidi="ar-SA"/>
        </w:rPr>
      </w:pPr>
      <w:r>
        <w:rPr>
          <w:rFonts w:ascii="Times New Roman" w:cs="Times New Roman"/>
          <w:b w:val="0"/>
          <w:bCs/>
          <w:color w:val="auto"/>
          <w:kern w:val="2"/>
          <w:sz w:val="24"/>
          <w:lang w:val="en-US" w:bidi="ar-SA"/>
        </w:rPr>
        <w:t>注：此表需详列投标的每种产品</w:t>
      </w:r>
      <w:r>
        <w:rPr>
          <w:rFonts w:hint="eastAsia" w:ascii="Times New Roman" w:cs="Times New Roman"/>
          <w:b w:val="0"/>
          <w:bCs/>
          <w:color w:val="auto"/>
          <w:kern w:val="2"/>
          <w:sz w:val="24"/>
          <w:lang w:val="en-US" w:bidi="ar-SA"/>
        </w:rPr>
        <w:t>，此表可按投标人实际情况</w:t>
      </w:r>
      <w:r>
        <w:rPr>
          <w:rFonts w:hint="eastAsia" w:ascii="Times New Roman" w:cs="Times New Roman"/>
          <w:color w:val="auto"/>
          <w:kern w:val="2"/>
          <w:sz w:val="24"/>
          <w:lang w:val="en-US" w:bidi="ar-SA"/>
        </w:rPr>
        <w:t>修改填写</w:t>
      </w:r>
      <w:r>
        <w:rPr>
          <w:rFonts w:ascii="Times New Roman" w:cs="Times New Roman"/>
          <w:color w:val="auto"/>
          <w:kern w:val="2"/>
          <w:sz w:val="24"/>
          <w:lang w:val="en-US" w:bidi="ar-SA"/>
        </w:rPr>
        <w:t>。</w:t>
      </w:r>
    </w:p>
    <w:p w14:paraId="2E574AC1">
      <w:pPr>
        <w:pStyle w:val="46"/>
        <w:tabs>
          <w:tab w:val="left" w:pos="750"/>
        </w:tabs>
        <w:adjustRightInd w:val="0"/>
        <w:snapToGrid w:val="0"/>
        <w:spacing w:line="400" w:lineRule="exact"/>
        <w:ind w:firstLine="660" w:firstLineChars="300"/>
        <w:rPr>
          <w:color w:val="auto"/>
          <w:kern w:val="0"/>
          <w:sz w:val="22"/>
          <w:szCs w:val="18"/>
          <w:lang w:val="zh-CN"/>
        </w:rPr>
      </w:pPr>
      <w:r>
        <w:rPr>
          <w:rFonts w:hAnsi="宋体"/>
          <w:color w:val="auto"/>
          <w:kern w:val="0"/>
          <w:sz w:val="22"/>
          <w:szCs w:val="18"/>
          <w:lang w:val="zh-CN"/>
        </w:rPr>
        <w:t>表后所附资料</w:t>
      </w:r>
      <w:r>
        <w:rPr>
          <w:rFonts w:hAnsi="宋体"/>
          <w:color w:val="auto"/>
          <w:sz w:val="24"/>
        </w:rPr>
        <w:t>可以是文字资料、图纸和数据，并提供：</w:t>
      </w:r>
    </w:p>
    <w:p w14:paraId="12F6169D">
      <w:pPr>
        <w:topLinePunct/>
        <w:spacing w:line="400" w:lineRule="exact"/>
        <w:ind w:firstLine="660" w:firstLineChars="300"/>
        <w:rPr>
          <w:rFonts w:ascii="Times New Roman" w:hAnsi="Times New Roman" w:cs="Times New Roman"/>
          <w:color w:val="auto"/>
          <w:szCs w:val="18"/>
        </w:rPr>
      </w:pPr>
      <w:r>
        <w:rPr>
          <w:rFonts w:ascii="Times New Roman" w:cs="Times New Roman"/>
          <w:color w:val="auto"/>
          <w:szCs w:val="18"/>
        </w:rPr>
        <w:t>（</w:t>
      </w:r>
      <w:r>
        <w:rPr>
          <w:rFonts w:ascii="Times New Roman" w:hAnsi="Times New Roman" w:cs="Times New Roman"/>
          <w:color w:val="auto"/>
          <w:szCs w:val="18"/>
        </w:rPr>
        <w:t>1</w:t>
      </w:r>
      <w:r>
        <w:rPr>
          <w:rFonts w:ascii="Times New Roman" w:cs="Times New Roman"/>
          <w:color w:val="auto"/>
          <w:szCs w:val="18"/>
        </w:rPr>
        <w:t>）货物主要技术及性能特点的详细描述；</w:t>
      </w:r>
    </w:p>
    <w:p w14:paraId="4BBEE29E">
      <w:pPr>
        <w:topLinePunct/>
        <w:spacing w:line="400" w:lineRule="exact"/>
        <w:ind w:firstLine="660" w:firstLineChars="300"/>
        <w:rPr>
          <w:rFonts w:ascii="Times New Roman" w:hAnsi="Times New Roman" w:cs="Times New Roman"/>
          <w:color w:val="auto"/>
          <w:szCs w:val="18"/>
        </w:rPr>
      </w:pPr>
      <w:r>
        <w:rPr>
          <w:rFonts w:ascii="Times New Roman" w:cs="Times New Roman"/>
          <w:color w:val="auto"/>
          <w:szCs w:val="18"/>
        </w:rPr>
        <w:t>（</w:t>
      </w:r>
      <w:r>
        <w:rPr>
          <w:rFonts w:ascii="Times New Roman" w:hAnsi="Times New Roman" w:cs="Times New Roman"/>
          <w:color w:val="auto"/>
          <w:szCs w:val="18"/>
        </w:rPr>
        <w:t>2</w:t>
      </w:r>
      <w:r>
        <w:rPr>
          <w:rFonts w:ascii="Times New Roman" w:cs="Times New Roman"/>
          <w:color w:val="auto"/>
          <w:szCs w:val="18"/>
        </w:rPr>
        <w:t>）货物的详细资料，包括检验报告等；</w:t>
      </w:r>
    </w:p>
    <w:p w14:paraId="2FFE79B3">
      <w:pPr>
        <w:pStyle w:val="14"/>
        <w:ind w:left="0"/>
        <w:rPr>
          <w:b/>
          <w:color w:val="auto"/>
          <w:sz w:val="25"/>
        </w:rPr>
      </w:pPr>
    </w:p>
    <w:p w14:paraId="293B4DAB">
      <w:pPr>
        <w:pStyle w:val="14"/>
        <w:ind w:left="0"/>
        <w:rPr>
          <w:b/>
          <w:color w:val="auto"/>
          <w:sz w:val="25"/>
        </w:rPr>
      </w:pPr>
    </w:p>
    <w:p w14:paraId="42D269DE">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投标人名称（盖章）：</w:t>
      </w:r>
      <w:r>
        <w:rPr>
          <w:b w:val="0"/>
          <w:bCs/>
          <w:color w:val="auto"/>
          <w:kern w:val="0"/>
          <w:sz w:val="24"/>
          <w:u w:val="single"/>
          <w:lang w:bidi="zh-CN"/>
        </w:rPr>
        <w:t xml:space="preserve">                 </w:t>
      </w:r>
      <w:r>
        <w:rPr>
          <w:b w:val="0"/>
          <w:bCs/>
          <w:color w:val="auto"/>
          <w:kern w:val="0"/>
          <w:sz w:val="24"/>
          <w:lang w:val="zh-CN" w:bidi="zh-CN"/>
        </w:rPr>
        <w:t xml:space="preserve">                        </w:t>
      </w:r>
    </w:p>
    <w:p w14:paraId="4E810C16">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法定代表人或委托代理人签字（或盖章）：</w:t>
      </w:r>
      <w:r>
        <w:rPr>
          <w:b w:val="0"/>
          <w:bCs/>
          <w:color w:val="auto"/>
          <w:kern w:val="0"/>
          <w:sz w:val="24"/>
          <w:u w:val="single"/>
          <w:lang w:bidi="zh-CN"/>
        </w:rPr>
        <w:t xml:space="preserve">                 </w:t>
      </w:r>
      <w:r>
        <w:rPr>
          <w:b w:val="0"/>
          <w:bCs/>
          <w:color w:val="auto"/>
          <w:kern w:val="0"/>
          <w:sz w:val="24"/>
          <w:lang w:val="zh-CN" w:bidi="zh-CN"/>
        </w:rPr>
        <w:t xml:space="preserve">                        </w:t>
      </w:r>
    </w:p>
    <w:p w14:paraId="0330F020">
      <w:pPr>
        <w:pStyle w:val="46"/>
        <w:tabs>
          <w:tab w:val="left" w:pos="750"/>
        </w:tabs>
        <w:adjustRightInd w:val="0"/>
        <w:snapToGrid w:val="0"/>
        <w:spacing w:line="480" w:lineRule="auto"/>
        <w:ind w:firstLine="5760" w:firstLineChars="2400"/>
        <w:rPr>
          <w:rFonts w:hAnsi="宋体"/>
          <w:b w:val="0"/>
          <w:bCs/>
          <w:color w:val="auto"/>
          <w:kern w:val="0"/>
          <w:sz w:val="24"/>
          <w:lang w:val="zh-CN" w:bidi="zh-CN"/>
        </w:rPr>
      </w:pPr>
      <w:r>
        <w:rPr>
          <w:rFonts w:hAnsi="宋体"/>
          <w:b w:val="0"/>
          <w:bCs/>
          <w:color w:val="auto"/>
          <w:kern w:val="0"/>
          <w:sz w:val="24"/>
          <w:lang w:val="zh-CN" w:bidi="zh-CN"/>
        </w:rPr>
        <w:t>日期：</w:t>
      </w:r>
      <w:r>
        <w:rPr>
          <w:b w:val="0"/>
          <w:bCs/>
          <w:color w:val="auto"/>
          <w:kern w:val="0"/>
          <w:sz w:val="24"/>
          <w:lang w:val="zh-CN" w:bidi="zh-CN"/>
        </w:rPr>
        <w:t xml:space="preserve"> </w:t>
      </w:r>
      <w:r>
        <w:rPr>
          <w:b w:val="0"/>
          <w:bCs/>
          <w:color w:val="auto"/>
          <w:kern w:val="0"/>
          <w:sz w:val="24"/>
          <w:u w:val="single"/>
          <w:lang w:val="zh-CN" w:bidi="zh-CN"/>
        </w:rPr>
        <w:t xml:space="preserve">    </w:t>
      </w:r>
      <w:r>
        <w:rPr>
          <w:b w:val="0"/>
          <w:bCs/>
          <w:color w:val="auto"/>
          <w:kern w:val="0"/>
          <w:sz w:val="24"/>
          <w:lang w:val="zh-CN" w:bidi="zh-CN"/>
        </w:rPr>
        <w:t xml:space="preserve"> </w:t>
      </w:r>
      <w:r>
        <w:rPr>
          <w:rFonts w:hAnsi="宋体"/>
          <w:b w:val="0"/>
          <w:bCs/>
          <w:color w:val="auto"/>
          <w:kern w:val="0"/>
          <w:sz w:val="24"/>
          <w:lang w:val="zh-CN" w:bidi="zh-CN"/>
        </w:rPr>
        <w:t>年</w:t>
      </w:r>
      <w:r>
        <w:rPr>
          <w:b w:val="0"/>
          <w:bCs/>
          <w:color w:val="auto"/>
          <w:kern w:val="0"/>
          <w:sz w:val="24"/>
          <w:u w:val="single"/>
          <w:lang w:val="zh-CN" w:bidi="zh-CN"/>
        </w:rPr>
        <w:t xml:space="preserve">    </w:t>
      </w:r>
      <w:r>
        <w:rPr>
          <w:rFonts w:hAnsi="宋体"/>
          <w:b w:val="0"/>
          <w:bCs/>
          <w:color w:val="auto"/>
          <w:kern w:val="0"/>
          <w:sz w:val="24"/>
          <w:lang w:val="zh-CN" w:bidi="zh-CN"/>
        </w:rPr>
        <w:t>月</w:t>
      </w:r>
      <w:r>
        <w:rPr>
          <w:b w:val="0"/>
          <w:bCs/>
          <w:color w:val="auto"/>
          <w:kern w:val="0"/>
          <w:sz w:val="24"/>
          <w:u w:val="single"/>
          <w:lang w:val="zh-CN" w:bidi="zh-CN"/>
        </w:rPr>
        <w:t xml:space="preserve">     </w:t>
      </w:r>
      <w:r>
        <w:rPr>
          <w:rFonts w:hAnsi="宋体"/>
          <w:b w:val="0"/>
          <w:bCs/>
          <w:color w:val="auto"/>
          <w:kern w:val="0"/>
          <w:sz w:val="24"/>
          <w:lang w:val="zh-CN" w:bidi="zh-CN"/>
        </w:rPr>
        <w:t>日</w:t>
      </w:r>
    </w:p>
    <w:p w14:paraId="2FD7EE2C">
      <w:pPr>
        <w:pStyle w:val="46"/>
        <w:tabs>
          <w:tab w:val="left" w:pos="750"/>
        </w:tabs>
        <w:adjustRightInd w:val="0"/>
        <w:snapToGrid w:val="0"/>
        <w:spacing w:line="480" w:lineRule="auto"/>
        <w:ind w:firstLine="5760" w:firstLineChars="2400"/>
        <w:rPr>
          <w:rFonts w:hAnsi="宋体"/>
          <w:b w:val="0"/>
          <w:bCs/>
          <w:color w:val="auto"/>
          <w:kern w:val="0"/>
          <w:sz w:val="24"/>
          <w:lang w:val="zh-CN" w:bidi="zh-CN"/>
        </w:rPr>
      </w:pPr>
    </w:p>
    <w:p w14:paraId="58AD4BA8">
      <w:pPr>
        <w:spacing w:before="58"/>
        <w:jc w:val="center"/>
        <w:rPr>
          <w:b w:val="0"/>
          <w:bCs/>
          <w:color w:val="auto"/>
          <w:sz w:val="24"/>
          <w:u w:val="single"/>
          <w:lang w:val="en-US"/>
        </w:rPr>
      </w:pPr>
      <w:r>
        <w:rPr>
          <w:b w:val="0"/>
          <w:bCs/>
          <w:color w:val="auto"/>
          <w:sz w:val="24"/>
        </w:rPr>
        <w:br w:type="page"/>
      </w:r>
      <w:r>
        <w:rPr>
          <w:rFonts w:hint="eastAsia"/>
          <w:b w:val="0"/>
          <w:bCs/>
          <w:color w:val="auto"/>
          <w:sz w:val="30"/>
        </w:rPr>
        <w:t>核心</w:t>
      </w:r>
      <w:r>
        <w:rPr>
          <w:rFonts w:hint="eastAsia"/>
          <w:b w:val="0"/>
          <w:bCs/>
          <w:color w:val="auto"/>
          <w:sz w:val="30"/>
          <w:lang w:val="en-US"/>
        </w:rPr>
        <w:t>产品品牌型号一览表</w:t>
      </w:r>
    </w:p>
    <w:p w14:paraId="7FB1AABF">
      <w:pPr>
        <w:rPr>
          <w:b w:val="0"/>
          <w:bCs/>
          <w:color w:val="auto"/>
          <w:sz w:val="24"/>
        </w:rPr>
      </w:pPr>
      <w:r>
        <w:rPr>
          <w:rFonts w:hint="eastAsia"/>
          <w:b w:val="0"/>
          <w:bCs/>
          <w:color w:val="auto"/>
          <w:sz w:val="24"/>
        </w:rPr>
        <w:t xml:space="preserve">投标人名称：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363"/>
        <w:gridCol w:w="1663"/>
        <w:gridCol w:w="1533"/>
        <w:gridCol w:w="1696"/>
        <w:gridCol w:w="1618"/>
      </w:tblGrid>
      <w:tr w14:paraId="274E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51" w:type="dxa"/>
            <w:vAlign w:val="center"/>
          </w:tcPr>
          <w:p w14:paraId="270E46DD">
            <w:pPr>
              <w:jc w:val="center"/>
              <w:rPr>
                <w:b w:val="0"/>
                <w:bCs/>
                <w:color w:val="auto"/>
                <w:sz w:val="24"/>
              </w:rPr>
            </w:pPr>
            <w:r>
              <w:rPr>
                <w:rFonts w:hint="eastAsia"/>
                <w:b w:val="0"/>
                <w:bCs/>
                <w:color w:val="auto"/>
                <w:sz w:val="24"/>
              </w:rPr>
              <w:t>序号</w:t>
            </w:r>
          </w:p>
        </w:tc>
        <w:tc>
          <w:tcPr>
            <w:tcW w:w="2363" w:type="dxa"/>
            <w:vAlign w:val="center"/>
          </w:tcPr>
          <w:p w14:paraId="721FDCDC">
            <w:pPr>
              <w:jc w:val="center"/>
              <w:rPr>
                <w:b w:val="0"/>
                <w:bCs/>
                <w:color w:val="auto"/>
                <w:sz w:val="24"/>
              </w:rPr>
            </w:pPr>
            <w:r>
              <w:rPr>
                <w:rFonts w:hint="eastAsia"/>
                <w:b w:val="0"/>
                <w:bCs/>
                <w:color w:val="auto"/>
                <w:sz w:val="24"/>
              </w:rPr>
              <w:t>产品名称</w:t>
            </w:r>
          </w:p>
        </w:tc>
        <w:tc>
          <w:tcPr>
            <w:tcW w:w="1663" w:type="dxa"/>
            <w:vAlign w:val="center"/>
          </w:tcPr>
          <w:p w14:paraId="35AE6EA3">
            <w:pPr>
              <w:jc w:val="center"/>
              <w:rPr>
                <w:rFonts w:hint="eastAsia"/>
                <w:b w:val="0"/>
                <w:bCs/>
                <w:color w:val="auto"/>
                <w:sz w:val="24"/>
              </w:rPr>
            </w:pPr>
            <w:r>
              <w:rPr>
                <w:rFonts w:hint="eastAsia"/>
                <w:b w:val="0"/>
                <w:bCs/>
                <w:color w:val="auto"/>
                <w:sz w:val="24"/>
              </w:rPr>
              <w:t>品牌</w:t>
            </w:r>
          </w:p>
        </w:tc>
        <w:tc>
          <w:tcPr>
            <w:tcW w:w="1533" w:type="dxa"/>
            <w:vAlign w:val="center"/>
          </w:tcPr>
          <w:p w14:paraId="0129203D">
            <w:pPr>
              <w:jc w:val="center"/>
              <w:rPr>
                <w:b w:val="0"/>
                <w:bCs/>
                <w:color w:val="auto"/>
                <w:sz w:val="24"/>
              </w:rPr>
            </w:pPr>
            <w:r>
              <w:rPr>
                <w:rFonts w:hint="eastAsia"/>
                <w:b w:val="0"/>
                <w:bCs/>
                <w:color w:val="auto"/>
                <w:sz w:val="24"/>
              </w:rPr>
              <w:t>规格型号</w:t>
            </w:r>
          </w:p>
        </w:tc>
        <w:tc>
          <w:tcPr>
            <w:tcW w:w="1696" w:type="dxa"/>
            <w:vAlign w:val="center"/>
          </w:tcPr>
          <w:p w14:paraId="28DC2AF8">
            <w:pPr>
              <w:jc w:val="center"/>
              <w:rPr>
                <w:rFonts w:hint="eastAsia"/>
                <w:b w:val="0"/>
                <w:bCs/>
                <w:color w:val="auto"/>
                <w:sz w:val="24"/>
              </w:rPr>
            </w:pPr>
            <w:r>
              <w:rPr>
                <w:rFonts w:hint="eastAsia"/>
                <w:b w:val="0"/>
                <w:bCs/>
                <w:color w:val="auto"/>
                <w:sz w:val="24"/>
              </w:rPr>
              <w:t>制造商</w:t>
            </w:r>
          </w:p>
        </w:tc>
        <w:tc>
          <w:tcPr>
            <w:tcW w:w="1618" w:type="dxa"/>
            <w:vAlign w:val="center"/>
          </w:tcPr>
          <w:p w14:paraId="0049AE20">
            <w:pPr>
              <w:jc w:val="center"/>
              <w:rPr>
                <w:b w:val="0"/>
                <w:bCs/>
                <w:color w:val="auto"/>
                <w:sz w:val="24"/>
              </w:rPr>
            </w:pPr>
            <w:r>
              <w:rPr>
                <w:rFonts w:hint="eastAsia"/>
                <w:b w:val="0"/>
                <w:bCs/>
                <w:color w:val="auto"/>
                <w:sz w:val="24"/>
              </w:rPr>
              <w:t>产地</w:t>
            </w:r>
          </w:p>
        </w:tc>
      </w:tr>
      <w:tr w14:paraId="475C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951" w:type="dxa"/>
            <w:vAlign w:val="center"/>
          </w:tcPr>
          <w:p w14:paraId="18187869">
            <w:pPr>
              <w:jc w:val="center"/>
              <w:rPr>
                <w:b w:val="0"/>
                <w:bCs/>
                <w:color w:val="auto"/>
                <w:sz w:val="24"/>
              </w:rPr>
            </w:pPr>
            <w:r>
              <w:rPr>
                <w:b w:val="0"/>
                <w:bCs/>
                <w:color w:val="auto"/>
                <w:sz w:val="24"/>
              </w:rPr>
              <w:t>1</w:t>
            </w:r>
          </w:p>
        </w:tc>
        <w:tc>
          <w:tcPr>
            <w:tcW w:w="2363" w:type="dxa"/>
            <w:vAlign w:val="center"/>
          </w:tcPr>
          <w:p w14:paraId="4987B1D0">
            <w:pPr>
              <w:jc w:val="center"/>
              <w:rPr>
                <w:rFonts w:hint="eastAsia"/>
                <w:b w:val="0"/>
                <w:bCs/>
                <w:color w:val="auto"/>
                <w:sz w:val="24"/>
                <w:szCs w:val="24"/>
              </w:rPr>
            </w:pPr>
          </w:p>
        </w:tc>
        <w:tc>
          <w:tcPr>
            <w:tcW w:w="1663" w:type="dxa"/>
            <w:vAlign w:val="center"/>
          </w:tcPr>
          <w:p w14:paraId="5D6A3756">
            <w:pPr>
              <w:jc w:val="center"/>
              <w:rPr>
                <w:b w:val="0"/>
                <w:bCs/>
                <w:color w:val="auto"/>
                <w:sz w:val="24"/>
              </w:rPr>
            </w:pPr>
          </w:p>
        </w:tc>
        <w:tc>
          <w:tcPr>
            <w:tcW w:w="1533" w:type="dxa"/>
            <w:vAlign w:val="center"/>
          </w:tcPr>
          <w:p w14:paraId="298DD404">
            <w:pPr>
              <w:jc w:val="center"/>
              <w:rPr>
                <w:b w:val="0"/>
                <w:bCs/>
                <w:color w:val="auto"/>
                <w:sz w:val="24"/>
              </w:rPr>
            </w:pPr>
          </w:p>
        </w:tc>
        <w:tc>
          <w:tcPr>
            <w:tcW w:w="1696" w:type="dxa"/>
            <w:vAlign w:val="center"/>
          </w:tcPr>
          <w:p w14:paraId="37F12289">
            <w:pPr>
              <w:jc w:val="center"/>
              <w:rPr>
                <w:b w:val="0"/>
                <w:bCs/>
                <w:color w:val="auto"/>
                <w:sz w:val="24"/>
              </w:rPr>
            </w:pPr>
          </w:p>
        </w:tc>
        <w:tc>
          <w:tcPr>
            <w:tcW w:w="1618" w:type="dxa"/>
            <w:vAlign w:val="center"/>
          </w:tcPr>
          <w:p w14:paraId="35437B6C">
            <w:pPr>
              <w:jc w:val="center"/>
              <w:rPr>
                <w:b w:val="0"/>
                <w:bCs/>
                <w:color w:val="auto"/>
                <w:sz w:val="24"/>
              </w:rPr>
            </w:pPr>
          </w:p>
        </w:tc>
      </w:tr>
    </w:tbl>
    <w:p w14:paraId="1908BCBB">
      <w:pPr>
        <w:pStyle w:val="21"/>
        <w:pBdr>
          <w:bottom w:val="none" w:color="auto" w:sz="0" w:space="0"/>
        </w:pBdr>
        <w:tabs>
          <w:tab w:val="left" w:pos="420"/>
        </w:tabs>
        <w:snapToGrid/>
        <w:spacing w:line="400" w:lineRule="exact"/>
        <w:jc w:val="both"/>
        <w:rPr>
          <w:rFonts w:ascii="宋体" w:hAnsi="宋体"/>
          <w:b w:val="0"/>
          <w:bCs/>
          <w:color w:val="auto"/>
          <w:sz w:val="21"/>
          <w:szCs w:val="21"/>
        </w:rPr>
      </w:pPr>
    </w:p>
    <w:p w14:paraId="576856F2">
      <w:pPr>
        <w:pStyle w:val="21"/>
        <w:pBdr>
          <w:bottom w:val="none" w:color="auto" w:sz="0" w:space="0"/>
        </w:pBdr>
        <w:tabs>
          <w:tab w:val="left" w:pos="420"/>
        </w:tabs>
        <w:snapToGrid/>
        <w:spacing w:line="400" w:lineRule="exact"/>
        <w:ind w:left="630" w:hanging="630" w:hangingChars="300"/>
        <w:jc w:val="both"/>
        <w:rPr>
          <w:rFonts w:ascii="宋体" w:hAnsi="宋体"/>
          <w:b w:val="0"/>
          <w:bCs/>
          <w:color w:val="auto"/>
          <w:sz w:val="24"/>
          <w:u w:val="single"/>
        </w:rPr>
      </w:pPr>
      <w:r>
        <w:rPr>
          <w:rFonts w:hint="eastAsia" w:ascii="宋体" w:hAnsi="宋体"/>
          <w:b w:val="0"/>
          <w:bCs/>
          <w:color w:val="auto"/>
          <w:sz w:val="21"/>
          <w:szCs w:val="21"/>
        </w:rPr>
        <w:t>注：1. 此表中的信息应予报价明细表中的信息一致，否则按废标处理。</w:t>
      </w:r>
    </w:p>
    <w:p w14:paraId="6E5F0495">
      <w:pPr>
        <w:spacing w:line="360" w:lineRule="exact"/>
        <w:rPr>
          <w:b w:val="0"/>
          <w:bCs/>
          <w:color w:val="auto"/>
          <w:sz w:val="24"/>
        </w:rPr>
      </w:pPr>
      <w:r>
        <w:rPr>
          <w:rFonts w:hint="eastAsia"/>
          <w:b w:val="0"/>
          <w:bCs/>
          <w:color w:val="auto"/>
          <w:sz w:val="24"/>
        </w:rPr>
        <w:t xml:space="preserve">                                   </w:t>
      </w:r>
    </w:p>
    <w:p w14:paraId="7F90C4E7">
      <w:pPr>
        <w:spacing w:line="360" w:lineRule="exact"/>
        <w:rPr>
          <w:b w:val="0"/>
          <w:bCs/>
          <w:color w:val="auto"/>
          <w:sz w:val="24"/>
        </w:rPr>
      </w:pPr>
      <w:r>
        <w:rPr>
          <w:rFonts w:hint="eastAsia"/>
          <w:b w:val="0"/>
          <w:bCs/>
          <w:color w:val="auto"/>
          <w:sz w:val="24"/>
        </w:rPr>
        <w:t xml:space="preserve">                                    投标单位：（盖章）</w:t>
      </w:r>
    </w:p>
    <w:p w14:paraId="655CD9B7">
      <w:pPr>
        <w:pStyle w:val="49"/>
        <w:widowControl w:val="0"/>
        <w:spacing w:line="360" w:lineRule="exact"/>
        <w:rPr>
          <w:b w:val="0"/>
          <w:bCs/>
          <w:color w:val="auto"/>
          <w:szCs w:val="24"/>
        </w:rPr>
      </w:pPr>
    </w:p>
    <w:p w14:paraId="51BA5DA7">
      <w:pPr>
        <w:pStyle w:val="49"/>
        <w:widowControl w:val="0"/>
        <w:spacing w:line="360" w:lineRule="exact"/>
        <w:rPr>
          <w:b w:val="0"/>
          <w:bCs/>
          <w:color w:val="auto"/>
          <w:szCs w:val="24"/>
        </w:rPr>
      </w:pPr>
      <w:r>
        <w:rPr>
          <w:rFonts w:hint="eastAsia"/>
          <w:b w:val="0"/>
          <w:bCs/>
          <w:color w:val="auto"/>
          <w:szCs w:val="24"/>
        </w:rPr>
        <w:t xml:space="preserve">                                    法定代表人或授权代理人：（签字或盖章）    </w:t>
      </w:r>
    </w:p>
    <w:p w14:paraId="5185ECF3">
      <w:pPr>
        <w:pStyle w:val="49"/>
        <w:widowControl w:val="0"/>
        <w:spacing w:line="360" w:lineRule="exact"/>
        <w:rPr>
          <w:b w:val="0"/>
          <w:bCs/>
          <w:color w:val="auto"/>
          <w:szCs w:val="24"/>
        </w:rPr>
      </w:pPr>
    </w:p>
    <w:p w14:paraId="007DAFC0">
      <w:pPr>
        <w:pStyle w:val="49"/>
        <w:widowControl w:val="0"/>
        <w:spacing w:line="360" w:lineRule="exact"/>
        <w:rPr>
          <w:rFonts w:hint="eastAsia"/>
          <w:b w:val="0"/>
          <w:bCs/>
          <w:color w:val="auto"/>
          <w:szCs w:val="24"/>
        </w:rPr>
      </w:pPr>
      <w:r>
        <w:rPr>
          <w:rFonts w:hint="eastAsia"/>
          <w:b w:val="0"/>
          <w:bCs/>
          <w:color w:val="auto"/>
          <w:szCs w:val="24"/>
        </w:rPr>
        <w:t xml:space="preserve">                                             年    月   日</w:t>
      </w:r>
    </w:p>
    <w:p w14:paraId="0EBD2352">
      <w:pPr>
        <w:pStyle w:val="49"/>
        <w:widowControl w:val="0"/>
        <w:spacing w:line="360" w:lineRule="exact"/>
        <w:rPr>
          <w:rFonts w:hint="eastAsia"/>
          <w:b w:val="0"/>
          <w:bCs/>
          <w:color w:val="auto"/>
          <w:szCs w:val="24"/>
        </w:rPr>
      </w:pPr>
    </w:p>
    <w:p w14:paraId="05EB5D2A">
      <w:pPr>
        <w:pStyle w:val="49"/>
        <w:widowControl w:val="0"/>
        <w:spacing w:line="360" w:lineRule="exact"/>
        <w:rPr>
          <w:rFonts w:hint="eastAsia"/>
          <w:b w:val="0"/>
          <w:bCs/>
          <w:color w:val="auto"/>
          <w:szCs w:val="24"/>
        </w:rPr>
      </w:pPr>
    </w:p>
    <w:p w14:paraId="7AEDE517">
      <w:pPr>
        <w:pStyle w:val="49"/>
        <w:widowControl w:val="0"/>
        <w:spacing w:line="360" w:lineRule="exact"/>
        <w:rPr>
          <w:rFonts w:hint="eastAsia"/>
          <w:b w:val="0"/>
          <w:bCs/>
          <w:color w:val="auto"/>
          <w:szCs w:val="24"/>
        </w:rPr>
      </w:pPr>
    </w:p>
    <w:p w14:paraId="210FE441">
      <w:pPr>
        <w:spacing w:before="58"/>
        <w:jc w:val="center"/>
        <w:rPr>
          <w:rFonts w:ascii="Times New Roman" w:hAnsi="Times New Roman" w:cs="Times New Roman"/>
          <w:b w:val="0"/>
          <w:bCs/>
          <w:color w:val="auto"/>
          <w:sz w:val="30"/>
          <w:lang w:val="en-US"/>
        </w:rPr>
      </w:pPr>
      <w:r>
        <w:rPr>
          <w:rFonts w:ascii="Times New Roman" w:cs="Times New Roman"/>
          <w:b w:val="0"/>
          <w:bCs/>
          <w:color w:val="auto"/>
          <w:sz w:val="30"/>
          <w:lang w:val="en-US"/>
        </w:rPr>
        <w:t>技术及商务响应（偏离）表</w:t>
      </w:r>
    </w:p>
    <w:p w14:paraId="374F25A8">
      <w:pPr>
        <w:pStyle w:val="9"/>
        <w:rPr>
          <w:b w:val="0"/>
          <w:bCs/>
          <w:color w:val="auto"/>
          <w:lang w:val="en-US"/>
        </w:rPr>
      </w:pPr>
    </w:p>
    <w:p w14:paraId="540B1CA5">
      <w:pPr>
        <w:pStyle w:val="50"/>
        <w:adjustRightInd w:val="0"/>
        <w:snapToGrid w:val="0"/>
        <w:spacing w:line="400" w:lineRule="exact"/>
        <w:rPr>
          <w:b w:val="0"/>
          <w:bCs/>
          <w:color w:val="auto"/>
          <w:kern w:val="0"/>
          <w:sz w:val="24"/>
          <w:lang w:val="zh-CN" w:bidi="zh-CN"/>
        </w:rPr>
      </w:pPr>
      <w:r>
        <w:rPr>
          <w:rFonts w:hAnsi="宋体"/>
          <w:b w:val="0"/>
          <w:bCs/>
          <w:color w:val="auto"/>
          <w:kern w:val="0"/>
          <w:sz w:val="24"/>
          <w:lang w:val="zh-CN" w:bidi="zh-CN"/>
        </w:rPr>
        <w:t>项目编号：</w:t>
      </w:r>
      <w:r>
        <w:rPr>
          <w:b w:val="0"/>
          <w:bCs/>
          <w:color w:val="auto"/>
          <w:kern w:val="0"/>
          <w:sz w:val="24"/>
          <w:lang w:val="zh-CN" w:bidi="zh-CN"/>
        </w:rPr>
        <w:t xml:space="preserve">                                 </w:t>
      </w:r>
    </w:p>
    <w:p w14:paraId="48B52381">
      <w:pPr>
        <w:pStyle w:val="50"/>
        <w:adjustRightInd w:val="0"/>
        <w:snapToGrid w:val="0"/>
        <w:spacing w:line="400" w:lineRule="exact"/>
        <w:rPr>
          <w:b w:val="0"/>
          <w:bCs/>
          <w:color w:val="auto"/>
          <w:kern w:val="0"/>
          <w:sz w:val="24"/>
          <w:lang w:val="zh-CN" w:bidi="zh-CN"/>
        </w:rPr>
      </w:pPr>
      <w:r>
        <w:rPr>
          <w:rFonts w:hAnsi="宋体"/>
          <w:b w:val="0"/>
          <w:bCs/>
          <w:color w:val="auto"/>
          <w:kern w:val="0"/>
          <w:sz w:val="24"/>
          <w:lang w:val="zh-CN" w:bidi="zh-CN"/>
        </w:rPr>
        <w:t>项目名称：</w:t>
      </w:r>
      <w:r>
        <w:rPr>
          <w:b w:val="0"/>
          <w:bCs/>
          <w:color w:val="auto"/>
          <w:kern w:val="0"/>
          <w:sz w:val="24"/>
          <w:lang w:val="zh-CN" w:bidi="zh-CN"/>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684"/>
        <w:gridCol w:w="2989"/>
        <w:gridCol w:w="1461"/>
        <w:gridCol w:w="1846"/>
      </w:tblGrid>
      <w:tr w14:paraId="0C5B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rPr>
        <w:tc>
          <w:tcPr>
            <w:tcW w:w="846" w:type="dxa"/>
            <w:tcBorders>
              <w:top w:val="single" w:color="auto" w:sz="4" w:space="0"/>
              <w:left w:val="single" w:color="auto" w:sz="4" w:space="0"/>
              <w:bottom w:val="single" w:color="auto" w:sz="4" w:space="0"/>
              <w:right w:val="single" w:color="auto" w:sz="4" w:space="0"/>
            </w:tcBorders>
            <w:vAlign w:val="center"/>
          </w:tcPr>
          <w:p w14:paraId="5681E9AB">
            <w:pPr>
              <w:pStyle w:val="50"/>
              <w:spacing w:line="400" w:lineRule="exact"/>
              <w:rPr>
                <w:b w:val="0"/>
                <w:bCs/>
                <w:color w:val="auto"/>
                <w:sz w:val="24"/>
                <w:szCs w:val="24"/>
              </w:rPr>
            </w:pPr>
            <w:r>
              <w:rPr>
                <w:rFonts w:hAnsi="宋体"/>
                <w:b w:val="0"/>
                <w:bCs/>
                <w:color w:val="auto"/>
                <w:sz w:val="24"/>
                <w:szCs w:val="24"/>
              </w:rPr>
              <w:t>序号</w:t>
            </w:r>
          </w:p>
        </w:tc>
        <w:tc>
          <w:tcPr>
            <w:tcW w:w="2684" w:type="dxa"/>
            <w:tcBorders>
              <w:top w:val="single" w:color="auto" w:sz="4" w:space="0"/>
              <w:left w:val="single" w:color="auto" w:sz="4" w:space="0"/>
              <w:bottom w:val="single" w:color="auto" w:sz="4" w:space="0"/>
              <w:right w:val="single" w:color="auto" w:sz="4" w:space="0"/>
            </w:tcBorders>
            <w:vAlign w:val="center"/>
          </w:tcPr>
          <w:p w14:paraId="4C405927">
            <w:pPr>
              <w:pStyle w:val="50"/>
              <w:spacing w:line="400" w:lineRule="exact"/>
              <w:jc w:val="center"/>
              <w:rPr>
                <w:b w:val="0"/>
                <w:bCs/>
                <w:color w:val="auto"/>
                <w:sz w:val="24"/>
                <w:szCs w:val="24"/>
              </w:rPr>
            </w:pPr>
            <w:r>
              <w:rPr>
                <w:rFonts w:hint="eastAsia" w:hAnsi="宋体"/>
                <w:b w:val="0"/>
                <w:bCs/>
                <w:color w:val="auto"/>
                <w:sz w:val="24"/>
                <w:szCs w:val="24"/>
              </w:rPr>
              <w:t>招标文件</w:t>
            </w:r>
            <w:r>
              <w:rPr>
                <w:rFonts w:hAnsi="宋体"/>
                <w:b w:val="0"/>
                <w:bCs/>
                <w:color w:val="auto"/>
                <w:sz w:val="24"/>
                <w:szCs w:val="24"/>
              </w:rPr>
              <w:t>要求部分</w:t>
            </w:r>
          </w:p>
        </w:tc>
        <w:tc>
          <w:tcPr>
            <w:tcW w:w="2989" w:type="dxa"/>
            <w:tcBorders>
              <w:top w:val="single" w:color="auto" w:sz="4" w:space="0"/>
              <w:left w:val="single" w:color="auto" w:sz="4" w:space="0"/>
              <w:bottom w:val="single" w:color="auto" w:sz="4" w:space="0"/>
              <w:right w:val="single" w:color="auto" w:sz="4" w:space="0"/>
            </w:tcBorders>
            <w:vAlign w:val="center"/>
          </w:tcPr>
          <w:p w14:paraId="268AD98B">
            <w:pPr>
              <w:pStyle w:val="50"/>
              <w:spacing w:line="400" w:lineRule="exact"/>
              <w:jc w:val="center"/>
              <w:rPr>
                <w:b w:val="0"/>
                <w:bCs/>
                <w:color w:val="auto"/>
                <w:sz w:val="24"/>
                <w:szCs w:val="24"/>
              </w:rPr>
            </w:pPr>
            <w:r>
              <w:rPr>
                <w:rFonts w:hAnsi="宋体"/>
                <w:b w:val="0"/>
                <w:bCs/>
                <w:color w:val="auto"/>
                <w:sz w:val="24"/>
                <w:szCs w:val="24"/>
              </w:rPr>
              <w:t>投标文件响应部分</w:t>
            </w:r>
          </w:p>
        </w:tc>
        <w:tc>
          <w:tcPr>
            <w:tcW w:w="1461" w:type="dxa"/>
            <w:tcBorders>
              <w:top w:val="single" w:color="auto" w:sz="4" w:space="0"/>
              <w:left w:val="single" w:color="auto" w:sz="4" w:space="0"/>
              <w:bottom w:val="single" w:color="auto" w:sz="4" w:space="0"/>
              <w:right w:val="single" w:color="auto" w:sz="4" w:space="0"/>
            </w:tcBorders>
            <w:vAlign w:val="center"/>
          </w:tcPr>
          <w:p w14:paraId="2FE584C8">
            <w:pPr>
              <w:pStyle w:val="50"/>
              <w:spacing w:line="400" w:lineRule="exact"/>
              <w:jc w:val="center"/>
              <w:rPr>
                <w:b w:val="0"/>
                <w:bCs/>
                <w:color w:val="auto"/>
                <w:sz w:val="24"/>
                <w:szCs w:val="24"/>
              </w:rPr>
            </w:pPr>
            <w:r>
              <w:rPr>
                <w:rFonts w:hAnsi="宋体"/>
                <w:b w:val="0"/>
                <w:bCs/>
                <w:color w:val="auto"/>
                <w:sz w:val="24"/>
                <w:szCs w:val="24"/>
              </w:rPr>
              <w:t>偏离</w:t>
            </w:r>
          </w:p>
        </w:tc>
        <w:tc>
          <w:tcPr>
            <w:tcW w:w="1846" w:type="dxa"/>
            <w:tcBorders>
              <w:top w:val="single" w:color="auto" w:sz="4" w:space="0"/>
              <w:left w:val="single" w:color="auto" w:sz="4" w:space="0"/>
              <w:bottom w:val="single" w:color="auto" w:sz="4" w:space="0"/>
              <w:right w:val="single" w:color="auto" w:sz="4" w:space="0"/>
            </w:tcBorders>
            <w:vAlign w:val="center"/>
          </w:tcPr>
          <w:p w14:paraId="15E0DC3A">
            <w:pPr>
              <w:pStyle w:val="50"/>
              <w:spacing w:line="400" w:lineRule="exact"/>
              <w:jc w:val="center"/>
              <w:rPr>
                <w:rFonts w:hAnsi="宋体"/>
                <w:b w:val="0"/>
                <w:bCs/>
                <w:color w:val="auto"/>
                <w:sz w:val="24"/>
                <w:szCs w:val="24"/>
              </w:rPr>
            </w:pPr>
            <w:r>
              <w:rPr>
                <w:rFonts w:hAnsi="宋体"/>
                <w:b w:val="0"/>
                <w:bCs/>
                <w:color w:val="auto"/>
                <w:sz w:val="24"/>
                <w:szCs w:val="24"/>
              </w:rPr>
              <w:t>说明</w:t>
            </w:r>
          </w:p>
          <w:p w14:paraId="1736CC33">
            <w:pPr>
              <w:pStyle w:val="50"/>
              <w:spacing w:line="400" w:lineRule="exact"/>
              <w:jc w:val="center"/>
              <w:rPr>
                <w:rFonts w:hint="eastAsia"/>
                <w:b w:val="0"/>
                <w:bCs/>
                <w:color w:val="auto"/>
                <w:sz w:val="24"/>
                <w:szCs w:val="24"/>
              </w:rPr>
            </w:pPr>
            <w:r>
              <w:rPr>
                <w:rFonts w:hint="eastAsia" w:hAnsi="宋体"/>
                <w:b w:val="0"/>
                <w:bCs/>
                <w:color w:val="auto"/>
                <w:sz w:val="24"/>
                <w:szCs w:val="24"/>
              </w:rPr>
              <w:t>（证明材料）</w:t>
            </w:r>
          </w:p>
        </w:tc>
      </w:tr>
      <w:tr w14:paraId="43DF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46" w:type="dxa"/>
            <w:tcBorders>
              <w:top w:val="single" w:color="auto" w:sz="4" w:space="0"/>
              <w:left w:val="single" w:color="auto" w:sz="4" w:space="0"/>
              <w:bottom w:val="single" w:color="auto" w:sz="4" w:space="0"/>
              <w:right w:val="single" w:color="auto" w:sz="4" w:space="0"/>
            </w:tcBorders>
            <w:vAlign w:val="center"/>
          </w:tcPr>
          <w:p w14:paraId="68CC7448">
            <w:pPr>
              <w:pStyle w:val="50"/>
              <w:spacing w:line="400" w:lineRule="exact"/>
              <w:jc w:val="center"/>
              <w:rPr>
                <w:b w:val="0"/>
                <w:bCs/>
                <w:color w:val="auto"/>
                <w:sz w:val="24"/>
                <w:szCs w:val="24"/>
              </w:rPr>
            </w:pPr>
            <w:r>
              <w:rPr>
                <w:b w:val="0"/>
                <w:bCs/>
                <w:color w:val="auto"/>
                <w:sz w:val="24"/>
                <w:szCs w:val="24"/>
              </w:rPr>
              <w:t>1</w:t>
            </w:r>
          </w:p>
        </w:tc>
        <w:tc>
          <w:tcPr>
            <w:tcW w:w="2684" w:type="dxa"/>
            <w:tcBorders>
              <w:top w:val="single" w:color="auto" w:sz="4" w:space="0"/>
              <w:left w:val="single" w:color="auto" w:sz="4" w:space="0"/>
              <w:bottom w:val="single" w:color="auto" w:sz="4" w:space="0"/>
              <w:right w:val="single" w:color="auto" w:sz="4" w:space="0"/>
            </w:tcBorders>
            <w:vAlign w:val="center"/>
          </w:tcPr>
          <w:p w14:paraId="5687BC2B">
            <w:pPr>
              <w:pStyle w:val="50"/>
              <w:spacing w:line="400" w:lineRule="exact"/>
              <w:rPr>
                <w:b w:val="0"/>
                <w:bCs/>
                <w:color w:val="auto"/>
                <w:sz w:val="24"/>
                <w:szCs w:val="24"/>
              </w:rPr>
            </w:pPr>
          </w:p>
        </w:tc>
        <w:tc>
          <w:tcPr>
            <w:tcW w:w="2989" w:type="dxa"/>
            <w:tcBorders>
              <w:top w:val="single" w:color="auto" w:sz="4" w:space="0"/>
              <w:left w:val="single" w:color="auto" w:sz="4" w:space="0"/>
              <w:bottom w:val="single" w:color="auto" w:sz="4" w:space="0"/>
              <w:right w:val="single" w:color="auto" w:sz="4" w:space="0"/>
            </w:tcBorders>
            <w:vAlign w:val="center"/>
          </w:tcPr>
          <w:p w14:paraId="230E1ED5">
            <w:pPr>
              <w:pStyle w:val="50"/>
              <w:spacing w:line="400" w:lineRule="exact"/>
              <w:rPr>
                <w:b w:val="0"/>
                <w:bCs/>
                <w:color w:val="auto"/>
                <w:sz w:val="24"/>
                <w:szCs w:val="24"/>
              </w:rPr>
            </w:pPr>
          </w:p>
        </w:tc>
        <w:tc>
          <w:tcPr>
            <w:tcW w:w="1461" w:type="dxa"/>
            <w:tcBorders>
              <w:top w:val="single" w:color="auto" w:sz="4" w:space="0"/>
              <w:left w:val="single" w:color="auto" w:sz="4" w:space="0"/>
              <w:bottom w:val="single" w:color="auto" w:sz="4" w:space="0"/>
              <w:right w:val="single" w:color="auto" w:sz="4" w:space="0"/>
            </w:tcBorders>
            <w:vAlign w:val="center"/>
          </w:tcPr>
          <w:p w14:paraId="5B492E82">
            <w:pPr>
              <w:pStyle w:val="50"/>
              <w:spacing w:line="400" w:lineRule="exact"/>
              <w:rPr>
                <w:b w:val="0"/>
                <w:bCs/>
                <w:color w:val="auto"/>
                <w:sz w:val="24"/>
                <w:szCs w:val="24"/>
              </w:rPr>
            </w:pPr>
          </w:p>
        </w:tc>
        <w:tc>
          <w:tcPr>
            <w:tcW w:w="1846" w:type="dxa"/>
            <w:tcBorders>
              <w:top w:val="single" w:color="auto" w:sz="4" w:space="0"/>
              <w:left w:val="single" w:color="auto" w:sz="4" w:space="0"/>
              <w:bottom w:val="single" w:color="auto" w:sz="4" w:space="0"/>
              <w:right w:val="single" w:color="auto" w:sz="4" w:space="0"/>
            </w:tcBorders>
            <w:vAlign w:val="center"/>
          </w:tcPr>
          <w:p w14:paraId="19840DCC">
            <w:pPr>
              <w:pStyle w:val="50"/>
              <w:spacing w:line="400" w:lineRule="exact"/>
              <w:rPr>
                <w:b w:val="0"/>
                <w:bCs/>
                <w:color w:val="auto"/>
                <w:sz w:val="24"/>
                <w:szCs w:val="24"/>
              </w:rPr>
            </w:pPr>
          </w:p>
        </w:tc>
      </w:tr>
      <w:tr w14:paraId="6AEF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46" w:type="dxa"/>
            <w:tcBorders>
              <w:top w:val="single" w:color="auto" w:sz="4" w:space="0"/>
              <w:left w:val="single" w:color="auto" w:sz="4" w:space="0"/>
              <w:bottom w:val="single" w:color="auto" w:sz="4" w:space="0"/>
              <w:right w:val="single" w:color="auto" w:sz="4" w:space="0"/>
            </w:tcBorders>
            <w:vAlign w:val="center"/>
          </w:tcPr>
          <w:p w14:paraId="78CD4216">
            <w:pPr>
              <w:pStyle w:val="50"/>
              <w:spacing w:line="400" w:lineRule="exact"/>
              <w:jc w:val="center"/>
              <w:rPr>
                <w:b w:val="0"/>
                <w:bCs/>
                <w:color w:val="auto"/>
                <w:sz w:val="24"/>
                <w:szCs w:val="24"/>
              </w:rPr>
            </w:pPr>
            <w:r>
              <w:rPr>
                <w:b w:val="0"/>
                <w:bCs/>
                <w:color w:val="auto"/>
                <w:sz w:val="24"/>
                <w:szCs w:val="24"/>
              </w:rPr>
              <w:t>2</w:t>
            </w:r>
          </w:p>
        </w:tc>
        <w:tc>
          <w:tcPr>
            <w:tcW w:w="2684" w:type="dxa"/>
            <w:tcBorders>
              <w:top w:val="single" w:color="auto" w:sz="4" w:space="0"/>
              <w:left w:val="single" w:color="auto" w:sz="4" w:space="0"/>
              <w:bottom w:val="single" w:color="auto" w:sz="4" w:space="0"/>
              <w:right w:val="single" w:color="auto" w:sz="4" w:space="0"/>
            </w:tcBorders>
            <w:vAlign w:val="center"/>
          </w:tcPr>
          <w:p w14:paraId="47704349">
            <w:pPr>
              <w:pStyle w:val="50"/>
              <w:spacing w:line="400" w:lineRule="exact"/>
              <w:rPr>
                <w:b w:val="0"/>
                <w:bCs/>
                <w:color w:val="auto"/>
                <w:sz w:val="24"/>
                <w:szCs w:val="24"/>
              </w:rPr>
            </w:pPr>
          </w:p>
        </w:tc>
        <w:tc>
          <w:tcPr>
            <w:tcW w:w="2989" w:type="dxa"/>
            <w:tcBorders>
              <w:top w:val="single" w:color="auto" w:sz="4" w:space="0"/>
              <w:left w:val="single" w:color="auto" w:sz="4" w:space="0"/>
              <w:bottom w:val="single" w:color="auto" w:sz="4" w:space="0"/>
              <w:right w:val="single" w:color="auto" w:sz="4" w:space="0"/>
            </w:tcBorders>
            <w:vAlign w:val="center"/>
          </w:tcPr>
          <w:p w14:paraId="1173B2F5">
            <w:pPr>
              <w:pStyle w:val="50"/>
              <w:spacing w:line="400" w:lineRule="exact"/>
              <w:rPr>
                <w:b w:val="0"/>
                <w:bCs/>
                <w:color w:val="auto"/>
                <w:sz w:val="24"/>
                <w:szCs w:val="24"/>
              </w:rPr>
            </w:pPr>
          </w:p>
        </w:tc>
        <w:tc>
          <w:tcPr>
            <w:tcW w:w="1461" w:type="dxa"/>
            <w:tcBorders>
              <w:top w:val="single" w:color="auto" w:sz="4" w:space="0"/>
              <w:left w:val="single" w:color="auto" w:sz="4" w:space="0"/>
              <w:bottom w:val="single" w:color="auto" w:sz="4" w:space="0"/>
              <w:right w:val="single" w:color="auto" w:sz="4" w:space="0"/>
            </w:tcBorders>
            <w:vAlign w:val="center"/>
          </w:tcPr>
          <w:p w14:paraId="61B6E56C">
            <w:pPr>
              <w:pStyle w:val="50"/>
              <w:spacing w:line="400" w:lineRule="exact"/>
              <w:rPr>
                <w:b w:val="0"/>
                <w:bCs/>
                <w:color w:val="auto"/>
                <w:sz w:val="24"/>
                <w:szCs w:val="24"/>
              </w:rPr>
            </w:pPr>
          </w:p>
        </w:tc>
        <w:tc>
          <w:tcPr>
            <w:tcW w:w="1846" w:type="dxa"/>
            <w:tcBorders>
              <w:top w:val="single" w:color="auto" w:sz="4" w:space="0"/>
              <w:left w:val="single" w:color="auto" w:sz="4" w:space="0"/>
              <w:bottom w:val="single" w:color="auto" w:sz="4" w:space="0"/>
              <w:right w:val="single" w:color="auto" w:sz="4" w:space="0"/>
            </w:tcBorders>
            <w:vAlign w:val="center"/>
          </w:tcPr>
          <w:p w14:paraId="38749941">
            <w:pPr>
              <w:pStyle w:val="50"/>
              <w:spacing w:line="400" w:lineRule="exact"/>
              <w:rPr>
                <w:b w:val="0"/>
                <w:bCs/>
                <w:color w:val="auto"/>
                <w:sz w:val="24"/>
                <w:szCs w:val="24"/>
              </w:rPr>
            </w:pPr>
          </w:p>
        </w:tc>
      </w:tr>
      <w:tr w14:paraId="1424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46" w:type="dxa"/>
            <w:tcBorders>
              <w:top w:val="single" w:color="auto" w:sz="4" w:space="0"/>
              <w:left w:val="single" w:color="auto" w:sz="4" w:space="0"/>
              <w:bottom w:val="single" w:color="auto" w:sz="4" w:space="0"/>
              <w:right w:val="single" w:color="auto" w:sz="4" w:space="0"/>
            </w:tcBorders>
            <w:vAlign w:val="center"/>
          </w:tcPr>
          <w:p w14:paraId="12316F00">
            <w:pPr>
              <w:pStyle w:val="50"/>
              <w:spacing w:line="400" w:lineRule="exact"/>
              <w:jc w:val="center"/>
              <w:rPr>
                <w:b w:val="0"/>
                <w:bCs/>
                <w:color w:val="auto"/>
                <w:sz w:val="24"/>
                <w:szCs w:val="24"/>
              </w:rPr>
            </w:pPr>
            <w:r>
              <w:rPr>
                <w:b w:val="0"/>
                <w:bCs/>
                <w:color w:val="auto"/>
                <w:sz w:val="24"/>
                <w:szCs w:val="24"/>
              </w:rPr>
              <w:t>…</w:t>
            </w:r>
          </w:p>
        </w:tc>
        <w:tc>
          <w:tcPr>
            <w:tcW w:w="2684" w:type="dxa"/>
            <w:tcBorders>
              <w:top w:val="single" w:color="auto" w:sz="4" w:space="0"/>
              <w:left w:val="single" w:color="auto" w:sz="4" w:space="0"/>
              <w:bottom w:val="single" w:color="auto" w:sz="4" w:space="0"/>
              <w:right w:val="single" w:color="auto" w:sz="4" w:space="0"/>
            </w:tcBorders>
            <w:vAlign w:val="center"/>
          </w:tcPr>
          <w:p w14:paraId="55DB4029">
            <w:pPr>
              <w:pStyle w:val="50"/>
              <w:spacing w:line="400" w:lineRule="exact"/>
              <w:rPr>
                <w:b w:val="0"/>
                <w:bCs/>
                <w:color w:val="auto"/>
                <w:sz w:val="24"/>
                <w:szCs w:val="24"/>
              </w:rPr>
            </w:pPr>
          </w:p>
        </w:tc>
        <w:tc>
          <w:tcPr>
            <w:tcW w:w="2989" w:type="dxa"/>
            <w:tcBorders>
              <w:top w:val="single" w:color="auto" w:sz="4" w:space="0"/>
              <w:left w:val="single" w:color="auto" w:sz="4" w:space="0"/>
              <w:bottom w:val="single" w:color="auto" w:sz="4" w:space="0"/>
              <w:right w:val="single" w:color="auto" w:sz="4" w:space="0"/>
            </w:tcBorders>
            <w:vAlign w:val="center"/>
          </w:tcPr>
          <w:p w14:paraId="0ECDC7DE">
            <w:pPr>
              <w:pStyle w:val="50"/>
              <w:spacing w:line="400" w:lineRule="exact"/>
              <w:rPr>
                <w:b w:val="0"/>
                <w:bCs/>
                <w:color w:val="auto"/>
                <w:sz w:val="24"/>
                <w:szCs w:val="24"/>
              </w:rPr>
            </w:pPr>
          </w:p>
        </w:tc>
        <w:tc>
          <w:tcPr>
            <w:tcW w:w="1461" w:type="dxa"/>
            <w:tcBorders>
              <w:top w:val="single" w:color="auto" w:sz="4" w:space="0"/>
              <w:left w:val="single" w:color="auto" w:sz="4" w:space="0"/>
              <w:bottom w:val="single" w:color="auto" w:sz="4" w:space="0"/>
              <w:right w:val="single" w:color="auto" w:sz="4" w:space="0"/>
            </w:tcBorders>
            <w:vAlign w:val="center"/>
          </w:tcPr>
          <w:p w14:paraId="0C23D2EC">
            <w:pPr>
              <w:pStyle w:val="50"/>
              <w:spacing w:line="400" w:lineRule="exact"/>
              <w:rPr>
                <w:b w:val="0"/>
                <w:bCs/>
                <w:color w:val="auto"/>
                <w:sz w:val="24"/>
                <w:szCs w:val="24"/>
              </w:rPr>
            </w:pPr>
          </w:p>
        </w:tc>
        <w:tc>
          <w:tcPr>
            <w:tcW w:w="1846" w:type="dxa"/>
            <w:tcBorders>
              <w:top w:val="single" w:color="auto" w:sz="4" w:space="0"/>
              <w:left w:val="single" w:color="auto" w:sz="4" w:space="0"/>
              <w:bottom w:val="single" w:color="auto" w:sz="4" w:space="0"/>
              <w:right w:val="single" w:color="auto" w:sz="4" w:space="0"/>
            </w:tcBorders>
            <w:vAlign w:val="center"/>
          </w:tcPr>
          <w:p w14:paraId="069AA542">
            <w:pPr>
              <w:pStyle w:val="50"/>
              <w:spacing w:line="400" w:lineRule="exact"/>
              <w:rPr>
                <w:b w:val="0"/>
                <w:bCs/>
                <w:color w:val="auto"/>
                <w:sz w:val="24"/>
                <w:szCs w:val="24"/>
              </w:rPr>
            </w:pPr>
          </w:p>
        </w:tc>
      </w:tr>
    </w:tbl>
    <w:p w14:paraId="509FA7A8">
      <w:pPr>
        <w:pStyle w:val="46"/>
        <w:tabs>
          <w:tab w:val="left" w:pos="750"/>
        </w:tabs>
        <w:adjustRightInd w:val="0"/>
        <w:snapToGrid w:val="0"/>
        <w:spacing w:line="400" w:lineRule="exact"/>
        <w:ind w:firstLine="480" w:firstLineChars="200"/>
        <w:rPr>
          <w:b w:val="0"/>
          <w:bCs/>
          <w:color w:val="auto"/>
          <w:sz w:val="24"/>
          <w:szCs w:val="24"/>
        </w:rPr>
      </w:pPr>
      <w:r>
        <w:rPr>
          <w:rFonts w:hAnsi="宋体"/>
          <w:b w:val="0"/>
          <w:bCs/>
          <w:color w:val="auto"/>
          <w:sz w:val="24"/>
          <w:szCs w:val="24"/>
        </w:rPr>
        <w:t>注：投标人应对照</w:t>
      </w:r>
      <w:r>
        <w:rPr>
          <w:rFonts w:hint="eastAsia" w:hAnsi="宋体"/>
          <w:b w:val="0"/>
          <w:bCs/>
          <w:color w:val="auto"/>
          <w:sz w:val="24"/>
          <w:szCs w:val="24"/>
        </w:rPr>
        <w:t>采购文件</w:t>
      </w:r>
      <w:r>
        <w:rPr>
          <w:rFonts w:hAnsi="宋体"/>
          <w:b w:val="0"/>
          <w:bCs/>
          <w:color w:val="auto"/>
          <w:sz w:val="24"/>
          <w:szCs w:val="24"/>
        </w:rPr>
        <w:t>要求列出并在偏差内容</w:t>
      </w:r>
      <w:r>
        <w:rPr>
          <w:b w:val="0"/>
          <w:bCs/>
          <w:color w:val="auto"/>
          <w:sz w:val="24"/>
          <w:szCs w:val="24"/>
        </w:rPr>
        <w:t>“</w:t>
      </w:r>
      <w:r>
        <w:rPr>
          <w:rFonts w:hAnsi="宋体"/>
          <w:b w:val="0"/>
          <w:bCs/>
          <w:color w:val="auto"/>
          <w:sz w:val="24"/>
          <w:szCs w:val="24"/>
        </w:rPr>
        <w:t>偏离情况</w:t>
      </w:r>
      <w:r>
        <w:rPr>
          <w:b w:val="0"/>
          <w:bCs/>
          <w:color w:val="auto"/>
          <w:sz w:val="24"/>
          <w:szCs w:val="24"/>
        </w:rPr>
        <w:t>”</w:t>
      </w:r>
      <w:r>
        <w:rPr>
          <w:rFonts w:hAnsi="宋体"/>
          <w:b w:val="0"/>
          <w:bCs/>
          <w:color w:val="auto"/>
          <w:sz w:val="24"/>
          <w:szCs w:val="24"/>
        </w:rPr>
        <w:t>栏注明</w:t>
      </w:r>
      <w:r>
        <w:rPr>
          <w:b w:val="0"/>
          <w:bCs/>
          <w:color w:val="auto"/>
          <w:sz w:val="24"/>
          <w:szCs w:val="24"/>
        </w:rPr>
        <w:t>“</w:t>
      </w:r>
      <w:r>
        <w:rPr>
          <w:rFonts w:hAnsi="宋体"/>
          <w:b w:val="0"/>
          <w:bCs/>
          <w:color w:val="auto"/>
          <w:sz w:val="24"/>
          <w:szCs w:val="24"/>
        </w:rPr>
        <w:t>正偏离</w:t>
      </w:r>
      <w:r>
        <w:rPr>
          <w:b w:val="0"/>
          <w:bCs/>
          <w:color w:val="auto"/>
          <w:sz w:val="24"/>
          <w:szCs w:val="24"/>
        </w:rPr>
        <w:t>”</w:t>
      </w:r>
      <w:r>
        <w:rPr>
          <w:rFonts w:hAnsi="宋体"/>
          <w:b w:val="0"/>
          <w:bCs/>
          <w:color w:val="auto"/>
          <w:sz w:val="24"/>
          <w:szCs w:val="24"/>
        </w:rPr>
        <w:t>、</w:t>
      </w:r>
      <w:r>
        <w:rPr>
          <w:b w:val="0"/>
          <w:bCs/>
          <w:color w:val="auto"/>
          <w:sz w:val="24"/>
          <w:szCs w:val="24"/>
        </w:rPr>
        <w:t>“</w:t>
      </w:r>
      <w:r>
        <w:rPr>
          <w:rFonts w:hAnsi="宋体"/>
          <w:b w:val="0"/>
          <w:bCs/>
          <w:color w:val="auto"/>
          <w:sz w:val="24"/>
          <w:szCs w:val="24"/>
        </w:rPr>
        <w:t>负偏离</w:t>
      </w:r>
      <w:r>
        <w:rPr>
          <w:b w:val="0"/>
          <w:bCs/>
          <w:color w:val="auto"/>
          <w:sz w:val="24"/>
          <w:szCs w:val="24"/>
        </w:rPr>
        <w:t>”</w:t>
      </w:r>
      <w:r>
        <w:rPr>
          <w:rFonts w:hAnsi="宋体"/>
          <w:b w:val="0"/>
          <w:bCs/>
          <w:color w:val="auto"/>
          <w:sz w:val="24"/>
          <w:szCs w:val="24"/>
        </w:rPr>
        <w:t>或</w:t>
      </w:r>
      <w:r>
        <w:rPr>
          <w:b w:val="0"/>
          <w:bCs/>
          <w:color w:val="auto"/>
          <w:sz w:val="24"/>
          <w:szCs w:val="24"/>
        </w:rPr>
        <w:t>“</w:t>
      </w:r>
      <w:r>
        <w:rPr>
          <w:rFonts w:hAnsi="宋体"/>
          <w:b w:val="0"/>
          <w:bCs/>
          <w:color w:val="auto"/>
          <w:sz w:val="24"/>
          <w:szCs w:val="24"/>
        </w:rPr>
        <w:t>无偏离</w:t>
      </w:r>
      <w:r>
        <w:rPr>
          <w:b w:val="0"/>
          <w:bCs/>
          <w:color w:val="auto"/>
          <w:sz w:val="24"/>
          <w:szCs w:val="24"/>
        </w:rPr>
        <w:t>”</w:t>
      </w:r>
      <w:r>
        <w:rPr>
          <w:rFonts w:hAnsi="宋体"/>
          <w:b w:val="0"/>
          <w:bCs/>
          <w:color w:val="auto"/>
          <w:sz w:val="24"/>
          <w:szCs w:val="24"/>
        </w:rPr>
        <w:t>。</w:t>
      </w:r>
      <w:r>
        <w:rPr>
          <w:rFonts w:hint="eastAsia" w:hAnsi="宋体"/>
          <w:b w:val="0"/>
          <w:bCs/>
          <w:color w:val="auto"/>
          <w:sz w:val="24"/>
          <w:szCs w:val="24"/>
        </w:rPr>
        <w:t>技术参数须投标人每种设备逐条参数进行偏离对比，不允许直接复制招标文件中技术参数，否则按无效标处理。</w:t>
      </w:r>
    </w:p>
    <w:p w14:paraId="7273AB5C">
      <w:pPr>
        <w:pStyle w:val="46"/>
        <w:tabs>
          <w:tab w:val="left" w:pos="750"/>
        </w:tabs>
        <w:adjustRightInd w:val="0"/>
        <w:snapToGrid w:val="0"/>
        <w:spacing w:line="400" w:lineRule="exact"/>
        <w:rPr>
          <w:b w:val="0"/>
          <w:bCs/>
          <w:color w:val="auto"/>
          <w:sz w:val="24"/>
          <w:szCs w:val="24"/>
        </w:rPr>
      </w:pPr>
    </w:p>
    <w:p w14:paraId="592D5206">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投标人名称（盖章）：</w:t>
      </w:r>
      <w:r>
        <w:rPr>
          <w:b w:val="0"/>
          <w:bCs/>
          <w:color w:val="auto"/>
          <w:kern w:val="0"/>
          <w:sz w:val="24"/>
          <w:u w:val="single"/>
          <w:lang w:bidi="zh-CN"/>
        </w:rPr>
        <w:t xml:space="preserve">   </w:t>
      </w:r>
      <w:r>
        <w:rPr>
          <w:b w:val="0"/>
          <w:bCs/>
          <w:color w:val="auto"/>
          <w:kern w:val="0"/>
          <w:sz w:val="24"/>
          <w:lang w:val="zh-CN" w:bidi="zh-CN"/>
        </w:rPr>
        <w:t xml:space="preserve">                      </w:t>
      </w:r>
    </w:p>
    <w:p w14:paraId="65E32ED2">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法定代表人或委托代理人签字（或盖章）：</w:t>
      </w:r>
      <w:r>
        <w:rPr>
          <w:b w:val="0"/>
          <w:bCs/>
          <w:color w:val="auto"/>
          <w:kern w:val="0"/>
          <w:sz w:val="24"/>
          <w:lang w:val="zh-CN" w:bidi="zh-CN"/>
        </w:rPr>
        <w:t xml:space="preserve">                     </w:t>
      </w:r>
    </w:p>
    <w:p w14:paraId="27C98EAC">
      <w:pPr>
        <w:pStyle w:val="46"/>
        <w:tabs>
          <w:tab w:val="left" w:pos="750"/>
        </w:tabs>
        <w:adjustRightInd w:val="0"/>
        <w:snapToGrid w:val="0"/>
        <w:spacing w:line="480" w:lineRule="auto"/>
        <w:ind w:firstLine="5760" w:firstLineChars="2400"/>
        <w:rPr>
          <w:b w:val="0"/>
          <w:bCs/>
          <w:color w:val="auto"/>
          <w:kern w:val="0"/>
          <w:sz w:val="24"/>
          <w:lang w:val="zh-CN" w:bidi="zh-CN"/>
        </w:rPr>
      </w:pPr>
      <w:r>
        <w:rPr>
          <w:rFonts w:hAnsi="宋体"/>
          <w:b w:val="0"/>
          <w:bCs/>
          <w:color w:val="auto"/>
          <w:kern w:val="0"/>
          <w:sz w:val="24"/>
          <w:lang w:val="zh-CN" w:bidi="zh-CN"/>
        </w:rPr>
        <w:t>日期：</w:t>
      </w:r>
      <w:r>
        <w:rPr>
          <w:b w:val="0"/>
          <w:bCs/>
          <w:color w:val="auto"/>
          <w:kern w:val="0"/>
          <w:sz w:val="24"/>
          <w:lang w:val="zh-CN" w:bidi="zh-CN"/>
        </w:rPr>
        <w:t xml:space="preserve"> </w:t>
      </w:r>
      <w:r>
        <w:rPr>
          <w:b w:val="0"/>
          <w:bCs/>
          <w:color w:val="auto"/>
          <w:kern w:val="0"/>
          <w:sz w:val="24"/>
          <w:u w:val="single"/>
          <w:lang w:val="zh-CN" w:bidi="zh-CN"/>
        </w:rPr>
        <w:t xml:space="preserve">    </w:t>
      </w:r>
      <w:r>
        <w:rPr>
          <w:b w:val="0"/>
          <w:bCs/>
          <w:color w:val="auto"/>
          <w:kern w:val="0"/>
          <w:sz w:val="24"/>
          <w:u w:val="single"/>
          <w:lang w:bidi="zh-CN"/>
        </w:rPr>
        <w:t xml:space="preserve"> </w:t>
      </w:r>
      <w:r>
        <w:rPr>
          <w:rFonts w:hAnsi="宋体"/>
          <w:b w:val="0"/>
          <w:bCs/>
          <w:color w:val="auto"/>
          <w:kern w:val="0"/>
          <w:sz w:val="24"/>
          <w:lang w:val="zh-CN" w:bidi="zh-CN"/>
        </w:rPr>
        <w:t>年</w:t>
      </w:r>
      <w:r>
        <w:rPr>
          <w:b w:val="0"/>
          <w:bCs/>
          <w:color w:val="auto"/>
          <w:kern w:val="0"/>
          <w:sz w:val="24"/>
          <w:u w:val="single"/>
          <w:lang w:val="zh-CN" w:bidi="zh-CN"/>
        </w:rPr>
        <w:t xml:space="preserve">    </w:t>
      </w:r>
      <w:r>
        <w:rPr>
          <w:rFonts w:hAnsi="宋体"/>
          <w:b w:val="0"/>
          <w:bCs/>
          <w:color w:val="auto"/>
          <w:kern w:val="0"/>
          <w:sz w:val="24"/>
          <w:lang w:val="zh-CN" w:bidi="zh-CN"/>
        </w:rPr>
        <w:t>月</w:t>
      </w:r>
      <w:r>
        <w:rPr>
          <w:b w:val="0"/>
          <w:bCs/>
          <w:color w:val="auto"/>
          <w:kern w:val="0"/>
          <w:sz w:val="24"/>
          <w:u w:val="single"/>
          <w:lang w:val="zh-CN" w:bidi="zh-CN"/>
        </w:rPr>
        <w:t xml:space="preserve">     </w:t>
      </w:r>
      <w:r>
        <w:rPr>
          <w:rFonts w:hAnsi="宋体"/>
          <w:b w:val="0"/>
          <w:bCs/>
          <w:color w:val="auto"/>
          <w:kern w:val="0"/>
          <w:sz w:val="24"/>
          <w:lang w:val="zh-CN" w:bidi="zh-CN"/>
        </w:rPr>
        <w:t>日</w:t>
      </w:r>
    </w:p>
    <w:p w14:paraId="5E5E461B">
      <w:pPr>
        <w:pStyle w:val="14"/>
        <w:spacing w:before="7"/>
        <w:ind w:left="0"/>
        <w:rPr>
          <w:b w:val="0"/>
          <w:bCs/>
          <w:color w:val="auto"/>
          <w:sz w:val="29"/>
        </w:rPr>
      </w:pPr>
    </w:p>
    <w:p w14:paraId="7B505591">
      <w:pPr>
        <w:spacing w:before="199"/>
        <w:jc w:val="center"/>
        <w:rPr>
          <w:rFonts w:ascii="Times New Roman" w:hAnsi="Times New Roman" w:cs="Times New Roman"/>
          <w:b/>
          <w:color w:val="auto"/>
          <w:sz w:val="30"/>
        </w:rPr>
      </w:pPr>
      <w:r>
        <w:rPr>
          <w:rFonts w:ascii="Times New Roman" w:cs="Times New Roman"/>
          <w:b w:val="0"/>
          <w:bCs/>
          <w:color w:val="auto"/>
          <w:sz w:val="30"/>
        </w:rPr>
        <w:br w:type="page"/>
      </w:r>
      <w:r>
        <w:rPr>
          <w:rFonts w:ascii="Times New Roman" w:cs="Times New Roman"/>
          <w:b/>
          <w:color w:val="auto"/>
          <w:sz w:val="30"/>
        </w:rPr>
        <w:t>投标</w:t>
      </w:r>
      <w:r>
        <w:rPr>
          <w:rFonts w:hint="eastAsia" w:ascii="Times New Roman" w:cs="Times New Roman"/>
          <w:b/>
          <w:color w:val="auto"/>
          <w:sz w:val="30"/>
        </w:rPr>
        <w:t>人</w:t>
      </w:r>
      <w:r>
        <w:rPr>
          <w:rFonts w:ascii="Times New Roman" w:cs="Times New Roman"/>
          <w:b/>
          <w:color w:val="auto"/>
          <w:sz w:val="30"/>
        </w:rPr>
        <w:t>（供应商）反商业贿赂承诺书</w:t>
      </w:r>
    </w:p>
    <w:p w14:paraId="06C14336">
      <w:pPr>
        <w:pStyle w:val="14"/>
        <w:spacing w:before="201" w:line="364" w:lineRule="auto"/>
        <w:ind w:left="0" w:firstLine="480"/>
        <w:jc w:val="both"/>
        <w:rPr>
          <w:color w:val="auto"/>
        </w:rPr>
      </w:pPr>
      <w:r>
        <w:rPr>
          <w:color w:val="auto"/>
        </w:rPr>
        <w:t>我公司承诺在</w:t>
      </w:r>
      <w:r>
        <w:rPr>
          <w:color w:val="auto"/>
          <w:u w:val="single"/>
        </w:rPr>
        <w:t>（项目编号、项目名称）</w:t>
      </w:r>
      <w:r>
        <w:rPr>
          <w:color w:val="auto"/>
          <w:u w:val="single"/>
          <w:lang w:val="en-US"/>
        </w:rPr>
        <w:t xml:space="preserve">       </w:t>
      </w:r>
      <w:r>
        <w:rPr>
          <w:color w:val="auto"/>
        </w:rPr>
        <w:t>招标活动中，不给予国家工作人员以及中介机构工作人员及其亲属各种形式的商业贿赂（包括送礼金礼品、有价证券、购物券、回扣、佣金、咨询费、劳务费、赞助费、宣传费、支付旅游费用、报销各种消费凭证、宴请、娱乐等），如有上述行为，我公司及项目参与人员愿意按照《反不正当竞争法》的有关规定接受处罚。</w:t>
      </w:r>
    </w:p>
    <w:p w14:paraId="2CE46F52">
      <w:pPr>
        <w:pStyle w:val="14"/>
        <w:spacing w:line="364" w:lineRule="auto"/>
        <w:ind w:left="0" w:firstLine="480" w:firstLineChars="200"/>
        <w:rPr>
          <w:color w:val="auto"/>
        </w:rPr>
      </w:pPr>
      <w:r>
        <w:rPr>
          <w:color w:val="auto"/>
        </w:rPr>
        <w:t>投标人名称（盖章）：</w:t>
      </w:r>
      <w:r>
        <w:rPr>
          <w:color w:val="auto"/>
          <w:u w:val="single"/>
          <w:lang w:val="en-US"/>
        </w:rPr>
        <w:t xml:space="preserve">                       </w:t>
      </w:r>
      <w:r>
        <w:rPr>
          <w:color w:val="auto"/>
          <w:lang w:val="en-US"/>
        </w:rPr>
        <w:t xml:space="preserve">              </w:t>
      </w:r>
      <w:r>
        <w:rPr>
          <w:color w:val="auto"/>
        </w:rPr>
        <w:t xml:space="preserve"> </w:t>
      </w:r>
      <w:r>
        <w:rPr>
          <w:color w:val="auto"/>
        </w:rPr>
        <w:tab/>
      </w:r>
      <w:r>
        <w:rPr>
          <w:color w:val="auto"/>
        </w:rPr>
        <w:t xml:space="preserve">                      </w:t>
      </w:r>
    </w:p>
    <w:p w14:paraId="7E6687E5">
      <w:pPr>
        <w:pStyle w:val="14"/>
        <w:spacing w:line="364" w:lineRule="auto"/>
        <w:ind w:left="0" w:firstLine="480" w:firstLineChars="200"/>
        <w:rPr>
          <w:color w:val="auto"/>
          <w:lang w:val="en-US"/>
        </w:rPr>
      </w:pPr>
      <w:r>
        <w:rPr>
          <w:color w:val="auto"/>
        </w:rPr>
        <w:t>法定代表人或委托代理人签字（或盖章）：</w:t>
      </w:r>
      <w:r>
        <w:rPr>
          <w:color w:val="auto"/>
          <w:u w:val="single"/>
          <w:lang w:val="en-US"/>
        </w:rPr>
        <w:t xml:space="preserve">                 </w:t>
      </w:r>
      <w:r>
        <w:rPr>
          <w:color w:val="auto"/>
          <w:lang w:val="en-US"/>
        </w:rPr>
        <w:t xml:space="preserve">                        </w:t>
      </w:r>
      <w:r>
        <w:rPr>
          <w:color w:val="auto"/>
        </w:rPr>
        <w:t xml:space="preserve">  </w:t>
      </w:r>
      <w:r>
        <w:rPr>
          <w:color w:val="auto"/>
          <w:lang w:val="en-US"/>
        </w:rPr>
        <w:t xml:space="preserve">                          </w:t>
      </w:r>
    </w:p>
    <w:p w14:paraId="46D31554">
      <w:pPr>
        <w:pStyle w:val="14"/>
        <w:spacing w:line="364" w:lineRule="auto"/>
        <w:ind w:left="0" w:firstLine="480" w:firstLineChars="200"/>
        <w:rPr>
          <w:b w:val="0"/>
          <w:bCs w:val="0"/>
          <w:color w:val="auto"/>
          <w:sz w:val="22"/>
        </w:rPr>
      </w:pPr>
      <w:r>
        <w:rPr>
          <w:b w:val="0"/>
          <w:bCs w:val="0"/>
          <w:color w:val="auto"/>
          <w:lang w:val="en-US"/>
        </w:rPr>
        <w:t xml:space="preserve">        </w:t>
      </w:r>
    </w:p>
    <w:p w14:paraId="4FBB5718">
      <w:pPr>
        <w:tabs>
          <w:tab w:val="left" w:pos="5859"/>
          <w:tab w:val="left" w:pos="6459"/>
          <w:tab w:val="left" w:pos="7179"/>
        </w:tabs>
        <w:rPr>
          <w:rFonts w:ascii="Times New Roman" w:hAnsi="Times New Roman" w:cs="Times New Roman"/>
          <w:b w:val="0"/>
          <w:bCs w:val="0"/>
          <w:color w:val="auto"/>
          <w:sz w:val="24"/>
        </w:rPr>
      </w:pPr>
      <w:r>
        <w:rPr>
          <w:rFonts w:ascii="Times New Roman" w:cs="Times New Roman"/>
          <w:b w:val="0"/>
          <w:bCs w:val="0"/>
          <w:color w:val="auto"/>
          <w:sz w:val="24"/>
        </w:rPr>
        <w:t>承诺日期：</w:t>
      </w:r>
      <w:r>
        <w:rPr>
          <w:rFonts w:ascii="Times New Roman" w:hAnsi="Times New Roman" w:cs="Times New Roman"/>
          <w:b w:val="0"/>
          <w:bCs w:val="0"/>
          <w:color w:val="auto"/>
          <w:lang w:val="en-US"/>
        </w:rPr>
        <w:t xml:space="preserve"> </w:t>
      </w:r>
      <w:r>
        <w:rPr>
          <w:rFonts w:ascii="Times New Roman" w:hAnsi="Times New Roman" w:cs="Times New Roman"/>
          <w:b w:val="0"/>
          <w:bCs w:val="0"/>
          <w:color w:val="auto"/>
          <w:u w:val="single"/>
          <w:lang w:val="en-US"/>
        </w:rPr>
        <w:t xml:space="preserve">           </w:t>
      </w:r>
      <w:r>
        <w:rPr>
          <w:rFonts w:ascii="Times New Roman" w:cs="Times New Roman"/>
          <w:b w:val="0"/>
          <w:bCs w:val="0"/>
          <w:color w:val="auto"/>
        </w:rPr>
        <w:t>年</w:t>
      </w:r>
      <w:r>
        <w:rPr>
          <w:rFonts w:ascii="Times New Roman" w:hAnsi="Times New Roman" w:cs="Times New Roman"/>
          <w:b w:val="0"/>
          <w:bCs w:val="0"/>
          <w:color w:val="auto"/>
          <w:u w:val="single"/>
        </w:rPr>
        <w:t xml:space="preserve"> </w:t>
      </w:r>
      <w:r>
        <w:rPr>
          <w:rFonts w:ascii="Times New Roman" w:hAnsi="Times New Roman" w:cs="Times New Roman"/>
          <w:b w:val="0"/>
          <w:bCs w:val="0"/>
          <w:color w:val="auto"/>
          <w:u w:val="single"/>
          <w:lang w:val="en-US"/>
        </w:rPr>
        <w:t xml:space="preserve">      </w:t>
      </w:r>
      <w:r>
        <w:rPr>
          <w:rFonts w:ascii="Times New Roman" w:hAnsi="Times New Roman" w:cs="Times New Roman"/>
          <w:b w:val="0"/>
          <w:bCs w:val="0"/>
          <w:color w:val="auto"/>
          <w:lang w:val="en-US"/>
        </w:rPr>
        <w:t xml:space="preserve"> </w:t>
      </w:r>
      <w:r>
        <w:rPr>
          <w:rFonts w:ascii="Times New Roman" w:cs="Times New Roman"/>
          <w:b w:val="0"/>
          <w:bCs w:val="0"/>
          <w:color w:val="auto"/>
        </w:rPr>
        <w:t>月</w:t>
      </w:r>
      <w:r>
        <w:rPr>
          <w:rFonts w:ascii="Times New Roman" w:hAnsi="Times New Roman" w:cs="Times New Roman"/>
          <w:b w:val="0"/>
          <w:bCs w:val="0"/>
          <w:color w:val="auto"/>
          <w:lang w:val="en-US"/>
        </w:rPr>
        <w:t xml:space="preserve"> </w:t>
      </w:r>
      <w:r>
        <w:rPr>
          <w:rFonts w:ascii="Times New Roman" w:hAnsi="Times New Roman" w:cs="Times New Roman"/>
          <w:b w:val="0"/>
          <w:bCs w:val="0"/>
          <w:color w:val="auto"/>
          <w:u w:val="single"/>
          <w:lang w:val="en-US"/>
        </w:rPr>
        <w:t xml:space="preserve">      </w:t>
      </w:r>
      <w:r>
        <w:rPr>
          <w:rFonts w:ascii="Times New Roman" w:cs="Times New Roman"/>
          <w:b w:val="0"/>
          <w:bCs w:val="0"/>
          <w:color w:val="auto"/>
        </w:rPr>
        <w:t>日</w:t>
      </w:r>
    </w:p>
    <w:p w14:paraId="51AD3FE3">
      <w:pPr>
        <w:rPr>
          <w:b w:val="0"/>
          <w:bCs w:val="0"/>
          <w:color w:val="auto"/>
        </w:rPr>
      </w:pPr>
    </w:p>
    <w:p w14:paraId="62D176D0">
      <w:pPr>
        <w:rPr>
          <w:rFonts w:ascii="Times New Roman" w:hAnsi="Times New Roman" w:cs="Times New Roman"/>
          <w:b w:val="0"/>
          <w:bCs w:val="0"/>
          <w:color w:val="auto"/>
          <w:sz w:val="24"/>
        </w:rPr>
      </w:pPr>
    </w:p>
    <w:p w14:paraId="01E0F07C">
      <w:pPr>
        <w:pStyle w:val="9"/>
        <w:rPr>
          <w:b w:val="0"/>
          <w:bCs w:val="0"/>
          <w:color w:val="auto"/>
        </w:rPr>
      </w:pPr>
    </w:p>
    <w:p w14:paraId="66234618">
      <w:pPr>
        <w:spacing w:before="201"/>
        <w:jc w:val="center"/>
        <w:rPr>
          <w:rFonts w:ascii="Times New Roman" w:hAnsi="Times New Roman" w:cs="Times New Roman"/>
          <w:b w:val="0"/>
          <w:bCs w:val="0"/>
          <w:color w:val="auto"/>
          <w:sz w:val="30"/>
        </w:rPr>
      </w:pPr>
      <w:r>
        <w:rPr>
          <w:rFonts w:ascii="Times New Roman" w:cs="Times New Roman"/>
          <w:b w:val="0"/>
          <w:bCs w:val="0"/>
          <w:color w:val="auto"/>
          <w:sz w:val="30"/>
        </w:rPr>
        <w:t>关于资格的声明函</w:t>
      </w:r>
    </w:p>
    <w:p w14:paraId="0FBFBBC0">
      <w:pPr>
        <w:spacing w:before="199"/>
        <w:rPr>
          <w:rFonts w:ascii="Times New Roman" w:hAnsi="Times New Roman" w:cs="Times New Roman"/>
          <w:b w:val="0"/>
          <w:bCs w:val="0"/>
          <w:color w:val="auto"/>
          <w:sz w:val="24"/>
        </w:rPr>
      </w:pPr>
      <w:r>
        <w:rPr>
          <w:rFonts w:ascii="Times New Roman" w:cs="Times New Roman"/>
          <w:b w:val="0"/>
          <w:bCs w:val="0"/>
          <w:color w:val="auto"/>
          <w:sz w:val="24"/>
        </w:rPr>
        <w:t>致：</w:t>
      </w:r>
      <w:r>
        <w:rPr>
          <w:rFonts w:hint="eastAsia" w:ascii="Times New Roman" w:cs="Times New Roman"/>
          <w:b w:val="0"/>
          <w:bCs w:val="0"/>
          <w:color w:val="auto"/>
          <w:sz w:val="24"/>
          <w:lang w:val="en-US" w:eastAsia="zh-CN"/>
        </w:rPr>
        <w:t>新疆国恩工程管理有限公司</w:t>
      </w:r>
      <w:r>
        <w:rPr>
          <w:rFonts w:ascii="Times New Roman" w:cs="Times New Roman"/>
          <w:b w:val="0"/>
          <w:bCs w:val="0"/>
          <w:color w:val="auto"/>
          <w:sz w:val="24"/>
        </w:rPr>
        <w:t>：</w:t>
      </w:r>
    </w:p>
    <w:p w14:paraId="08D1491D">
      <w:pPr>
        <w:pStyle w:val="14"/>
        <w:tabs>
          <w:tab w:val="left" w:pos="2797"/>
        </w:tabs>
        <w:spacing w:before="160" w:line="364" w:lineRule="auto"/>
        <w:ind w:left="0" w:firstLine="480"/>
        <w:jc w:val="both"/>
        <w:rPr>
          <w:b w:val="0"/>
          <w:bCs w:val="0"/>
          <w:color w:val="auto"/>
        </w:rPr>
      </w:pPr>
      <w:r>
        <w:rPr>
          <w:b w:val="0"/>
          <w:bCs w:val="0"/>
          <w:color w:val="auto"/>
        </w:rPr>
        <w:t>关 于 贵 方</w:t>
      </w:r>
      <w:r>
        <w:rPr>
          <w:b w:val="0"/>
          <w:bCs w:val="0"/>
          <w:color w:val="auto"/>
          <w:u w:val="single"/>
        </w:rPr>
        <w:t xml:space="preserve">    </w:t>
      </w:r>
      <w:r>
        <w:rPr>
          <w:b w:val="0"/>
          <w:bCs w:val="0"/>
          <w:color w:val="auto"/>
        </w:rPr>
        <w:t>年</w:t>
      </w:r>
      <w:r>
        <w:rPr>
          <w:b w:val="0"/>
          <w:bCs w:val="0"/>
          <w:color w:val="auto"/>
          <w:u w:val="single"/>
        </w:rPr>
        <w:t xml:space="preserve">     </w:t>
      </w:r>
      <w:r>
        <w:rPr>
          <w:b w:val="0"/>
          <w:bCs w:val="0"/>
          <w:color w:val="auto"/>
        </w:rPr>
        <w:t>月</w:t>
      </w:r>
      <w:r>
        <w:rPr>
          <w:b w:val="0"/>
          <w:bCs w:val="0"/>
          <w:color w:val="auto"/>
          <w:u w:val="single"/>
        </w:rPr>
        <w:t xml:space="preserve">     </w:t>
      </w:r>
      <w:r>
        <w:rPr>
          <w:b w:val="0"/>
          <w:bCs w:val="0"/>
          <w:color w:val="auto"/>
        </w:rPr>
        <w:t>日 第 （ 招 标 编 号 ） 招 标 公 告 关 于</w:t>
      </w:r>
      <w:r>
        <w:rPr>
          <w:b w:val="0"/>
          <w:bCs w:val="0"/>
          <w:color w:val="auto"/>
          <w:u w:val="single"/>
        </w:rPr>
        <w:t>“</w:t>
      </w:r>
      <w:r>
        <w:rPr>
          <w:b w:val="0"/>
          <w:bCs w:val="0"/>
          <w:color w:val="auto"/>
          <w:u w:val="single"/>
        </w:rPr>
        <w:tab/>
      </w:r>
      <w:r>
        <w:rPr>
          <w:b w:val="0"/>
          <w:bCs w:val="0"/>
          <w:color w:val="auto"/>
          <w:u w:val="single"/>
        </w:rPr>
        <w:t>”</w:t>
      </w:r>
      <w:r>
        <w:rPr>
          <w:b w:val="0"/>
          <w:bCs w:val="0"/>
          <w:color w:val="auto"/>
        </w:rPr>
        <w:t>的招标项目，本签字人愿意参加投标，并有能力提供</w:t>
      </w:r>
      <w:r>
        <w:rPr>
          <w:b w:val="0"/>
          <w:bCs w:val="0"/>
          <w:color w:val="auto"/>
          <w:u w:val="single"/>
        </w:rPr>
        <w:t xml:space="preserve"> （项目名称）    </w:t>
      </w:r>
      <w:r>
        <w:rPr>
          <w:b w:val="0"/>
          <w:bCs w:val="0"/>
          <w:color w:val="auto"/>
        </w:rPr>
        <w:t>项目中的（</w:t>
      </w:r>
      <w:r>
        <w:rPr>
          <w:b w:val="0"/>
          <w:bCs w:val="0"/>
          <w:color w:val="auto"/>
          <w:u w:val="single"/>
        </w:rPr>
        <w:t>包号及货物名称）</w:t>
      </w:r>
      <w:r>
        <w:rPr>
          <w:b w:val="0"/>
          <w:bCs w:val="0"/>
          <w:color w:val="auto"/>
        </w:rPr>
        <w:t>招标货物及相关服务，并保证所提交的所有文件和说明是真实和准确的。</w:t>
      </w:r>
    </w:p>
    <w:p w14:paraId="69AF2DB9">
      <w:pPr>
        <w:pStyle w:val="14"/>
        <w:tabs>
          <w:tab w:val="left" w:pos="8376"/>
        </w:tabs>
        <w:spacing w:before="3"/>
        <w:ind w:left="0"/>
        <w:jc w:val="both"/>
        <w:rPr>
          <w:b w:val="0"/>
          <w:bCs w:val="0"/>
          <w:color w:val="auto"/>
        </w:rPr>
      </w:pPr>
      <w:r>
        <w:rPr>
          <w:b w:val="0"/>
          <w:bCs w:val="0"/>
          <w:color w:val="auto"/>
        </w:rPr>
        <w:t>投标人（盖章）：</w:t>
      </w:r>
      <w:r>
        <w:rPr>
          <w:b w:val="0"/>
          <w:bCs w:val="0"/>
          <w:color w:val="auto"/>
          <w:u w:val="single"/>
        </w:rPr>
        <w:t xml:space="preserve"> 投标人名称</w:t>
      </w:r>
      <w:r>
        <w:rPr>
          <w:b w:val="0"/>
          <w:bCs w:val="0"/>
          <w:color w:val="auto"/>
          <w:u w:val="single"/>
        </w:rPr>
        <w:tab/>
      </w:r>
    </w:p>
    <w:p w14:paraId="65749DA2">
      <w:pPr>
        <w:pStyle w:val="14"/>
        <w:spacing w:before="9"/>
        <w:ind w:left="0"/>
        <w:rPr>
          <w:b w:val="0"/>
          <w:bCs w:val="0"/>
          <w:color w:val="auto"/>
          <w:sz w:val="16"/>
        </w:rPr>
      </w:pPr>
    </w:p>
    <w:p w14:paraId="37563A01">
      <w:pPr>
        <w:pStyle w:val="14"/>
        <w:spacing w:before="67"/>
        <w:ind w:left="0"/>
        <w:rPr>
          <w:b w:val="0"/>
          <w:bCs w:val="0"/>
          <w:color w:val="auto"/>
        </w:rPr>
      </w:pPr>
      <w:r>
        <w:rPr>
          <w:b w:val="0"/>
          <w:bCs w:val="0"/>
          <w:color w:val="auto"/>
        </w:rPr>
        <w:t>授权签署本资格文件人（签字）：</w:t>
      </w:r>
      <w:r>
        <w:rPr>
          <w:b w:val="0"/>
          <w:bCs w:val="0"/>
          <w:color w:val="auto"/>
          <w:u w:val="single"/>
        </w:rPr>
        <w:t>授权人姓名、职务</w:t>
      </w:r>
    </w:p>
    <w:p w14:paraId="37ECE19F">
      <w:pPr>
        <w:pStyle w:val="14"/>
        <w:spacing w:before="9"/>
        <w:ind w:left="0"/>
        <w:rPr>
          <w:b w:val="0"/>
          <w:bCs w:val="0"/>
          <w:color w:val="auto"/>
          <w:sz w:val="16"/>
        </w:rPr>
      </w:pPr>
    </w:p>
    <w:p w14:paraId="4FD0BD6D">
      <w:pPr>
        <w:pStyle w:val="14"/>
        <w:spacing w:before="67"/>
        <w:ind w:left="0"/>
        <w:rPr>
          <w:b w:val="0"/>
          <w:bCs w:val="0"/>
          <w:color w:val="auto"/>
        </w:rPr>
      </w:pPr>
      <w:r>
        <w:rPr>
          <w:b w:val="0"/>
          <w:bCs w:val="0"/>
          <w:color w:val="auto"/>
        </w:rPr>
        <w:t>签字人姓名、职务：</w:t>
      </w:r>
      <w:r>
        <w:rPr>
          <w:b w:val="0"/>
          <w:bCs w:val="0"/>
          <w:color w:val="auto"/>
          <w:u w:val="single"/>
        </w:rPr>
        <w:t>被授权人姓名、职务</w:t>
      </w:r>
    </w:p>
    <w:p w14:paraId="0574224F">
      <w:pPr>
        <w:pStyle w:val="14"/>
        <w:spacing w:before="9"/>
        <w:ind w:left="0"/>
        <w:rPr>
          <w:b w:val="0"/>
          <w:bCs w:val="0"/>
          <w:color w:val="auto"/>
          <w:sz w:val="16"/>
        </w:rPr>
      </w:pPr>
    </w:p>
    <w:p w14:paraId="748FDEC9">
      <w:pPr>
        <w:pStyle w:val="14"/>
        <w:tabs>
          <w:tab w:val="left" w:pos="6479"/>
        </w:tabs>
        <w:spacing w:before="66"/>
        <w:ind w:left="0"/>
        <w:jc w:val="center"/>
        <w:rPr>
          <w:b w:val="0"/>
          <w:bCs w:val="0"/>
          <w:color w:val="auto"/>
        </w:rPr>
      </w:pPr>
      <w:r>
        <w:rPr>
          <w:b w:val="0"/>
          <w:bCs w:val="0"/>
          <w:color w:val="auto"/>
        </w:rPr>
        <w:t>地址：</w:t>
      </w:r>
      <w:r>
        <w:rPr>
          <w:b w:val="0"/>
          <w:bCs w:val="0"/>
          <w:color w:val="auto"/>
          <w:u w:val="single"/>
        </w:rPr>
        <w:t>投标人地址</w:t>
      </w:r>
      <w:r>
        <w:rPr>
          <w:b w:val="0"/>
          <w:bCs w:val="0"/>
          <w:color w:val="auto"/>
          <w:u w:val="single"/>
        </w:rPr>
        <w:tab/>
      </w:r>
    </w:p>
    <w:p w14:paraId="187614E7">
      <w:pPr>
        <w:pStyle w:val="14"/>
        <w:spacing w:before="2"/>
        <w:ind w:left="0"/>
        <w:rPr>
          <w:b w:val="0"/>
          <w:bCs w:val="0"/>
          <w:color w:val="auto"/>
          <w:sz w:val="16"/>
        </w:rPr>
      </w:pPr>
    </w:p>
    <w:p w14:paraId="3E541BC6">
      <w:pPr>
        <w:pStyle w:val="14"/>
        <w:tabs>
          <w:tab w:val="left" w:pos="1979"/>
          <w:tab w:val="left" w:pos="4379"/>
          <w:tab w:val="left" w:pos="4679"/>
          <w:tab w:val="left" w:pos="6539"/>
        </w:tabs>
        <w:spacing w:before="74"/>
        <w:ind w:left="0"/>
        <w:jc w:val="center"/>
        <w:rPr>
          <w:b w:val="0"/>
          <w:bCs w:val="0"/>
          <w:color w:val="auto"/>
        </w:rPr>
      </w:pPr>
      <w:r>
        <w:rPr>
          <w:b w:val="0"/>
          <w:bCs w:val="0"/>
          <w:color w:val="auto"/>
        </w:rPr>
        <w:t>传真：</w:t>
      </w:r>
      <w:r>
        <w:rPr>
          <w:b w:val="0"/>
          <w:bCs w:val="0"/>
          <w:color w:val="auto"/>
          <w:u w:val="single"/>
        </w:rPr>
        <w:t xml:space="preserve"> </w:t>
      </w:r>
      <w:r>
        <w:rPr>
          <w:b w:val="0"/>
          <w:bCs w:val="0"/>
          <w:color w:val="auto"/>
          <w:u w:val="single"/>
        </w:rPr>
        <w:tab/>
      </w:r>
      <w:r>
        <w:rPr>
          <w:b w:val="0"/>
          <w:bCs w:val="0"/>
          <w:color w:val="auto"/>
        </w:rPr>
        <w:t>电话：</w:t>
      </w:r>
      <w:r>
        <w:rPr>
          <w:b w:val="0"/>
          <w:bCs w:val="0"/>
          <w:color w:val="auto"/>
          <w:u w:val="single"/>
        </w:rPr>
        <w:t xml:space="preserve"> </w:t>
      </w:r>
      <w:r>
        <w:rPr>
          <w:b w:val="0"/>
          <w:bCs w:val="0"/>
          <w:color w:val="auto"/>
          <w:u w:val="single"/>
        </w:rPr>
        <w:tab/>
      </w:r>
      <w:r>
        <w:rPr>
          <w:b w:val="0"/>
          <w:bCs w:val="0"/>
          <w:color w:val="auto"/>
        </w:rPr>
        <w:tab/>
      </w:r>
      <w:r>
        <w:rPr>
          <w:b w:val="0"/>
          <w:bCs w:val="0"/>
          <w:color w:val="auto"/>
        </w:rPr>
        <w:t>邮编：</w:t>
      </w:r>
      <w:r>
        <w:rPr>
          <w:b w:val="0"/>
          <w:bCs w:val="0"/>
          <w:color w:val="auto"/>
          <w:u w:val="single"/>
        </w:rPr>
        <w:t xml:space="preserve"> </w:t>
      </w:r>
      <w:r>
        <w:rPr>
          <w:b w:val="0"/>
          <w:bCs w:val="0"/>
          <w:color w:val="auto"/>
          <w:u w:val="single"/>
        </w:rPr>
        <w:tab/>
      </w:r>
    </w:p>
    <w:p w14:paraId="2A5CA4A4">
      <w:pPr>
        <w:pStyle w:val="14"/>
        <w:spacing w:before="0"/>
        <w:ind w:left="0"/>
        <w:rPr>
          <w:b w:val="0"/>
          <w:bCs w:val="0"/>
          <w:color w:val="auto"/>
          <w:sz w:val="20"/>
        </w:rPr>
      </w:pPr>
    </w:p>
    <w:p w14:paraId="6CBD4034">
      <w:pPr>
        <w:pStyle w:val="14"/>
        <w:spacing w:before="0"/>
        <w:ind w:left="0"/>
        <w:rPr>
          <w:b w:val="0"/>
          <w:bCs w:val="0"/>
          <w:color w:val="auto"/>
          <w:sz w:val="20"/>
        </w:rPr>
      </w:pPr>
    </w:p>
    <w:p w14:paraId="4A2E0E3E">
      <w:pPr>
        <w:pStyle w:val="14"/>
        <w:ind w:left="0"/>
        <w:rPr>
          <w:b w:val="0"/>
          <w:bCs w:val="0"/>
          <w:color w:val="auto"/>
          <w:sz w:val="29"/>
        </w:rPr>
      </w:pPr>
    </w:p>
    <w:p w14:paraId="3FC84EF2">
      <w:pPr>
        <w:tabs>
          <w:tab w:val="left" w:pos="7232"/>
        </w:tabs>
        <w:spacing w:before="74"/>
        <w:rPr>
          <w:rFonts w:ascii="Times New Roman" w:hAnsi="Times New Roman" w:cs="Times New Roman"/>
          <w:b w:val="0"/>
          <w:bCs w:val="0"/>
          <w:color w:val="auto"/>
          <w:sz w:val="26"/>
        </w:rPr>
      </w:pPr>
      <w:r>
        <w:rPr>
          <w:rFonts w:ascii="Times New Roman" w:cs="Times New Roman"/>
          <w:b w:val="0"/>
          <w:bCs w:val="0"/>
          <w:color w:val="auto"/>
          <w:sz w:val="24"/>
        </w:rPr>
        <w:t>声明日期：</w:t>
      </w:r>
      <w:r>
        <w:rPr>
          <w:rFonts w:ascii="Times New Roman" w:hAnsi="Times New Roman" w:cs="Times New Roman"/>
          <w:b w:val="0"/>
          <w:bCs w:val="0"/>
          <w:color w:val="auto"/>
          <w:sz w:val="24"/>
          <w:u w:val="single"/>
        </w:rPr>
        <w:t xml:space="preserve"> </w:t>
      </w:r>
      <w:r>
        <w:rPr>
          <w:rFonts w:hint="eastAsia" w:ascii="Times New Roman" w:hAnsi="Times New Roman" w:cs="Times New Roman"/>
          <w:b w:val="0"/>
          <w:bCs w:val="0"/>
          <w:color w:val="auto"/>
          <w:sz w:val="24"/>
          <w:u w:val="single"/>
          <w:lang w:val="en-US"/>
        </w:rPr>
        <w:t xml:space="preserve">     </w:t>
      </w:r>
      <w:r>
        <w:rPr>
          <w:rFonts w:ascii="Times New Roman" w:hAnsi="Times New Roman" w:cs="Times New Roman"/>
          <w:b w:val="0"/>
          <w:bCs w:val="0"/>
          <w:color w:val="auto"/>
          <w:sz w:val="24"/>
          <w:u w:val="single"/>
          <w:lang w:val="en-US"/>
        </w:rPr>
        <w:t xml:space="preserve"> </w:t>
      </w:r>
      <w:r>
        <w:rPr>
          <w:rFonts w:ascii="Times New Roman" w:cs="Times New Roman"/>
          <w:b w:val="0"/>
          <w:bCs w:val="0"/>
          <w:color w:val="auto"/>
          <w:sz w:val="24"/>
        </w:rPr>
        <w:t>年</w:t>
      </w:r>
      <w:r>
        <w:rPr>
          <w:rFonts w:ascii="Times New Roman" w:hAnsi="Times New Roman" w:cs="Times New Roman"/>
          <w:b w:val="0"/>
          <w:bCs w:val="0"/>
          <w:color w:val="auto"/>
          <w:sz w:val="24"/>
          <w:u w:val="single"/>
        </w:rPr>
        <w:t xml:space="preserve"> </w:t>
      </w:r>
      <w:r>
        <w:rPr>
          <w:rFonts w:ascii="Times New Roman" w:hAnsi="Times New Roman" w:cs="Times New Roman"/>
          <w:b w:val="0"/>
          <w:bCs w:val="0"/>
          <w:color w:val="auto"/>
          <w:sz w:val="24"/>
          <w:u w:val="single"/>
          <w:lang w:val="en-US"/>
        </w:rPr>
        <w:t xml:space="preserve">  </w:t>
      </w:r>
      <w:r>
        <w:rPr>
          <w:rFonts w:ascii="Times New Roman" w:cs="Times New Roman"/>
          <w:b w:val="0"/>
          <w:bCs w:val="0"/>
          <w:color w:val="auto"/>
          <w:sz w:val="24"/>
        </w:rPr>
        <w:t>月</w:t>
      </w:r>
      <w:r>
        <w:rPr>
          <w:rFonts w:ascii="Times New Roman" w:hAnsi="Times New Roman" w:cs="Times New Roman"/>
          <w:b w:val="0"/>
          <w:bCs w:val="0"/>
          <w:color w:val="auto"/>
          <w:sz w:val="24"/>
          <w:u w:val="single"/>
        </w:rPr>
        <w:t xml:space="preserve"> </w:t>
      </w:r>
      <w:r>
        <w:rPr>
          <w:rFonts w:ascii="Times New Roman" w:hAnsi="Times New Roman" w:cs="Times New Roman"/>
          <w:b w:val="0"/>
          <w:bCs w:val="0"/>
          <w:color w:val="auto"/>
          <w:sz w:val="24"/>
          <w:u w:val="single"/>
          <w:lang w:val="en-US"/>
        </w:rPr>
        <w:t xml:space="preserve"> </w:t>
      </w:r>
      <w:r>
        <w:rPr>
          <w:rFonts w:ascii="Times New Roman" w:cs="Times New Roman"/>
          <w:b w:val="0"/>
          <w:bCs w:val="0"/>
          <w:color w:val="auto"/>
          <w:sz w:val="24"/>
        </w:rPr>
        <w:t>日</w:t>
      </w:r>
    </w:p>
    <w:p w14:paraId="65DB1FE2">
      <w:pPr>
        <w:pStyle w:val="14"/>
        <w:spacing w:before="0"/>
        <w:ind w:left="0"/>
        <w:rPr>
          <w:color w:val="auto"/>
          <w:sz w:val="23"/>
        </w:rPr>
      </w:pPr>
    </w:p>
    <w:p w14:paraId="47A74212">
      <w:pPr>
        <w:rPr>
          <w:rFonts w:ascii="Times New Roman" w:hAnsi="Times New Roman" w:cs="Times New Roman"/>
          <w:color w:val="auto"/>
          <w:sz w:val="23"/>
        </w:rPr>
      </w:pPr>
    </w:p>
    <w:p w14:paraId="691F412C">
      <w:pPr>
        <w:keepNext/>
        <w:keepLines/>
        <w:spacing w:line="360" w:lineRule="auto"/>
        <w:jc w:val="center"/>
        <w:rPr>
          <w:rFonts w:ascii="Arial" w:hAnsi="Arial" w:eastAsia="Arial"/>
          <w:color w:val="auto"/>
          <w:sz w:val="28"/>
          <w:lang w:val="en-US"/>
        </w:rPr>
      </w:pPr>
      <w:r>
        <w:rPr>
          <w:color w:val="auto"/>
        </w:rPr>
        <w:br w:type="page"/>
      </w:r>
      <w:r>
        <w:rPr>
          <w:rFonts w:hint="eastAsia" w:ascii="Times New Roman" w:cs="Times New Roman"/>
          <w:b/>
          <w:color w:val="auto"/>
          <w:sz w:val="30"/>
        </w:rPr>
        <w:t>具备履行合同所必需的设备和专业技术能力的书面声明</w:t>
      </w:r>
    </w:p>
    <w:p w14:paraId="0BA2DF03">
      <w:pPr>
        <w:spacing w:before="156" w:after="156" w:line="300" w:lineRule="atLeast"/>
        <w:ind w:firstLine="492"/>
        <w:jc w:val="both"/>
        <w:rPr>
          <w:rFonts w:hint="eastAsia"/>
          <w:b w:val="0"/>
          <w:bCs/>
          <w:color w:val="auto"/>
          <w:sz w:val="24"/>
        </w:rPr>
      </w:pPr>
      <w:r>
        <w:rPr>
          <w:rFonts w:hint="eastAsia"/>
          <w:b w:val="0"/>
          <w:bCs/>
          <w:color w:val="auto"/>
          <w:sz w:val="24"/>
        </w:rPr>
        <w:t>致：招标人</w:t>
      </w:r>
    </w:p>
    <w:p w14:paraId="36514424">
      <w:pPr>
        <w:spacing w:before="156" w:after="156" w:line="300" w:lineRule="atLeast"/>
        <w:ind w:firstLine="492"/>
        <w:jc w:val="both"/>
        <w:rPr>
          <w:rFonts w:hint="eastAsia"/>
          <w:color w:val="auto"/>
          <w:sz w:val="24"/>
        </w:rPr>
      </w:pPr>
      <w:r>
        <w:rPr>
          <w:rFonts w:hint="eastAsia"/>
          <w:color w:val="auto"/>
          <w:sz w:val="24"/>
        </w:rPr>
        <w:t>我单位郑重声明：我单位具备履行本项采购合同所必需的设备和专业技术能力，为履行本项采购合同我公司具备如下主要设备和主要专业技术能力：</w:t>
      </w:r>
    </w:p>
    <w:p w14:paraId="4EF672EE">
      <w:pPr>
        <w:spacing w:before="156" w:after="156" w:line="300" w:lineRule="atLeast"/>
        <w:ind w:firstLine="492"/>
        <w:jc w:val="both"/>
        <w:rPr>
          <w:rFonts w:hint="eastAsia"/>
          <w:color w:val="auto"/>
          <w:sz w:val="24"/>
        </w:rPr>
      </w:pPr>
      <w:r>
        <w:rPr>
          <w:rFonts w:hint="eastAsia"/>
          <w:color w:val="auto"/>
          <w:sz w:val="24"/>
        </w:rPr>
        <w:t>主要设备有：</w:t>
      </w:r>
      <w:r>
        <w:rPr>
          <w:rFonts w:hint="eastAsia"/>
          <w:color w:val="auto"/>
          <w:sz w:val="24"/>
          <w:u w:val="single"/>
        </w:rPr>
        <w:t xml:space="preserve">                                                    </w:t>
      </w:r>
      <w:r>
        <w:rPr>
          <w:rFonts w:hint="eastAsia"/>
          <w:color w:val="auto"/>
          <w:sz w:val="24"/>
        </w:rPr>
        <w:t>。</w:t>
      </w:r>
    </w:p>
    <w:p w14:paraId="10D47D91">
      <w:pPr>
        <w:spacing w:before="156" w:after="156" w:line="300" w:lineRule="atLeast"/>
        <w:ind w:firstLine="492"/>
        <w:jc w:val="both"/>
        <w:rPr>
          <w:rFonts w:hint="eastAsia"/>
          <w:color w:val="auto"/>
          <w:sz w:val="24"/>
        </w:rPr>
      </w:pPr>
      <w:r>
        <w:rPr>
          <w:rFonts w:hint="eastAsia"/>
          <w:color w:val="auto"/>
          <w:sz w:val="24"/>
        </w:rPr>
        <w:t>主要专业技术能力有：</w:t>
      </w:r>
      <w:r>
        <w:rPr>
          <w:rFonts w:hint="eastAsia"/>
          <w:color w:val="auto"/>
          <w:sz w:val="24"/>
          <w:u w:val="single"/>
        </w:rPr>
        <w:t xml:space="preserve">                                            </w:t>
      </w:r>
      <w:r>
        <w:rPr>
          <w:rFonts w:hint="eastAsia"/>
          <w:color w:val="auto"/>
          <w:sz w:val="24"/>
        </w:rPr>
        <w:t>。</w:t>
      </w:r>
    </w:p>
    <w:p w14:paraId="285634DA">
      <w:pPr>
        <w:spacing w:before="156" w:after="156" w:line="300" w:lineRule="atLeast"/>
        <w:ind w:left="5760" w:hanging="720"/>
        <w:rPr>
          <w:rFonts w:hint="eastAsia"/>
          <w:color w:val="auto"/>
          <w:sz w:val="24"/>
        </w:rPr>
      </w:pPr>
      <w:r>
        <w:rPr>
          <w:rFonts w:hint="eastAsia"/>
          <w:color w:val="auto"/>
          <w:sz w:val="24"/>
        </w:rPr>
        <w:t xml:space="preserve">                                     投标人名称（盖章）： </w:t>
      </w:r>
    </w:p>
    <w:p w14:paraId="49DABA23">
      <w:pPr>
        <w:spacing w:before="156" w:after="156" w:line="300" w:lineRule="atLeast"/>
        <w:ind w:firstLine="5775"/>
        <w:jc w:val="both"/>
        <w:rPr>
          <w:rFonts w:hint="eastAsia"/>
          <w:color w:val="auto"/>
          <w:sz w:val="24"/>
        </w:rPr>
      </w:pPr>
      <w:r>
        <w:rPr>
          <w:rFonts w:hint="eastAsia"/>
          <w:color w:val="auto"/>
          <w:sz w:val="21"/>
        </w:rPr>
        <w:t>______年____月____日</w:t>
      </w:r>
    </w:p>
    <w:p w14:paraId="0714064C">
      <w:pPr>
        <w:spacing w:before="156" w:after="156" w:line="300" w:lineRule="atLeast"/>
        <w:jc w:val="both"/>
        <w:rPr>
          <w:rFonts w:hint="eastAsia"/>
          <w:color w:val="auto"/>
          <w:sz w:val="24"/>
        </w:rPr>
      </w:pPr>
    </w:p>
    <w:p w14:paraId="7CC98331">
      <w:pPr>
        <w:rPr>
          <w:rFonts w:hint="eastAsia"/>
          <w:color w:val="auto"/>
          <w:sz w:val="30"/>
        </w:rPr>
      </w:pPr>
    </w:p>
    <w:p w14:paraId="456D387D">
      <w:pPr>
        <w:spacing w:before="156" w:after="156" w:line="300" w:lineRule="atLeast"/>
        <w:jc w:val="both"/>
        <w:rPr>
          <w:rFonts w:hint="eastAsia"/>
          <w:color w:val="auto"/>
          <w:sz w:val="24"/>
        </w:rPr>
      </w:pPr>
    </w:p>
    <w:p w14:paraId="0AB700F8">
      <w:pPr>
        <w:keepNext/>
        <w:keepLines/>
        <w:spacing w:line="360" w:lineRule="auto"/>
        <w:jc w:val="center"/>
        <w:rPr>
          <w:rFonts w:ascii="Times New Roman" w:cs="Times New Roman"/>
          <w:b/>
          <w:color w:val="auto"/>
          <w:sz w:val="30"/>
          <w:lang w:val="en-US"/>
        </w:rPr>
      </w:pPr>
      <w:r>
        <w:rPr>
          <w:rFonts w:hint="eastAsia" w:ascii="Times New Roman" w:cs="Times New Roman"/>
          <w:b/>
          <w:color w:val="auto"/>
          <w:sz w:val="30"/>
        </w:rPr>
        <w:t>参加政府采购活动前</w:t>
      </w:r>
      <w:r>
        <w:rPr>
          <w:rFonts w:ascii="Times New Roman" w:cs="Times New Roman"/>
          <w:b/>
          <w:color w:val="auto"/>
          <w:sz w:val="30"/>
          <w:lang w:val="en-US"/>
        </w:rPr>
        <w:t xml:space="preserve"> 3 </w:t>
      </w:r>
      <w:r>
        <w:rPr>
          <w:rFonts w:hint="eastAsia" w:ascii="Times New Roman" w:cs="Times New Roman"/>
          <w:b/>
          <w:color w:val="auto"/>
          <w:sz w:val="30"/>
        </w:rPr>
        <w:t>年内在经营活动中没有重大违法记录的</w:t>
      </w:r>
    </w:p>
    <w:p w14:paraId="3AD0131D">
      <w:pPr>
        <w:keepNext/>
        <w:keepLines/>
        <w:spacing w:line="360" w:lineRule="auto"/>
        <w:jc w:val="center"/>
        <w:rPr>
          <w:rFonts w:ascii="Times New Roman" w:cs="Times New Roman"/>
          <w:b/>
          <w:color w:val="auto"/>
          <w:sz w:val="30"/>
          <w:lang w:val="en-US"/>
        </w:rPr>
      </w:pPr>
      <w:r>
        <w:rPr>
          <w:rFonts w:hint="eastAsia" w:ascii="Times New Roman" w:cs="Times New Roman"/>
          <w:b/>
          <w:color w:val="auto"/>
          <w:sz w:val="30"/>
        </w:rPr>
        <w:t>书面声明</w:t>
      </w:r>
    </w:p>
    <w:p w14:paraId="355EBA5E">
      <w:pPr>
        <w:jc w:val="both"/>
        <w:rPr>
          <w:rFonts w:ascii="??_GB2312" w:hAnsi="??_GB2312" w:eastAsia="??_GB2312"/>
          <w:color w:val="auto"/>
          <w:sz w:val="28"/>
          <w:lang w:val="en-US"/>
        </w:rPr>
      </w:pPr>
    </w:p>
    <w:p w14:paraId="0D70DBB4">
      <w:pPr>
        <w:spacing w:before="156" w:after="156" w:line="300" w:lineRule="atLeast"/>
        <w:jc w:val="both"/>
        <w:rPr>
          <w:rFonts w:hint="eastAsia"/>
          <w:color w:val="auto"/>
          <w:sz w:val="24"/>
        </w:rPr>
      </w:pPr>
      <w:r>
        <w:rPr>
          <w:rFonts w:hint="eastAsia"/>
          <w:b/>
          <w:color w:val="auto"/>
          <w:sz w:val="24"/>
        </w:rPr>
        <w:t xml:space="preserve">    </w:t>
      </w:r>
      <w:r>
        <w:rPr>
          <w:rFonts w:hint="eastAsia"/>
          <w:color w:val="auto"/>
          <w:sz w:val="24"/>
        </w:rPr>
        <w:t>我单位郑重声明：参加本次政府采购活动前 3 年内，我单位在经营活动中没有因违法经营受到刑事处罚或者责令停产停业、吊销许可证或者执照、较大数额罚款等行政处罚。</w:t>
      </w:r>
    </w:p>
    <w:p w14:paraId="6541AE8C">
      <w:pPr>
        <w:spacing w:before="156" w:after="156" w:line="300" w:lineRule="atLeast"/>
        <w:jc w:val="both"/>
        <w:rPr>
          <w:rFonts w:hint="eastAsia"/>
          <w:color w:val="auto"/>
          <w:sz w:val="24"/>
        </w:rPr>
      </w:pPr>
    </w:p>
    <w:p w14:paraId="6C779C84">
      <w:pPr>
        <w:spacing w:before="156" w:after="156" w:line="300" w:lineRule="atLeast"/>
        <w:ind w:left="420" w:firstLine="5280"/>
        <w:rPr>
          <w:rFonts w:hint="eastAsia"/>
          <w:color w:val="auto"/>
          <w:sz w:val="24"/>
        </w:rPr>
      </w:pPr>
      <w:r>
        <w:rPr>
          <w:rFonts w:hint="eastAsia"/>
          <w:color w:val="auto"/>
          <w:sz w:val="24"/>
        </w:rPr>
        <w:t xml:space="preserve">投标人名称（盖章）： </w:t>
      </w:r>
    </w:p>
    <w:p w14:paraId="526544D7">
      <w:pPr>
        <w:spacing w:before="156" w:after="156" w:line="300" w:lineRule="atLeast"/>
        <w:ind w:firstLine="5775"/>
        <w:jc w:val="both"/>
        <w:rPr>
          <w:rFonts w:hint="eastAsia"/>
          <w:color w:val="auto"/>
          <w:sz w:val="24"/>
        </w:rPr>
      </w:pPr>
      <w:r>
        <w:rPr>
          <w:rFonts w:hint="eastAsia"/>
          <w:color w:val="auto"/>
          <w:sz w:val="21"/>
        </w:rPr>
        <w:t>______年____月____日</w:t>
      </w:r>
    </w:p>
    <w:p w14:paraId="071F778B">
      <w:pPr>
        <w:pStyle w:val="14"/>
        <w:spacing w:before="0"/>
        <w:ind w:left="0"/>
        <w:rPr>
          <w:color w:val="auto"/>
          <w:sz w:val="23"/>
        </w:rPr>
      </w:pPr>
    </w:p>
    <w:p w14:paraId="57017654">
      <w:pPr>
        <w:rPr>
          <w:rFonts w:ascii="Times New Roman" w:hAnsi="Times New Roman" w:cs="Times New Roman"/>
          <w:color w:val="auto"/>
          <w:sz w:val="23"/>
        </w:rPr>
      </w:pPr>
    </w:p>
    <w:p w14:paraId="41BB0107">
      <w:pPr>
        <w:rPr>
          <w:color w:val="auto"/>
        </w:rPr>
      </w:pPr>
    </w:p>
    <w:p w14:paraId="23348C1F">
      <w:pPr>
        <w:rPr>
          <w:rFonts w:ascii="Times New Roman" w:hAnsi="Times New Roman" w:cs="Times New Roman"/>
          <w:color w:val="auto"/>
          <w:sz w:val="23"/>
        </w:rPr>
      </w:pPr>
    </w:p>
    <w:p w14:paraId="4CC588F0">
      <w:pPr>
        <w:rPr>
          <w:color w:val="auto"/>
        </w:rPr>
        <w:sectPr>
          <w:pgSz w:w="11910" w:h="16840"/>
          <w:pgMar w:top="1420" w:right="1134" w:bottom="1180" w:left="1160" w:header="878" w:footer="993" w:gutter="0"/>
          <w:cols w:space="720" w:num="1"/>
        </w:sectPr>
      </w:pPr>
    </w:p>
    <w:p w14:paraId="683ADB55">
      <w:pPr>
        <w:spacing w:before="199"/>
        <w:jc w:val="center"/>
        <w:rPr>
          <w:rFonts w:ascii="Times New Roman" w:hAnsi="Times New Roman" w:cs="Times New Roman"/>
          <w:b/>
          <w:color w:val="auto"/>
          <w:sz w:val="30"/>
        </w:rPr>
      </w:pPr>
      <w:r>
        <w:rPr>
          <w:rFonts w:hint="eastAsia" w:ascii="Times New Roman" w:cs="Times New Roman"/>
          <w:b/>
          <w:color w:val="auto"/>
          <w:sz w:val="30"/>
          <w:lang w:val="en-US"/>
        </w:rPr>
        <w:t>类似</w:t>
      </w:r>
      <w:r>
        <w:rPr>
          <w:rFonts w:ascii="Times New Roman" w:cs="Times New Roman"/>
          <w:b/>
          <w:color w:val="auto"/>
          <w:sz w:val="30"/>
        </w:rPr>
        <w:t>项目业绩表</w:t>
      </w:r>
    </w:p>
    <w:p w14:paraId="1B53E6F5">
      <w:pPr>
        <w:tabs>
          <w:tab w:val="left" w:pos="6529"/>
          <w:tab w:val="left" w:pos="9015"/>
        </w:tabs>
        <w:spacing w:before="201"/>
        <w:rPr>
          <w:rFonts w:ascii="Times New Roman" w:hAnsi="Times New Roman" w:cs="Times New Roman"/>
          <w:b w:val="0"/>
          <w:bCs/>
          <w:color w:val="auto"/>
          <w:sz w:val="24"/>
        </w:rPr>
      </w:pPr>
      <w:r>
        <w:rPr>
          <w:rFonts w:ascii="Times New Roman" w:cs="Times New Roman"/>
          <w:b w:val="0"/>
          <w:bCs/>
          <w:color w:val="auto"/>
          <w:sz w:val="24"/>
        </w:rPr>
        <w:t>投标人名称</w:t>
      </w:r>
      <w:r>
        <w:rPr>
          <w:rFonts w:ascii="Times New Roman" w:hAnsi="Times New Roman" w:cs="Times New Roman"/>
          <w:b w:val="0"/>
          <w:bCs/>
          <w:color w:val="auto"/>
          <w:sz w:val="24"/>
        </w:rPr>
        <w:t xml:space="preserve">  </w:t>
      </w:r>
      <w:r>
        <w:rPr>
          <w:rFonts w:ascii="Times New Roman" w:cs="Times New Roman"/>
          <w:b w:val="0"/>
          <w:bCs/>
          <w:color w:val="auto"/>
          <w:sz w:val="24"/>
        </w:rPr>
        <w:t>：</w:t>
      </w:r>
      <w:r>
        <w:rPr>
          <w:rFonts w:ascii="Times New Roman" w:hAnsi="Times New Roman" w:cs="Times New Roman"/>
          <w:b w:val="0"/>
          <w:bCs/>
          <w:color w:val="auto"/>
          <w:sz w:val="24"/>
        </w:rPr>
        <w:tab/>
      </w:r>
      <w:r>
        <w:rPr>
          <w:rFonts w:ascii="Times New Roman" w:cs="Times New Roman"/>
          <w:b w:val="0"/>
          <w:bCs/>
          <w:color w:val="auto"/>
          <w:sz w:val="24"/>
        </w:rPr>
        <w:t>项目编号：</w:t>
      </w:r>
      <w:r>
        <w:rPr>
          <w:rFonts w:ascii="Times New Roman" w:hAnsi="Times New Roman" w:cs="Times New Roman"/>
          <w:b w:val="0"/>
          <w:bCs/>
          <w:color w:val="auto"/>
          <w:sz w:val="24"/>
        </w:rPr>
        <w:tab/>
      </w:r>
    </w:p>
    <w:p w14:paraId="394438AC">
      <w:pPr>
        <w:pStyle w:val="14"/>
        <w:spacing w:before="3"/>
        <w:ind w:left="0"/>
        <w:rPr>
          <w:b w:val="0"/>
          <w:bCs/>
          <w:color w:val="auto"/>
          <w:sz w:val="6"/>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6"/>
        <w:gridCol w:w="1729"/>
        <w:gridCol w:w="1330"/>
        <w:gridCol w:w="1498"/>
        <w:gridCol w:w="1404"/>
        <w:gridCol w:w="1422"/>
        <w:gridCol w:w="1442"/>
      </w:tblGrid>
      <w:tr w14:paraId="0C57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936" w:type="dxa"/>
            <w:vAlign w:val="center"/>
          </w:tcPr>
          <w:p w14:paraId="048DD4F5">
            <w:pPr>
              <w:pStyle w:val="9"/>
              <w:ind w:firstLine="0"/>
              <w:jc w:val="center"/>
              <w:rPr>
                <w:rFonts w:hint="eastAsia"/>
                <w:b w:val="0"/>
                <w:bCs/>
                <w:color w:val="auto"/>
              </w:rPr>
            </w:pPr>
            <w:r>
              <w:rPr>
                <w:rFonts w:hint="eastAsia"/>
                <w:b w:val="0"/>
                <w:bCs/>
                <w:color w:val="auto"/>
              </w:rPr>
              <w:t>序号</w:t>
            </w:r>
          </w:p>
        </w:tc>
        <w:tc>
          <w:tcPr>
            <w:tcW w:w="1729" w:type="dxa"/>
            <w:vAlign w:val="center"/>
          </w:tcPr>
          <w:p w14:paraId="7013E708">
            <w:pPr>
              <w:pStyle w:val="9"/>
              <w:ind w:firstLine="0"/>
              <w:jc w:val="center"/>
              <w:rPr>
                <w:rFonts w:hint="eastAsia"/>
                <w:b w:val="0"/>
                <w:bCs/>
                <w:color w:val="auto"/>
              </w:rPr>
            </w:pPr>
            <w:r>
              <w:rPr>
                <w:rFonts w:hint="eastAsia"/>
                <w:b w:val="0"/>
                <w:bCs/>
                <w:color w:val="auto"/>
              </w:rPr>
              <w:t>项目名称</w:t>
            </w:r>
          </w:p>
        </w:tc>
        <w:tc>
          <w:tcPr>
            <w:tcW w:w="1330" w:type="dxa"/>
            <w:vAlign w:val="center"/>
          </w:tcPr>
          <w:p w14:paraId="01A00120">
            <w:pPr>
              <w:pStyle w:val="9"/>
              <w:ind w:firstLine="0"/>
              <w:jc w:val="center"/>
              <w:rPr>
                <w:rFonts w:hint="eastAsia"/>
                <w:b w:val="0"/>
                <w:bCs/>
                <w:color w:val="auto"/>
              </w:rPr>
            </w:pPr>
            <w:r>
              <w:rPr>
                <w:rFonts w:hint="eastAsia"/>
                <w:b w:val="0"/>
                <w:bCs/>
                <w:color w:val="auto"/>
              </w:rPr>
              <w:t>招标单位</w:t>
            </w:r>
          </w:p>
        </w:tc>
        <w:tc>
          <w:tcPr>
            <w:tcW w:w="1498" w:type="dxa"/>
            <w:vAlign w:val="center"/>
          </w:tcPr>
          <w:p w14:paraId="606D1CD1">
            <w:pPr>
              <w:pStyle w:val="9"/>
              <w:ind w:firstLine="0"/>
              <w:jc w:val="center"/>
              <w:rPr>
                <w:rFonts w:hint="eastAsia"/>
                <w:b w:val="0"/>
                <w:bCs/>
                <w:color w:val="auto"/>
              </w:rPr>
            </w:pPr>
            <w:r>
              <w:rPr>
                <w:rFonts w:hint="eastAsia"/>
                <w:b w:val="0"/>
                <w:bCs/>
                <w:color w:val="auto"/>
              </w:rPr>
              <w:t>时间</w:t>
            </w:r>
          </w:p>
        </w:tc>
        <w:tc>
          <w:tcPr>
            <w:tcW w:w="1404" w:type="dxa"/>
            <w:vAlign w:val="center"/>
          </w:tcPr>
          <w:p w14:paraId="757A634A">
            <w:pPr>
              <w:pStyle w:val="9"/>
              <w:ind w:firstLine="0"/>
              <w:jc w:val="center"/>
              <w:rPr>
                <w:rFonts w:hint="eastAsia"/>
                <w:b w:val="0"/>
                <w:bCs/>
                <w:color w:val="auto"/>
              </w:rPr>
            </w:pPr>
            <w:r>
              <w:rPr>
                <w:rFonts w:hint="eastAsia"/>
                <w:b w:val="0"/>
                <w:bCs/>
                <w:color w:val="auto"/>
              </w:rPr>
              <w:t>金额</w:t>
            </w:r>
          </w:p>
        </w:tc>
        <w:tc>
          <w:tcPr>
            <w:tcW w:w="1422" w:type="dxa"/>
            <w:vAlign w:val="center"/>
          </w:tcPr>
          <w:p w14:paraId="0004DF04">
            <w:pPr>
              <w:pStyle w:val="9"/>
              <w:ind w:firstLine="0"/>
              <w:jc w:val="center"/>
              <w:rPr>
                <w:rFonts w:hint="eastAsia"/>
                <w:b w:val="0"/>
                <w:bCs/>
                <w:color w:val="auto"/>
              </w:rPr>
            </w:pPr>
            <w:r>
              <w:rPr>
                <w:rFonts w:hint="eastAsia"/>
                <w:b w:val="0"/>
                <w:bCs/>
                <w:color w:val="auto"/>
                <w:lang w:val="en-US"/>
              </w:rPr>
              <w:t>招标方</w:t>
            </w:r>
            <w:r>
              <w:rPr>
                <w:rFonts w:hint="eastAsia"/>
                <w:b w:val="0"/>
                <w:bCs/>
                <w:color w:val="auto"/>
              </w:rPr>
              <w:t>负责人</w:t>
            </w:r>
            <w:r>
              <w:rPr>
                <w:rFonts w:hint="eastAsia"/>
                <w:b w:val="0"/>
                <w:bCs/>
                <w:color w:val="auto"/>
                <w:lang w:val="en-US"/>
              </w:rPr>
              <w:t>及</w:t>
            </w:r>
            <w:r>
              <w:rPr>
                <w:rFonts w:hint="eastAsia"/>
                <w:b w:val="0"/>
                <w:bCs/>
                <w:color w:val="auto"/>
              </w:rPr>
              <w:t>联系电话</w:t>
            </w:r>
          </w:p>
        </w:tc>
        <w:tc>
          <w:tcPr>
            <w:tcW w:w="1442" w:type="dxa"/>
            <w:vAlign w:val="center"/>
          </w:tcPr>
          <w:p w14:paraId="67534022">
            <w:pPr>
              <w:pStyle w:val="9"/>
              <w:ind w:firstLine="0"/>
              <w:jc w:val="center"/>
              <w:rPr>
                <w:rFonts w:hint="eastAsia"/>
                <w:b w:val="0"/>
                <w:bCs/>
                <w:color w:val="auto"/>
              </w:rPr>
            </w:pPr>
            <w:r>
              <w:rPr>
                <w:rFonts w:hint="eastAsia"/>
                <w:b w:val="0"/>
                <w:bCs/>
                <w:color w:val="auto"/>
                <w:lang w:val="en-US"/>
              </w:rPr>
              <w:t>供货方</w:t>
            </w:r>
            <w:r>
              <w:rPr>
                <w:rFonts w:hint="eastAsia"/>
                <w:b w:val="0"/>
                <w:bCs/>
                <w:color w:val="auto"/>
              </w:rPr>
              <w:t>负责人</w:t>
            </w:r>
            <w:r>
              <w:rPr>
                <w:rFonts w:hint="eastAsia"/>
                <w:b w:val="0"/>
                <w:bCs/>
                <w:color w:val="auto"/>
                <w:lang w:val="en-US"/>
              </w:rPr>
              <w:t>及</w:t>
            </w:r>
            <w:r>
              <w:rPr>
                <w:rFonts w:hint="eastAsia"/>
                <w:b w:val="0"/>
                <w:bCs/>
                <w:color w:val="auto"/>
              </w:rPr>
              <w:t>联系电话</w:t>
            </w:r>
          </w:p>
        </w:tc>
      </w:tr>
      <w:tr w14:paraId="4BCB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936" w:type="dxa"/>
          </w:tcPr>
          <w:p w14:paraId="19F89F46">
            <w:pPr>
              <w:pStyle w:val="9"/>
              <w:rPr>
                <w:rFonts w:hint="eastAsia"/>
                <w:b w:val="0"/>
                <w:bCs/>
                <w:color w:val="auto"/>
              </w:rPr>
            </w:pPr>
          </w:p>
        </w:tc>
        <w:tc>
          <w:tcPr>
            <w:tcW w:w="1729" w:type="dxa"/>
            <w:vAlign w:val="center"/>
          </w:tcPr>
          <w:p w14:paraId="1292963B">
            <w:pPr>
              <w:pStyle w:val="9"/>
              <w:rPr>
                <w:rFonts w:hint="eastAsia"/>
                <w:b w:val="0"/>
                <w:bCs/>
                <w:color w:val="auto"/>
              </w:rPr>
            </w:pPr>
          </w:p>
        </w:tc>
        <w:tc>
          <w:tcPr>
            <w:tcW w:w="1330" w:type="dxa"/>
          </w:tcPr>
          <w:p w14:paraId="110B4415">
            <w:pPr>
              <w:pStyle w:val="9"/>
              <w:rPr>
                <w:rFonts w:hint="eastAsia"/>
                <w:b w:val="0"/>
                <w:bCs/>
                <w:color w:val="auto"/>
              </w:rPr>
            </w:pPr>
          </w:p>
        </w:tc>
        <w:tc>
          <w:tcPr>
            <w:tcW w:w="1498" w:type="dxa"/>
            <w:vAlign w:val="center"/>
          </w:tcPr>
          <w:p w14:paraId="025A08C4">
            <w:pPr>
              <w:pStyle w:val="9"/>
              <w:rPr>
                <w:rFonts w:hint="eastAsia"/>
                <w:b w:val="0"/>
                <w:bCs/>
                <w:color w:val="auto"/>
              </w:rPr>
            </w:pPr>
          </w:p>
        </w:tc>
        <w:tc>
          <w:tcPr>
            <w:tcW w:w="1404" w:type="dxa"/>
            <w:vAlign w:val="center"/>
          </w:tcPr>
          <w:p w14:paraId="50067926">
            <w:pPr>
              <w:pStyle w:val="9"/>
              <w:rPr>
                <w:rFonts w:hint="eastAsia"/>
                <w:b w:val="0"/>
                <w:bCs/>
                <w:color w:val="auto"/>
              </w:rPr>
            </w:pPr>
          </w:p>
        </w:tc>
        <w:tc>
          <w:tcPr>
            <w:tcW w:w="1422" w:type="dxa"/>
            <w:vAlign w:val="center"/>
          </w:tcPr>
          <w:p w14:paraId="710E9DB4">
            <w:pPr>
              <w:pStyle w:val="9"/>
              <w:rPr>
                <w:rFonts w:hint="eastAsia"/>
                <w:b w:val="0"/>
                <w:bCs/>
                <w:color w:val="auto"/>
              </w:rPr>
            </w:pPr>
          </w:p>
        </w:tc>
        <w:tc>
          <w:tcPr>
            <w:tcW w:w="1442" w:type="dxa"/>
            <w:vAlign w:val="center"/>
          </w:tcPr>
          <w:p w14:paraId="5E465C3B">
            <w:pPr>
              <w:pStyle w:val="9"/>
              <w:rPr>
                <w:rFonts w:hint="eastAsia"/>
                <w:b w:val="0"/>
                <w:bCs/>
                <w:color w:val="auto"/>
              </w:rPr>
            </w:pPr>
          </w:p>
        </w:tc>
      </w:tr>
      <w:tr w14:paraId="43E9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936" w:type="dxa"/>
          </w:tcPr>
          <w:p w14:paraId="1447210C">
            <w:pPr>
              <w:pStyle w:val="9"/>
              <w:rPr>
                <w:rFonts w:hint="eastAsia"/>
                <w:b w:val="0"/>
                <w:bCs/>
                <w:color w:val="auto"/>
              </w:rPr>
            </w:pPr>
          </w:p>
        </w:tc>
        <w:tc>
          <w:tcPr>
            <w:tcW w:w="1729" w:type="dxa"/>
            <w:vAlign w:val="center"/>
          </w:tcPr>
          <w:p w14:paraId="01A4157F">
            <w:pPr>
              <w:pStyle w:val="9"/>
              <w:rPr>
                <w:rFonts w:hint="eastAsia"/>
                <w:b w:val="0"/>
                <w:bCs/>
                <w:color w:val="auto"/>
              </w:rPr>
            </w:pPr>
          </w:p>
        </w:tc>
        <w:tc>
          <w:tcPr>
            <w:tcW w:w="1330" w:type="dxa"/>
          </w:tcPr>
          <w:p w14:paraId="33E49DC0">
            <w:pPr>
              <w:pStyle w:val="9"/>
              <w:rPr>
                <w:rFonts w:hint="eastAsia"/>
                <w:b w:val="0"/>
                <w:bCs/>
                <w:color w:val="auto"/>
              </w:rPr>
            </w:pPr>
          </w:p>
        </w:tc>
        <w:tc>
          <w:tcPr>
            <w:tcW w:w="1498" w:type="dxa"/>
            <w:vAlign w:val="center"/>
          </w:tcPr>
          <w:p w14:paraId="64FF84CD">
            <w:pPr>
              <w:pStyle w:val="9"/>
              <w:rPr>
                <w:rFonts w:hint="eastAsia"/>
                <w:b w:val="0"/>
                <w:bCs/>
                <w:color w:val="auto"/>
              </w:rPr>
            </w:pPr>
          </w:p>
        </w:tc>
        <w:tc>
          <w:tcPr>
            <w:tcW w:w="1404" w:type="dxa"/>
            <w:vAlign w:val="center"/>
          </w:tcPr>
          <w:p w14:paraId="4E13B247">
            <w:pPr>
              <w:pStyle w:val="9"/>
              <w:rPr>
                <w:rFonts w:hint="eastAsia"/>
                <w:b w:val="0"/>
                <w:bCs/>
                <w:color w:val="auto"/>
              </w:rPr>
            </w:pPr>
          </w:p>
        </w:tc>
        <w:tc>
          <w:tcPr>
            <w:tcW w:w="1422" w:type="dxa"/>
            <w:vAlign w:val="center"/>
          </w:tcPr>
          <w:p w14:paraId="144D6EAC">
            <w:pPr>
              <w:pStyle w:val="9"/>
              <w:rPr>
                <w:rFonts w:hint="eastAsia"/>
                <w:b w:val="0"/>
                <w:bCs/>
                <w:color w:val="auto"/>
              </w:rPr>
            </w:pPr>
          </w:p>
        </w:tc>
        <w:tc>
          <w:tcPr>
            <w:tcW w:w="1442" w:type="dxa"/>
            <w:vAlign w:val="center"/>
          </w:tcPr>
          <w:p w14:paraId="2E6285AD">
            <w:pPr>
              <w:pStyle w:val="9"/>
              <w:rPr>
                <w:rFonts w:hint="eastAsia"/>
                <w:b w:val="0"/>
                <w:bCs/>
                <w:color w:val="auto"/>
              </w:rPr>
            </w:pPr>
          </w:p>
        </w:tc>
      </w:tr>
      <w:tr w14:paraId="3F37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936" w:type="dxa"/>
          </w:tcPr>
          <w:p w14:paraId="21BCF895">
            <w:pPr>
              <w:pStyle w:val="9"/>
              <w:rPr>
                <w:rFonts w:hint="eastAsia"/>
                <w:b w:val="0"/>
                <w:bCs/>
                <w:color w:val="auto"/>
              </w:rPr>
            </w:pPr>
          </w:p>
        </w:tc>
        <w:tc>
          <w:tcPr>
            <w:tcW w:w="1729" w:type="dxa"/>
            <w:vAlign w:val="center"/>
          </w:tcPr>
          <w:p w14:paraId="4D17545D">
            <w:pPr>
              <w:pStyle w:val="9"/>
              <w:rPr>
                <w:rFonts w:hint="eastAsia"/>
                <w:b w:val="0"/>
                <w:bCs/>
                <w:color w:val="auto"/>
              </w:rPr>
            </w:pPr>
          </w:p>
        </w:tc>
        <w:tc>
          <w:tcPr>
            <w:tcW w:w="1330" w:type="dxa"/>
          </w:tcPr>
          <w:p w14:paraId="01115C3A">
            <w:pPr>
              <w:pStyle w:val="9"/>
              <w:rPr>
                <w:rFonts w:hint="eastAsia"/>
                <w:b w:val="0"/>
                <w:bCs/>
                <w:color w:val="auto"/>
              </w:rPr>
            </w:pPr>
          </w:p>
        </w:tc>
        <w:tc>
          <w:tcPr>
            <w:tcW w:w="1498" w:type="dxa"/>
            <w:vAlign w:val="center"/>
          </w:tcPr>
          <w:p w14:paraId="332B051A">
            <w:pPr>
              <w:pStyle w:val="9"/>
              <w:rPr>
                <w:rFonts w:hint="eastAsia"/>
                <w:b w:val="0"/>
                <w:bCs/>
                <w:color w:val="auto"/>
              </w:rPr>
            </w:pPr>
          </w:p>
        </w:tc>
        <w:tc>
          <w:tcPr>
            <w:tcW w:w="1404" w:type="dxa"/>
            <w:vAlign w:val="center"/>
          </w:tcPr>
          <w:p w14:paraId="5494AB1D">
            <w:pPr>
              <w:pStyle w:val="9"/>
              <w:rPr>
                <w:rFonts w:hint="eastAsia"/>
                <w:b w:val="0"/>
                <w:bCs/>
                <w:color w:val="auto"/>
              </w:rPr>
            </w:pPr>
          </w:p>
        </w:tc>
        <w:tc>
          <w:tcPr>
            <w:tcW w:w="1422" w:type="dxa"/>
            <w:vAlign w:val="center"/>
          </w:tcPr>
          <w:p w14:paraId="5DA6B622">
            <w:pPr>
              <w:pStyle w:val="9"/>
              <w:rPr>
                <w:rFonts w:hint="eastAsia"/>
                <w:b w:val="0"/>
                <w:bCs/>
                <w:color w:val="auto"/>
              </w:rPr>
            </w:pPr>
          </w:p>
        </w:tc>
        <w:tc>
          <w:tcPr>
            <w:tcW w:w="1442" w:type="dxa"/>
            <w:vAlign w:val="center"/>
          </w:tcPr>
          <w:p w14:paraId="3F845C87">
            <w:pPr>
              <w:pStyle w:val="9"/>
              <w:rPr>
                <w:rFonts w:hint="eastAsia"/>
                <w:b w:val="0"/>
                <w:bCs/>
                <w:color w:val="auto"/>
              </w:rPr>
            </w:pPr>
          </w:p>
        </w:tc>
      </w:tr>
      <w:tr w14:paraId="60A2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936" w:type="dxa"/>
          </w:tcPr>
          <w:p w14:paraId="75529215">
            <w:pPr>
              <w:pStyle w:val="9"/>
              <w:rPr>
                <w:rFonts w:hint="eastAsia"/>
                <w:b w:val="0"/>
                <w:bCs/>
                <w:color w:val="auto"/>
              </w:rPr>
            </w:pPr>
          </w:p>
        </w:tc>
        <w:tc>
          <w:tcPr>
            <w:tcW w:w="1729" w:type="dxa"/>
            <w:vAlign w:val="center"/>
          </w:tcPr>
          <w:p w14:paraId="27A683F4">
            <w:pPr>
              <w:pStyle w:val="9"/>
              <w:rPr>
                <w:rFonts w:hint="eastAsia"/>
                <w:b w:val="0"/>
                <w:bCs/>
                <w:color w:val="auto"/>
              </w:rPr>
            </w:pPr>
          </w:p>
        </w:tc>
        <w:tc>
          <w:tcPr>
            <w:tcW w:w="1330" w:type="dxa"/>
          </w:tcPr>
          <w:p w14:paraId="6A1044EE">
            <w:pPr>
              <w:pStyle w:val="9"/>
              <w:rPr>
                <w:rFonts w:hint="eastAsia"/>
                <w:b w:val="0"/>
                <w:bCs/>
                <w:color w:val="auto"/>
              </w:rPr>
            </w:pPr>
          </w:p>
        </w:tc>
        <w:tc>
          <w:tcPr>
            <w:tcW w:w="1498" w:type="dxa"/>
            <w:vAlign w:val="center"/>
          </w:tcPr>
          <w:p w14:paraId="5FDD15B1">
            <w:pPr>
              <w:pStyle w:val="9"/>
              <w:rPr>
                <w:rFonts w:hint="eastAsia"/>
                <w:b w:val="0"/>
                <w:bCs/>
                <w:color w:val="auto"/>
              </w:rPr>
            </w:pPr>
          </w:p>
        </w:tc>
        <w:tc>
          <w:tcPr>
            <w:tcW w:w="1404" w:type="dxa"/>
            <w:vAlign w:val="center"/>
          </w:tcPr>
          <w:p w14:paraId="3D5195FA">
            <w:pPr>
              <w:pStyle w:val="9"/>
              <w:rPr>
                <w:rFonts w:hint="eastAsia"/>
                <w:b w:val="0"/>
                <w:bCs/>
                <w:color w:val="auto"/>
              </w:rPr>
            </w:pPr>
          </w:p>
        </w:tc>
        <w:tc>
          <w:tcPr>
            <w:tcW w:w="1422" w:type="dxa"/>
            <w:vAlign w:val="center"/>
          </w:tcPr>
          <w:p w14:paraId="6F4ACB69">
            <w:pPr>
              <w:pStyle w:val="9"/>
              <w:rPr>
                <w:rFonts w:hint="eastAsia"/>
                <w:b w:val="0"/>
                <w:bCs/>
                <w:color w:val="auto"/>
              </w:rPr>
            </w:pPr>
          </w:p>
        </w:tc>
        <w:tc>
          <w:tcPr>
            <w:tcW w:w="1442" w:type="dxa"/>
            <w:vAlign w:val="center"/>
          </w:tcPr>
          <w:p w14:paraId="7BDEA0C6">
            <w:pPr>
              <w:pStyle w:val="9"/>
              <w:rPr>
                <w:rFonts w:hint="eastAsia"/>
                <w:b w:val="0"/>
                <w:bCs/>
                <w:color w:val="auto"/>
              </w:rPr>
            </w:pPr>
          </w:p>
        </w:tc>
      </w:tr>
      <w:tr w14:paraId="0320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jc w:val="center"/>
        </w:trPr>
        <w:tc>
          <w:tcPr>
            <w:tcW w:w="936" w:type="dxa"/>
          </w:tcPr>
          <w:p w14:paraId="4A1181C9">
            <w:pPr>
              <w:pStyle w:val="9"/>
              <w:rPr>
                <w:rFonts w:hint="eastAsia"/>
                <w:b w:val="0"/>
                <w:bCs/>
                <w:color w:val="auto"/>
              </w:rPr>
            </w:pPr>
          </w:p>
        </w:tc>
        <w:tc>
          <w:tcPr>
            <w:tcW w:w="1729" w:type="dxa"/>
            <w:vAlign w:val="center"/>
          </w:tcPr>
          <w:p w14:paraId="2B0B7D18">
            <w:pPr>
              <w:pStyle w:val="9"/>
              <w:rPr>
                <w:rFonts w:hint="eastAsia"/>
                <w:b w:val="0"/>
                <w:bCs/>
                <w:color w:val="auto"/>
              </w:rPr>
            </w:pPr>
          </w:p>
        </w:tc>
        <w:tc>
          <w:tcPr>
            <w:tcW w:w="1330" w:type="dxa"/>
          </w:tcPr>
          <w:p w14:paraId="45B37B0F">
            <w:pPr>
              <w:pStyle w:val="9"/>
              <w:rPr>
                <w:rFonts w:hint="eastAsia"/>
                <w:b w:val="0"/>
                <w:bCs/>
                <w:color w:val="auto"/>
              </w:rPr>
            </w:pPr>
          </w:p>
        </w:tc>
        <w:tc>
          <w:tcPr>
            <w:tcW w:w="1498" w:type="dxa"/>
            <w:vAlign w:val="center"/>
          </w:tcPr>
          <w:p w14:paraId="42D86EA7">
            <w:pPr>
              <w:pStyle w:val="9"/>
              <w:rPr>
                <w:rFonts w:hint="eastAsia"/>
                <w:b w:val="0"/>
                <w:bCs/>
                <w:color w:val="auto"/>
              </w:rPr>
            </w:pPr>
          </w:p>
        </w:tc>
        <w:tc>
          <w:tcPr>
            <w:tcW w:w="1404" w:type="dxa"/>
            <w:vAlign w:val="center"/>
          </w:tcPr>
          <w:p w14:paraId="18301158">
            <w:pPr>
              <w:pStyle w:val="9"/>
              <w:rPr>
                <w:rFonts w:hint="eastAsia"/>
                <w:b w:val="0"/>
                <w:bCs/>
                <w:color w:val="auto"/>
              </w:rPr>
            </w:pPr>
          </w:p>
        </w:tc>
        <w:tc>
          <w:tcPr>
            <w:tcW w:w="1422" w:type="dxa"/>
            <w:vAlign w:val="center"/>
          </w:tcPr>
          <w:p w14:paraId="59C0E4D3">
            <w:pPr>
              <w:pStyle w:val="9"/>
              <w:rPr>
                <w:rFonts w:hint="eastAsia"/>
                <w:b w:val="0"/>
                <w:bCs/>
                <w:color w:val="auto"/>
              </w:rPr>
            </w:pPr>
          </w:p>
        </w:tc>
        <w:tc>
          <w:tcPr>
            <w:tcW w:w="1442" w:type="dxa"/>
            <w:vAlign w:val="center"/>
          </w:tcPr>
          <w:p w14:paraId="3549F69C">
            <w:pPr>
              <w:pStyle w:val="9"/>
              <w:rPr>
                <w:rFonts w:hint="eastAsia"/>
                <w:b w:val="0"/>
                <w:bCs/>
                <w:color w:val="auto"/>
              </w:rPr>
            </w:pPr>
          </w:p>
        </w:tc>
      </w:tr>
    </w:tbl>
    <w:p w14:paraId="55DDFB1B">
      <w:pPr>
        <w:spacing w:before="91"/>
        <w:rPr>
          <w:rFonts w:ascii="Times New Roman" w:hAnsi="Times New Roman" w:cs="Times New Roman"/>
          <w:b w:val="0"/>
          <w:bCs/>
          <w:color w:val="auto"/>
          <w:sz w:val="24"/>
        </w:rPr>
      </w:pPr>
      <w:r>
        <w:rPr>
          <w:rFonts w:ascii="Times New Roman" w:cs="Times New Roman"/>
          <w:b w:val="0"/>
          <w:bCs/>
          <w:color w:val="auto"/>
          <w:sz w:val="24"/>
        </w:rPr>
        <w:t>注：业绩须附有</w:t>
      </w:r>
      <w:r>
        <w:rPr>
          <w:rFonts w:hint="eastAsia" w:ascii="Times New Roman" w:cs="Times New Roman"/>
          <w:b w:val="0"/>
          <w:bCs/>
          <w:color w:val="auto"/>
          <w:sz w:val="24"/>
          <w:lang w:val="en-US"/>
        </w:rPr>
        <w:t>中标通知书或</w:t>
      </w:r>
      <w:r>
        <w:rPr>
          <w:rFonts w:ascii="Times New Roman" w:cs="Times New Roman"/>
          <w:b w:val="0"/>
          <w:bCs/>
          <w:color w:val="auto"/>
          <w:sz w:val="24"/>
        </w:rPr>
        <w:t>合同</w:t>
      </w:r>
      <w:r>
        <w:rPr>
          <w:rFonts w:hint="eastAsia" w:ascii="Times New Roman" w:cs="Times New Roman"/>
          <w:b w:val="0"/>
          <w:bCs/>
          <w:color w:val="auto"/>
          <w:sz w:val="24"/>
        </w:rPr>
        <w:t>复印件</w:t>
      </w:r>
      <w:r>
        <w:rPr>
          <w:rFonts w:ascii="Times New Roman" w:cs="Times New Roman"/>
          <w:b w:val="0"/>
          <w:bCs/>
          <w:color w:val="auto"/>
          <w:sz w:val="24"/>
        </w:rPr>
        <w:t>。</w:t>
      </w:r>
    </w:p>
    <w:p w14:paraId="66B88108">
      <w:pPr>
        <w:pStyle w:val="46"/>
        <w:tabs>
          <w:tab w:val="left" w:pos="750"/>
        </w:tabs>
        <w:adjustRightInd w:val="0"/>
        <w:snapToGrid w:val="0"/>
        <w:spacing w:line="400" w:lineRule="exact"/>
        <w:rPr>
          <w:b w:val="0"/>
          <w:bCs/>
          <w:color w:val="auto"/>
          <w:sz w:val="24"/>
          <w:szCs w:val="24"/>
        </w:rPr>
      </w:pPr>
    </w:p>
    <w:p w14:paraId="2A50511D">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投标人名称（盖章）：</w:t>
      </w:r>
      <w:r>
        <w:rPr>
          <w:b w:val="0"/>
          <w:bCs/>
          <w:color w:val="auto"/>
          <w:kern w:val="0"/>
          <w:sz w:val="24"/>
          <w:u w:val="single"/>
          <w:lang w:bidi="zh-CN"/>
        </w:rPr>
        <w:t xml:space="preserve">                 </w:t>
      </w:r>
      <w:r>
        <w:rPr>
          <w:b w:val="0"/>
          <w:bCs/>
          <w:color w:val="auto"/>
          <w:kern w:val="0"/>
          <w:sz w:val="24"/>
          <w:lang w:val="zh-CN" w:bidi="zh-CN"/>
        </w:rPr>
        <w:t xml:space="preserve">  </w:t>
      </w:r>
    </w:p>
    <w:p w14:paraId="4C128558">
      <w:pPr>
        <w:pStyle w:val="46"/>
        <w:tabs>
          <w:tab w:val="left" w:pos="750"/>
        </w:tabs>
        <w:adjustRightInd w:val="0"/>
        <w:snapToGrid w:val="0"/>
        <w:spacing w:line="480" w:lineRule="auto"/>
        <w:ind w:firstLine="720" w:firstLineChars="300"/>
        <w:rPr>
          <w:b w:val="0"/>
          <w:bCs/>
          <w:color w:val="auto"/>
          <w:kern w:val="0"/>
          <w:sz w:val="24"/>
          <w:lang w:val="zh-CN" w:bidi="zh-CN"/>
        </w:rPr>
      </w:pPr>
      <w:r>
        <w:rPr>
          <w:b w:val="0"/>
          <w:bCs/>
          <w:color w:val="auto"/>
          <w:kern w:val="0"/>
          <w:sz w:val="24"/>
          <w:lang w:val="zh-CN" w:bidi="zh-CN"/>
        </w:rPr>
        <w:t xml:space="preserve">                      </w:t>
      </w:r>
    </w:p>
    <w:p w14:paraId="1926F8DF">
      <w:pPr>
        <w:pStyle w:val="46"/>
        <w:tabs>
          <w:tab w:val="left" w:pos="750"/>
        </w:tabs>
        <w:adjustRightInd w:val="0"/>
        <w:snapToGrid w:val="0"/>
        <w:spacing w:line="480" w:lineRule="auto"/>
        <w:ind w:firstLine="720" w:firstLineChars="300"/>
        <w:rPr>
          <w:b w:val="0"/>
          <w:bCs/>
          <w:color w:val="auto"/>
          <w:kern w:val="0"/>
          <w:sz w:val="24"/>
          <w:lang w:val="zh-CN" w:bidi="zh-CN"/>
        </w:rPr>
      </w:pPr>
      <w:r>
        <w:rPr>
          <w:rFonts w:hAnsi="宋体"/>
          <w:b w:val="0"/>
          <w:bCs/>
          <w:color w:val="auto"/>
          <w:kern w:val="0"/>
          <w:sz w:val="24"/>
          <w:lang w:val="zh-CN" w:bidi="zh-CN"/>
        </w:rPr>
        <w:t>法定代表人或委托代理人签字（或盖章）：</w:t>
      </w:r>
      <w:r>
        <w:rPr>
          <w:b w:val="0"/>
          <w:bCs/>
          <w:color w:val="auto"/>
          <w:kern w:val="0"/>
          <w:sz w:val="24"/>
          <w:u w:val="single"/>
          <w:lang w:bidi="zh-CN"/>
        </w:rPr>
        <w:t xml:space="preserve">                 </w:t>
      </w:r>
      <w:r>
        <w:rPr>
          <w:b w:val="0"/>
          <w:bCs/>
          <w:color w:val="auto"/>
          <w:kern w:val="0"/>
          <w:sz w:val="24"/>
          <w:lang w:val="zh-CN" w:bidi="zh-CN"/>
        </w:rPr>
        <w:t xml:space="preserve">   </w:t>
      </w:r>
    </w:p>
    <w:p w14:paraId="2070824E">
      <w:pPr>
        <w:pStyle w:val="46"/>
        <w:tabs>
          <w:tab w:val="left" w:pos="750"/>
        </w:tabs>
        <w:adjustRightInd w:val="0"/>
        <w:snapToGrid w:val="0"/>
        <w:spacing w:line="480" w:lineRule="auto"/>
        <w:ind w:firstLine="720" w:firstLineChars="300"/>
        <w:rPr>
          <w:b w:val="0"/>
          <w:bCs/>
          <w:color w:val="auto"/>
          <w:kern w:val="0"/>
          <w:sz w:val="24"/>
          <w:lang w:val="zh-CN" w:bidi="zh-CN"/>
        </w:rPr>
      </w:pPr>
      <w:r>
        <w:rPr>
          <w:b w:val="0"/>
          <w:bCs/>
          <w:color w:val="auto"/>
          <w:kern w:val="0"/>
          <w:sz w:val="24"/>
          <w:lang w:val="zh-CN" w:bidi="zh-CN"/>
        </w:rPr>
        <w:t xml:space="preserve">                     </w:t>
      </w:r>
    </w:p>
    <w:p w14:paraId="3B67E673">
      <w:pPr>
        <w:pStyle w:val="46"/>
        <w:tabs>
          <w:tab w:val="left" w:pos="750"/>
        </w:tabs>
        <w:adjustRightInd w:val="0"/>
        <w:snapToGrid w:val="0"/>
        <w:spacing w:line="480" w:lineRule="auto"/>
        <w:ind w:firstLine="5760" w:firstLineChars="2400"/>
        <w:rPr>
          <w:b w:val="0"/>
          <w:bCs/>
          <w:color w:val="auto"/>
          <w:kern w:val="0"/>
          <w:sz w:val="24"/>
          <w:lang w:val="zh-CN" w:bidi="zh-CN"/>
        </w:rPr>
      </w:pPr>
      <w:r>
        <w:rPr>
          <w:rFonts w:hAnsi="宋体"/>
          <w:b w:val="0"/>
          <w:bCs/>
          <w:color w:val="auto"/>
          <w:kern w:val="0"/>
          <w:sz w:val="24"/>
          <w:lang w:val="zh-CN" w:bidi="zh-CN"/>
        </w:rPr>
        <w:t>日期：</w:t>
      </w:r>
      <w:r>
        <w:rPr>
          <w:b w:val="0"/>
          <w:bCs/>
          <w:color w:val="auto"/>
          <w:kern w:val="0"/>
          <w:sz w:val="24"/>
          <w:lang w:val="zh-CN" w:bidi="zh-CN"/>
        </w:rPr>
        <w:t xml:space="preserve"> </w:t>
      </w:r>
      <w:r>
        <w:rPr>
          <w:b w:val="0"/>
          <w:bCs/>
          <w:color w:val="auto"/>
          <w:kern w:val="0"/>
          <w:sz w:val="24"/>
          <w:u w:val="single"/>
          <w:lang w:val="zh-CN" w:bidi="zh-CN"/>
        </w:rPr>
        <w:t xml:space="preserve">    </w:t>
      </w:r>
      <w:r>
        <w:rPr>
          <w:b w:val="0"/>
          <w:bCs/>
          <w:color w:val="auto"/>
          <w:kern w:val="0"/>
          <w:sz w:val="24"/>
          <w:u w:val="single"/>
          <w:lang w:bidi="zh-CN"/>
        </w:rPr>
        <w:t xml:space="preserve"> </w:t>
      </w:r>
      <w:r>
        <w:rPr>
          <w:rFonts w:hAnsi="宋体"/>
          <w:b w:val="0"/>
          <w:bCs/>
          <w:color w:val="auto"/>
          <w:kern w:val="0"/>
          <w:sz w:val="24"/>
          <w:lang w:val="zh-CN" w:bidi="zh-CN"/>
        </w:rPr>
        <w:t>年</w:t>
      </w:r>
      <w:r>
        <w:rPr>
          <w:b w:val="0"/>
          <w:bCs/>
          <w:color w:val="auto"/>
          <w:kern w:val="0"/>
          <w:sz w:val="24"/>
          <w:u w:val="single"/>
          <w:lang w:val="zh-CN" w:bidi="zh-CN"/>
        </w:rPr>
        <w:t xml:space="preserve">    </w:t>
      </w:r>
      <w:r>
        <w:rPr>
          <w:rFonts w:hAnsi="宋体"/>
          <w:b w:val="0"/>
          <w:bCs/>
          <w:color w:val="auto"/>
          <w:kern w:val="0"/>
          <w:sz w:val="24"/>
          <w:lang w:val="zh-CN" w:bidi="zh-CN"/>
        </w:rPr>
        <w:t>月</w:t>
      </w:r>
      <w:r>
        <w:rPr>
          <w:b w:val="0"/>
          <w:bCs/>
          <w:color w:val="auto"/>
          <w:kern w:val="0"/>
          <w:sz w:val="24"/>
          <w:u w:val="single"/>
          <w:lang w:val="zh-CN" w:bidi="zh-CN"/>
        </w:rPr>
        <w:t xml:space="preserve">     </w:t>
      </w:r>
      <w:r>
        <w:rPr>
          <w:rFonts w:hAnsi="宋体"/>
          <w:b w:val="0"/>
          <w:bCs/>
          <w:color w:val="auto"/>
          <w:kern w:val="0"/>
          <w:sz w:val="24"/>
          <w:lang w:val="zh-CN" w:bidi="zh-CN"/>
        </w:rPr>
        <w:t>日</w:t>
      </w:r>
    </w:p>
    <w:p w14:paraId="311AFD33">
      <w:pPr>
        <w:rPr>
          <w:b w:val="0"/>
          <w:bCs/>
          <w:color w:val="auto"/>
        </w:rPr>
      </w:pPr>
    </w:p>
    <w:p w14:paraId="0ED8EE1D">
      <w:pPr>
        <w:rPr>
          <w:rFonts w:ascii="Times New Roman" w:hAnsi="Times New Roman" w:cs="Times New Roman"/>
          <w:b w:val="0"/>
          <w:bCs/>
          <w:color w:val="auto"/>
        </w:rPr>
      </w:pPr>
    </w:p>
    <w:p w14:paraId="624E6A26">
      <w:pPr>
        <w:rPr>
          <w:rFonts w:ascii="Times New Roman" w:hAnsi="Times New Roman" w:cs="Times New Roman"/>
          <w:b w:val="0"/>
          <w:bCs/>
          <w:color w:val="auto"/>
        </w:rPr>
      </w:pPr>
    </w:p>
    <w:p w14:paraId="5DF3C1D8">
      <w:pPr>
        <w:rPr>
          <w:color w:val="auto"/>
        </w:rPr>
      </w:pPr>
    </w:p>
    <w:p w14:paraId="28A16555">
      <w:pPr>
        <w:rPr>
          <w:rFonts w:ascii="Times New Roman" w:hAnsi="Times New Roman" w:cs="Times New Roman"/>
          <w:color w:val="auto"/>
        </w:rPr>
      </w:pPr>
    </w:p>
    <w:p w14:paraId="10B85FF8">
      <w:pPr>
        <w:spacing w:line="336" w:lineRule="auto"/>
        <w:rPr>
          <w:rFonts w:hint="eastAsia"/>
          <w:b/>
          <w:color w:val="auto"/>
          <w:sz w:val="28"/>
        </w:rPr>
      </w:pPr>
      <w:bookmarkStart w:id="7" w:name="_Toc6716"/>
      <w:r>
        <w:rPr>
          <w:color w:val="auto"/>
        </w:rPr>
        <w:br w:type="page"/>
      </w:r>
      <w:bookmarkEnd w:id="7"/>
      <w:r>
        <w:rPr>
          <w:rFonts w:hint="eastAsia"/>
          <w:b/>
          <w:color w:val="auto"/>
          <w:sz w:val="28"/>
        </w:rPr>
        <w:t>附件资料：</w:t>
      </w:r>
    </w:p>
    <w:p w14:paraId="63E20333">
      <w:pPr>
        <w:jc w:val="center"/>
        <w:rPr>
          <w:rFonts w:hint="eastAsia"/>
          <w:b/>
          <w:color w:val="auto"/>
          <w:sz w:val="32"/>
        </w:rPr>
      </w:pPr>
      <w:r>
        <w:rPr>
          <w:rFonts w:hint="eastAsia"/>
          <w:b/>
          <w:color w:val="auto"/>
          <w:sz w:val="32"/>
        </w:rPr>
        <w:t>中小企业声明函（货物）</w:t>
      </w:r>
    </w:p>
    <w:p w14:paraId="02EEA42C">
      <w:pPr>
        <w:ind w:firstLine="480"/>
        <w:rPr>
          <w:rFonts w:cs="仿宋"/>
          <w:color w:val="auto"/>
        </w:rPr>
      </w:pPr>
      <w:r>
        <w:rPr>
          <w:rFonts w:cs="仿宋"/>
          <w:color w:val="auto"/>
        </w:rPr>
        <w:t>本公司（联合体）郑重声明，根据《政府采购促进</w:t>
      </w:r>
      <w:r>
        <w:rPr>
          <w:rFonts w:hint="eastAsia" w:cs="仿宋"/>
          <w:color w:val="auto"/>
        </w:rPr>
        <w:t>‘’</w:t>
      </w:r>
      <w:r>
        <w:rPr>
          <w:rFonts w:cs="仿宋"/>
          <w:color w:val="auto"/>
        </w:rPr>
        <w:t>中小 企业发展管理办法》（财库</w:t>
      </w:r>
      <w:r>
        <w:rPr>
          <w:color w:val="auto"/>
        </w:rPr>
        <w:t>﹝</w:t>
      </w:r>
      <w:r>
        <w:rPr>
          <w:rFonts w:cs="仿宋"/>
          <w:color w:val="auto"/>
        </w:rPr>
        <w:t>2020</w:t>
      </w:r>
      <w:r>
        <w:rPr>
          <w:color w:val="auto"/>
        </w:rPr>
        <w:t>﹞</w:t>
      </w:r>
      <w:r>
        <w:rPr>
          <w:rFonts w:cs="仿宋"/>
          <w:color w:val="auto"/>
        </w:rPr>
        <w:t>46 号）的规定，本公司 （联合体）参加</w:t>
      </w:r>
      <w:r>
        <w:rPr>
          <w:rFonts w:cs="仿宋"/>
          <w:i/>
          <w:iCs/>
          <w:color w:val="auto"/>
          <w:u w:val="single"/>
        </w:rPr>
        <w:t>（单位名称）</w:t>
      </w:r>
      <w:r>
        <w:rPr>
          <w:rFonts w:cs="仿宋"/>
          <w:color w:val="auto"/>
        </w:rPr>
        <w:t>的</w:t>
      </w:r>
      <w:r>
        <w:rPr>
          <w:rFonts w:cs="仿宋"/>
          <w:i/>
          <w:iCs/>
          <w:color w:val="auto"/>
          <w:u w:val="single"/>
        </w:rPr>
        <w:t>（项目名称）</w:t>
      </w:r>
      <w:r>
        <w:rPr>
          <w:rFonts w:cs="仿宋"/>
          <w:color w:val="auto"/>
        </w:rPr>
        <w:t>采购活动，提 供的货物全部由符合政策要求的中小企业制造。相关企业 （含联合体中的中小企业、签订分包意向协议的中小企业） 的具体情况如下：</w:t>
      </w:r>
    </w:p>
    <w:p w14:paraId="2DEFC648">
      <w:pPr>
        <w:pStyle w:val="13"/>
        <w:adjustRightInd w:val="0"/>
        <w:snapToGrid w:val="0"/>
        <w:ind w:left="0" w:firstLine="480"/>
        <w:rPr>
          <w:rFonts w:hint="eastAsia"/>
          <w:color w:val="auto"/>
        </w:rPr>
      </w:pPr>
      <w:r>
        <w:rPr>
          <w:rFonts w:hint="eastAsia"/>
          <w:color w:val="auto"/>
        </w:rPr>
        <w:t xml:space="preserve">1. </w:t>
      </w:r>
      <w:r>
        <w:rPr>
          <w:rFonts w:hint="eastAsia"/>
          <w:color w:val="auto"/>
          <w:u w:val="single"/>
        </w:rPr>
        <w:t xml:space="preserve">（标的名称） </w:t>
      </w:r>
      <w:r>
        <w:rPr>
          <w:rFonts w:hint="eastAsia"/>
          <w:color w:val="auto"/>
        </w:rPr>
        <w:t>，属于</w:t>
      </w:r>
      <w:r>
        <w:rPr>
          <w:rFonts w:hint="eastAsia"/>
          <w:color w:val="auto"/>
          <w:u w:val="single"/>
        </w:rPr>
        <w:t>（采购文件中明确的所属行业） 行业</w:t>
      </w:r>
      <w:r>
        <w:rPr>
          <w:rFonts w:hint="eastAsia"/>
          <w:color w:val="auto"/>
        </w:rPr>
        <w:t>；制造商为</w:t>
      </w:r>
      <w:r>
        <w:rPr>
          <w:rFonts w:hint="eastAsia"/>
          <w:color w:val="auto"/>
          <w:u w:val="single"/>
        </w:rPr>
        <w:t>（企业名称）</w:t>
      </w:r>
      <w:r>
        <w:rPr>
          <w:rFonts w:hint="eastAsia"/>
          <w:color w:val="auto"/>
        </w:rPr>
        <w:t>，从业人员</w:t>
      </w:r>
      <w:r>
        <w:rPr>
          <w:color w:val="auto"/>
          <w:u w:val="single"/>
        </w:rPr>
        <w:t xml:space="preserve">   </w:t>
      </w:r>
      <w:r>
        <w:rPr>
          <w:rFonts w:hint="eastAsia"/>
          <w:color w:val="auto"/>
        </w:rPr>
        <w:t>人，营业收入为</w:t>
      </w:r>
      <w:r>
        <w:rPr>
          <w:color w:val="auto"/>
          <w:u w:val="single"/>
        </w:rPr>
        <w:t xml:space="preserve">     </w:t>
      </w:r>
      <w:r>
        <w:rPr>
          <w:rFonts w:hint="eastAsia"/>
          <w:color w:val="auto"/>
        </w:rPr>
        <w:t>万元，资产总额为</w:t>
      </w:r>
      <w:r>
        <w:rPr>
          <w:rFonts w:hint="eastAsia"/>
          <w:color w:val="auto"/>
          <w:u w:val="single"/>
        </w:rPr>
        <w:t xml:space="preserve"> </w:t>
      </w:r>
      <w:r>
        <w:rPr>
          <w:color w:val="auto"/>
          <w:u w:val="single"/>
        </w:rPr>
        <w:t xml:space="preserve">      </w:t>
      </w:r>
      <w:r>
        <w:rPr>
          <w:rFonts w:hint="eastAsia"/>
          <w:color w:val="auto"/>
        </w:rPr>
        <w:t>万元，属于</w:t>
      </w:r>
      <w:r>
        <w:rPr>
          <w:rFonts w:hint="eastAsia"/>
          <w:color w:val="auto"/>
          <w:u w:val="single"/>
        </w:rPr>
        <w:t xml:space="preserve"> （中型企业、小型企业、微型企业）</w:t>
      </w:r>
      <w:r>
        <w:rPr>
          <w:rFonts w:hint="eastAsia"/>
          <w:color w:val="auto"/>
        </w:rPr>
        <w:t>；</w:t>
      </w:r>
    </w:p>
    <w:p w14:paraId="30190074">
      <w:pPr>
        <w:pStyle w:val="13"/>
        <w:adjustRightInd w:val="0"/>
        <w:snapToGrid w:val="0"/>
        <w:ind w:left="0" w:firstLine="480"/>
        <w:rPr>
          <w:color w:val="auto"/>
        </w:rPr>
      </w:pPr>
    </w:p>
    <w:p w14:paraId="01A64C45">
      <w:pPr>
        <w:pStyle w:val="13"/>
        <w:adjustRightInd w:val="0"/>
        <w:snapToGrid w:val="0"/>
        <w:ind w:left="0" w:firstLine="480"/>
        <w:rPr>
          <w:rFonts w:hint="eastAsia"/>
          <w:color w:val="auto"/>
        </w:rPr>
      </w:pPr>
      <w:r>
        <w:rPr>
          <w:rFonts w:hint="eastAsia"/>
          <w:color w:val="auto"/>
        </w:rPr>
        <w:t xml:space="preserve">2. </w:t>
      </w:r>
      <w:r>
        <w:rPr>
          <w:rFonts w:hint="eastAsia"/>
          <w:color w:val="auto"/>
          <w:u w:val="single"/>
        </w:rPr>
        <w:t>（标的名称）</w:t>
      </w:r>
      <w:r>
        <w:rPr>
          <w:rFonts w:hint="eastAsia"/>
          <w:color w:val="auto"/>
        </w:rPr>
        <w:t xml:space="preserve"> ，属于</w:t>
      </w:r>
      <w:r>
        <w:rPr>
          <w:rFonts w:hint="eastAsia"/>
          <w:color w:val="auto"/>
          <w:u w:val="single"/>
        </w:rPr>
        <w:t>（采购文件中明确的所属行业）行业</w:t>
      </w:r>
      <w:r>
        <w:rPr>
          <w:rFonts w:hint="eastAsia"/>
          <w:color w:val="auto"/>
        </w:rPr>
        <w:t>；制造商为</w:t>
      </w:r>
      <w:r>
        <w:rPr>
          <w:rFonts w:hint="eastAsia"/>
          <w:color w:val="auto"/>
          <w:u w:val="single"/>
        </w:rPr>
        <w:t>（企业名称）</w:t>
      </w:r>
      <w:r>
        <w:rPr>
          <w:rFonts w:hint="eastAsia"/>
          <w:color w:val="auto"/>
        </w:rPr>
        <w:t>，从业人员</w:t>
      </w:r>
      <w:r>
        <w:rPr>
          <w:color w:val="auto"/>
          <w:u w:val="single"/>
        </w:rPr>
        <w:t xml:space="preserve">     </w:t>
      </w:r>
      <w:r>
        <w:rPr>
          <w:rFonts w:hint="eastAsia"/>
          <w:color w:val="auto"/>
        </w:rPr>
        <w:t>人，营业收入 为</w:t>
      </w:r>
      <w:r>
        <w:rPr>
          <w:color w:val="auto"/>
          <w:u w:val="single"/>
        </w:rPr>
        <w:t xml:space="preserve">    </w:t>
      </w:r>
      <w:r>
        <w:rPr>
          <w:rFonts w:hint="eastAsia"/>
          <w:color w:val="auto"/>
        </w:rPr>
        <w:t>万元，资产总额为</w:t>
      </w:r>
      <w:r>
        <w:rPr>
          <w:color w:val="auto"/>
          <w:u w:val="single"/>
        </w:rPr>
        <w:t xml:space="preserve">    </w:t>
      </w:r>
      <w:r>
        <w:rPr>
          <w:rFonts w:hint="eastAsia"/>
          <w:color w:val="auto"/>
        </w:rPr>
        <w:t>万元，属于</w:t>
      </w:r>
      <w:r>
        <w:rPr>
          <w:rFonts w:hint="eastAsia"/>
          <w:color w:val="auto"/>
          <w:u w:val="single"/>
        </w:rPr>
        <w:t>（中型企业、小型 企业、微型企业）</w:t>
      </w:r>
      <w:r>
        <w:rPr>
          <w:rFonts w:hint="eastAsia"/>
          <w:color w:val="auto"/>
        </w:rPr>
        <w:t>；</w:t>
      </w:r>
    </w:p>
    <w:p w14:paraId="38AF8D77">
      <w:pPr>
        <w:pStyle w:val="13"/>
        <w:adjustRightInd w:val="0"/>
        <w:snapToGrid w:val="0"/>
        <w:ind w:left="0" w:firstLine="480"/>
        <w:rPr>
          <w:color w:val="auto"/>
        </w:rPr>
      </w:pPr>
    </w:p>
    <w:p w14:paraId="5F4B51F0">
      <w:pPr>
        <w:pStyle w:val="13"/>
        <w:adjustRightInd w:val="0"/>
        <w:snapToGrid w:val="0"/>
        <w:ind w:left="0" w:firstLine="480"/>
        <w:rPr>
          <w:color w:val="auto"/>
        </w:rPr>
      </w:pPr>
      <w:r>
        <w:rPr>
          <w:rFonts w:hint="eastAsia"/>
          <w:color w:val="auto"/>
        </w:rPr>
        <w:t>……</w:t>
      </w:r>
    </w:p>
    <w:p w14:paraId="1B99A853">
      <w:pPr>
        <w:ind w:firstLine="480"/>
        <w:rPr>
          <w:rFonts w:hint="eastAsia"/>
          <w:color w:val="auto"/>
        </w:rPr>
      </w:pPr>
      <w:r>
        <w:rPr>
          <w:rFonts w:cs="仿宋"/>
          <w:color w:val="auto"/>
        </w:rPr>
        <w:t>以上企业，不属于大企业的分支机构，不存在控股股东 为大企业的情形，也不存在与大企业的负责人为同一人的情 形。</w:t>
      </w:r>
    </w:p>
    <w:p w14:paraId="6A669565">
      <w:pPr>
        <w:ind w:firstLine="480"/>
        <w:rPr>
          <w:color w:val="auto"/>
        </w:rPr>
      </w:pPr>
      <w:r>
        <w:rPr>
          <w:rFonts w:cs="仿宋"/>
          <w:color w:val="auto"/>
        </w:rPr>
        <w:t>本企业对上述声明内容的真实性负责。如有虚假，将依 法承担相应责任。</w:t>
      </w:r>
    </w:p>
    <w:p w14:paraId="43A9A785">
      <w:pPr>
        <w:ind w:firstLine="480"/>
        <w:rPr>
          <w:rFonts w:hint="eastAsia" w:cs="仿宋"/>
          <w:color w:val="auto"/>
        </w:rPr>
      </w:pPr>
    </w:p>
    <w:p w14:paraId="42B21EFC">
      <w:pPr>
        <w:ind w:firstLine="480"/>
        <w:rPr>
          <w:rFonts w:cs="仿宋"/>
          <w:color w:val="auto"/>
        </w:rPr>
      </w:pPr>
      <w:r>
        <w:rPr>
          <w:rFonts w:cs="仿宋"/>
          <w:color w:val="auto"/>
        </w:rPr>
        <w:t xml:space="preserve">企业名称（盖章）： </w:t>
      </w:r>
    </w:p>
    <w:p w14:paraId="2C9CE479">
      <w:pPr>
        <w:ind w:firstLine="480"/>
        <w:rPr>
          <w:color w:val="auto"/>
        </w:rPr>
      </w:pPr>
      <w:r>
        <w:rPr>
          <w:rFonts w:cs="仿宋"/>
          <w:color w:val="auto"/>
        </w:rPr>
        <w:t>日期：</w:t>
      </w:r>
    </w:p>
    <w:p w14:paraId="53AC85B3">
      <w:pPr>
        <w:ind w:firstLine="480"/>
        <w:rPr>
          <w:rFonts w:cs="仿宋"/>
          <w:color w:val="auto"/>
        </w:rPr>
      </w:pPr>
    </w:p>
    <w:p w14:paraId="2F758A23">
      <w:pPr>
        <w:ind w:firstLine="480"/>
        <w:rPr>
          <w:rFonts w:cs="仿宋"/>
          <w:color w:val="auto"/>
        </w:rPr>
      </w:pPr>
    </w:p>
    <w:p w14:paraId="2C3D3840">
      <w:pPr>
        <w:pStyle w:val="24"/>
        <w:ind w:left="0" w:firstLine="210"/>
        <w:rPr>
          <w:rStyle w:val="29"/>
          <w:rFonts w:hint="eastAsia"/>
          <w:color w:val="auto"/>
          <w:szCs w:val="21"/>
        </w:rPr>
      </w:pPr>
      <w:r>
        <w:rPr>
          <w:color w:val="auto"/>
        </w:rPr>
        <w:t>从业人员、营业收入、资产总额填报上一年度数据，无上一年度数据的新成立企业可不填报。</w:t>
      </w:r>
      <w:r>
        <w:rPr>
          <w:rFonts w:hint="eastAsia"/>
          <w:b/>
          <w:color w:val="auto"/>
          <w:sz w:val="32"/>
        </w:rPr>
        <w:br w:type="page"/>
      </w:r>
      <w:r>
        <w:rPr>
          <w:rFonts w:hint="eastAsia"/>
          <w:color w:val="auto"/>
          <w:szCs w:val="21"/>
        </w:rPr>
        <w:t xml:space="preserve"> </w:t>
      </w:r>
      <w:r>
        <w:rPr>
          <w:rStyle w:val="29"/>
          <w:rFonts w:hint="eastAsia"/>
          <w:color w:val="auto"/>
          <w:szCs w:val="21"/>
        </w:rPr>
        <w:t>关于印发中小企业划型标准规定的通知</w:t>
      </w:r>
    </w:p>
    <w:p w14:paraId="344C4AED">
      <w:pPr>
        <w:pStyle w:val="22"/>
        <w:spacing w:before="0" w:beforeAutospacing="0" w:after="0" w:afterAutospacing="0"/>
        <w:ind w:firstLine="600"/>
        <w:jc w:val="center"/>
        <w:rPr>
          <w:rFonts w:hint="eastAsia"/>
          <w:color w:val="auto"/>
          <w:sz w:val="21"/>
          <w:szCs w:val="21"/>
        </w:rPr>
      </w:pPr>
      <w:r>
        <w:rPr>
          <w:rFonts w:hint="eastAsia"/>
          <w:color w:val="auto"/>
          <w:sz w:val="21"/>
          <w:szCs w:val="21"/>
        </w:rPr>
        <w:t>工信部联企业〔2011〕300号</w:t>
      </w:r>
    </w:p>
    <w:p w14:paraId="08CACF21">
      <w:pPr>
        <w:pStyle w:val="22"/>
        <w:spacing w:before="0" w:beforeAutospacing="0" w:after="0" w:afterAutospacing="0"/>
        <w:ind w:firstLine="480"/>
        <w:rPr>
          <w:rFonts w:hint="eastAsia"/>
          <w:color w:val="auto"/>
          <w:sz w:val="21"/>
          <w:szCs w:val="21"/>
        </w:rPr>
      </w:pPr>
      <w:r>
        <w:rPr>
          <w:rFonts w:hint="eastAsia"/>
          <w:color w:val="auto"/>
          <w:sz w:val="21"/>
          <w:szCs w:val="21"/>
        </w:rPr>
        <w:t>各省、自治区、直辖市人民政府，国务院各部委、各直属机构及有关单位：</w:t>
      </w:r>
    </w:p>
    <w:p w14:paraId="0749820C">
      <w:pPr>
        <w:pStyle w:val="22"/>
        <w:spacing w:before="0" w:beforeAutospacing="0" w:after="0" w:afterAutospacing="0"/>
        <w:ind w:firstLine="480"/>
        <w:rPr>
          <w:rFonts w:hint="eastAsia"/>
          <w:color w:val="auto"/>
          <w:sz w:val="21"/>
          <w:szCs w:val="21"/>
        </w:rPr>
      </w:pPr>
      <w:r>
        <w:rPr>
          <w:rFonts w:hint="eastAsia"/>
          <w:color w:val="auto"/>
          <w:sz w:val="21"/>
          <w:szCs w:val="21"/>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CCDB1CB">
      <w:pPr>
        <w:pStyle w:val="22"/>
        <w:spacing w:before="0" w:beforeAutospacing="0" w:after="0" w:afterAutospacing="0"/>
        <w:rPr>
          <w:rFonts w:hint="eastAsia"/>
          <w:color w:val="auto"/>
          <w:sz w:val="21"/>
          <w:szCs w:val="21"/>
        </w:rPr>
      </w:pPr>
      <w:r>
        <w:rPr>
          <w:rFonts w:hint="eastAsia"/>
          <w:color w:val="auto"/>
          <w:sz w:val="21"/>
          <w:szCs w:val="21"/>
        </w:rPr>
        <w:t>　　　　　　　　　　　　　　　　　　　　　工业和信息化部　国家统计局</w:t>
      </w:r>
    </w:p>
    <w:p w14:paraId="515970FA">
      <w:pPr>
        <w:pStyle w:val="22"/>
        <w:spacing w:before="0" w:beforeAutospacing="0" w:after="0" w:afterAutospacing="0"/>
        <w:rPr>
          <w:rFonts w:hint="eastAsia"/>
          <w:color w:val="auto"/>
          <w:sz w:val="21"/>
          <w:szCs w:val="21"/>
        </w:rPr>
      </w:pPr>
      <w:r>
        <w:rPr>
          <w:rFonts w:hint="eastAsia"/>
          <w:color w:val="auto"/>
          <w:sz w:val="21"/>
          <w:szCs w:val="21"/>
        </w:rPr>
        <w:t>　　　　　　　　　　　　　　　　　　　　国家发展和改革委员会　财政部</w:t>
      </w:r>
    </w:p>
    <w:p w14:paraId="51DF69DB">
      <w:pPr>
        <w:pStyle w:val="22"/>
        <w:spacing w:before="0" w:beforeAutospacing="0" w:after="0" w:afterAutospacing="0"/>
        <w:rPr>
          <w:rFonts w:hint="eastAsia"/>
          <w:color w:val="auto"/>
          <w:sz w:val="21"/>
          <w:szCs w:val="21"/>
        </w:rPr>
      </w:pPr>
      <w:r>
        <w:rPr>
          <w:rFonts w:hint="eastAsia"/>
          <w:color w:val="auto"/>
          <w:sz w:val="21"/>
          <w:szCs w:val="21"/>
        </w:rPr>
        <w:t>　　　　　　　　　　　　　　　　　　　　　　　　二○一一年六月十八日</w:t>
      </w:r>
    </w:p>
    <w:p w14:paraId="3D129B59">
      <w:pPr>
        <w:pStyle w:val="22"/>
        <w:spacing w:before="0" w:beforeAutospacing="0" w:after="0" w:afterAutospacing="0"/>
        <w:jc w:val="center"/>
        <w:rPr>
          <w:rFonts w:hint="eastAsia"/>
          <w:color w:val="auto"/>
          <w:sz w:val="21"/>
          <w:szCs w:val="21"/>
        </w:rPr>
      </w:pPr>
      <w:r>
        <w:rPr>
          <w:rStyle w:val="29"/>
          <w:rFonts w:hint="eastAsia"/>
          <w:color w:val="auto"/>
          <w:sz w:val="21"/>
          <w:szCs w:val="21"/>
        </w:rPr>
        <w:t>中小企业划型标准规定</w:t>
      </w:r>
    </w:p>
    <w:p w14:paraId="55D9F880">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一、根据《中华人民共和国中小企业促进法》和《国务院关于进一步促进中小企业发展的若干意见》(国发〔2009〕36号)，制定本规定。</w:t>
      </w:r>
    </w:p>
    <w:p w14:paraId="36DAA8A8">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二、中小企业划分为中型、小型、微型三种类型，具体标准根据企业从业人员、营业收入、资产总额等指标，结合行业特点制定。</w:t>
      </w:r>
    </w:p>
    <w:p w14:paraId="0E0A19D5">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5501F9D">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四、各行业划型标准为：</w:t>
      </w:r>
    </w:p>
    <w:p w14:paraId="5B16CF68">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（一）农、林、牧、渔业。营业收入20000万元以下的为中小微型企业。其中，营业收入500万元及以上的为中型企业，营业收入50万元及以上的为小型企业，营业收入50万元以下的为微型企业。</w:t>
      </w:r>
    </w:p>
    <w:p w14:paraId="7AE57089">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ABC91D3">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108DC38">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C0881B6">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26E87F2">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4B7F891">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AEF8AF">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7E213A6">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E9674A2">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FC1504B">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919588A">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A136392">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127EFBC">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13CE124">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FDD4266">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（十六）其他未列明行业。从业人员300人以下的为中小微型企业。其中，从业人员100人及以上的为中型企业；从业人员10人及以上的为小型企业；从业人员10人以下的为微型企业。</w:t>
      </w:r>
    </w:p>
    <w:p w14:paraId="60C7B4F1">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五、企业类型的划分以统计部门的统计数据为依据。</w:t>
      </w:r>
    </w:p>
    <w:p w14:paraId="271F64D3">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六、本规定适用于在中华人民共和国境内依法设立的各类所有制和各种组织形式的企业。个体工商户和本规定以外的行业，参照本规定进行划型。</w:t>
      </w:r>
    </w:p>
    <w:p w14:paraId="7CBD37CF">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七、本规定的中型企业标准上限即为大型企业标准的下限，国家统计部门据此制定大中小微型企业的统计分类。国务院有关部门据此进行相关数据分析，不得制定与本规定不一致的企业划型标准。</w:t>
      </w:r>
    </w:p>
    <w:p w14:paraId="76B3D921">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八、本规定由工业和信息化部、国家统计局会同有关部门根据《国民经济行业分类》修订情况和企业发展变化情况适时修订。</w:t>
      </w:r>
    </w:p>
    <w:p w14:paraId="483981EB">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九、本规定由工业和信息化部、国家统计局会同有关部门负责解释。</w:t>
      </w:r>
    </w:p>
    <w:p w14:paraId="4C8B52CD">
      <w:pPr>
        <w:pStyle w:val="22"/>
        <w:spacing w:before="0" w:beforeAutospacing="0" w:after="0" w:afterAutospacing="0"/>
        <w:ind w:firstLine="367" w:firstLineChars="175"/>
        <w:jc w:val="both"/>
        <w:rPr>
          <w:rFonts w:hint="eastAsia"/>
          <w:color w:val="auto"/>
          <w:sz w:val="21"/>
          <w:szCs w:val="21"/>
        </w:rPr>
      </w:pPr>
      <w:r>
        <w:rPr>
          <w:rFonts w:hint="eastAsia"/>
          <w:color w:val="auto"/>
          <w:sz w:val="21"/>
          <w:szCs w:val="21"/>
        </w:rPr>
        <w:t>十、本规定自发布之日起执行，原国家经贸委、原国家计委、财政部和国家统计局2003年颁布的《中小企业标准暂行规定》同时废止。</w:t>
      </w:r>
    </w:p>
    <w:p w14:paraId="113BCEAA">
      <w:pPr>
        <w:jc w:val="center"/>
        <w:rPr>
          <w:rFonts w:hint="eastAsia"/>
          <w:b/>
          <w:color w:val="auto"/>
          <w:szCs w:val="21"/>
        </w:rPr>
      </w:pPr>
      <w:bookmarkStart w:id="8" w:name="_Toc503336056"/>
      <w:bookmarkStart w:id="9" w:name="_Toc444702747"/>
      <w:r>
        <w:rPr>
          <w:rFonts w:hint="eastAsia"/>
          <w:b/>
          <w:color w:val="auto"/>
          <w:szCs w:val="21"/>
        </w:rPr>
        <w:br w:type="page"/>
      </w:r>
      <w:r>
        <w:rPr>
          <w:rFonts w:hint="eastAsia"/>
          <w:b/>
          <w:color w:val="auto"/>
          <w:szCs w:val="21"/>
        </w:rPr>
        <w:t>监狱、戒毒企业声明函</w:t>
      </w:r>
      <w:bookmarkEnd w:id="8"/>
      <w:bookmarkEnd w:id="9"/>
    </w:p>
    <w:p w14:paraId="0257E129">
      <w:pPr>
        <w:pStyle w:val="9"/>
        <w:jc w:val="center"/>
        <w:rPr>
          <w:rFonts w:hint="eastAsia"/>
          <w:b/>
          <w:color w:val="auto"/>
          <w:szCs w:val="21"/>
        </w:rPr>
      </w:pPr>
      <w:r>
        <w:rPr>
          <w:rFonts w:hint="eastAsia"/>
          <w:color w:val="auto"/>
          <w:szCs w:val="21"/>
        </w:rPr>
        <w:t>（如为监狱、戒毒企业，须提供声明函）</w:t>
      </w:r>
    </w:p>
    <w:p w14:paraId="3849476D">
      <w:pPr>
        <w:pStyle w:val="45"/>
        <w:widowControl w:val="0"/>
        <w:ind w:firstLine="389" w:firstLineChars="177"/>
        <w:rPr>
          <w:rFonts w:hint="eastAsia"/>
          <w:color w:val="auto"/>
          <w:kern w:val="2"/>
        </w:rPr>
      </w:pPr>
      <w:r>
        <w:rPr>
          <w:rFonts w:hint="eastAsia"/>
          <w:color w:val="auto"/>
          <w:kern w:val="2"/>
        </w:rPr>
        <w:t>本公司为______（请填写：监狱、戒毒）企业。即，本公司同时满足以下条件：</w:t>
      </w:r>
    </w:p>
    <w:p w14:paraId="0FE22C6C">
      <w:pPr>
        <w:pStyle w:val="45"/>
        <w:widowControl w:val="0"/>
        <w:ind w:firstLine="389" w:firstLineChars="177"/>
        <w:rPr>
          <w:rFonts w:hint="eastAsia"/>
          <w:color w:val="auto"/>
          <w:kern w:val="2"/>
        </w:rPr>
      </w:pPr>
      <w:r>
        <w:rPr>
          <w:rFonts w:hint="eastAsia"/>
          <w:color w:val="auto"/>
          <w:kern w:val="2"/>
        </w:rPr>
        <w:t>1.本公司为______（请填写：监狱、戒毒）企业。</w:t>
      </w:r>
    </w:p>
    <w:p w14:paraId="2460CE85">
      <w:pPr>
        <w:pStyle w:val="45"/>
        <w:widowControl w:val="0"/>
        <w:ind w:firstLine="389" w:firstLineChars="177"/>
        <w:rPr>
          <w:rFonts w:hint="eastAsia"/>
          <w:color w:val="auto"/>
          <w:kern w:val="2"/>
        </w:rPr>
      </w:pPr>
      <w:r>
        <w:rPr>
          <w:rFonts w:hint="eastAsia"/>
          <w:color w:val="auto"/>
          <w:kern w:val="2"/>
        </w:rPr>
        <w:t>2.本公司参加______单位的______项目采购活动提供本企业制造的货物，由本企业承担工程、提供服务，或者提供其他______（请填写：监狱、戒毒）企业制造的货物。</w:t>
      </w:r>
    </w:p>
    <w:p w14:paraId="68021F24">
      <w:pPr>
        <w:pStyle w:val="45"/>
        <w:widowControl w:val="0"/>
        <w:ind w:firstLine="389" w:firstLineChars="177"/>
        <w:rPr>
          <w:rFonts w:hint="eastAsia"/>
          <w:color w:val="auto"/>
          <w:kern w:val="2"/>
        </w:rPr>
      </w:pPr>
      <w:r>
        <w:rPr>
          <w:rFonts w:hint="eastAsia"/>
          <w:color w:val="auto"/>
          <w:kern w:val="2"/>
        </w:rPr>
        <w:t>本公司对上述声明的真实性负责。如有虚假，将依法承担相应责任。</w:t>
      </w:r>
    </w:p>
    <w:p w14:paraId="5BCD1674">
      <w:pPr>
        <w:ind w:firstLine="152"/>
        <w:jc w:val="right"/>
        <w:rPr>
          <w:rFonts w:hint="eastAsia"/>
          <w:color w:val="auto"/>
          <w:szCs w:val="21"/>
        </w:rPr>
      </w:pPr>
      <w:r>
        <w:rPr>
          <w:rFonts w:hint="eastAsia"/>
          <w:color w:val="auto"/>
          <w:szCs w:val="21"/>
        </w:rPr>
        <w:t xml:space="preserve">             企业名称（盖章）：</w:t>
      </w:r>
    </w:p>
    <w:p w14:paraId="54A2C92E">
      <w:pPr>
        <w:ind w:firstLine="426"/>
        <w:jc w:val="right"/>
        <w:rPr>
          <w:rFonts w:hint="eastAsia"/>
          <w:color w:val="auto"/>
          <w:szCs w:val="21"/>
        </w:rPr>
      </w:pPr>
      <w:r>
        <w:rPr>
          <w:rFonts w:hint="eastAsia"/>
          <w:color w:val="auto"/>
          <w:szCs w:val="21"/>
        </w:rPr>
        <w:t>日           期：</w:t>
      </w:r>
    </w:p>
    <w:p w14:paraId="31B7A8D2">
      <w:pPr>
        <w:pStyle w:val="45"/>
        <w:widowControl w:val="0"/>
        <w:ind w:firstLine="389" w:firstLineChars="177"/>
        <w:rPr>
          <w:rFonts w:hint="eastAsia"/>
          <w:b w:val="0"/>
          <w:bCs/>
          <w:color w:val="auto"/>
          <w:kern w:val="2"/>
        </w:rPr>
      </w:pPr>
    </w:p>
    <w:p w14:paraId="6440E08A">
      <w:pPr>
        <w:pStyle w:val="45"/>
        <w:widowControl w:val="0"/>
        <w:ind w:firstLine="389" w:firstLineChars="177"/>
        <w:rPr>
          <w:rFonts w:hint="eastAsia"/>
          <w:b w:val="0"/>
          <w:bCs/>
          <w:color w:val="auto"/>
          <w:kern w:val="2"/>
        </w:rPr>
      </w:pPr>
      <w:r>
        <w:rPr>
          <w:rFonts w:hint="eastAsia"/>
          <w:b w:val="0"/>
          <w:bCs/>
          <w:color w:val="auto"/>
          <w:kern w:val="2"/>
        </w:rPr>
        <w:t>注：</w:t>
      </w:r>
    </w:p>
    <w:p w14:paraId="76CC52D0">
      <w:pPr>
        <w:pStyle w:val="45"/>
        <w:widowControl w:val="0"/>
        <w:ind w:firstLine="389" w:firstLineChars="177"/>
        <w:rPr>
          <w:rFonts w:hint="eastAsia"/>
          <w:b w:val="0"/>
          <w:bCs/>
          <w:color w:val="auto"/>
          <w:kern w:val="2"/>
        </w:rPr>
      </w:pPr>
      <w:r>
        <w:rPr>
          <w:rFonts w:hint="eastAsia"/>
          <w:b w:val="0"/>
          <w:bCs/>
          <w:color w:val="auto"/>
          <w:kern w:val="2"/>
        </w:rPr>
        <w:t>(1)不符合上述情形的供应商无须提供上述声明函件。</w:t>
      </w:r>
    </w:p>
    <w:p w14:paraId="273ED8D8">
      <w:pPr>
        <w:pStyle w:val="45"/>
        <w:widowControl w:val="0"/>
        <w:ind w:firstLine="389" w:firstLineChars="177"/>
        <w:rPr>
          <w:rFonts w:hint="eastAsia"/>
          <w:b w:val="0"/>
          <w:bCs/>
          <w:color w:val="auto"/>
          <w:kern w:val="2"/>
        </w:rPr>
      </w:pPr>
      <w:r>
        <w:rPr>
          <w:rFonts w:hint="eastAsia"/>
          <w:b w:val="0"/>
          <w:bCs/>
          <w:color w:val="auto"/>
          <w:kern w:val="2"/>
        </w:rPr>
        <w:t>(2)提供市监狱管理局、市教育矫治局出具的监狱企业的证明文件。</w:t>
      </w:r>
    </w:p>
    <w:p w14:paraId="3F8A5189">
      <w:pPr>
        <w:pStyle w:val="45"/>
        <w:widowControl w:val="0"/>
        <w:ind w:firstLine="389" w:firstLineChars="177"/>
        <w:rPr>
          <w:rFonts w:hint="eastAsia"/>
          <w:b w:val="0"/>
          <w:bCs/>
          <w:color w:val="auto"/>
          <w:kern w:val="2"/>
        </w:rPr>
      </w:pPr>
      <w:r>
        <w:rPr>
          <w:rFonts w:hint="eastAsia"/>
          <w:b w:val="0"/>
          <w:bCs/>
          <w:color w:val="auto"/>
          <w:kern w:val="2"/>
        </w:rPr>
        <w:t>(3)在政府采购活动中，监狱、戒毒企业视同小型、微型企业，享受预留份额、评审中价格扣除等政府采购促进中小企业发展的相关政策。向监狱、戒毒企业采购的金额，计入面向中小企业采购的统计数据。</w:t>
      </w:r>
    </w:p>
    <w:p w14:paraId="03A262D1">
      <w:pPr>
        <w:ind w:firstLine="444" w:firstLineChars="201"/>
        <w:rPr>
          <w:rFonts w:hint="eastAsia"/>
          <w:b/>
          <w:color w:val="auto"/>
          <w:szCs w:val="21"/>
        </w:rPr>
      </w:pPr>
    </w:p>
    <w:p w14:paraId="6759A77A">
      <w:pPr>
        <w:jc w:val="center"/>
        <w:rPr>
          <w:rFonts w:hint="eastAsia"/>
          <w:color w:val="auto"/>
          <w:szCs w:val="21"/>
        </w:rPr>
      </w:pPr>
    </w:p>
    <w:p w14:paraId="05B00621">
      <w:pPr>
        <w:ind w:firstLine="330" w:firstLineChars="150"/>
        <w:rPr>
          <w:rFonts w:hint="eastAsia"/>
          <w:color w:val="auto"/>
          <w:szCs w:val="21"/>
        </w:rPr>
        <w:sectPr>
          <w:footerReference r:id="rId8" w:type="default"/>
          <w:pgSz w:w="11907" w:h="16840"/>
          <w:pgMar w:top="1440" w:right="1080" w:bottom="1440" w:left="1080" w:header="851" w:footer="851" w:gutter="0"/>
          <w:cols w:space="720" w:num="1"/>
          <w:docGrid w:type="lines" w:linePitch="462" w:charSpace="0"/>
        </w:sectPr>
      </w:pPr>
    </w:p>
    <w:p w14:paraId="2F3DBBA1">
      <w:pPr>
        <w:jc w:val="center"/>
        <w:rPr>
          <w:rFonts w:hint="eastAsia"/>
          <w:b/>
          <w:color w:val="auto"/>
          <w:szCs w:val="21"/>
        </w:rPr>
      </w:pPr>
      <w:bookmarkStart w:id="10" w:name="_Toc503336057"/>
      <w:r>
        <w:rPr>
          <w:rFonts w:hint="eastAsia"/>
          <w:b/>
          <w:color w:val="auto"/>
          <w:szCs w:val="21"/>
        </w:rPr>
        <w:t>残疾人福利性单位声明函</w:t>
      </w:r>
      <w:bookmarkEnd w:id="10"/>
    </w:p>
    <w:p w14:paraId="523A5594">
      <w:pPr>
        <w:jc w:val="center"/>
        <w:rPr>
          <w:rFonts w:hint="eastAsia"/>
          <w:color w:val="auto"/>
          <w:szCs w:val="21"/>
        </w:rPr>
      </w:pPr>
      <w:r>
        <w:rPr>
          <w:rFonts w:hint="eastAsia"/>
          <w:color w:val="auto"/>
          <w:szCs w:val="21"/>
        </w:rPr>
        <w:t>（如为残疾人福利性单位，须提供声明函）</w:t>
      </w:r>
    </w:p>
    <w:p w14:paraId="4617BDF2">
      <w:pPr>
        <w:jc w:val="center"/>
        <w:rPr>
          <w:rFonts w:hint="eastAsia"/>
          <w:color w:val="auto"/>
          <w:szCs w:val="21"/>
        </w:rPr>
      </w:pPr>
    </w:p>
    <w:p w14:paraId="356FB493">
      <w:pPr>
        <w:ind w:firstLine="389" w:firstLineChars="177"/>
        <w:rPr>
          <w:rFonts w:hint="eastAsia"/>
          <w:color w:val="auto"/>
          <w:szCs w:val="21"/>
        </w:rPr>
      </w:pPr>
      <w:r>
        <w:rPr>
          <w:rFonts w:hint="eastAsia"/>
          <w:color w:val="auto"/>
          <w:szCs w:val="21"/>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6C73A4E">
      <w:pPr>
        <w:ind w:firstLine="389" w:firstLineChars="177"/>
        <w:rPr>
          <w:rFonts w:hint="eastAsia"/>
          <w:color w:val="auto"/>
          <w:szCs w:val="21"/>
        </w:rPr>
      </w:pPr>
      <w:r>
        <w:rPr>
          <w:rFonts w:hint="eastAsia"/>
          <w:color w:val="auto"/>
          <w:szCs w:val="21"/>
        </w:rPr>
        <w:t>本单位对上述声明的真实性负责。如有虚假，将依法承担相应责任。</w:t>
      </w:r>
    </w:p>
    <w:p w14:paraId="6779556C">
      <w:pPr>
        <w:jc w:val="center"/>
        <w:rPr>
          <w:rFonts w:hint="eastAsia"/>
          <w:color w:val="auto"/>
          <w:szCs w:val="21"/>
        </w:rPr>
      </w:pPr>
    </w:p>
    <w:p w14:paraId="12F7E947">
      <w:pPr>
        <w:jc w:val="center"/>
        <w:rPr>
          <w:rFonts w:hint="eastAsia"/>
          <w:color w:val="auto"/>
          <w:szCs w:val="21"/>
        </w:rPr>
      </w:pPr>
    </w:p>
    <w:p w14:paraId="4BA5F47C">
      <w:pPr>
        <w:jc w:val="center"/>
        <w:rPr>
          <w:rFonts w:hint="eastAsia"/>
          <w:color w:val="auto"/>
          <w:szCs w:val="21"/>
        </w:rPr>
      </w:pPr>
      <w:r>
        <w:rPr>
          <w:rFonts w:hint="eastAsia"/>
          <w:color w:val="auto"/>
          <w:szCs w:val="21"/>
        </w:rPr>
        <w:t xml:space="preserve">               单位名称（盖章）：</w:t>
      </w:r>
    </w:p>
    <w:p w14:paraId="7E7C15BB">
      <w:pPr>
        <w:ind w:firstLine="330" w:firstLineChars="150"/>
        <w:rPr>
          <w:rFonts w:hint="eastAsia"/>
          <w:color w:val="auto"/>
          <w:szCs w:val="21"/>
        </w:rPr>
      </w:pPr>
      <w:r>
        <w:rPr>
          <w:rFonts w:hint="eastAsia"/>
          <w:color w:val="auto"/>
          <w:szCs w:val="21"/>
        </w:rPr>
        <w:t xml:space="preserve">                                    日  期：</w:t>
      </w:r>
    </w:p>
    <w:p w14:paraId="11BA2480">
      <w:pPr>
        <w:ind w:firstLine="330" w:firstLineChars="150"/>
        <w:rPr>
          <w:rFonts w:hint="eastAsia"/>
          <w:color w:val="auto"/>
          <w:szCs w:val="21"/>
        </w:rPr>
      </w:pPr>
    </w:p>
    <w:p w14:paraId="7B411513">
      <w:pPr>
        <w:ind w:firstLine="330" w:firstLineChars="150"/>
        <w:rPr>
          <w:rFonts w:hint="eastAsia"/>
          <w:color w:val="auto"/>
          <w:szCs w:val="21"/>
        </w:rPr>
      </w:pPr>
    </w:p>
    <w:p w14:paraId="0EE89F4B">
      <w:pPr>
        <w:pStyle w:val="45"/>
        <w:widowControl w:val="0"/>
        <w:ind w:firstLine="391" w:firstLineChars="177"/>
        <w:rPr>
          <w:rFonts w:hint="eastAsia"/>
          <w:b/>
          <w:color w:val="auto"/>
          <w:kern w:val="2"/>
        </w:rPr>
      </w:pPr>
      <w:r>
        <w:rPr>
          <w:rFonts w:hint="eastAsia"/>
          <w:b/>
          <w:color w:val="auto"/>
          <w:kern w:val="2"/>
        </w:rPr>
        <w:t>注：不符合上述情形的供应商无须提供上述声明函件。</w:t>
      </w:r>
    </w:p>
    <w:p w14:paraId="4140B909">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47A36E44">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48CD2A95">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1F808304">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0CED4D1B">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5A2ACD6A">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1883A349">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65B70778">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2760873C">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07AAF0B7">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193CEE53">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394CEF69">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74D95F95">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74881C35">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23C62FDA">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34B812AD">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4A6B1BB1">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623F21B9">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02E8A383">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6CA66303">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796A4581">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6D51AF7D">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05B03EA5">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6B0734A6">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1151224B">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718E0B72">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0269ADEC">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2485451D">
      <w:pPr>
        <w:widowControl/>
        <w:kinsoku w:val="0"/>
        <w:adjustRightInd w:val="0"/>
        <w:snapToGrid w:val="0"/>
        <w:spacing w:before="78" w:line="221" w:lineRule="auto"/>
        <w:ind w:left="1897"/>
        <w:jc w:val="left"/>
        <w:textAlignment w:val="baseline"/>
        <w:rPr>
          <w:rFonts w:ascii="仿宋" w:hAnsi="仿宋" w:eastAsia="仿宋" w:cs="仿宋"/>
          <w:b/>
          <w:bCs/>
          <w:snapToGrid w:val="0"/>
          <w:color w:val="000000"/>
          <w:spacing w:val="-3"/>
          <w:kern w:val="0"/>
          <w:sz w:val="24"/>
          <w:szCs w:val="24"/>
          <w:lang w:val="en-US" w:eastAsia="en-US" w:bidi="ar-SA"/>
        </w:rPr>
      </w:pPr>
    </w:p>
    <w:p w14:paraId="3B21D5FB">
      <w:pPr>
        <w:widowControl/>
        <w:kinsoku w:val="0"/>
        <w:adjustRightInd w:val="0"/>
        <w:snapToGrid w:val="0"/>
        <w:spacing w:before="78" w:line="221" w:lineRule="auto"/>
        <w:jc w:val="center"/>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b/>
          <w:bCs/>
          <w:snapToGrid w:val="0"/>
          <w:color w:val="000000"/>
          <w:spacing w:val="-3"/>
          <w:kern w:val="0"/>
          <w:sz w:val="24"/>
          <w:szCs w:val="24"/>
          <w:lang w:val="en-US" w:eastAsia="en-US" w:bidi="ar-SA"/>
        </w:rPr>
        <w:t>关于符合本国产品标准的声明函</w:t>
      </w:r>
    </w:p>
    <w:p w14:paraId="7C0EB102">
      <w:pPr>
        <w:widowControl/>
        <w:kinsoku w:val="0"/>
        <w:adjustRightInd w:val="0"/>
        <w:snapToGrid w:val="0"/>
        <w:spacing w:before="192" w:line="368" w:lineRule="auto"/>
        <w:ind w:left="37" w:right="117" w:firstLine="468"/>
        <w:jc w:val="both"/>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4"/>
          <w:kern w:val="0"/>
          <w:sz w:val="24"/>
          <w:szCs w:val="24"/>
          <w:lang w:val="en-US" w:eastAsia="en-US" w:bidi="ar-SA"/>
        </w:rPr>
        <w:t>本公司(单位)郑重声明，根据《国务院办公厅关于在</w:t>
      </w:r>
      <w:r>
        <w:rPr>
          <w:rFonts w:ascii="仿宋" w:hAnsi="仿宋" w:eastAsia="仿宋" w:cs="仿宋"/>
          <w:snapToGrid w:val="0"/>
          <w:color w:val="000000"/>
          <w:spacing w:val="-5"/>
          <w:kern w:val="0"/>
          <w:sz w:val="24"/>
          <w:szCs w:val="24"/>
          <w:lang w:val="en-US" w:eastAsia="en-US" w:bidi="ar-SA"/>
        </w:rPr>
        <w:t>政府采购中实施本国产品标准及相关政策的通知》(国办发[</w:t>
      </w:r>
      <w:r>
        <w:rPr>
          <w:rFonts w:ascii="Arial" w:hAnsi="Arial" w:eastAsia="Arial" w:cs="Arial"/>
          <w:snapToGrid w:val="0"/>
          <w:color w:val="000000"/>
          <w:kern w:val="0"/>
          <w:sz w:val="21"/>
          <w:szCs w:val="21"/>
          <w:lang w:val="en-US" w:eastAsia="en-US" w:bidi="ar-SA"/>
        </w:rPr>
        <w:fldChar w:fldCharType="begin"/>
      </w:r>
      <w:r>
        <w:rPr>
          <w:rFonts w:ascii="Arial" w:hAnsi="Arial" w:eastAsia="Arial" w:cs="Arial"/>
          <w:snapToGrid w:val="0"/>
          <w:color w:val="000000"/>
          <w:kern w:val="0"/>
          <w:sz w:val="21"/>
          <w:szCs w:val="21"/>
          <w:lang w:val="en-US" w:eastAsia="en-US" w:bidi="ar-SA"/>
        </w:rPr>
        <w:instrText xml:space="preserve"> HYPERLINK \l "bookmark19" </w:instrText>
      </w:r>
      <w:r>
        <w:rPr>
          <w:rFonts w:ascii="Arial" w:hAnsi="Arial" w:eastAsia="Arial" w:cs="Arial"/>
          <w:snapToGrid w:val="0"/>
          <w:color w:val="000000"/>
          <w:kern w:val="0"/>
          <w:sz w:val="21"/>
          <w:szCs w:val="21"/>
          <w:lang w:val="en-US" w:eastAsia="en-US" w:bidi="ar-SA"/>
        </w:rPr>
        <w:fldChar w:fldCharType="separate"/>
      </w:r>
      <w:r>
        <w:rPr>
          <w:rFonts w:ascii="仿宋" w:hAnsi="仿宋" w:eastAsia="仿宋" w:cs="仿宋"/>
          <w:snapToGrid w:val="0"/>
          <w:color w:val="000000"/>
          <w:spacing w:val="-5"/>
          <w:kern w:val="0"/>
          <w:sz w:val="24"/>
          <w:szCs w:val="24"/>
          <w:lang w:val="en-US" w:eastAsia="en-US" w:bidi="ar-SA"/>
        </w:rPr>
        <w:t>2025</w:t>
      </w:r>
      <w:r>
        <w:rPr>
          <w:rFonts w:ascii="仿宋" w:hAnsi="仿宋" w:eastAsia="仿宋" w:cs="仿宋"/>
          <w:snapToGrid w:val="0"/>
          <w:color w:val="000000"/>
          <w:spacing w:val="-5"/>
          <w:kern w:val="0"/>
          <w:sz w:val="24"/>
          <w:szCs w:val="24"/>
          <w:lang w:val="en-US" w:eastAsia="en-US" w:bidi="ar-SA"/>
        </w:rPr>
        <w:fldChar w:fldCharType="end"/>
      </w:r>
      <w:r>
        <w:rPr>
          <w:rFonts w:ascii="仿宋" w:hAnsi="仿宋" w:eastAsia="仿宋" w:cs="仿宋"/>
          <w:snapToGrid w:val="0"/>
          <w:color w:val="000000"/>
          <w:spacing w:val="-5"/>
          <w:kern w:val="0"/>
          <w:sz w:val="24"/>
          <w:szCs w:val="24"/>
          <w:lang w:val="en-US" w:eastAsia="en-US" w:bidi="ar-SA"/>
        </w:rPr>
        <w:t>]34</w:t>
      </w:r>
      <w:r>
        <w:rPr>
          <w:rFonts w:ascii="仿宋" w:hAnsi="仿宋" w:eastAsia="仿宋" w:cs="仿宋"/>
          <w:snapToGrid w:val="0"/>
          <w:color w:val="000000"/>
          <w:spacing w:val="-33"/>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号)的规定，本公司(单位)提供的以下产品属于本国产品。具体情况如下:</w:t>
      </w:r>
    </w:p>
    <w:p w14:paraId="1A030DCD">
      <w:pPr>
        <w:widowControl/>
        <w:kinsoku w:val="0"/>
        <w:adjustRightInd w:val="0"/>
        <w:snapToGrid w:val="0"/>
        <w:spacing w:line="368" w:lineRule="auto"/>
        <w:ind w:left="46" w:firstLine="468"/>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9"/>
          <w:kern w:val="0"/>
          <w:sz w:val="24"/>
          <w:szCs w:val="24"/>
          <w:lang w:val="en-US" w:eastAsia="en-US" w:bidi="ar-SA"/>
        </w:rPr>
        <w:t>1.</w:t>
      </w:r>
      <w:r>
        <w:rPr>
          <w:rFonts w:ascii="仿宋" w:hAnsi="仿宋" w:eastAsia="仿宋" w:cs="仿宋"/>
          <w:snapToGrid w:val="0"/>
          <w:color w:val="000000"/>
          <w:spacing w:val="69"/>
          <w:kern w:val="0"/>
          <w:sz w:val="24"/>
          <w:szCs w:val="24"/>
          <w:lang w:val="en-US" w:eastAsia="en-US" w:bidi="ar-SA"/>
        </w:rPr>
        <w:t xml:space="preserve"> </w:t>
      </w:r>
      <w:r>
        <w:rPr>
          <w:rFonts w:ascii="仿宋" w:hAnsi="仿宋" w:eastAsia="仿宋" w:cs="仿宋"/>
          <w:snapToGrid w:val="0"/>
          <w:color w:val="000000"/>
          <w:spacing w:val="-9"/>
          <w:kern w:val="0"/>
          <w:sz w:val="24"/>
          <w:szCs w:val="24"/>
          <w:lang w:val="en-US" w:eastAsia="en-US" w:bidi="ar-SA"/>
        </w:rPr>
        <w:t>(产品名称</w:t>
      </w:r>
      <w:r>
        <w:rPr>
          <w:rFonts w:ascii="仿宋" w:hAnsi="仿宋" w:eastAsia="仿宋" w:cs="仿宋"/>
          <w:snapToGrid w:val="0"/>
          <w:color w:val="000000"/>
          <w:spacing w:val="-39"/>
          <w:kern w:val="0"/>
          <w:sz w:val="24"/>
          <w:szCs w:val="24"/>
          <w:lang w:val="en-US" w:eastAsia="en-US" w:bidi="ar-SA"/>
        </w:rPr>
        <w:t xml:space="preserve"> </w:t>
      </w:r>
      <w:r>
        <w:rPr>
          <w:rFonts w:ascii="仿宋" w:hAnsi="仿宋" w:eastAsia="仿宋" w:cs="仿宋"/>
          <w:snapToGrid w:val="0"/>
          <w:color w:val="000000"/>
          <w:spacing w:val="-9"/>
          <w:kern w:val="0"/>
          <w:sz w:val="24"/>
          <w:szCs w:val="24"/>
          <w:lang w:val="en-US" w:eastAsia="en-US" w:bidi="ar-SA"/>
        </w:rPr>
        <w:t>1)</w:t>
      </w:r>
      <w:r>
        <w:rPr>
          <w:rFonts w:ascii="仿宋" w:hAnsi="仿宋" w:eastAsia="仿宋" w:cs="仿宋"/>
          <w:snapToGrid w:val="0"/>
          <w:color w:val="000000"/>
          <w:spacing w:val="-9"/>
          <w:kern w:val="0"/>
          <w:sz w:val="24"/>
          <w:szCs w:val="24"/>
          <w:u w:val="single" w:color="auto"/>
          <w:lang w:val="en-US" w:eastAsia="en-US" w:bidi="ar-SA"/>
        </w:rPr>
        <w:t xml:space="preserve">       </w:t>
      </w:r>
      <w:r>
        <w:rPr>
          <w:rFonts w:ascii="仿宋" w:hAnsi="仿宋" w:eastAsia="仿宋" w:cs="仿宋"/>
          <w:snapToGrid w:val="0"/>
          <w:color w:val="000000"/>
          <w:spacing w:val="-9"/>
          <w:kern w:val="0"/>
          <w:sz w:val="24"/>
          <w:szCs w:val="24"/>
          <w:lang w:val="en-US" w:eastAsia="en-US" w:bidi="ar-SA"/>
        </w:rPr>
        <w:t>，生产厂为(厂名)</w:t>
      </w:r>
      <w:r>
        <w:rPr>
          <w:rFonts w:ascii="仿宋" w:hAnsi="仿宋" w:eastAsia="仿宋" w:cs="仿宋"/>
          <w:snapToGrid w:val="0"/>
          <w:color w:val="000000"/>
          <w:spacing w:val="-9"/>
          <w:kern w:val="0"/>
          <w:sz w:val="24"/>
          <w:szCs w:val="24"/>
          <w:u w:val="single" w:color="auto"/>
          <w:lang w:val="en-US" w:eastAsia="en-US" w:bidi="ar-SA"/>
        </w:rPr>
        <w:t xml:space="preserve">      </w:t>
      </w:r>
      <w:r>
        <w:rPr>
          <w:rFonts w:ascii="仿宋" w:hAnsi="仿宋" w:eastAsia="仿宋" w:cs="仿宋"/>
          <w:snapToGrid w:val="0"/>
          <w:color w:val="000000"/>
          <w:spacing w:val="-9"/>
          <w:kern w:val="0"/>
          <w:sz w:val="24"/>
          <w:szCs w:val="24"/>
          <w:lang w:val="en-US" w:eastAsia="en-US" w:bidi="ar-SA"/>
        </w:rPr>
        <w:t>，厂址为(生产厂址)</w:t>
      </w:r>
      <w:r>
        <w:rPr>
          <w:rFonts w:ascii="仿宋" w:hAnsi="仿宋" w:eastAsia="仿宋" w:cs="仿宋"/>
          <w:snapToGrid w:val="0"/>
          <w:color w:val="000000"/>
          <w:spacing w:val="-9"/>
          <w:kern w:val="0"/>
          <w:sz w:val="24"/>
          <w:szCs w:val="24"/>
          <w:u w:val="single" w:color="auto"/>
          <w:lang w:val="en-US" w:eastAsia="en-US" w:bidi="ar-SA"/>
        </w:rPr>
        <w:t xml:space="preserve">     </w:t>
      </w:r>
      <w:r>
        <w:rPr>
          <w:rFonts w:ascii="仿宋" w:hAnsi="仿宋" w:eastAsia="仿宋" w:cs="仿宋"/>
          <w:snapToGrid w:val="0"/>
          <w:color w:val="000000"/>
          <w:spacing w:val="-86"/>
          <w:kern w:val="0"/>
          <w:sz w:val="24"/>
          <w:szCs w:val="24"/>
          <w:lang w:val="en-US" w:eastAsia="en-US" w:bidi="ar-SA"/>
        </w:rPr>
        <w:t xml:space="preserve"> </w:t>
      </w:r>
      <w:r>
        <w:rPr>
          <w:rFonts w:ascii="仿宋" w:hAnsi="仿宋" w:eastAsia="仿宋" w:cs="仿宋"/>
          <w:snapToGrid w:val="0"/>
          <w:color w:val="000000"/>
          <w:spacing w:val="-9"/>
          <w:kern w:val="0"/>
          <w:sz w:val="24"/>
          <w:szCs w:val="24"/>
          <w:lang w:val="en-US" w:eastAsia="en-US" w:bidi="ar-SA"/>
        </w:rPr>
        <w:t>。</w:t>
      </w:r>
      <w:r>
        <w:rPr>
          <w:rFonts w:ascii="仿宋" w:hAnsi="仿宋" w:eastAsia="仿宋" w:cs="仿宋"/>
          <w:snapToGrid w:val="0"/>
          <w:color w:val="000000"/>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(产品名称</w:t>
      </w:r>
      <w:r>
        <w:rPr>
          <w:rFonts w:ascii="仿宋" w:hAnsi="仿宋" w:eastAsia="仿宋" w:cs="仿宋"/>
          <w:snapToGrid w:val="0"/>
          <w:color w:val="000000"/>
          <w:spacing w:val="-38"/>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 xml:space="preserve">1)的中国境内生产的组件成本占比≥ </w:t>
      </w:r>
      <w:r>
        <w:rPr>
          <w:rFonts w:ascii="仿宋" w:hAnsi="仿宋" w:eastAsia="仿宋" w:cs="仿宋"/>
          <w:snapToGrid w:val="0"/>
          <w:color w:val="000000"/>
          <w:spacing w:val="-8"/>
          <w:kern w:val="0"/>
          <w:sz w:val="24"/>
          <w:szCs w:val="24"/>
          <w:u w:val="single" w:color="auto"/>
          <w:lang w:val="en-US" w:eastAsia="en-US" w:bidi="ar-SA"/>
        </w:rPr>
        <w:t xml:space="preserve">   /  </w:t>
      </w:r>
      <w:r>
        <w:rPr>
          <w:rFonts w:ascii="仿宋" w:hAnsi="仿宋" w:eastAsia="仿宋" w:cs="仿宋"/>
          <w:snapToGrid w:val="0"/>
          <w:color w:val="000000"/>
          <w:spacing w:val="-69"/>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(规定比例)。(产品名称</w:t>
      </w:r>
      <w:r>
        <w:rPr>
          <w:rFonts w:ascii="仿宋" w:hAnsi="仿宋" w:eastAsia="仿宋" w:cs="仿宋"/>
          <w:snapToGrid w:val="0"/>
          <w:color w:val="000000"/>
          <w:spacing w:val="-39"/>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1)</w:t>
      </w:r>
      <w:r>
        <w:rPr>
          <w:rFonts w:ascii="仿宋" w:hAnsi="仿宋" w:eastAsia="仿宋" w:cs="仿宋"/>
          <w:snapToGrid w:val="0"/>
          <w:color w:val="000000"/>
          <w:spacing w:val="-7"/>
          <w:kern w:val="0"/>
          <w:sz w:val="24"/>
          <w:szCs w:val="24"/>
          <w:lang w:val="en-US" w:eastAsia="en-US" w:bidi="ar-SA"/>
        </w:rPr>
        <w:t>的</w:t>
      </w:r>
      <w:r>
        <w:rPr>
          <w:rFonts w:ascii="仿宋" w:hAnsi="仿宋" w:eastAsia="仿宋" w:cs="仿宋"/>
          <w:snapToGrid w:val="0"/>
          <w:color w:val="000000"/>
          <w:spacing w:val="-71"/>
          <w:kern w:val="0"/>
          <w:sz w:val="24"/>
          <w:szCs w:val="24"/>
          <w:lang w:val="en-US" w:eastAsia="en-US" w:bidi="ar-SA"/>
        </w:rPr>
        <w:t xml:space="preserve"> </w:t>
      </w:r>
      <w:r>
        <w:rPr>
          <w:rFonts w:ascii="仿宋" w:hAnsi="仿宋" w:eastAsia="仿宋" w:cs="仿宋"/>
          <w:snapToGrid w:val="0"/>
          <w:color w:val="000000"/>
          <w:spacing w:val="-7"/>
          <w:kern w:val="0"/>
          <w:sz w:val="24"/>
          <w:szCs w:val="24"/>
          <w:lang w:val="en-US" w:eastAsia="en-US" w:bidi="ar-SA"/>
        </w:rPr>
        <w:t>(关键组件)</w:t>
      </w:r>
      <w:r>
        <w:rPr>
          <w:rFonts w:ascii="仿宋" w:hAnsi="仿宋" w:eastAsia="仿宋" w:cs="仿宋"/>
          <w:snapToGrid w:val="0"/>
          <w:color w:val="000000"/>
          <w:spacing w:val="-7"/>
          <w:kern w:val="0"/>
          <w:sz w:val="24"/>
          <w:szCs w:val="24"/>
          <w:u w:val="single" w:color="auto"/>
          <w:lang w:val="en-US" w:eastAsia="en-US" w:bidi="ar-SA"/>
        </w:rPr>
        <w:t xml:space="preserve">  /  </w:t>
      </w:r>
      <w:r>
        <w:rPr>
          <w:rFonts w:ascii="仿宋" w:hAnsi="仿宋" w:eastAsia="仿宋" w:cs="仿宋"/>
          <w:snapToGrid w:val="0"/>
          <w:color w:val="000000"/>
          <w:spacing w:val="-7"/>
          <w:kern w:val="0"/>
          <w:sz w:val="24"/>
          <w:szCs w:val="24"/>
          <w:lang w:val="en-US" w:eastAsia="en-US" w:bidi="ar-SA"/>
        </w:rPr>
        <w:t>‘在中国境内生产</w:t>
      </w:r>
      <w:r>
        <w:rPr>
          <w:rFonts w:ascii="仿宋" w:hAnsi="仿宋" w:eastAsia="仿宋" w:cs="仿宋"/>
          <w:snapToGrid w:val="0"/>
          <w:color w:val="000000"/>
          <w:spacing w:val="-8"/>
          <w:kern w:val="0"/>
          <w:sz w:val="24"/>
          <w:szCs w:val="24"/>
          <w:lang w:val="en-US" w:eastAsia="en-US" w:bidi="ar-SA"/>
        </w:rPr>
        <w:t>。</w:t>
      </w:r>
      <w:r>
        <w:rPr>
          <w:rFonts w:ascii="仿宋" w:hAnsi="仿宋" w:eastAsia="仿宋" w:cs="仿宋"/>
          <w:snapToGrid w:val="0"/>
          <w:color w:val="000000"/>
          <w:spacing w:val="-72"/>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(产品名称</w:t>
      </w:r>
      <w:r>
        <w:rPr>
          <w:rFonts w:ascii="仿宋" w:hAnsi="仿宋" w:eastAsia="仿宋" w:cs="仿宋"/>
          <w:snapToGrid w:val="0"/>
          <w:color w:val="000000"/>
          <w:spacing w:val="-39"/>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1)</w:t>
      </w:r>
      <w:r>
        <w:rPr>
          <w:rFonts w:ascii="仿宋" w:hAnsi="仿宋" w:eastAsia="仿宋" w:cs="仿宋"/>
          <w:snapToGrid w:val="0"/>
          <w:color w:val="000000"/>
          <w:spacing w:val="-8"/>
          <w:kern w:val="0"/>
          <w:sz w:val="24"/>
          <w:szCs w:val="24"/>
          <w:u w:val="single" w:color="auto"/>
          <w:lang w:val="en-US" w:eastAsia="en-US" w:bidi="ar-SA"/>
        </w:rPr>
        <w:t xml:space="preserve">     </w:t>
      </w:r>
      <w:r>
        <w:rPr>
          <w:rFonts w:ascii="仿宋" w:hAnsi="仿宋" w:eastAsia="仿宋" w:cs="仿宋"/>
          <w:snapToGrid w:val="0"/>
          <w:color w:val="000000"/>
          <w:spacing w:val="26"/>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的(关键工序)</w:t>
      </w:r>
      <w:r>
        <w:rPr>
          <w:rFonts w:ascii="仿宋" w:hAnsi="仿宋" w:eastAsia="仿宋" w:cs="仿宋"/>
          <w:snapToGrid w:val="0"/>
          <w:color w:val="000000"/>
          <w:spacing w:val="-8"/>
          <w:kern w:val="0"/>
          <w:sz w:val="24"/>
          <w:szCs w:val="24"/>
          <w:u w:val="single" w:color="auto"/>
          <w:lang w:val="en-US" w:eastAsia="en-US" w:bidi="ar-SA"/>
        </w:rPr>
        <w:t xml:space="preserve">  /</w:t>
      </w:r>
    </w:p>
    <w:p w14:paraId="0CEC2A23">
      <w:pPr>
        <w:widowControl/>
        <w:kinsoku w:val="0"/>
        <w:adjustRightInd w:val="0"/>
        <w:snapToGrid w:val="0"/>
        <w:spacing w:line="219" w:lineRule="auto"/>
        <w:ind w:left="34"/>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6"/>
          <w:kern w:val="0"/>
          <w:sz w:val="24"/>
          <w:szCs w:val="24"/>
          <w:lang w:val="en-US" w:eastAsia="en-US" w:bidi="ar-SA"/>
        </w:rPr>
        <w:t>在中国境内完成。</w:t>
      </w:r>
    </w:p>
    <w:p w14:paraId="01F6BB16">
      <w:pPr>
        <w:widowControl/>
        <w:kinsoku w:val="0"/>
        <w:adjustRightInd w:val="0"/>
        <w:snapToGrid w:val="0"/>
        <w:spacing w:before="192" w:line="368" w:lineRule="auto"/>
        <w:ind w:left="46" w:right="117" w:firstLine="454"/>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9"/>
          <w:kern w:val="0"/>
          <w:sz w:val="24"/>
          <w:szCs w:val="24"/>
          <w:lang w:val="en-US" w:eastAsia="en-US" w:bidi="ar-SA"/>
        </w:rPr>
        <w:t>2.</w:t>
      </w:r>
      <w:r>
        <w:rPr>
          <w:rFonts w:ascii="仿宋" w:hAnsi="仿宋" w:eastAsia="仿宋" w:cs="仿宋"/>
          <w:snapToGrid w:val="0"/>
          <w:color w:val="000000"/>
          <w:spacing w:val="58"/>
          <w:kern w:val="0"/>
          <w:sz w:val="24"/>
          <w:szCs w:val="24"/>
          <w:lang w:val="en-US" w:eastAsia="en-US" w:bidi="ar-SA"/>
        </w:rPr>
        <w:t xml:space="preserve"> </w:t>
      </w:r>
      <w:r>
        <w:rPr>
          <w:rFonts w:ascii="仿宋" w:hAnsi="仿宋" w:eastAsia="仿宋" w:cs="仿宋"/>
          <w:snapToGrid w:val="0"/>
          <w:color w:val="000000"/>
          <w:spacing w:val="-9"/>
          <w:kern w:val="0"/>
          <w:sz w:val="24"/>
          <w:szCs w:val="24"/>
          <w:lang w:val="en-US" w:eastAsia="en-US" w:bidi="ar-SA"/>
        </w:rPr>
        <w:t>(产品名称2)</w:t>
      </w:r>
      <w:r>
        <w:rPr>
          <w:rFonts w:ascii="仿宋" w:hAnsi="仿宋" w:eastAsia="仿宋" w:cs="仿宋"/>
          <w:snapToGrid w:val="0"/>
          <w:color w:val="000000"/>
          <w:spacing w:val="-9"/>
          <w:kern w:val="0"/>
          <w:sz w:val="24"/>
          <w:szCs w:val="24"/>
          <w:u w:val="single" w:color="auto"/>
          <w:lang w:val="en-US" w:eastAsia="en-US" w:bidi="ar-SA"/>
        </w:rPr>
        <w:t xml:space="preserve">     </w:t>
      </w:r>
      <w:r>
        <w:rPr>
          <w:rFonts w:ascii="仿宋" w:hAnsi="仿宋" w:eastAsia="仿宋" w:cs="仿宋"/>
          <w:snapToGrid w:val="0"/>
          <w:color w:val="000000"/>
          <w:spacing w:val="-9"/>
          <w:kern w:val="0"/>
          <w:sz w:val="24"/>
          <w:szCs w:val="24"/>
          <w:lang w:val="en-US" w:eastAsia="en-US" w:bidi="ar-SA"/>
        </w:rPr>
        <w:t>，生产厂为(厂名)</w:t>
      </w:r>
      <w:r>
        <w:rPr>
          <w:rFonts w:ascii="仿宋" w:hAnsi="仿宋" w:eastAsia="仿宋" w:cs="仿宋"/>
          <w:snapToGrid w:val="0"/>
          <w:color w:val="000000"/>
          <w:spacing w:val="-9"/>
          <w:kern w:val="0"/>
          <w:sz w:val="24"/>
          <w:szCs w:val="24"/>
          <w:u w:val="single" w:color="auto"/>
          <w:lang w:val="en-US" w:eastAsia="en-US" w:bidi="ar-SA"/>
        </w:rPr>
        <w:t xml:space="preserve">      </w:t>
      </w:r>
      <w:r>
        <w:rPr>
          <w:rFonts w:ascii="仿宋" w:hAnsi="仿宋" w:eastAsia="仿宋" w:cs="仿宋"/>
          <w:snapToGrid w:val="0"/>
          <w:color w:val="000000"/>
          <w:spacing w:val="-86"/>
          <w:kern w:val="0"/>
          <w:sz w:val="24"/>
          <w:szCs w:val="24"/>
          <w:lang w:val="en-US" w:eastAsia="en-US" w:bidi="ar-SA"/>
        </w:rPr>
        <w:t xml:space="preserve"> </w:t>
      </w:r>
      <w:r>
        <w:rPr>
          <w:rFonts w:ascii="仿宋" w:hAnsi="仿宋" w:eastAsia="仿宋" w:cs="仿宋"/>
          <w:snapToGrid w:val="0"/>
          <w:color w:val="000000"/>
          <w:spacing w:val="-9"/>
          <w:kern w:val="0"/>
          <w:sz w:val="24"/>
          <w:szCs w:val="24"/>
          <w:lang w:val="en-US" w:eastAsia="en-US" w:bidi="ar-SA"/>
        </w:rPr>
        <w:t>,厂址为(生产</w:t>
      </w:r>
      <w:r>
        <w:rPr>
          <w:rFonts w:ascii="仿宋" w:hAnsi="仿宋" w:eastAsia="仿宋" w:cs="仿宋"/>
          <w:snapToGrid w:val="0"/>
          <w:color w:val="000000"/>
          <w:spacing w:val="-10"/>
          <w:kern w:val="0"/>
          <w:sz w:val="24"/>
          <w:szCs w:val="24"/>
          <w:lang w:val="en-US" w:eastAsia="en-US" w:bidi="ar-SA"/>
        </w:rPr>
        <w:t>厂址)</w:t>
      </w:r>
      <w:r>
        <w:rPr>
          <w:rFonts w:ascii="仿宋" w:hAnsi="仿宋" w:eastAsia="仿宋" w:cs="仿宋"/>
          <w:snapToGrid w:val="0"/>
          <w:color w:val="000000"/>
          <w:spacing w:val="-10"/>
          <w:kern w:val="0"/>
          <w:sz w:val="24"/>
          <w:szCs w:val="24"/>
          <w:u w:val="single" w:color="auto"/>
          <w:lang w:val="en-US" w:eastAsia="en-US" w:bidi="ar-SA"/>
        </w:rPr>
        <w:t xml:space="preserve">     </w:t>
      </w:r>
      <w:r>
        <w:rPr>
          <w:rFonts w:ascii="仿宋" w:hAnsi="仿宋" w:eastAsia="仿宋" w:cs="仿宋"/>
          <w:snapToGrid w:val="0"/>
          <w:color w:val="000000"/>
          <w:spacing w:val="-10"/>
          <w:kern w:val="0"/>
          <w:sz w:val="24"/>
          <w:szCs w:val="24"/>
          <w:lang w:val="en-US" w:eastAsia="en-US" w:bidi="ar-SA"/>
        </w:rPr>
        <w:t>。(产</w:t>
      </w:r>
      <w:r>
        <w:rPr>
          <w:rFonts w:ascii="仿宋" w:hAnsi="仿宋" w:eastAsia="仿宋" w:cs="仿宋"/>
          <w:snapToGrid w:val="0"/>
          <w:color w:val="000000"/>
          <w:spacing w:val="-2"/>
          <w:kern w:val="0"/>
          <w:sz w:val="24"/>
          <w:szCs w:val="24"/>
          <w:lang w:val="en-US" w:eastAsia="en-US" w:bidi="ar-SA"/>
        </w:rPr>
        <w:t>品名称2)的中国境内生产的组件成本占比≥</w:t>
      </w:r>
      <w:r>
        <w:rPr>
          <w:rFonts w:ascii="仿宋" w:hAnsi="仿宋" w:eastAsia="仿宋" w:cs="仿宋"/>
          <w:snapToGrid w:val="0"/>
          <w:color w:val="000000"/>
          <w:spacing w:val="55"/>
          <w:kern w:val="0"/>
          <w:sz w:val="24"/>
          <w:szCs w:val="24"/>
          <w:u w:val="single" w:color="auto"/>
          <w:lang w:val="en-US" w:eastAsia="en-US" w:bidi="ar-SA"/>
        </w:rPr>
        <w:t xml:space="preserve">  </w:t>
      </w:r>
      <w:r>
        <w:rPr>
          <w:rFonts w:ascii="仿宋" w:hAnsi="仿宋" w:eastAsia="仿宋" w:cs="仿宋"/>
          <w:snapToGrid w:val="0"/>
          <w:color w:val="000000"/>
          <w:spacing w:val="-3"/>
          <w:kern w:val="0"/>
          <w:sz w:val="24"/>
          <w:szCs w:val="24"/>
          <w:u w:val="single" w:color="auto"/>
          <w:lang w:val="en-US" w:eastAsia="en-US" w:bidi="ar-SA"/>
        </w:rPr>
        <w:t>/</w:t>
      </w:r>
      <w:r>
        <w:rPr>
          <w:rFonts w:ascii="仿宋" w:hAnsi="仿宋" w:eastAsia="仿宋" w:cs="仿宋"/>
          <w:snapToGrid w:val="0"/>
          <w:color w:val="000000"/>
          <w:spacing w:val="53"/>
          <w:kern w:val="0"/>
          <w:sz w:val="24"/>
          <w:szCs w:val="24"/>
          <w:u w:val="single" w:color="auto"/>
          <w:lang w:val="en-US" w:eastAsia="en-US" w:bidi="ar-SA"/>
        </w:rPr>
        <w:t xml:space="preserve">  </w:t>
      </w:r>
      <w:r>
        <w:rPr>
          <w:rFonts w:ascii="仿宋" w:hAnsi="仿宋" w:eastAsia="仿宋" w:cs="仿宋"/>
          <w:snapToGrid w:val="0"/>
          <w:color w:val="000000"/>
          <w:spacing w:val="-69"/>
          <w:kern w:val="0"/>
          <w:sz w:val="24"/>
          <w:szCs w:val="24"/>
          <w:lang w:val="en-US" w:eastAsia="en-US" w:bidi="ar-SA"/>
        </w:rPr>
        <w:t xml:space="preserve"> </w:t>
      </w:r>
      <w:r>
        <w:rPr>
          <w:rFonts w:ascii="仿宋" w:hAnsi="仿宋" w:eastAsia="仿宋" w:cs="仿宋"/>
          <w:snapToGrid w:val="0"/>
          <w:color w:val="000000"/>
          <w:spacing w:val="-3"/>
          <w:kern w:val="0"/>
          <w:sz w:val="24"/>
          <w:szCs w:val="24"/>
          <w:lang w:val="en-US" w:eastAsia="en-US" w:bidi="ar-SA"/>
        </w:rPr>
        <w:t>(规定比例)。(产品名称2)</w:t>
      </w:r>
      <w:r>
        <w:rPr>
          <w:rFonts w:ascii="仿宋" w:hAnsi="仿宋" w:eastAsia="仿宋" w:cs="仿宋"/>
          <w:snapToGrid w:val="0"/>
          <w:color w:val="000000"/>
          <w:spacing w:val="-5"/>
          <w:kern w:val="0"/>
          <w:sz w:val="24"/>
          <w:szCs w:val="24"/>
          <w:lang w:val="en-US" w:eastAsia="en-US" w:bidi="ar-SA"/>
        </w:rPr>
        <w:t>的</w:t>
      </w:r>
      <w:r>
        <w:rPr>
          <w:rFonts w:ascii="仿宋" w:hAnsi="仿宋" w:eastAsia="仿宋" w:cs="仿宋"/>
          <w:snapToGrid w:val="0"/>
          <w:color w:val="000000"/>
          <w:spacing w:val="-71"/>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(关键组件)</w:t>
      </w:r>
      <w:r>
        <w:rPr>
          <w:rFonts w:ascii="仿宋" w:hAnsi="仿宋" w:eastAsia="仿宋" w:cs="仿宋"/>
          <w:snapToGrid w:val="0"/>
          <w:color w:val="000000"/>
          <w:spacing w:val="-5"/>
          <w:kern w:val="0"/>
          <w:sz w:val="24"/>
          <w:szCs w:val="24"/>
          <w:u w:val="single" w:color="auto"/>
          <w:lang w:val="en-US" w:eastAsia="en-US" w:bidi="ar-SA"/>
        </w:rPr>
        <w:t xml:space="preserve">  / </w:t>
      </w:r>
      <w:r>
        <w:rPr>
          <w:rFonts w:ascii="仿宋" w:hAnsi="仿宋" w:eastAsia="仿宋" w:cs="仿宋"/>
          <w:snapToGrid w:val="0"/>
          <w:color w:val="000000"/>
          <w:spacing w:val="-5"/>
          <w:kern w:val="0"/>
          <w:sz w:val="24"/>
          <w:szCs w:val="24"/>
          <w:lang w:val="en-US" w:eastAsia="en-US" w:bidi="ar-SA"/>
        </w:rPr>
        <w:t xml:space="preserve"> 在中国境内生产。(产品名称2)</w:t>
      </w:r>
      <w:r>
        <w:rPr>
          <w:rFonts w:ascii="仿宋" w:hAnsi="仿宋" w:eastAsia="仿宋" w:cs="仿宋"/>
          <w:snapToGrid w:val="0"/>
          <w:color w:val="000000"/>
          <w:spacing w:val="-5"/>
          <w:kern w:val="0"/>
          <w:sz w:val="24"/>
          <w:szCs w:val="24"/>
          <w:u w:val="single" w:color="auto"/>
          <w:lang w:val="en-US" w:eastAsia="en-US" w:bidi="ar-SA"/>
        </w:rPr>
        <w:t xml:space="preserve">    </w:t>
      </w:r>
      <w:r>
        <w:rPr>
          <w:rFonts w:ascii="仿宋" w:hAnsi="仿宋" w:eastAsia="仿宋" w:cs="仿宋"/>
          <w:snapToGrid w:val="0"/>
          <w:color w:val="000000"/>
          <w:spacing w:val="-5"/>
          <w:kern w:val="0"/>
          <w:sz w:val="24"/>
          <w:szCs w:val="24"/>
          <w:lang w:val="en-US" w:eastAsia="en-US" w:bidi="ar-SA"/>
        </w:rPr>
        <w:t xml:space="preserve"> 的</w:t>
      </w:r>
      <w:r>
        <w:rPr>
          <w:rFonts w:ascii="仿宋" w:hAnsi="仿宋" w:eastAsia="仿宋" w:cs="仿宋"/>
          <w:snapToGrid w:val="0"/>
          <w:color w:val="000000"/>
          <w:spacing w:val="-72"/>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(关键工序)</w:t>
      </w:r>
      <w:r>
        <w:rPr>
          <w:rFonts w:ascii="仿宋" w:hAnsi="仿宋" w:eastAsia="仿宋" w:cs="仿宋"/>
          <w:snapToGrid w:val="0"/>
          <w:color w:val="000000"/>
          <w:spacing w:val="-5"/>
          <w:kern w:val="0"/>
          <w:sz w:val="24"/>
          <w:szCs w:val="24"/>
          <w:u w:val="single" w:color="auto"/>
          <w:lang w:val="en-US" w:eastAsia="en-US" w:bidi="ar-SA"/>
        </w:rPr>
        <w:t xml:space="preserve">   /</w:t>
      </w:r>
    </w:p>
    <w:p w14:paraId="7F449D8B">
      <w:pPr>
        <w:widowControl/>
        <w:kinsoku w:val="0"/>
        <w:adjustRightInd w:val="0"/>
        <w:snapToGrid w:val="0"/>
        <w:spacing w:line="219" w:lineRule="auto"/>
        <w:ind w:left="34"/>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6"/>
          <w:kern w:val="0"/>
          <w:sz w:val="24"/>
          <w:szCs w:val="24"/>
          <w:lang w:val="en-US" w:eastAsia="en-US" w:bidi="ar-SA"/>
        </w:rPr>
        <w:t>在中国境内完成。</w:t>
      </w:r>
    </w:p>
    <w:p w14:paraId="49E4FA32">
      <w:pPr>
        <w:widowControl/>
        <w:kinsoku w:val="0"/>
        <w:adjustRightInd w:val="0"/>
        <w:snapToGrid w:val="0"/>
        <w:spacing w:before="194" w:line="221" w:lineRule="auto"/>
        <w:ind w:left="457"/>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5"/>
          <w:kern w:val="0"/>
          <w:sz w:val="24"/>
          <w:szCs w:val="24"/>
          <w:lang w:val="en-US" w:eastAsia="en-US" w:bidi="ar-SA"/>
        </w:rPr>
        <w:t>（可按实际产品数量增删行数）</w:t>
      </w:r>
    </w:p>
    <w:p w14:paraId="50AC61B1">
      <w:pPr>
        <w:widowControl/>
        <w:kinsoku w:val="0"/>
        <w:adjustRightInd w:val="0"/>
        <w:snapToGrid w:val="0"/>
        <w:spacing w:before="190" w:line="371" w:lineRule="auto"/>
        <w:ind w:left="32" w:right="156" w:firstLine="473"/>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4"/>
          <w:kern w:val="0"/>
          <w:sz w:val="24"/>
          <w:szCs w:val="24"/>
          <w:lang w:val="en-US" w:eastAsia="en-US" w:bidi="ar-SA"/>
        </w:rPr>
        <w:t>本公司(单位)对上述声明内容的真实性负责。如有虚</w:t>
      </w:r>
      <w:r>
        <w:rPr>
          <w:rFonts w:ascii="仿宋" w:hAnsi="仿宋" w:eastAsia="仿宋" w:cs="仿宋"/>
          <w:snapToGrid w:val="0"/>
          <w:color w:val="000000"/>
          <w:spacing w:val="-5"/>
          <w:kern w:val="0"/>
          <w:sz w:val="24"/>
          <w:szCs w:val="24"/>
          <w:lang w:val="en-US" w:eastAsia="en-US" w:bidi="ar-SA"/>
        </w:rPr>
        <w:t>假，愿承担相应法律责</w:t>
      </w:r>
      <w:r>
        <w:rPr>
          <w:rFonts w:ascii="仿宋" w:hAnsi="仿宋" w:eastAsia="仿宋" w:cs="仿宋"/>
          <w:snapToGrid w:val="0"/>
          <w:color w:val="000000"/>
          <w:spacing w:val="-8"/>
          <w:kern w:val="0"/>
          <w:sz w:val="24"/>
          <w:szCs w:val="24"/>
          <w:lang w:val="en-US" w:eastAsia="en-US" w:bidi="ar-SA"/>
        </w:rPr>
        <w:t>任。</w:t>
      </w:r>
    </w:p>
    <w:p w14:paraId="3991846C">
      <w:pPr>
        <w:kinsoku w:val="0"/>
        <w:autoSpaceDE w:val="0"/>
        <w:autoSpaceDN w:val="0"/>
        <w:adjustRightInd w:val="0"/>
        <w:snapToGrid w:val="0"/>
        <w:spacing w:line="391" w:lineRule="auto"/>
        <w:jc w:val="left"/>
        <w:textAlignment w:val="baseline"/>
        <w:rPr>
          <w:rFonts w:ascii="Arial" w:hAnsi="Arial" w:eastAsia="Arial" w:cs="Arial"/>
          <w:snapToGrid w:val="0"/>
          <w:color w:val="000000"/>
          <w:kern w:val="0"/>
          <w:sz w:val="21"/>
          <w:szCs w:val="21"/>
          <w:lang w:val="en-US" w:eastAsia="en-US" w:bidi="ar-SA"/>
        </w:rPr>
      </w:pPr>
    </w:p>
    <w:p w14:paraId="7EB59447">
      <w:pPr>
        <w:widowControl/>
        <w:kinsoku w:val="0"/>
        <w:adjustRightInd w:val="0"/>
        <w:snapToGrid w:val="0"/>
        <w:spacing w:before="78" w:line="221" w:lineRule="auto"/>
        <w:ind w:left="510"/>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8"/>
          <w:kern w:val="0"/>
          <w:sz w:val="24"/>
          <w:szCs w:val="24"/>
          <w:lang w:val="en-US" w:eastAsia="en-US" w:bidi="ar-SA"/>
        </w:rPr>
        <w:t xml:space="preserve">公司(单位)名称： </w:t>
      </w:r>
      <w:r>
        <w:rPr>
          <w:rFonts w:ascii="仿宋" w:hAnsi="仿宋" w:eastAsia="仿宋" w:cs="仿宋"/>
          <w:snapToGrid w:val="0"/>
          <w:color w:val="000000"/>
          <w:spacing w:val="-8"/>
          <w:kern w:val="0"/>
          <w:sz w:val="24"/>
          <w:szCs w:val="24"/>
          <w:u w:val="single" w:color="auto"/>
          <w:lang w:val="en-US" w:eastAsia="en-US" w:bidi="ar-SA"/>
        </w:rPr>
        <w:t xml:space="preserve">     </w:t>
      </w:r>
      <w:r>
        <w:rPr>
          <w:rFonts w:ascii="仿宋" w:hAnsi="仿宋" w:eastAsia="仿宋" w:cs="仿宋"/>
          <w:snapToGrid w:val="0"/>
          <w:color w:val="000000"/>
          <w:spacing w:val="-53"/>
          <w:kern w:val="0"/>
          <w:sz w:val="24"/>
          <w:szCs w:val="24"/>
          <w:lang w:val="en-US" w:eastAsia="en-US" w:bidi="ar-SA"/>
        </w:rPr>
        <w:t xml:space="preserve"> </w:t>
      </w:r>
      <w:r>
        <w:rPr>
          <w:rFonts w:ascii="仿宋" w:hAnsi="仿宋" w:eastAsia="仿宋" w:cs="仿宋"/>
          <w:snapToGrid w:val="0"/>
          <w:color w:val="000000"/>
          <w:spacing w:val="-8"/>
          <w:kern w:val="0"/>
          <w:sz w:val="24"/>
          <w:szCs w:val="24"/>
          <w:lang w:val="en-US" w:eastAsia="en-US" w:bidi="ar-SA"/>
        </w:rPr>
        <w:t>(盖章)</w:t>
      </w:r>
    </w:p>
    <w:p w14:paraId="7B06FE73">
      <w:pPr>
        <w:widowControl/>
        <w:kinsoku w:val="0"/>
        <w:adjustRightInd w:val="0"/>
        <w:snapToGrid w:val="0"/>
        <w:spacing w:before="193" w:line="222" w:lineRule="auto"/>
        <w:ind w:left="555"/>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21"/>
          <w:kern w:val="0"/>
          <w:sz w:val="24"/>
          <w:szCs w:val="24"/>
          <w:lang w:val="en-US" w:eastAsia="en-US" w:bidi="ar-SA"/>
        </w:rPr>
        <w:t>日期:</w:t>
      </w:r>
      <w:r>
        <w:rPr>
          <w:rFonts w:ascii="仿宋" w:hAnsi="仿宋" w:eastAsia="仿宋" w:cs="仿宋"/>
          <w:snapToGrid w:val="0"/>
          <w:color w:val="000000"/>
          <w:spacing w:val="3"/>
          <w:kern w:val="0"/>
          <w:sz w:val="24"/>
          <w:szCs w:val="24"/>
          <w:lang w:val="en-US" w:eastAsia="en-US" w:bidi="ar-SA"/>
        </w:rPr>
        <w:t xml:space="preserve">   </w:t>
      </w:r>
      <w:r>
        <w:rPr>
          <w:rFonts w:ascii="仿宋" w:hAnsi="仿宋" w:eastAsia="仿宋" w:cs="仿宋"/>
          <w:snapToGrid w:val="0"/>
          <w:color w:val="000000"/>
          <w:spacing w:val="-21"/>
          <w:kern w:val="0"/>
          <w:sz w:val="24"/>
          <w:szCs w:val="24"/>
          <w:lang w:val="en-US" w:eastAsia="en-US" w:bidi="ar-SA"/>
        </w:rPr>
        <w:t>年</w:t>
      </w:r>
      <w:r>
        <w:rPr>
          <w:rFonts w:ascii="仿宋" w:hAnsi="仿宋" w:eastAsia="仿宋" w:cs="仿宋"/>
          <w:snapToGrid w:val="0"/>
          <w:color w:val="000000"/>
          <w:spacing w:val="3"/>
          <w:kern w:val="0"/>
          <w:sz w:val="24"/>
          <w:szCs w:val="24"/>
          <w:lang w:val="en-US" w:eastAsia="en-US" w:bidi="ar-SA"/>
        </w:rPr>
        <w:t xml:space="preserve">   </w:t>
      </w:r>
      <w:r>
        <w:rPr>
          <w:rFonts w:ascii="仿宋" w:hAnsi="仿宋" w:eastAsia="仿宋" w:cs="仿宋"/>
          <w:snapToGrid w:val="0"/>
          <w:color w:val="000000"/>
          <w:spacing w:val="-21"/>
          <w:kern w:val="0"/>
          <w:sz w:val="24"/>
          <w:szCs w:val="24"/>
          <w:lang w:val="en-US" w:eastAsia="en-US" w:bidi="ar-SA"/>
        </w:rPr>
        <w:t>月</w:t>
      </w:r>
      <w:r>
        <w:rPr>
          <w:rFonts w:ascii="仿宋" w:hAnsi="仿宋" w:eastAsia="仿宋" w:cs="仿宋"/>
          <w:snapToGrid w:val="0"/>
          <w:color w:val="000000"/>
          <w:spacing w:val="17"/>
          <w:kern w:val="0"/>
          <w:sz w:val="24"/>
          <w:szCs w:val="24"/>
          <w:lang w:val="en-US" w:eastAsia="en-US" w:bidi="ar-SA"/>
        </w:rPr>
        <w:t xml:space="preserve">   </w:t>
      </w:r>
      <w:r>
        <w:rPr>
          <w:rFonts w:ascii="仿宋" w:hAnsi="仿宋" w:eastAsia="仿宋" w:cs="仿宋"/>
          <w:snapToGrid w:val="0"/>
          <w:color w:val="000000"/>
          <w:spacing w:val="-21"/>
          <w:kern w:val="0"/>
          <w:sz w:val="24"/>
          <w:szCs w:val="24"/>
          <w:lang w:val="en-US" w:eastAsia="en-US" w:bidi="ar-SA"/>
        </w:rPr>
        <w:t>日</w:t>
      </w:r>
    </w:p>
    <w:p w14:paraId="0C5BE6D8">
      <w:pPr>
        <w:kinsoku w:val="0"/>
        <w:autoSpaceDE w:val="0"/>
        <w:autoSpaceDN w:val="0"/>
        <w:adjustRightInd w:val="0"/>
        <w:snapToGrid w:val="0"/>
        <w:spacing w:line="292" w:lineRule="auto"/>
        <w:jc w:val="left"/>
        <w:textAlignment w:val="baseline"/>
        <w:rPr>
          <w:rFonts w:ascii="Arial" w:hAnsi="Arial" w:eastAsia="Arial" w:cs="Arial"/>
          <w:snapToGrid w:val="0"/>
          <w:color w:val="000000"/>
          <w:kern w:val="0"/>
          <w:sz w:val="21"/>
          <w:szCs w:val="21"/>
          <w:lang w:val="en-US" w:eastAsia="en-US" w:bidi="ar-SA"/>
        </w:rPr>
      </w:pPr>
    </w:p>
    <w:p w14:paraId="3E8465B4">
      <w:pPr>
        <w:kinsoku w:val="0"/>
        <w:autoSpaceDE w:val="0"/>
        <w:autoSpaceDN w:val="0"/>
        <w:adjustRightInd w:val="0"/>
        <w:snapToGrid w:val="0"/>
        <w:spacing w:line="293" w:lineRule="auto"/>
        <w:jc w:val="left"/>
        <w:textAlignment w:val="baseline"/>
        <w:rPr>
          <w:rFonts w:ascii="Arial" w:hAnsi="Arial" w:eastAsia="Arial" w:cs="Arial"/>
          <w:snapToGrid w:val="0"/>
          <w:color w:val="000000"/>
          <w:kern w:val="0"/>
          <w:sz w:val="21"/>
          <w:szCs w:val="21"/>
          <w:lang w:val="en-US" w:eastAsia="en-US" w:bidi="ar-SA"/>
        </w:rPr>
      </w:pPr>
    </w:p>
    <w:p w14:paraId="01115060">
      <w:pPr>
        <w:widowControl/>
        <w:kinsoku w:val="0"/>
        <w:adjustRightInd w:val="0"/>
        <w:snapToGrid w:val="0"/>
        <w:spacing w:before="78" w:line="219" w:lineRule="auto"/>
        <w:ind w:left="506"/>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4"/>
          <w:kern w:val="0"/>
          <w:sz w:val="24"/>
          <w:szCs w:val="24"/>
          <w:lang w:val="en-US" w:eastAsia="en-US" w:bidi="ar-SA"/>
        </w:rPr>
        <w:t>说明：1.产品如有型号，请在“产品名称"</w:t>
      </w:r>
      <w:r>
        <w:rPr>
          <w:rFonts w:ascii="仿宋" w:hAnsi="仿宋" w:eastAsia="仿宋" w:cs="仿宋"/>
          <w:snapToGrid w:val="0"/>
          <w:color w:val="000000"/>
          <w:spacing w:val="-5"/>
          <w:kern w:val="0"/>
          <w:sz w:val="24"/>
          <w:szCs w:val="24"/>
          <w:lang w:val="en-US" w:eastAsia="en-US" w:bidi="ar-SA"/>
        </w:rPr>
        <w:t>栏一并填写。</w:t>
      </w:r>
    </w:p>
    <w:p w14:paraId="75B3ADDC">
      <w:pPr>
        <w:widowControl/>
        <w:kinsoku w:val="0"/>
        <w:adjustRightInd w:val="0"/>
        <w:snapToGrid w:val="0"/>
        <w:spacing w:before="195" w:line="221" w:lineRule="auto"/>
        <w:ind w:left="500"/>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4"/>
          <w:kern w:val="0"/>
          <w:sz w:val="24"/>
          <w:szCs w:val="24"/>
          <w:lang w:val="en-US" w:eastAsia="en-US" w:bidi="ar-SA"/>
        </w:rPr>
        <w:t>2.生产厂名与厂址应与生产厂营业执照载明的相关信息保持一致。</w:t>
      </w:r>
    </w:p>
    <w:p w14:paraId="0A01EA39">
      <w:pPr>
        <w:widowControl/>
        <w:kinsoku w:val="0"/>
        <w:adjustRightInd w:val="0"/>
        <w:snapToGrid w:val="0"/>
        <w:spacing w:before="191" w:line="368" w:lineRule="auto"/>
        <w:ind w:left="36" w:right="156" w:firstLine="466"/>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5"/>
          <w:kern w:val="0"/>
          <w:sz w:val="24"/>
          <w:szCs w:val="24"/>
          <w:lang w:val="en-US" w:eastAsia="en-US" w:bidi="ar-SA"/>
        </w:rPr>
        <w:t>3.该产品的中国境内生产的组件成本占比相关要求实施前，“规定比例</w:t>
      </w:r>
      <w:r>
        <w:rPr>
          <w:rFonts w:ascii="仿宋" w:hAnsi="仿宋" w:eastAsia="仿宋" w:cs="仿宋"/>
          <w:snapToGrid w:val="0"/>
          <w:color w:val="000000"/>
          <w:spacing w:val="-92"/>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”栏</w:t>
      </w:r>
      <w:r>
        <w:rPr>
          <w:rFonts w:ascii="仿宋" w:hAnsi="仿宋" w:eastAsia="仿宋" w:cs="仿宋"/>
          <w:snapToGrid w:val="0"/>
          <w:color w:val="000000"/>
          <w:spacing w:val="-6"/>
          <w:kern w:val="0"/>
          <w:sz w:val="24"/>
          <w:szCs w:val="24"/>
          <w:lang w:val="en-US" w:eastAsia="en-US" w:bidi="ar-SA"/>
        </w:rPr>
        <w:t>可不填，下同。</w:t>
      </w:r>
    </w:p>
    <w:p w14:paraId="78F2975C">
      <w:pPr>
        <w:widowControl/>
        <w:kinsoku w:val="0"/>
        <w:adjustRightInd w:val="0"/>
        <w:snapToGrid w:val="0"/>
        <w:spacing w:before="1" w:line="221" w:lineRule="auto"/>
        <w:ind w:left="496"/>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5"/>
          <w:kern w:val="0"/>
          <w:sz w:val="24"/>
          <w:szCs w:val="24"/>
          <w:lang w:val="en-US" w:eastAsia="en-US" w:bidi="ar-SA"/>
        </w:rPr>
        <w:t>4.该产品的关键组件要求实施前，“关键组件</w:t>
      </w:r>
      <w:r>
        <w:rPr>
          <w:rFonts w:ascii="仿宋" w:hAnsi="仿宋" w:eastAsia="仿宋" w:cs="仿宋"/>
          <w:snapToGrid w:val="0"/>
          <w:color w:val="000000"/>
          <w:spacing w:val="-87"/>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”栏可不填，下同。</w:t>
      </w:r>
    </w:p>
    <w:p w14:paraId="68EE8F81">
      <w:pPr>
        <w:widowControl/>
        <w:kinsoku w:val="0"/>
        <w:adjustRightInd w:val="0"/>
        <w:snapToGrid w:val="0"/>
        <w:spacing w:before="189" w:line="222" w:lineRule="auto"/>
        <w:ind w:left="502"/>
        <w:jc w:val="left"/>
        <w:textAlignment w:val="baseline"/>
        <w:rPr>
          <w:rFonts w:ascii="仿宋" w:hAnsi="仿宋" w:eastAsia="仿宋" w:cs="仿宋"/>
          <w:snapToGrid w:val="0"/>
          <w:color w:val="000000"/>
          <w:kern w:val="0"/>
          <w:sz w:val="24"/>
          <w:szCs w:val="24"/>
          <w:lang w:val="en-US" w:eastAsia="en-US" w:bidi="ar-SA"/>
        </w:rPr>
      </w:pPr>
      <w:r>
        <w:rPr>
          <w:rFonts w:ascii="仿宋" w:hAnsi="仿宋" w:eastAsia="仿宋" w:cs="仿宋"/>
          <w:snapToGrid w:val="0"/>
          <w:color w:val="000000"/>
          <w:spacing w:val="-5"/>
          <w:kern w:val="0"/>
          <w:sz w:val="24"/>
          <w:szCs w:val="24"/>
          <w:lang w:val="en-US" w:eastAsia="en-US" w:bidi="ar-SA"/>
        </w:rPr>
        <w:t>5.该产品的关键工序要求实施前，“关键工序</w:t>
      </w:r>
      <w:r>
        <w:rPr>
          <w:rFonts w:ascii="仿宋" w:hAnsi="仿宋" w:eastAsia="仿宋" w:cs="仿宋"/>
          <w:snapToGrid w:val="0"/>
          <w:color w:val="000000"/>
          <w:spacing w:val="-91"/>
          <w:kern w:val="0"/>
          <w:sz w:val="24"/>
          <w:szCs w:val="24"/>
          <w:lang w:val="en-US" w:eastAsia="en-US" w:bidi="ar-SA"/>
        </w:rPr>
        <w:t xml:space="preserve"> </w:t>
      </w:r>
      <w:r>
        <w:rPr>
          <w:rFonts w:ascii="仿宋" w:hAnsi="仿宋" w:eastAsia="仿宋" w:cs="仿宋"/>
          <w:snapToGrid w:val="0"/>
          <w:color w:val="000000"/>
          <w:spacing w:val="-5"/>
          <w:kern w:val="0"/>
          <w:sz w:val="24"/>
          <w:szCs w:val="24"/>
          <w:lang w:val="en-US" w:eastAsia="en-US" w:bidi="ar-SA"/>
        </w:rPr>
        <w:t>”栏可不填，下</w:t>
      </w:r>
      <w:r>
        <w:rPr>
          <w:rFonts w:ascii="仿宋" w:hAnsi="仿宋" w:eastAsia="仿宋" w:cs="仿宋"/>
          <w:snapToGrid w:val="0"/>
          <w:color w:val="000000"/>
          <w:spacing w:val="-6"/>
          <w:kern w:val="0"/>
          <w:sz w:val="24"/>
          <w:szCs w:val="24"/>
          <w:lang w:val="en-US" w:eastAsia="en-US" w:bidi="ar-SA"/>
        </w:rPr>
        <w:t>同。</w:t>
      </w:r>
    </w:p>
    <w:p w14:paraId="1E754906">
      <w:pPr>
        <w:spacing w:line="222" w:lineRule="auto"/>
        <w:rPr>
          <w:rFonts w:ascii="仿宋" w:hAnsi="仿宋" w:eastAsia="仿宋" w:cs="仿宋"/>
          <w:sz w:val="24"/>
          <w:szCs w:val="24"/>
        </w:rPr>
        <w:sectPr>
          <w:footerReference r:id="rId9" w:type="default"/>
          <w:pgSz w:w="11905" w:h="16839"/>
          <w:pgMar w:top="1134" w:right="1134" w:bottom="1134" w:left="1134" w:header="0" w:footer="1234" w:gutter="0"/>
          <w:pgNumType w:fmt="decimal"/>
          <w:cols w:space="720" w:num="1"/>
        </w:sectPr>
      </w:pPr>
    </w:p>
    <w:p w14:paraId="739E3432">
      <w:pPr>
        <w:pStyle w:val="45"/>
        <w:widowControl w:val="0"/>
        <w:rPr>
          <w:rFonts w:hint="eastAsia"/>
          <w:b/>
          <w:color w:val="auto"/>
          <w:kern w:val="2"/>
        </w:rPr>
      </w:pPr>
    </w:p>
    <w:sectPr>
      <w:pgSz w:w="11910" w:h="16840"/>
      <w:pgMar w:top="1420" w:right="1134" w:bottom="1180" w:left="1160" w:header="878" w:footer="99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方正大黑简体">
    <w:altName w:val="黑体"/>
    <w:panose1 w:val="00000000000000000000"/>
    <w:charset w:val="86"/>
    <w:family w:val="auto"/>
    <w:pitch w:val="default"/>
    <w:sig w:usb0="00000000" w:usb1="00000000" w:usb2="00000000" w:usb3="00000000" w:csb0="00040000" w:csb1="00000000"/>
  </w:font>
  <w:font w:name="方正黑体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00000000000000000"/>
    <w:charset w:val="86"/>
    <w:family w:val="auto"/>
    <w:pitch w:val="default"/>
    <w:sig w:usb0="00000000" w:usb1="00000000" w:usb2="00000012"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Wingdings 2">
    <w:altName w:val="Wingdings"/>
    <w:panose1 w:val="05020102010507070707"/>
    <w:charset w:val="02"/>
    <w:family w:val="roman"/>
    <w:pitch w:val="default"/>
    <w:sig w:usb0="00000000" w:usb1="00000000" w:usb2="00000000" w:usb3="00000000" w:csb0="80000000"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B43E7">
    <w:pPr>
      <w:pStyle w:val="14"/>
      <w:spacing w:before="0"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FF5F8">
    <w:pPr>
      <w:pStyle w:val="14"/>
      <w:spacing w:before="0" w:line="14" w:lineRule="auto"/>
      <w:ind w:left="0"/>
      <w:rPr>
        <w:sz w:val="20"/>
      </w:rPr>
    </w:pPr>
    <w:r>
      <mc:AlternateContent>
        <mc:Choice Requires="wps">
          <w:drawing>
            <wp:anchor distT="0" distB="0" distL="114300" distR="114300" simplePos="0" relativeHeight="251664384" behindDoc="1" locked="0" layoutInCell="1" allowOverlap="1">
              <wp:simplePos x="0" y="0"/>
              <wp:positionH relativeFrom="page">
                <wp:posOffset>3823970</wp:posOffset>
              </wp:positionH>
              <wp:positionV relativeFrom="page">
                <wp:posOffset>9921240</wp:posOffset>
              </wp:positionV>
              <wp:extent cx="379095" cy="1524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379095" cy="152400"/>
                      </a:xfrm>
                      <a:prstGeom prst="rect">
                        <a:avLst/>
                      </a:prstGeom>
                      <a:noFill/>
                      <a:ln>
                        <a:noFill/>
                      </a:ln>
                      <a:effectLst/>
                    </wps:spPr>
                    <wps:txbx>
                      <w:txbxContent>
                        <w:p w14:paraId="1786F9C2">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wps:txbx>
                    <wps:bodyPr lIns="0" tIns="0" rIns="0" bIns="0" upright="1"/>
                  </wps:wsp>
                </a:graphicData>
              </a:graphic>
            </wp:anchor>
          </w:drawing>
        </mc:Choice>
        <mc:Fallback>
          <w:pict>
            <v:shape id="_x0000_s1026" o:spid="_x0000_s1026" o:spt="202" type="#_x0000_t202" style="position:absolute;left:0pt;margin-left:301.1pt;margin-top:781.2pt;height:12pt;width:29.85pt;mso-position-horizontal-relative:page;mso-position-vertical-relative:page;z-index:-251652096;mso-width-relative:page;mso-height-relative:page;" filled="f" stroked="f" coordsize="21600,21600" o:gfxdata="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P+poDaAAAADQEAAA8AAAAAAAAAAQAgAAAAIgAAAGRycy9kb3ducmV2&#10;LnhtbFBLAQIUABQAAAAIAIdO4kB2wYDUwQEAAIEDAAAOAAAAAAAAAAEAIAAAACkBAABkcnMvZTJv&#10;RG9jLnhtbFBLBQYAAAAABgAGAFkBAABcBQAAAAA=&#10;">
              <v:fill on="f" focussize="0,0"/>
              <v:stroke on="f"/>
              <v:imagedata o:title=""/>
              <o:lock v:ext="edit" aspectratio="f"/>
              <v:textbox inset="0mm,0mm,0mm,0mm">
                <w:txbxContent>
                  <w:p w14:paraId="1786F9C2">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BA839">
    <w:pPr>
      <w:pStyle w:val="14"/>
      <w:spacing w:before="0" w:line="14" w:lineRule="auto"/>
      <w:ind w:left="0"/>
      <w:rPr>
        <w:sz w:val="20"/>
      </w:rPr>
    </w:pPr>
    <w:r>
      <mc:AlternateContent>
        <mc:Choice Requires="wps">
          <w:drawing>
            <wp:anchor distT="0" distB="0" distL="114300" distR="114300" simplePos="0" relativeHeight="251662336" behindDoc="1" locked="0" layoutInCell="1" allowOverlap="1">
              <wp:simplePos x="0" y="0"/>
              <wp:positionH relativeFrom="page">
                <wp:posOffset>3794760</wp:posOffset>
              </wp:positionH>
              <wp:positionV relativeFrom="page">
                <wp:posOffset>9921240</wp:posOffset>
              </wp:positionV>
              <wp:extent cx="166370" cy="1524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a:effectLst/>
                    </wps:spPr>
                    <wps:txbx>
                      <w:txbxContent>
                        <w:p w14:paraId="55B7F4F8">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45</w:t>
                          </w:r>
                          <w:r>
                            <w:fldChar w:fldCharType="end"/>
                          </w:r>
                        </w:p>
                      </w:txbxContent>
                    </wps:txbx>
                    <wps:bodyPr lIns="0" tIns="0" rIns="0" bIns="0" upright="1"/>
                  </wps:wsp>
                </a:graphicData>
              </a:graphic>
            </wp:anchor>
          </w:drawing>
        </mc:Choice>
        <mc:Fallback>
          <w:pict>
            <v:shape id="文本框 5" o:spid="_x0000_s1026" o:spt="202" type="#_x0000_t202" style="position:absolute;left:0pt;margin-left:298.8pt;margin-top:781.2pt;height:12pt;width:13.1pt;mso-position-horizontal-relative:page;mso-position-vertical-relative:page;z-index:-251654144;mso-width-relative:page;mso-height-relative:page;" filled="f" stroked="f" coordsize="21600,21600" o:gfxdata="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EuT5y2wAAAA0BAAAPAAAAAAAAAAEAIAAAACIAAABkcnMvZG93bnJldi54&#10;bWxQSwECFAAUAAAACACHTuJAOut6Xr4BAAB/AwAADgAAAAAAAAABACAAAAAqAQAAZHJzL2Uyb0Rv&#10;Yy54bWxQSwUGAAAAAAYABgBZAQAAWgUAAAAA&#10;">
              <v:fill on="f" focussize="0,0"/>
              <v:stroke on="f"/>
              <v:imagedata o:title=""/>
              <o:lock v:ext="edit" aspectratio="f"/>
              <v:textbox inset="0mm,0mm,0mm,0mm">
                <w:txbxContent>
                  <w:p w14:paraId="55B7F4F8">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46499">
    <w:pPr>
      <w:pStyle w:val="14"/>
      <w:spacing w:before="0" w:line="14" w:lineRule="auto"/>
      <w:ind w:left="0"/>
      <w:rPr>
        <w:sz w:val="20"/>
      </w:rPr>
    </w:pPr>
    <w:r>
      <mc:AlternateContent>
        <mc:Choice Requires="wps">
          <w:drawing>
            <wp:anchor distT="0" distB="0" distL="114300" distR="114300" simplePos="0" relativeHeight="251663360" behindDoc="1" locked="0" layoutInCell="1" allowOverlap="1">
              <wp:simplePos x="0" y="0"/>
              <wp:positionH relativeFrom="page">
                <wp:posOffset>3794760</wp:posOffset>
              </wp:positionH>
              <wp:positionV relativeFrom="page">
                <wp:posOffset>9921240</wp:posOffset>
              </wp:positionV>
              <wp:extent cx="166370" cy="1524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a:effectLst/>
                    </wps:spPr>
                    <wps:txbx>
                      <w:txbxContent>
                        <w:p w14:paraId="61650CBA">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65</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98.8pt;margin-top:781.2pt;height:12pt;width:13.1pt;mso-position-horizontal-relative:page;mso-position-vertical-relative:page;z-index:-251653120;mso-width-relative:page;mso-height-relative:page;" filled="f" stroked="f" coordsize="21600,21600" o:gfxdata="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S5PnLbAAAADQEAAA8AAAAAAAAAAQAgAAAAIgAAAGRycy9kb3ducmV2Lnht&#10;bFBLAQIUABQAAAAIAIdO4kCQ+Cb8vQEAAIEDAAAOAAAAAAAAAAEAIAAAACoBAABkcnMvZTJvRG9j&#10;LnhtbFBLBQYAAAAABgAGAFkBAABZBQAAAAA=&#10;">
              <v:fill on="f" focussize="0,0"/>
              <v:stroke on="f"/>
              <v:imagedata o:title=""/>
              <o:lock v:ext="edit" aspectratio="f"/>
              <v:textbox inset="0mm,0mm,0mm,0mm">
                <w:txbxContent>
                  <w:p w14:paraId="61650CBA">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61EE">
    <w:pPr>
      <w:widowControl/>
      <w:kinsoku w:val="0"/>
      <w:adjustRightInd w:val="0"/>
      <w:snapToGrid w:val="0"/>
      <w:spacing w:line="176" w:lineRule="auto"/>
      <w:ind w:left="4082"/>
      <w:jc w:val="left"/>
      <w:textAlignment w:val="baseline"/>
      <w:rPr>
        <w:rFonts w:ascii="Times New Roman" w:hAnsi="Times New Roman" w:eastAsia="Times New Roman" w:cs="Times New Roman"/>
        <w:snapToGrid w:val="0"/>
        <w:color w:val="000000"/>
        <w:kern w:val="0"/>
        <w:sz w:val="18"/>
        <w:szCs w:val="18"/>
        <w:lang w:val="en-US" w:eastAsia="en-US" w:bidi="ar-SA"/>
      </w:rPr>
    </w:pPr>
    <w:r>
      <w:rPr>
        <w:rFonts w:ascii="Arial" w:hAnsi="Arial" w:eastAsia="Arial" w:cs="Arial"/>
        <w:snapToGrid w:val="0"/>
        <w:color w:val="000000"/>
        <w:kern w:val="0"/>
        <w:sz w:val="18"/>
        <w:szCs w:val="21"/>
        <w:lang w:val="en-US" w:eastAsia="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43FC9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73</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0TZo6AgAAcQQAAA4AAABkcnMvZTJvRG9jLnhtbK1UzY7TMBC+I/EO&#10;lu80adEu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tE2aOgIAAHEEAAAOAAAAAAAAAAEAIAAAAB8BAABkcnMvZTJvRG9j&#10;LnhtbFBLBQYAAAAABgAGAFkBAADLBQAAAAA=&#10;">
              <v:fill on="f" focussize="0,0"/>
              <v:stroke on="f" weight="0.5pt"/>
              <v:imagedata o:title=""/>
              <o:lock v:ext="edit" aspectratio="f"/>
              <v:textbox inset="0mm,0mm,0mm,0mm" style="mso-fit-shape-to-text:t;">
                <w:txbxContent>
                  <w:p w14:paraId="6A43FC9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73</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E4F9F">
    <w:pPr>
      <w:pStyle w:val="14"/>
      <w:spacing w:before="0"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2618740</wp:posOffset>
              </wp:positionH>
              <wp:positionV relativeFrom="page">
                <wp:posOffset>450850</wp:posOffset>
              </wp:positionV>
              <wp:extent cx="3441700" cy="16954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3441700" cy="160655"/>
                      </a:xfrm>
                      <a:prstGeom prst="rect">
                        <a:avLst/>
                      </a:prstGeom>
                      <a:noFill/>
                      <a:ln>
                        <a:noFill/>
                      </a:ln>
                      <a:effectLst/>
                    </wps:spPr>
                    <wps:txbx>
                      <w:txbxContent>
                        <w:p w14:paraId="0B095886"/>
                      </w:txbxContent>
                    </wps:txbx>
                    <wps:bodyPr lIns="0" tIns="0" rIns="0" bIns="0" upright="1"/>
                  </wps:wsp>
                </a:graphicData>
              </a:graphic>
            </wp:anchor>
          </w:drawing>
        </mc:Choice>
        <mc:Fallback>
          <w:pict>
            <v:shape id="_x0000_s1026" o:spid="_x0000_s1026" o:spt="202" type="#_x0000_t202" style="position:absolute;left:0pt;margin-left:206.2pt;margin-top:35.5pt;height:13.35pt;width:271pt;mso-position-horizontal-relative:page;mso-position-vertical-relative:page;z-index:-251656192;mso-width-relative:page;mso-height-relative:page;" filled="f" stroked="f" coordsize="21600,21600" o:gfxdata="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sJcW12AAAAAkBAAAPAAAAAAAAAAEAIAAAACIAAABkcnMvZG93bnJldi54bWxQ&#10;SwECFAAUAAAACACHTuJATyjB+b4BAACCAwAADgAAAAAAAAABACAAAAAnAQAAZHJzL2Uyb0RvYy54&#10;bWxQSwUGAAAAAAYABgBZAQAAVwUAAAAA&#10;">
              <v:fill on="f" focussize="0,0"/>
              <v:stroke on="f"/>
              <v:imagedata o:title=""/>
              <o:lock v:ext="edit" aspectratio="f"/>
              <v:textbox inset="0mm,0mm,0mm,0mm">
                <w:txbxContent>
                  <w:p w14:paraId="0B095886"/>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1140460</wp:posOffset>
              </wp:positionH>
              <wp:positionV relativeFrom="page">
                <wp:posOffset>705485</wp:posOffset>
              </wp:positionV>
              <wp:extent cx="5473700"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5473700" cy="0"/>
                      </a:xfrm>
                      <a:prstGeom prst="line">
                        <a:avLst/>
                      </a:prstGeom>
                      <a:ln w="9144"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89.8pt;margin-top:55.55pt;height:0pt;width:431pt;mso-position-horizontal-relative:page;mso-position-vertical-relative:page;z-index:-251657216;mso-width-relative:page;mso-height-relative:page;" filled="f" stroked="t" coordsize="21600,21600" o:gfxdata="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mFZOj1AAAAAwBAAAPAAAAAAAAAAEAIAAAACIAAABkcnMvZG93bnJldi54bWxQ&#10;SwECFAAUAAAACACHTuJA12cL1fsBAAD0AwAADgAAAAAAAAABACAAAAAjAQAAZHJzL2Uyb0RvYy54&#10;bWxQSwUGAAAAAAYABgBZAQAAkAU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D796D">
    <w:pPr>
      <w:pStyle w:val="14"/>
      <w:spacing w:before="0" w:line="14" w:lineRule="auto"/>
      <w:ind w:left="0"/>
      <w:rPr>
        <w:sz w:val="20"/>
      </w:rPr>
    </w:pPr>
    <w:r>
      <mc:AlternateContent>
        <mc:Choice Requires="wps">
          <w:drawing>
            <wp:anchor distT="0" distB="0" distL="114300" distR="114300" simplePos="0" relativeHeight="251662336" behindDoc="1" locked="0" layoutInCell="1" allowOverlap="1">
              <wp:simplePos x="0" y="0"/>
              <wp:positionH relativeFrom="page">
                <wp:posOffset>2959735</wp:posOffset>
              </wp:positionH>
              <wp:positionV relativeFrom="page">
                <wp:posOffset>563880</wp:posOffset>
              </wp:positionV>
              <wp:extent cx="2506980" cy="17208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625600" cy="139700"/>
                      </a:xfrm>
                      <a:prstGeom prst="rect">
                        <a:avLst/>
                      </a:prstGeom>
                      <a:noFill/>
                      <a:ln>
                        <a:noFill/>
                      </a:ln>
                      <a:effectLst/>
                    </wps:spPr>
                    <wps:txbx>
                      <w:txbxContent>
                        <w:p w14:paraId="1A45495C">
                          <w:pPr>
                            <w:spacing w:line="220" w:lineRule="exact"/>
                            <w:rPr>
                              <w:rFonts w:hint="eastAsia"/>
                              <w:sz w:val="18"/>
                            </w:rPr>
                          </w:pPr>
                        </w:p>
                      </w:txbxContent>
                    </wps:txbx>
                    <wps:bodyPr lIns="0" tIns="0" rIns="0" bIns="0" upright="1"/>
                  </wps:wsp>
                </a:graphicData>
              </a:graphic>
            </wp:anchor>
          </w:drawing>
        </mc:Choice>
        <mc:Fallback>
          <w:pict>
            <v:shape id="文本框 4" o:spid="_x0000_s1026" o:spt="202" type="#_x0000_t202" style="position:absolute;left:0pt;margin-left:233.05pt;margin-top:44.4pt;height:13.55pt;width:197.4pt;mso-position-horizontal-relative:page;mso-position-vertical-relative:page;z-index:-251654144;mso-width-relative:page;mso-height-relative:page;" filled="f" stroked="f" coordsize="21600,21600" o:gfxdata="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3JagrYAAAACgEAAA8AAAAAAAAAAQAgAAAAIgAAAGRycy9kb3ducmV2LnhtbFBL&#10;AQIUABQAAAAIAIdO4kAUsgN5vQEAAIADAAAOAAAAAAAAAAEAIAAAACcBAABkcnMvZTJvRG9jLnht&#10;bFBLBQYAAAAABgAGAFkBAABWBQAAAAA=&#10;">
              <v:fill on="f" focussize="0,0"/>
              <v:stroke on="f"/>
              <v:imagedata o:title=""/>
              <o:lock v:ext="edit" aspectratio="f"/>
              <v:textbox inset="0mm,0mm,0mm,0mm">
                <w:txbxContent>
                  <w:p w14:paraId="1A45495C">
                    <w:pPr>
                      <w:spacing w:line="220" w:lineRule="exact"/>
                      <w:rPr>
                        <w:rFonts w:hint="eastAsia"/>
                        <w:sz w:val="18"/>
                      </w:rPr>
                    </w:pP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1140460</wp:posOffset>
              </wp:positionH>
              <wp:positionV relativeFrom="page">
                <wp:posOffset>705485</wp:posOffset>
              </wp:positionV>
              <wp:extent cx="5473700" cy="0"/>
              <wp:effectExtent l="0" t="4445" r="0" b="5080"/>
              <wp:wrapNone/>
              <wp:docPr id="4" name="直接连接符 2"/>
              <wp:cNvGraphicFramePr/>
              <a:graphic xmlns:a="http://schemas.openxmlformats.org/drawingml/2006/main">
                <a:graphicData uri="http://schemas.microsoft.com/office/word/2010/wordprocessingShape">
                  <wps:wsp>
                    <wps:cNvCnPr/>
                    <wps:spPr>
                      <a:xfrm>
                        <a:off x="0" y="0"/>
                        <a:ext cx="5473700" cy="0"/>
                      </a:xfrm>
                      <a:prstGeom prst="line">
                        <a:avLst/>
                      </a:prstGeom>
                      <a:ln w="9144" cap="flat" cmpd="sng">
                        <a:solidFill>
                          <a:srgbClr val="000000"/>
                        </a:solidFill>
                        <a:prstDash val="solid"/>
                        <a:headEnd type="none" w="med" len="med"/>
                        <a:tailEnd type="none" w="med" len="med"/>
                      </a:ln>
                      <a:effectLst/>
                    </wps:spPr>
                    <wps:bodyPr upright="1"/>
                  </wps:wsp>
                </a:graphicData>
              </a:graphic>
            </wp:anchor>
          </w:drawing>
        </mc:Choice>
        <mc:Fallback>
          <w:pict>
            <v:line id="直接连接符 2" o:spid="_x0000_s1026" o:spt="20" style="position:absolute;left:0pt;margin-left:89.8pt;margin-top:55.55pt;height:0pt;width:431pt;mso-position-horizontal-relative:page;mso-position-vertical-relative:page;z-index:-251655168;mso-width-relative:page;mso-height-relative:page;" filled="f" stroked="t" coordsize="21600,21600" o:gfxdata="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YVk6PUAAAADAEAAA8AAAAAAAAAAQAgAAAAIgAAAGRycy9kb3ducmV2LnhtbFBL&#10;AQIUABQAAAAIAIdO4kDs5+aO+gEAAPIDAAAOAAAAAAAAAAEAIAAAACMBAABkcnMvZTJvRG9jLnht&#10;bFBLBQYAAAAABgAGAFkBAACPBQAAA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37FDF9"/>
    <w:multiLevelType w:val="singleLevel"/>
    <w:tmpl w:val="CF37FDF9"/>
    <w:lvl w:ilvl="0" w:tentative="0">
      <w:start w:val="1"/>
      <w:numFmt w:val="decimal"/>
      <w:suff w:val="nothing"/>
      <w:lvlText w:val="%1、"/>
      <w:lvlJc w:val="left"/>
    </w:lvl>
  </w:abstractNum>
  <w:abstractNum w:abstractNumId="1">
    <w:nsid w:val="00000001"/>
    <w:multiLevelType w:val="singleLevel"/>
    <w:tmpl w:val="00000001"/>
    <w:lvl w:ilvl="0" w:tentative="0">
      <w:start w:val="6"/>
      <w:numFmt w:val="chineseCounting"/>
      <w:suff w:val="nothing"/>
      <w:lvlText w:val="%1、"/>
      <w:lvlJc w:val="left"/>
      <w:rPr>
        <w:rFonts w:hint="eastAsia"/>
      </w:rPr>
    </w:lvl>
  </w:abstractNum>
  <w:abstractNum w:abstractNumId="2">
    <w:nsid w:val="00000002"/>
    <w:multiLevelType w:val="singleLevel"/>
    <w:tmpl w:val="00000002"/>
    <w:lvl w:ilvl="0" w:tentative="0">
      <w:start w:val="1"/>
      <w:numFmt w:val="chineseCounting"/>
      <w:suff w:val="space"/>
      <w:lvlText w:val="第%1部分"/>
      <w:lvlJc w:val="left"/>
      <w:rPr>
        <w:rFonts w:hint="eastAsia"/>
      </w:rPr>
    </w:lvl>
  </w:abstractNum>
  <w:abstractNum w:abstractNumId="3">
    <w:nsid w:val="00000003"/>
    <w:multiLevelType w:val="multilevel"/>
    <w:tmpl w:val="00000003"/>
    <w:lvl w:ilvl="0" w:tentative="0">
      <w:start w:val="1"/>
      <w:numFmt w:val="japaneseCounting"/>
      <w:lvlText w:val="%1、"/>
      <w:lvlJc w:val="left"/>
      <w:pPr>
        <w:tabs>
          <w:tab w:val="left" w:pos="1350"/>
        </w:tabs>
        <w:ind w:left="1350" w:hanging="720"/>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abstractNum w:abstractNumId="4">
    <w:nsid w:val="00000004"/>
    <w:multiLevelType w:val="multilevel"/>
    <w:tmpl w:val="00000004"/>
    <w:lvl w:ilvl="0" w:tentative="0">
      <w:start w:val="1"/>
      <w:numFmt w:val="decimal"/>
      <w:lvlText w:val="（%1）"/>
      <w:lvlJc w:val="left"/>
      <w:pPr>
        <w:ind w:left="1840" w:hanging="689"/>
      </w:pPr>
      <w:rPr>
        <w:rFonts w:hint="default" w:ascii="宋体" w:hAnsi="宋体" w:eastAsia="宋体" w:cs="宋体"/>
        <w:w w:val="100"/>
        <w:sz w:val="24"/>
        <w:szCs w:val="24"/>
        <w:lang w:val="zh-CN" w:eastAsia="zh-CN" w:bidi="zh-CN"/>
      </w:rPr>
    </w:lvl>
    <w:lvl w:ilvl="1" w:tentative="0">
      <w:start w:val="0"/>
      <w:numFmt w:val="bullet"/>
      <w:lvlText w:val="•"/>
      <w:lvlJc w:val="left"/>
      <w:pPr>
        <w:ind w:left="2702" w:hanging="689"/>
      </w:pPr>
      <w:rPr>
        <w:rFonts w:hint="default"/>
        <w:lang w:val="zh-CN" w:eastAsia="zh-CN" w:bidi="zh-CN"/>
      </w:rPr>
    </w:lvl>
    <w:lvl w:ilvl="2" w:tentative="0">
      <w:start w:val="0"/>
      <w:numFmt w:val="bullet"/>
      <w:lvlText w:val="•"/>
      <w:lvlJc w:val="left"/>
      <w:pPr>
        <w:ind w:left="3565" w:hanging="689"/>
      </w:pPr>
      <w:rPr>
        <w:rFonts w:hint="default"/>
        <w:lang w:val="zh-CN" w:eastAsia="zh-CN" w:bidi="zh-CN"/>
      </w:rPr>
    </w:lvl>
    <w:lvl w:ilvl="3" w:tentative="0">
      <w:start w:val="0"/>
      <w:numFmt w:val="bullet"/>
      <w:lvlText w:val="•"/>
      <w:lvlJc w:val="left"/>
      <w:pPr>
        <w:ind w:left="4427" w:hanging="689"/>
      </w:pPr>
      <w:rPr>
        <w:rFonts w:hint="default"/>
        <w:lang w:val="zh-CN" w:eastAsia="zh-CN" w:bidi="zh-CN"/>
      </w:rPr>
    </w:lvl>
    <w:lvl w:ilvl="4" w:tentative="0">
      <w:start w:val="0"/>
      <w:numFmt w:val="bullet"/>
      <w:lvlText w:val="•"/>
      <w:lvlJc w:val="left"/>
      <w:pPr>
        <w:ind w:left="5290" w:hanging="689"/>
      </w:pPr>
      <w:rPr>
        <w:rFonts w:hint="default"/>
        <w:lang w:val="zh-CN" w:eastAsia="zh-CN" w:bidi="zh-CN"/>
      </w:rPr>
    </w:lvl>
    <w:lvl w:ilvl="5" w:tentative="0">
      <w:start w:val="0"/>
      <w:numFmt w:val="bullet"/>
      <w:lvlText w:val="•"/>
      <w:lvlJc w:val="left"/>
      <w:pPr>
        <w:ind w:left="6153" w:hanging="689"/>
      </w:pPr>
      <w:rPr>
        <w:rFonts w:hint="default"/>
        <w:lang w:val="zh-CN" w:eastAsia="zh-CN" w:bidi="zh-CN"/>
      </w:rPr>
    </w:lvl>
    <w:lvl w:ilvl="6" w:tentative="0">
      <w:start w:val="0"/>
      <w:numFmt w:val="bullet"/>
      <w:lvlText w:val="•"/>
      <w:lvlJc w:val="left"/>
      <w:pPr>
        <w:ind w:left="7015" w:hanging="689"/>
      </w:pPr>
      <w:rPr>
        <w:rFonts w:hint="default"/>
        <w:lang w:val="zh-CN" w:eastAsia="zh-CN" w:bidi="zh-CN"/>
      </w:rPr>
    </w:lvl>
    <w:lvl w:ilvl="7" w:tentative="0">
      <w:start w:val="0"/>
      <w:numFmt w:val="bullet"/>
      <w:lvlText w:val="•"/>
      <w:lvlJc w:val="left"/>
      <w:pPr>
        <w:ind w:left="7878" w:hanging="689"/>
      </w:pPr>
      <w:rPr>
        <w:rFonts w:hint="default"/>
        <w:lang w:val="zh-CN" w:eastAsia="zh-CN" w:bidi="zh-CN"/>
      </w:rPr>
    </w:lvl>
    <w:lvl w:ilvl="8" w:tentative="0">
      <w:start w:val="0"/>
      <w:numFmt w:val="bullet"/>
      <w:lvlText w:val="•"/>
      <w:lvlJc w:val="left"/>
      <w:pPr>
        <w:ind w:left="8740" w:hanging="689"/>
      </w:pPr>
      <w:rPr>
        <w:rFonts w:hint="default"/>
        <w:lang w:val="zh-CN" w:eastAsia="zh-CN" w:bidi="zh-CN"/>
      </w:rPr>
    </w:lvl>
  </w:abstractNum>
  <w:abstractNum w:abstractNumId="5">
    <w:nsid w:val="00000006"/>
    <w:multiLevelType w:val="singleLevel"/>
    <w:tmpl w:val="00000006"/>
    <w:lvl w:ilvl="0" w:tentative="0">
      <w:start w:val="1"/>
      <w:numFmt w:val="decimal"/>
      <w:suff w:val="nothing"/>
      <w:lvlText w:val="%1、"/>
      <w:lvlJc w:val="left"/>
    </w:lvl>
  </w:abstractNum>
  <w:abstractNum w:abstractNumId="6">
    <w:nsid w:val="00000007"/>
    <w:multiLevelType w:val="singleLevel"/>
    <w:tmpl w:val="00000007"/>
    <w:lvl w:ilvl="0" w:tentative="0">
      <w:start w:val="1"/>
      <w:numFmt w:val="decimal"/>
      <w:suff w:val="nothing"/>
      <w:lvlText w:val="（%1）"/>
      <w:lvlJc w:val="left"/>
    </w:lvl>
  </w:abstractNum>
  <w:num w:numId="1">
    <w:abstractNumId w:val="2"/>
  </w:num>
  <w:num w:numId="2">
    <w:abstractNumId w:val="1"/>
  </w:num>
  <w:num w:numId="3">
    <w:abstractNumId w:val="6"/>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xNmQ1YjM2MjdhNjViOTI5MmRhYjUxYmFmYjdmNDEifQ=="/>
  </w:docVars>
  <w:rsids>
    <w:rsidRoot w:val="00172A27"/>
    <w:rsid w:val="00060FF9"/>
    <w:rsid w:val="00063663"/>
    <w:rsid w:val="00082922"/>
    <w:rsid w:val="000D2BC9"/>
    <w:rsid w:val="00115A8B"/>
    <w:rsid w:val="001810DA"/>
    <w:rsid w:val="001A6C7D"/>
    <w:rsid w:val="001D76F2"/>
    <w:rsid w:val="001E4461"/>
    <w:rsid w:val="001E63E8"/>
    <w:rsid w:val="00200517"/>
    <w:rsid w:val="00201369"/>
    <w:rsid w:val="00272C40"/>
    <w:rsid w:val="00280B98"/>
    <w:rsid w:val="002A44B2"/>
    <w:rsid w:val="002B708D"/>
    <w:rsid w:val="002E017C"/>
    <w:rsid w:val="002E47B4"/>
    <w:rsid w:val="002F4A4F"/>
    <w:rsid w:val="00316BA8"/>
    <w:rsid w:val="00362245"/>
    <w:rsid w:val="00375866"/>
    <w:rsid w:val="00384B9C"/>
    <w:rsid w:val="003A3B59"/>
    <w:rsid w:val="003C12DB"/>
    <w:rsid w:val="00405249"/>
    <w:rsid w:val="00415D42"/>
    <w:rsid w:val="004666E6"/>
    <w:rsid w:val="0049204D"/>
    <w:rsid w:val="00497CD1"/>
    <w:rsid w:val="004A416F"/>
    <w:rsid w:val="004C0B5A"/>
    <w:rsid w:val="004E5C96"/>
    <w:rsid w:val="004F5232"/>
    <w:rsid w:val="004F661D"/>
    <w:rsid w:val="00572AD2"/>
    <w:rsid w:val="005A10BE"/>
    <w:rsid w:val="005A2E8D"/>
    <w:rsid w:val="00623F22"/>
    <w:rsid w:val="00682963"/>
    <w:rsid w:val="006B0780"/>
    <w:rsid w:val="006D6D45"/>
    <w:rsid w:val="00740FE7"/>
    <w:rsid w:val="00761BAE"/>
    <w:rsid w:val="00774EF0"/>
    <w:rsid w:val="007C2B44"/>
    <w:rsid w:val="007D1273"/>
    <w:rsid w:val="00844801"/>
    <w:rsid w:val="00881FD6"/>
    <w:rsid w:val="008A1221"/>
    <w:rsid w:val="00940874"/>
    <w:rsid w:val="0094487C"/>
    <w:rsid w:val="00946E72"/>
    <w:rsid w:val="009A1CC2"/>
    <w:rsid w:val="009B1016"/>
    <w:rsid w:val="009D12F4"/>
    <w:rsid w:val="00A06BEB"/>
    <w:rsid w:val="00A314E6"/>
    <w:rsid w:val="00A45F5D"/>
    <w:rsid w:val="00A51F04"/>
    <w:rsid w:val="00A54EAD"/>
    <w:rsid w:val="00A82996"/>
    <w:rsid w:val="00AA2C42"/>
    <w:rsid w:val="00AB0498"/>
    <w:rsid w:val="00AB58C1"/>
    <w:rsid w:val="00AE5C0D"/>
    <w:rsid w:val="00AF48C8"/>
    <w:rsid w:val="00B05FCE"/>
    <w:rsid w:val="00B07F9F"/>
    <w:rsid w:val="00B44AC6"/>
    <w:rsid w:val="00B51387"/>
    <w:rsid w:val="00B56EF1"/>
    <w:rsid w:val="00B826F9"/>
    <w:rsid w:val="00B8411E"/>
    <w:rsid w:val="00BC088C"/>
    <w:rsid w:val="00BC736B"/>
    <w:rsid w:val="00BD0E2B"/>
    <w:rsid w:val="00BE3669"/>
    <w:rsid w:val="00C054D9"/>
    <w:rsid w:val="00C073CC"/>
    <w:rsid w:val="00C13ABF"/>
    <w:rsid w:val="00C1623D"/>
    <w:rsid w:val="00C2537B"/>
    <w:rsid w:val="00C26F80"/>
    <w:rsid w:val="00C3558C"/>
    <w:rsid w:val="00C3630B"/>
    <w:rsid w:val="00C74D3B"/>
    <w:rsid w:val="00C969EA"/>
    <w:rsid w:val="00CA692C"/>
    <w:rsid w:val="00CC247B"/>
    <w:rsid w:val="00CF4C16"/>
    <w:rsid w:val="00D03E88"/>
    <w:rsid w:val="00D2495C"/>
    <w:rsid w:val="00D9186C"/>
    <w:rsid w:val="00DB1CFE"/>
    <w:rsid w:val="00DD5E55"/>
    <w:rsid w:val="00DE4FF7"/>
    <w:rsid w:val="00DF37A5"/>
    <w:rsid w:val="00DF7A3B"/>
    <w:rsid w:val="00E04E9D"/>
    <w:rsid w:val="00E4327B"/>
    <w:rsid w:val="00E7540A"/>
    <w:rsid w:val="00EA2D09"/>
    <w:rsid w:val="00EA3E1A"/>
    <w:rsid w:val="00ED64D0"/>
    <w:rsid w:val="00EE434C"/>
    <w:rsid w:val="00EE6F04"/>
    <w:rsid w:val="00F536D9"/>
    <w:rsid w:val="00FA4299"/>
    <w:rsid w:val="00FF0BDD"/>
    <w:rsid w:val="01265D4D"/>
    <w:rsid w:val="0136557F"/>
    <w:rsid w:val="01526DD2"/>
    <w:rsid w:val="01A475C1"/>
    <w:rsid w:val="01B841E6"/>
    <w:rsid w:val="01F82835"/>
    <w:rsid w:val="02025461"/>
    <w:rsid w:val="02037494"/>
    <w:rsid w:val="024C2B81"/>
    <w:rsid w:val="02571C51"/>
    <w:rsid w:val="029E39E5"/>
    <w:rsid w:val="02CA4109"/>
    <w:rsid w:val="02E44509"/>
    <w:rsid w:val="02E5725D"/>
    <w:rsid w:val="02F4777E"/>
    <w:rsid w:val="032A1114"/>
    <w:rsid w:val="032F0358"/>
    <w:rsid w:val="033B50CF"/>
    <w:rsid w:val="03572140"/>
    <w:rsid w:val="03594C45"/>
    <w:rsid w:val="03724869"/>
    <w:rsid w:val="038C3C2E"/>
    <w:rsid w:val="03A10CAA"/>
    <w:rsid w:val="03AC1B29"/>
    <w:rsid w:val="03BD5AE4"/>
    <w:rsid w:val="03BE7AAE"/>
    <w:rsid w:val="03E72B61"/>
    <w:rsid w:val="03F434D0"/>
    <w:rsid w:val="03FD0897"/>
    <w:rsid w:val="044653B3"/>
    <w:rsid w:val="04620439"/>
    <w:rsid w:val="0462668B"/>
    <w:rsid w:val="04651E54"/>
    <w:rsid w:val="046E31E9"/>
    <w:rsid w:val="04812FB5"/>
    <w:rsid w:val="04A07210"/>
    <w:rsid w:val="04B35139"/>
    <w:rsid w:val="05760640"/>
    <w:rsid w:val="057671E9"/>
    <w:rsid w:val="05D11D1B"/>
    <w:rsid w:val="05D76C05"/>
    <w:rsid w:val="05E05ABA"/>
    <w:rsid w:val="05EA15D1"/>
    <w:rsid w:val="06023C82"/>
    <w:rsid w:val="061F5E03"/>
    <w:rsid w:val="064918B1"/>
    <w:rsid w:val="06572FF5"/>
    <w:rsid w:val="06654211"/>
    <w:rsid w:val="06824DC3"/>
    <w:rsid w:val="069468A4"/>
    <w:rsid w:val="069869BF"/>
    <w:rsid w:val="06A646FC"/>
    <w:rsid w:val="06D53145"/>
    <w:rsid w:val="06E67100"/>
    <w:rsid w:val="0742420A"/>
    <w:rsid w:val="074B78AB"/>
    <w:rsid w:val="075C5614"/>
    <w:rsid w:val="0768045D"/>
    <w:rsid w:val="07694F90"/>
    <w:rsid w:val="077010BF"/>
    <w:rsid w:val="077225F0"/>
    <w:rsid w:val="07B62F76"/>
    <w:rsid w:val="07C17B6D"/>
    <w:rsid w:val="080231B5"/>
    <w:rsid w:val="08273E74"/>
    <w:rsid w:val="084436EC"/>
    <w:rsid w:val="085710D8"/>
    <w:rsid w:val="08716E9D"/>
    <w:rsid w:val="087B69F7"/>
    <w:rsid w:val="087F5A5E"/>
    <w:rsid w:val="088E3EF3"/>
    <w:rsid w:val="08913342"/>
    <w:rsid w:val="089332B7"/>
    <w:rsid w:val="089808CE"/>
    <w:rsid w:val="08CB2A51"/>
    <w:rsid w:val="08D9126B"/>
    <w:rsid w:val="08F31FA8"/>
    <w:rsid w:val="09173C5F"/>
    <w:rsid w:val="09197006"/>
    <w:rsid w:val="09283FDD"/>
    <w:rsid w:val="092C1016"/>
    <w:rsid w:val="09630EDC"/>
    <w:rsid w:val="096E7880"/>
    <w:rsid w:val="096F107F"/>
    <w:rsid w:val="0970184A"/>
    <w:rsid w:val="098B5EC0"/>
    <w:rsid w:val="09971C14"/>
    <w:rsid w:val="099D0E7F"/>
    <w:rsid w:val="09CD44CE"/>
    <w:rsid w:val="09D43B87"/>
    <w:rsid w:val="09F61D50"/>
    <w:rsid w:val="0AA07F0D"/>
    <w:rsid w:val="0AB26AC6"/>
    <w:rsid w:val="0B3643CE"/>
    <w:rsid w:val="0B372620"/>
    <w:rsid w:val="0B9110E8"/>
    <w:rsid w:val="0BA36A9F"/>
    <w:rsid w:val="0BBF29FC"/>
    <w:rsid w:val="0BCF2858"/>
    <w:rsid w:val="0BD56B2A"/>
    <w:rsid w:val="0BE53BB6"/>
    <w:rsid w:val="0C104C1F"/>
    <w:rsid w:val="0C27110E"/>
    <w:rsid w:val="0C3721AC"/>
    <w:rsid w:val="0C43391B"/>
    <w:rsid w:val="0C6F1945"/>
    <w:rsid w:val="0CD21A68"/>
    <w:rsid w:val="0CD40F5E"/>
    <w:rsid w:val="0D292963"/>
    <w:rsid w:val="0D6B65B1"/>
    <w:rsid w:val="0D7D29A5"/>
    <w:rsid w:val="0D8164E3"/>
    <w:rsid w:val="0DC65EDD"/>
    <w:rsid w:val="0DCF4D92"/>
    <w:rsid w:val="0DDD6D83"/>
    <w:rsid w:val="0DF77E44"/>
    <w:rsid w:val="0E39220B"/>
    <w:rsid w:val="0E456E02"/>
    <w:rsid w:val="0E654809"/>
    <w:rsid w:val="0E9C09EC"/>
    <w:rsid w:val="0EB16245"/>
    <w:rsid w:val="0EC35F79"/>
    <w:rsid w:val="0ECD025B"/>
    <w:rsid w:val="0ED908BE"/>
    <w:rsid w:val="0EDD34DE"/>
    <w:rsid w:val="0EEA5BFB"/>
    <w:rsid w:val="0F0740B7"/>
    <w:rsid w:val="0F1113DA"/>
    <w:rsid w:val="0F1D620C"/>
    <w:rsid w:val="0F3841E2"/>
    <w:rsid w:val="0F476BAA"/>
    <w:rsid w:val="0F581CBE"/>
    <w:rsid w:val="0F631F00"/>
    <w:rsid w:val="0F677ED9"/>
    <w:rsid w:val="0F694D72"/>
    <w:rsid w:val="0F8C6CB2"/>
    <w:rsid w:val="0F9D4A1B"/>
    <w:rsid w:val="0FAB538A"/>
    <w:rsid w:val="0FBD4712"/>
    <w:rsid w:val="0FCD5301"/>
    <w:rsid w:val="0FEF159D"/>
    <w:rsid w:val="0FEF22C0"/>
    <w:rsid w:val="10354C54"/>
    <w:rsid w:val="108D683E"/>
    <w:rsid w:val="10A90F12"/>
    <w:rsid w:val="10D65D2D"/>
    <w:rsid w:val="10D961C2"/>
    <w:rsid w:val="11043556"/>
    <w:rsid w:val="110F7B9B"/>
    <w:rsid w:val="112D7CBF"/>
    <w:rsid w:val="114D477A"/>
    <w:rsid w:val="118916FB"/>
    <w:rsid w:val="11B81CC9"/>
    <w:rsid w:val="11E21930"/>
    <w:rsid w:val="11E65FBA"/>
    <w:rsid w:val="1212368C"/>
    <w:rsid w:val="121F3467"/>
    <w:rsid w:val="1222745A"/>
    <w:rsid w:val="12643577"/>
    <w:rsid w:val="128D6FC9"/>
    <w:rsid w:val="12B20566"/>
    <w:rsid w:val="12D55901"/>
    <w:rsid w:val="12DD2081"/>
    <w:rsid w:val="13196AAF"/>
    <w:rsid w:val="13257202"/>
    <w:rsid w:val="133F39FD"/>
    <w:rsid w:val="13485725"/>
    <w:rsid w:val="134A4EBA"/>
    <w:rsid w:val="134C4994"/>
    <w:rsid w:val="138E124B"/>
    <w:rsid w:val="13D11138"/>
    <w:rsid w:val="13DF2249"/>
    <w:rsid w:val="13FC6E7B"/>
    <w:rsid w:val="13FE1D42"/>
    <w:rsid w:val="141334FE"/>
    <w:rsid w:val="14397409"/>
    <w:rsid w:val="143A4F2F"/>
    <w:rsid w:val="145C30F7"/>
    <w:rsid w:val="146716BC"/>
    <w:rsid w:val="146A4A07"/>
    <w:rsid w:val="146A4D7A"/>
    <w:rsid w:val="146E6986"/>
    <w:rsid w:val="147E12BF"/>
    <w:rsid w:val="14BE216C"/>
    <w:rsid w:val="14C34F24"/>
    <w:rsid w:val="14D66AC8"/>
    <w:rsid w:val="14EE76D2"/>
    <w:rsid w:val="14F503AC"/>
    <w:rsid w:val="15143D01"/>
    <w:rsid w:val="15194650"/>
    <w:rsid w:val="155838BF"/>
    <w:rsid w:val="155E69FB"/>
    <w:rsid w:val="15606340"/>
    <w:rsid w:val="1582093B"/>
    <w:rsid w:val="159C53B5"/>
    <w:rsid w:val="15A33B51"/>
    <w:rsid w:val="15B7153F"/>
    <w:rsid w:val="15D06E9B"/>
    <w:rsid w:val="15D13002"/>
    <w:rsid w:val="15F01D49"/>
    <w:rsid w:val="1600570E"/>
    <w:rsid w:val="160E70E0"/>
    <w:rsid w:val="163D665B"/>
    <w:rsid w:val="16514B30"/>
    <w:rsid w:val="16547C0C"/>
    <w:rsid w:val="166718DF"/>
    <w:rsid w:val="16677124"/>
    <w:rsid w:val="166E5B1A"/>
    <w:rsid w:val="16CB1A85"/>
    <w:rsid w:val="174C1B02"/>
    <w:rsid w:val="176127D3"/>
    <w:rsid w:val="1772678E"/>
    <w:rsid w:val="177469AA"/>
    <w:rsid w:val="177B5334"/>
    <w:rsid w:val="17887D5F"/>
    <w:rsid w:val="17B972E4"/>
    <w:rsid w:val="17E370C8"/>
    <w:rsid w:val="18241B64"/>
    <w:rsid w:val="182C1032"/>
    <w:rsid w:val="185F31B6"/>
    <w:rsid w:val="18700F1F"/>
    <w:rsid w:val="1888270D"/>
    <w:rsid w:val="189A2440"/>
    <w:rsid w:val="18BE612E"/>
    <w:rsid w:val="18E20619"/>
    <w:rsid w:val="18E41EFB"/>
    <w:rsid w:val="18EE0096"/>
    <w:rsid w:val="18F87CF5"/>
    <w:rsid w:val="19053D5D"/>
    <w:rsid w:val="19105390"/>
    <w:rsid w:val="19404D95"/>
    <w:rsid w:val="19497C1E"/>
    <w:rsid w:val="198A1DE1"/>
    <w:rsid w:val="19A5158A"/>
    <w:rsid w:val="19DD0836"/>
    <w:rsid w:val="1A1B135F"/>
    <w:rsid w:val="1A1D5702"/>
    <w:rsid w:val="1A356542"/>
    <w:rsid w:val="1A5328A6"/>
    <w:rsid w:val="1A5D156E"/>
    <w:rsid w:val="1A66082C"/>
    <w:rsid w:val="1A7B245C"/>
    <w:rsid w:val="1A8707A2"/>
    <w:rsid w:val="1A9B4068"/>
    <w:rsid w:val="1AA83ACA"/>
    <w:rsid w:val="1ACB68E1"/>
    <w:rsid w:val="1B212378"/>
    <w:rsid w:val="1B354301"/>
    <w:rsid w:val="1B495A57"/>
    <w:rsid w:val="1B5508A0"/>
    <w:rsid w:val="1B5803DA"/>
    <w:rsid w:val="1B5934FA"/>
    <w:rsid w:val="1B865E71"/>
    <w:rsid w:val="1B9273FE"/>
    <w:rsid w:val="1BA6336D"/>
    <w:rsid w:val="1BAB226E"/>
    <w:rsid w:val="1BB43C15"/>
    <w:rsid w:val="1BB76E65"/>
    <w:rsid w:val="1BE539D2"/>
    <w:rsid w:val="1C0F7519"/>
    <w:rsid w:val="1C34700D"/>
    <w:rsid w:val="1C35495A"/>
    <w:rsid w:val="1C5135FC"/>
    <w:rsid w:val="1C5A43C0"/>
    <w:rsid w:val="1C9553F8"/>
    <w:rsid w:val="1CA05B4B"/>
    <w:rsid w:val="1CCB706C"/>
    <w:rsid w:val="1CE14EA8"/>
    <w:rsid w:val="1CE26164"/>
    <w:rsid w:val="1D17405F"/>
    <w:rsid w:val="1D243820"/>
    <w:rsid w:val="1D4C3BD1"/>
    <w:rsid w:val="1D880AB9"/>
    <w:rsid w:val="1D8D701B"/>
    <w:rsid w:val="1DAA3355"/>
    <w:rsid w:val="1DC62630"/>
    <w:rsid w:val="1DF4614E"/>
    <w:rsid w:val="1DF51C70"/>
    <w:rsid w:val="1DFA53C2"/>
    <w:rsid w:val="1E003D13"/>
    <w:rsid w:val="1E0B5E57"/>
    <w:rsid w:val="1E1660C5"/>
    <w:rsid w:val="1E2C1A24"/>
    <w:rsid w:val="1E3429EF"/>
    <w:rsid w:val="1E546253"/>
    <w:rsid w:val="1EAC1D76"/>
    <w:rsid w:val="1EBA63F8"/>
    <w:rsid w:val="1EDA17E8"/>
    <w:rsid w:val="1EEE1C7C"/>
    <w:rsid w:val="1F022AED"/>
    <w:rsid w:val="1F100519"/>
    <w:rsid w:val="1F212F73"/>
    <w:rsid w:val="1F812AA4"/>
    <w:rsid w:val="1F925C1F"/>
    <w:rsid w:val="1FC972B5"/>
    <w:rsid w:val="1FF93EF0"/>
    <w:rsid w:val="2000527E"/>
    <w:rsid w:val="20196340"/>
    <w:rsid w:val="2061066F"/>
    <w:rsid w:val="206471D1"/>
    <w:rsid w:val="2070481A"/>
    <w:rsid w:val="20E029BA"/>
    <w:rsid w:val="20FE5C75"/>
    <w:rsid w:val="211A5ECC"/>
    <w:rsid w:val="213B2C5B"/>
    <w:rsid w:val="21837F15"/>
    <w:rsid w:val="218C669E"/>
    <w:rsid w:val="21A460DD"/>
    <w:rsid w:val="21B5584A"/>
    <w:rsid w:val="21D97B35"/>
    <w:rsid w:val="21E34463"/>
    <w:rsid w:val="22056B7C"/>
    <w:rsid w:val="220F3557"/>
    <w:rsid w:val="22145011"/>
    <w:rsid w:val="222608A0"/>
    <w:rsid w:val="222A0391"/>
    <w:rsid w:val="223F0B87"/>
    <w:rsid w:val="2277734E"/>
    <w:rsid w:val="229C4378"/>
    <w:rsid w:val="22A04AF7"/>
    <w:rsid w:val="22D93FC7"/>
    <w:rsid w:val="22F664C5"/>
    <w:rsid w:val="22F8223D"/>
    <w:rsid w:val="230A5A08"/>
    <w:rsid w:val="23207C35"/>
    <w:rsid w:val="232D2DF7"/>
    <w:rsid w:val="234927E9"/>
    <w:rsid w:val="234C07DB"/>
    <w:rsid w:val="23542C62"/>
    <w:rsid w:val="23630E75"/>
    <w:rsid w:val="23943AB7"/>
    <w:rsid w:val="23996015"/>
    <w:rsid w:val="23A26A64"/>
    <w:rsid w:val="23AE6D9F"/>
    <w:rsid w:val="23FE4910"/>
    <w:rsid w:val="24127938"/>
    <w:rsid w:val="24400090"/>
    <w:rsid w:val="2452597D"/>
    <w:rsid w:val="24AF2DCF"/>
    <w:rsid w:val="24D2655D"/>
    <w:rsid w:val="24D665AE"/>
    <w:rsid w:val="2508240A"/>
    <w:rsid w:val="25083B0A"/>
    <w:rsid w:val="25544858"/>
    <w:rsid w:val="255E5379"/>
    <w:rsid w:val="25671385"/>
    <w:rsid w:val="25B05051"/>
    <w:rsid w:val="25C970BA"/>
    <w:rsid w:val="25DB31D7"/>
    <w:rsid w:val="25EB42DB"/>
    <w:rsid w:val="26094761"/>
    <w:rsid w:val="26190E48"/>
    <w:rsid w:val="264F3285"/>
    <w:rsid w:val="266354F6"/>
    <w:rsid w:val="26914E82"/>
    <w:rsid w:val="26A56238"/>
    <w:rsid w:val="26AB08BD"/>
    <w:rsid w:val="26C5142C"/>
    <w:rsid w:val="26D20FF7"/>
    <w:rsid w:val="26E811C4"/>
    <w:rsid w:val="270F224B"/>
    <w:rsid w:val="271A2793"/>
    <w:rsid w:val="276C31F9"/>
    <w:rsid w:val="27BE4209"/>
    <w:rsid w:val="27D40FA4"/>
    <w:rsid w:val="27F73402"/>
    <w:rsid w:val="27F97996"/>
    <w:rsid w:val="28110E9F"/>
    <w:rsid w:val="2835664D"/>
    <w:rsid w:val="28374AE0"/>
    <w:rsid w:val="28537F15"/>
    <w:rsid w:val="287F0D0A"/>
    <w:rsid w:val="289D0075"/>
    <w:rsid w:val="28A12270"/>
    <w:rsid w:val="28B51DB8"/>
    <w:rsid w:val="28C448C3"/>
    <w:rsid w:val="28D66BC5"/>
    <w:rsid w:val="28F3183A"/>
    <w:rsid w:val="28FA2DFA"/>
    <w:rsid w:val="294C6E3F"/>
    <w:rsid w:val="29876D01"/>
    <w:rsid w:val="29963B4A"/>
    <w:rsid w:val="29B2109E"/>
    <w:rsid w:val="29C0782D"/>
    <w:rsid w:val="29CE3CF8"/>
    <w:rsid w:val="29F7435E"/>
    <w:rsid w:val="2A175D6B"/>
    <w:rsid w:val="2A4F0C60"/>
    <w:rsid w:val="2A6308E4"/>
    <w:rsid w:val="2A9767DF"/>
    <w:rsid w:val="2AA66A22"/>
    <w:rsid w:val="2AC512BE"/>
    <w:rsid w:val="2AD57308"/>
    <w:rsid w:val="2B285689"/>
    <w:rsid w:val="2B312862"/>
    <w:rsid w:val="2B3C4DF3"/>
    <w:rsid w:val="2B434271"/>
    <w:rsid w:val="2B512E32"/>
    <w:rsid w:val="2B91322F"/>
    <w:rsid w:val="2B9D7E25"/>
    <w:rsid w:val="2BB36F3C"/>
    <w:rsid w:val="2BEA6562"/>
    <w:rsid w:val="2C180468"/>
    <w:rsid w:val="2C3B46A1"/>
    <w:rsid w:val="2C3D33B6"/>
    <w:rsid w:val="2C6E5D06"/>
    <w:rsid w:val="2C87179E"/>
    <w:rsid w:val="2C874722"/>
    <w:rsid w:val="2C8A77DB"/>
    <w:rsid w:val="2C8F7135"/>
    <w:rsid w:val="2CAD5E46"/>
    <w:rsid w:val="2CB5119F"/>
    <w:rsid w:val="2CC11720"/>
    <w:rsid w:val="2CC633AC"/>
    <w:rsid w:val="2CEE645F"/>
    <w:rsid w:val="2CFE48F4"/>
    <w:rsid w:val="2D002337"/>
    <w:rsid w:val="2D0A79B7"/>
    <w:rsid w:val="2D1F3A38"/>
    <w:rsid w:val="2D22154E"/>
    <w:rsid w:val="2D594220"/>
    <w:rsid w:val="2D796731"/>
    <w:rsid w:val="2D7F2A1C"/>
    <w:rsid w:val="2DB31B82"/>
    <w:rsid w:val="2DC7118A"/>
    <w:rsid w:val="2DCA2A28"/>
    <w:rsid w:val="2DCC67A0"/>
    <w:rsid w:val="2DF66775"/>
    <w:rsid w:val="2DFA155F"/>
    <w:rsid w:val="2E4346E0"/>
    <w:rsid w:val="2E4E18AB"/>
    <w:rsid w:val="2E8E1CA7"/>
    <w:rsid w:val="2EA6263A"/>
    <w:rsid w:val="2EA8720D"/>
    <w:rsid w:val="2EBB4A5F"/>
    <w:rsid w:val="2EFC30B5"/>
    <w:rsid w:val="2F05640D"/>
    <w:rsid w:val="2F184013"/>
    <w:rsid w:val="2F5051AF"/>
    <w:rsid w:val="2F61116A"/>
    <w:rsid w:val="2F656EAC"/>
    <w:rsid w:val="2F7E0035"/>
    <w:rsid w:val="2F8F31F0"/>
    <w:rsid w:val="2F945DB6"/>
    <w:rsid w:val="2FBF3EF1"/>
    <w:rsid w:val="2FC11C09"/>
    <w:rsid w:val="30093CDB"/>
    <w:rsid w:val="30307704"/>
    <w:rsid w:val="3049232A"/>
    <w:rsid w:val="3068352B"/>
    <w:rsid w:val="308B0B94"/>
    <w:rsid w:val="30915A7F"/>
    <w:rsid w:val="30934BC7"/>
    <w:rsid w:val="30A734F4"/>
    <w:rsid w:val="30AD0B0B"/>
    <w:rsid w:val="30B26121"/>
    <w:rsid w:val="31083F93"/>
    <w:rsid w:val="31280191"/>
    <w:rsid w:val="315A73A8"/>
    <w:rsid w:val="315F16D9"/>
    <w:rsid w:val="315F7695"/>
    <w:rsid w:val="31813D45"/>
    <w:rsid w:val="319E124C"/>
    <w:rsid w:val="31AF440F"/>
    <w:rsid w:val="31FE0EF2"/>
    <w:rsid w:val="32222E32"/>
    <w:rsid w:val="32382656"/>
    <w:rsid w:val="324D332B"/>
    <w:rsid w:val="32731F06"/>
    <w:rsid w:val="327F0285"/>
    <w:rsid w:val="328C0BF4"/>
    <w:rsid w:val="329830F5"/>
    <w:rsid w:val="32D560F7"/>
    <w:rsid w:val="32EA603B"/>
    <w:rsid w:val="3321133C"/>
    <w:rsid w:val="336B0809"/>
    <w:rsid w:val="33973BFA"/>
    <w:rsid w:val="33C9093F"/>
    <w:rsid w:val="33CC22E4"/>
    <w:rsid w:val="33CC574C"/>
    <w:rsid w:val="33FF7C5E"/>
    <w:rsid w:val="340C5B48"/>
    <w:rsid w:val="340D73EF"/>
    <w:rsid w:val="345D458E"/>
    <w:rsid w:val="346F7A0A"/>
    <w:rsid w:val="34A13DEF"/>
    <w:rsid w:val="34B47F8E"/>
    <w:rsid w:val="34D10B40"/>
    <w:rsid w:val="353F2671"/>
    <w:rsid w:val="35627C9C"/>
    <w:rsid w:val="359F29EC"/>
    <w:rsid w:val="35BA2977"/>
    <w:rsid w:val="35D07049"/>
    <w:rsid w:val="35D72186"/>
    <w:rsid w:val="35E36D7D"/>
    <w:rsid w:val="35E6686D"/>
    <w:rsid w:val="35FB2318"/>
    <w:rsid w:val="35FC2116"/>
    <w:rsid w:val="36047CB8"/>
    <w:rsid w:val="369B31B3"/>
    <w:rsid w:val="36CE5337"/>
    <w:rsid w:val="372B09DB"/>
    <w:rsid w:val="374517D6"/>
    <w:rsid w:val="37451A8B"/>
    <w:rsid w:val="375138B1"/>
    <w:rsid w:val="375F0685"/>
    <w:rsid w:val="37B37503"/>
    <w:rsid w:val="37CE4E69"/>
    <w:rsid w:val="37CE542D"/>
    <w:rsid w:val="37DA36BA"/>
    <w:rsid w:val="380A022C"/>
    <w:rsid w:val="38161065"/>
    <w:rsid w:val="38185412"/>
    <w:rsid w:val="38225A74"/>
    <w:rsid w:val="3851621F"/>
    <w:rsid w:val="385939A1"/>
    <w:rsid w:val="38806B05"/>
    <w:rsid w:val="38C764E2"/>
    <w:rsid w:val="38D712DD"/>
    <w:rsid w:val="38E057F5"/>
    <w:rsid w:val="39070FD4"/>
    <w:rsid w:val="39162FC5"/>
    <w:rsid w:val="395A27A5"/>
    <w:rsid w:val="397765B7"/>
    <w:rsid w:val="398C6739"/>
    <w:rsid w:val="398E34A3"/>
    <w:rsid w:val="39A21D72"/>
    <w:rsid w:val="39AB195F"/>
    <w:rsid w:val="39B50A30"/>
    <w:rsid w:val="39D479C4"/>
    <w:rsid w:val="39D942A1"/>
    <w:rsid w:val="39DA6ADF"/>
    <w:rsid w:val="39EF3F42"/>
    <w:rsid w:val="39F21EE1"/>
    <w:rsid w:val="39F57F60"/>
    <w:rsid w:val="3A0D261A"/>
    <w:rsid w:val="3A235EBA"/>
    <w:rsid w:val="3A970136"/>
    <w:rsid w:val="3ABB3E24"/>
    <w:rsid w:val="3ABF0FD1"/>
    <w:rsid w:val="3AE74C19"/>
    <w:rsid w:val="3AF13B6B"/>
    <w:rsid w:val="3B1F79CE"/>
    <w:rsid w:val="3B20637D"/>
    <w:rsid w:val="3B274ACA"/>
    <w:rsid w:val="3B392F9B"/>
    <w:rsid w:val="3B4C0F20"/>
    <w:rsid w:val="3B8B1A48"/>
    <w:rsid w:val="3B9F3746"/>
    <w:rsid w:val="3BC44F5A"/>
    <w:rsid w:val="3C027831"/>
    <w:rsid w:val="3C096FE9"/>
    <w:rsid w:val="3C395A2A"/>
    <w:rsid w:val="3C530457"/>
    <w:rsid w:val="3C827255"/>
    <w:rsid w:val="3C8E7EDB"/>
    <w:rsid w:val="3CC571DC"/>
    <w:rsid w:val="3CDE3DFA"/>
    <w:rsid w:val="3CF25AF7"/>
    <w:rsid w:val="3CF8135F"/>
    <w:rsid w:val="3D3659E4"/>
    <w:rsid w:val="3D3D1F07"/>
    <w:rsid w:val="3D474D46"/>
    <w:rsid w:val="3D48756B"/>
    <w:rsid w:val="3D565E0A"/>
    <w:rsid w:val="3D9B7F3D"/>
    <w:rsid w:val="3DAB7E3A"/>
    <w:rsid w:val="3DD86A9B"/>
    <w:rsid w:val="3E047890"/>
    <w:rsid w:val="3E0930F8"/>
    <w:rsid w:val="3E0A3A8D"/>
    <w:rsid w:val="3E18333B"/>
    <w:rsid w:val="3E260B37"/>
    <w:rsid w:val="3E4B54BF"/>
    <w:rsid w:val="3E68534F"/>
    <w:rsid w:val="3E7228FF"/>
    <w:rsid w:val="3E7710CC"/>
    <w:rsid w:val="3E921BC1"/>
    <w:rsid w:val="3E9758D8"/>
    <w:rsid w:val="3EAF1EF2"/>
    <w:rsid w:val="3EBB2DC6"/>
    <w:rsid w:val="3EDC25BB"/>
    <w:rsid w:val="3EE020AB"/>
    <w:rsid w:val="3EEC4983"/>
    <w:rsid w:val="3F1E0E25"/>
    <w:rsid w:val="3F2703EB"/>
    <w:rsid w:val="3F4E170B"/>
    <w:rsid w:val="3F79605C"/>
    <w:rsid w:val="3F9A74E0"/>
    <w:rsid w:val="3FA863A4"/>
    <w:rsid w:val="3FC615E0"/>
    <w:rsid w:val="3FF658FE"/>
    <w:rsid w:val="3FF68C16"/>
    <w:rsid w:val="400242A3"/>
    <w:rsid w:val="40161AFD"/>
    <w:rsid w:val="401B7113"/>
    <w:rsid w:val="402110B8"/>
    <w:rsid w:val="40491ED2"/>
    <w:rsid w:val="406E02F9"/>
    <w:rsid w:val="409C46F8"/>
    <w:rsid w:val="40C57ED3"/>
    <w:rsid w:val="40FE0F0E"/>
    <w:rsid w:val="40FF07E3"/>
    <w:rsid w:val="410A03BD"/>
    <w:rsid w:val="41160E19"/>
    <w:rsid w:val="411B26A5"/>
    <w:rsid w:val="41390199"/>
    <w:rsid w:val="413A527C"/>
    <w:rsid w:val="416A65A4"/>
    <w:rsid w:val="416C31FE"/>
    <w:rsid w:val="418A50A2"/>
    <w:rsid w:val="419B675D"/>
    <w:rsid w:val="419F484B"/>
    <w:rsid w:val="41A01FC6"/>
    <w:rsid w:val="41C365B2"/>
    <w:rsid w:val="41FA0CB8"/>
    <w:rsid w:val="420533B1"/>
    <w:rsid w:val="421516A0"/>
    <w:rsid w:val="42845443"/>
    <w:rsid w:val="42B0448A"/>
    <w:rsid w:val="431126E0"/>
    <w:rsid w:val="4359242C"/>
    <w:rsid w:val="43AA7D8B"/>
    <w:rsid w:val="43B554FD"/>
    <w:rsid w:val="440A3726"/>
    <w:rsid w:val="447D6D2D"/>
    <w:rsid w:val="44BE2E8F"/>
    <w:rsid w:val="44D501D8"/>
    <w:rsid w:val="45401AF6"/>
    <w:rsid w:val="45547B94"/>
    <w:rsid w:val="4561480D"/>
    <w:rsid w:val="456F5F37"/>
    <w:rsid w:val="45A35BE1"/>
    <w:rsid w:val="45EA7CB3"/>
    <w:rsid w:val="46295272"/>
    <w:rsid w:val="462F3918"/>
    <w:rsid w:val="466D3315"/>
    <w:rsid w:val="46877407"/>
    <w:rsid w:val="4690085B"/>
    <w:rsid w:val="46A2058E"/>
    <w:rsid w:val="46B8390E"/>
    <w:rsid w:val="470A74D1"/>
    <w:rsid w:val="475F61BB"/>
    <w:rsid w:val="47685334"/>
    <w:rsid w:val="477E06B3"/>
    <w:rsid w:val="47891FE1"/>
    <w:rsid w:val="4799373F"/>
    <w:rsid w:val="479C6D8B"/>
    <w:rsid w:val="47A57F5D"/>
    <w:rsid w:val="47AB11C0"/>
    <w:rsid w:val="47B07917"/>
    <w:rsid w:val="482274C0"/>
    <w:rsid w:val="48276F9D"/>
    <w:rsid w:val="48431B47"/>
    <w:rsid w:val="484F3BF4"/>
    <w:rsid w:val="486A0836"/>
    <w:rsid w:val="486F1DA5"/>
    <w:rsid w:val="489A3A15"/>
    <w:rsid w:val="48A40CC7"/>
    <w:rsid w:val="48DD7C35"/>
    <w:rsid w:val="49170DBF"/>
    <w:rsid w:val="49184B37"/>
    <w:rsid w:val="49282FCC"/>
    <w:rsid w:val="495F4514"/>
    <w:rsid w:val="497D7CD4"/>
    <w:rsid w:val="497E0E3E"/>
    <w:rsid w:val="4981448B"/>
    <w:rsid w:val="49985365"/>
    <w:rsid w:val="49A66BBE"/>
    <w:rsid w:val="49B97806"/>
    <w:rsid w:val="49F7299F"/>
    <w:rsid w:val="4A2A4B22"/>
    <w:rsid w:val="4A3B1D56"/>
    <w:rsid w:val="4A4A2ACF"/>
    <w:rsid w:val="4A5B0D24"/>
    <w:rsid w:val="4A6A3171"/>
    <w:rsid w:val="4A7A7858"/>
    <w:rsid w:val="4A884B58"/>
    <w:rsid w:val="4A9A27BF"/>
    <w:rsid w:val="4ACC4CCD"/>
    <w:rsid w:val="4AD136A0"/>
    <w:rsid w:val="4AFD7D48"/>
    <w:rsid w:val="4AFF02AB"/>
    <w:rsid w:val="4B1417A4"/>
    <w:rsid w:val="4B4477FA"/>
    <w:rsid w:val="4B6B71A0"/>
    <w:rsid w:val="4B9D7B05"/>
    <w:rsid w:val="4BD619E7"/>
    <w:rsid w:val="4C0A5C9F"/>
    <w:rsid w:val="4C2E5983"/>
    <w:rsid w:val="4C3321A4"/>
    <w:rsid w:val="4C414A7E"/>
    <w:rsid w:val="4C4D2D4A"/>
    <w:rsid w:val="4C63431C"/>
    <w:rsid w:val="4CA92B35"/>
    <w:rsid w:val="4CBB4158"/>
    <w:rsid w:val="4CC72AFC"/>
    <w:rsid w:val="4CE10230"/>
    <w:rsid w:val="4CF17B79"/>
    <w:rsid w:val="4D422313"/>
    <w:rsid w:val="4D5123C6"/>
    <w:rsid w:val="4D706B9D"/>
    <w:rsid w:val="4D9F02AD"/>
    <w:rsid w:val="4DD23507"/>
    <w:rsid w:val="4E0734D0"/>
    <w:rsid w:val="4E3151FA"/>
    <w:rsid w:val="4E5C7274"/>
    <w:rsid w:val="4E6F6FA8"/>
    <w:rsid w:val="4E9534E6"/>
    <w:rsid w:val="4E9B5FEF"/>
    <w:rsid w:val="4ED714B1"/>
    <w:rsid w:val="4EE514DB"/>
    <w:rsid w:val="4EEA448E"/>
    <w:rsid w:val="4EEC092D"/>
    <w:rsid w:val="4EEC4CDB"/>
    <w:rsid w:val="4EF94450"/>
    <w:rsid w:val="4F3443E8"/>
    <w:rsid w:val="4F7C1864"/>
    <w:rsid w:val="4FC0634C"/>
    <w:rsid w:val="4FCF3272"/>
    <w:rsid w:val="4FD13B87"/>
    <w:rsid w:val="4FDA48F5"/>
    <w:rsid w:val="500D2715"/>
    <w:rsid w:val="501F56FD"/>
    <w:rsid w:val="50477EF0"/>
    <w:rsid w:val="504B4CA4"/>
    <w:rsid w:val="50535BE7"/>
    <w:rsid w:val="509B4084"/>
    <w:rsid w:val="509E1DC6"/>
    <w:rsid w:val="50AF2848"/>
    <w:rsid w:val="50B3698C"/>
    <w:rsid w:val="50C17863"/>
    <w:rsid w:val="50C51112"/>
    <w:rsid w:val="50DD221E"/>
    <w:rsid w:val="50FE6B0E"/>
    <w:rsid w:val="51390639"/>
    <w:rsid w:val="5139564B"/>
    <w:rsid w:val="514C1822"/>
    <w:rsid w:val="5153495F"/>
    <w:rsid w:val="51586419"/>
    <w:rsid w:val="51586A81"/>
    <w:rsid w:val="5159705F"/>
    <w:rsid w:val="51736460"/>
    <w:rsid w:val="51A56120"/>
    <w:rsid w:val="51BF3DA2"/>
    <w:rsid w:val="51E63A25"/>
    <w:rsid w:val="51E67581"/>
    <w:rsid w:val="51EE4687"/>
    <w:rsid w:val="520A0F25"/>
    <w:rsid w:val="52134CC6"/>
    <w:rsid w:val="52271EE2"/>
    <w:rsid w:val="526B5CD8"/>
    <w:rsid w:val="526D7CA2"/>
    <w:rsid w:val="529A1C65"/>
    <w:rsid w:val="52D10231"/>
    <w:rsid w:val="53193964"/>
    <w:rsid w:val="531B1DCE"/>
    <w:rsid w:val="534429D5"/>
    <w:rsid w:val="5356368A"/>
    <w:rsid w:val="536D39B3"/>
    <w:rsid w:val="539B6A47"/>
    <w:rsid w:val="53D96414"/>
    <w:rsid w:val="53E628DD"/>
    <w:rsid w:val="53FA0DE6"/>
    <w:rsid w:val="53FA37B7"/>
    <w:rsid w:val="54065CB8"/>
    <w:rsid w:val="54183C3E"/>
    <w:rsid w:val="54233A9D"/>
    <w:rsid w:val="5429409D"/>
    <w:rsid w:val="54297BF9"/>
    <w:rsid w:val="544669FD"/>
    <w:rsid w:val="545F7ABE"/>
    <w:rsid w:val="5463310B"/>
    <w:rsid w:val="5486149E"/>
    <w:rsid w:val="549F7EBB"/>
    <w:rsid w:val="54BC6CBF"/>
    <w:rsid w:val="54C16083"/>
    <w:rsid w:val="54C53011"/>
    <w:rsid w:val="54D61A70"/>
    <w:rsid w:val="54E55F08"/>
    <w:rsid w:val="5536081F"/>
    <w:rsid w:val="553D478A"/>
    <w:rsid w:val="554C1DF1"/>
    <w:rsid w:val="555A3B51"/>
    <w:rsid w:val="555D55F9"/>
    <w:rsid w:val="55B843FE"/>
    <w:rsid w:val="55C45E2B"/>
    <w:rsid w:val="55D1679A"/>
    <w:rsid w:val="55DD6EED"/>
    <w:rsid w:val="55FD758F"/>
    <w:rsid w:val="561A3C9D"/>
    <w:rsid w:val="5626394E"/>
    <w:rsid w:val="565F3DA6"/>
    <w:rsid w:val="569A4DDE"/>
    <w:rsid w:val="569A7951"/>
    <w:rsid w:val="56BC4D54"/>
    <w:rsid w:val="56C81B55"/>
    <w:rsid w:val="56F36A4A"/>
    <w:rsid w:val="56FB05E2"/>
    <w:rsid w:val="578870FF"/>
    <w:rsid w:val="578F06BB"/>
    <w:rsid w:val="57921CD5"/>
    <w:rsid w:val="57B50643"/>
    <w:rsid w:val="57BE55F9"/>
    <w:rsid w:val="57CA34A1"/>
    <w:rsid w:val="57D044E4"/>
    <w:rsid w:val="580F5357"/>
    <w:rsid w:val="583059FA"/>
    <w:rsid w:val="58332523"/>
    <w:rsid w:val="583A1B02"/>
    <w:rsid w:val="5886561A"/>
    <w:rsid w:val="58913FBE"/>
    <w:rsid w:val="58937D37"/>
    <w:rsid w:val="58B8779D"/>
    <w:rsid w:val="58E32A6C"/>
    <w:rsid w:val="58EF7663"/>
    <w:rsid w:val="59113E09"/>
    <w:rsid w:val="59123351"/>
    <w:rsid w:val="59B77A55"/>
    <w:rsid w:val="59C363FA"/>
    <w:rsid w:val="59D14FBA"/>
    <w:rsid w:val="59D26503"/>
    <w:rsid w:val="59F82547"/>
    <w:rsid w:val="5A197A6C"/>
    <w:rsid w:val="5A1E20C2"/>
    <w:rsid w:val="5A2F551E"/>
    <w:rsid w:val="5A3966BC"/>
    <w:rsid w:val="5ACD746E"/>
    <w:rsid w:val="5AE16492"/>
    <w:rsid w:val="5AEE74A6"/>
    <w:rsid w:val="5AF947C9"/>
    <w:rsid w:val="5B527A35"/>
    <w:rsid w:val="5B653C0C"/>
    <w:rsid w:val="5B6A1223"/>
    <w:rsid w:val="5B7915E4"/>
    <w:rsid w:val="5B7E4CCE"/>
    <w:rsid w:val="5BB66216"/>
    <w:rsid w:val="5BCF72D8"/>
    <w:rsid w:val="5C090D3B"/>
    <w:rsid w:val="5C1F76F9"/>
    <w:rsid w:val="5C58551F"/>
    <w:rsid w:val="5C6C5EBA"/>
    <w:rsid w:val="5C7F0CFE"/>
    <w:rsid w:val="5CA52AEB"/>
    <w:rsid w:val="5CAE3391"/>
    <w:rsid w:val="5CD86660"/>
    <w:rsid w:val="5D0B433F"/>
    <w:rsid w:val="5D126DFC"/>
    <w:rsid w:val="5DB9023F"/>
    <w:rsid w:val="5E1D5979"/>
    <w:rsid w:val="5E263CC0"/>
    <w:rsid w:val="5E3873B6"/>
    <w:rsid w:val="5E460113"/>
    <w:rsid w:val="5EAA5DDA"/>
    <w:rsid w:val="5EC0625A"/>
    <w:rsid w:val="5EC21376"/>
    <w:rsid w:val="5EE23866"/>
    <w:rsid w:val="5F0D09B8"/>
    <w:rsid w:val="5F0F4BA2"/>
    <w:rsid w:val="5F1D65AC"/>
    <w:rsid w:val="5F3E6C4E"/>
    <w:rsid w:val="5F4D4E46"/>
    <w:rsid w:val="5F6441DB"/>
    <w:rsid w:val="5F887EC9"/>
    <w:rsid w:val="5F93686E"/>
    <w:rsid w:val="5FA56CCD"/>
    <w:rsid w:val="5FC943B4"/>
    <w:rsid w:val="5FED2422"/>
    <w:rsid w:val="600D03CE"/>
    <w:rsid w:val="6042451C"/>
    <w:rsid w:val="6065020A"/>
    <w:rsid w:val="60786190"/>
    <w:rsid w:val="60A527D8"/>
    <w:rsid w:val="60B44CEE"/>
    <w:rsid w:val="60B97C4C"/>
    <w:rsid w:val="60C247B0"/>
    <w:rsid w:val="60CF14B5"/>
    <w:rsid w:val="60F670B5"/>
    <w:rsid w:val="60FF065F"/>
    <w:rsid w:val="61475B62"/>
    <w:rsid w:val="618C7826"/>
    <w:rsid w:val="61C3168D"/>
    <w:rsid w:val="62044282"/>
    <w:rsid w:val="6215412A"/>
    <w:rsid w:val="622540F5"/>
    <w:rsid w:val="622A170C"/>
    <w:rsid w:val="622A5665"/>
    <w:rsid w:val="62305C8E"/>
    <w:rsid w:val="623864EC"/>
    <w:rsid w:val="627846E6"/>
    <w:rsid w:val="628232F6"/>
    <w:rsid w:val="63144C82"/>
    <w:rsid w:val="63585E05"/>
    <w:rsid w:val="63652C48"/>
    <w:rsid w:val="63656B78"/>
    <w:rsid w:val="63762111"/>
    <w:rsid w:val="63A7422B"/>
    <w:rsid w:val="63D11CD0"/>
    <w:rsid w:val="6402571A"/>
    <w:rsid w:val="643142D3"/>
    <w:rsid w:val="645B2050"/>
    <w:rsid w:val="6470717E"/>
    <w:rsid w:val="647F1DEE"/>
    <w:rsid w:val="64A137DB"/>
    <w:rsid w:val="64FB738F"/>
    <w:rsid w:val="650F5268"/>
    <w:rsid w:val="65194B96"/>
    <w:rsid w:val="65735178"/>
    <w:rsid w:val="65C23A09"/>
    <w:rsid w:val="65C856A3"/>
    <w:rsid w:val="65EC6A74"/>
    <w:rsid w:val="661569C2"/>
    <w:rsid w:val="66251856"/>
    <w:rsid w:val="6637260C"/>
    <w:rsid w:val="66C11F13"/>
    <w:rsid w:val="66EC1529"/>
    <w:rsid w:val="66FB5425"/>
    <w:rsid w:val="671F609D"/>
    <w:rsid w:val="67332E10"/>
    <w:rsid w:val="673646AF"/>
    <w:rsid w:val="67642FCA"/>
    <w:rsid w:val="67713939"/>
    <w:rsid w:val="677D22DE"/>
    <w:rsid w:val="67B90757"/>
    <w:rsid w:val="67DC0309"/>
    <w:rsid w:val="67EE6D37"/>
    <w:rsid w:val="681D761D"/>
    <w:rsid w:val="68260981"/>
    <w:rsid w:val="68506A47"/>
    <w:rsid w:val="68646FFA"/>
    <w:rsid w:val="68686AEA"/>
    <w:rsid w:val="687974DB"/>
    <w:rsid w:val="689765E1"/>
    <w:rsid w:val="68CE1358"/>
    <w:rsid w:val="68FF2E34"/>
    <w:rsid w:val="69083E29"/>
    <w:rsid w:val="693966D8"/>
    <w:rsid w:val="695A25BD"/>
    <w:rsid w:val="697B21C3"/>
    <w:rsid w:val="698E07D2"/>
    <w:rsid w:val="69B41DAE"/>
    <w:rsid w:val="69B95123"/>
    <w:rsid w:val="69CA7330"/>
    <w:rsid w:val="69DA3A17"/>
    <w:rsid w:val="69DB32EB"/>
    <w:rsid w:val="6A065D55"/>
    <w:rsid w:val="6A2151A2"/>
    <w:rsid w:val="6A283D6D"/>
    <w:rsid w:val="6A3A01CE"/>
    <w:rsid w:val="6A4778F6"/>
    <w:rsid w:val="6A70612A"/>
    <w:rsid w:val="6A8E4001"/>
    <w:rsid w:val="6A935974"/>
    <w:rsid w:val="6AA06A0F"/>
    <w:rsid w:val="6AB50F7D"/>
    <w:rsid w:val="6AD93CCF"/>
    <w:rsid w:val="6B0709E5"/>
    <w:rsid w:val="6B2C202D"/>
    <w:rsid w:val="6BA918F3"/>
    <w:rsid w:val="6BE446D9"/>
    <w:rsid w:val="6BF15048"/>
    <w:rsid w:val="6BFA3EFD"/>
    <w:rsid w:val="6C022DB1"/>
    <w:rsid w:val="6C0C6A2F"/>
    <w:rsid w:val="6C25681A"/>
    <w:rsid w:val="6C2653C3"/>
    <w:rsid w:val="6C2C3D31"/>
    <w:rsid w:val="6C354A17"/>
    <w:rsid w:val="6C371527"/>
    <w:rsid w:val="6C4E4249"/>
    <w:rsid w:val="6C6E0447"/>
    <w:rsid w:val="6C811539"/>
    <w:rsid w:val="6C8E0AE9"/>
    <w:rsid w:val="6CB05865"/>
    <w:rsid w:val="6D015E89"/>
    <w:rsid w:val="6D0F05C9"/>
    <w:rsid w:val="6D1F7993"/>
    <w:rsid w:val="6D7E32F4"/>
    <w:rsid w:val="6DAB28B0"/>
    <w:rsid w:val="6DBA051E"/>
    <w:rsid w:val="6DD32C57"/>
    <w:rsid w:val="6DDF3E55"/>
    <w:rsid w:val="6DFB0400"/>
    <w:rsid w:val="6E1D2124"/>
    <w:rsid w:val="6E1F7C4B"/>
    <w:rsid w:val="6E2F3C06"/>
    <w:rsid w:val="6E341E1D"/>
    <w:rsid w:val="6E3631E6"/>
    <w:rsid w:val="6E3A4A84"/>
    <w:rsid w:val="6E4F048D"/>
    <w:rsid w:val="6E4F76FD"/>
    <w:rsid w:val="6E535B46"/>
    <w:rsid w:val="6E7B0AEA"/>
    <w:rsid w:val="6EBE56B6"/>
    <w:rsid w:val="6EC95E08"/>
    <w:rsid w:val="6EFF182A"/>
    <w:rsid w:val="6F034D54"/>
    <w:rsid w:val="6F2D0D89"/>
    <w:rsid w:val="6F40431D"/>
    <w:rsid w:val="6F541B76"/>
    <w:rsid w:val="6F571666"/>
    <w:rsid w:val="6F6C0AC1"/>
    <w:rsid w:val="6F79537C"/>
    <w:rsid w:val="6F7A7103"/>
    <w:rsid w:val="6F963F3C"/>
    <w:rsid w:val="6FA6648C"/>
    <w:rsid w:val="6FAC6D15"/>
    <w:rsid w:val="6FCB2DD2"/>
    <w:rsid w:val="6FCD336B"/>
    <w:rsid w:val="6FD70BB7"/>
    <w:rsid w:val="6FE7DD8D"/>
    <w:rsid w:val="6FFF673A"/>
    <w:rsid w:val="70144D90"/>
    <w:rsid w:val="70253512"/>
    <w:rsid w:val="70333E81"/>
    <w:rsid w:val="703C08DB"/>
    <w:rsid w:val="70497201"/>
    <w:rsid w:val="706A53C9"/>
    <w:rsid w:val="7073507D"/>
    <w:rsid w:val="7082658E"/>
    <w:rsid w:val="70C66AA3"/>
    <w:rsid w:val="711F4406"/>
    <w:rsid w:val="712F6A00"/>
    <w:rsid w:val="714B6FA9"/>
    <w:rsid w:val="716D0332"/>
    <w:rsid w:val="71712856"/>
    <w:rsid w:val="71E21531"/>
    <w:rsid w:val="71F4319C"/>
    <w:rsid w:val="71F815F3"/>
    <w:rsid w:val="71FA6481"/>
    <w:rsid w:val="71FF75B1"/>
    <w:rsid w:val="720444B6"/>
    <w:rsid w:val="724377F1"/>
    <w:rsid w:val="728145E2"/>
    <w:rsid w:val="72AD365A"/>
    <w:rsid w:val="72AE5A41"/>
    <w:rsid w:val="72D354A8"/>
    <w:rsid w:val="72D943A5"/>
    <w:rsid w:val="73090EC9"/>
    <w:rsid w:val="730C2768"/>
    <w:rsid w:val="73131732"/>
    <w:rsid w:val="732D4BB8"/>
    <w:rsid w:val="733D0B73"/>
    <w:rsid w:val="734C0DB6"/>
    <w:rsid w:val="735C4462"/>
    <w:rsid w:val="73835288"/>
    <w:rsid w:val="738D1AFA"/>
    <w:rsid w:val="73920EBF"/>
    <w:rsid w:val="73B71703"/>
    <w:rsid w:val="73E2442F"/>
    <w:rsid w:val="73E86D31"/>
    <w:rsid w:val="73F676A0"/>
    <w:rsid w:val="74120CC9"/>
    <w:rsid w:val="741E6BF6"/>
    <w:rsid w:val="74280B1C"/>
    <w:rsid w:val="74320C46"/>
    <w:rsid w:val="74450A3B"/>
    <w:rsid w:val="7454695B"/>
    <w:rsid w:val="748527D2"/>
    <w:rsid w:val="74873FC5"/>
    <w:rsid w:val="748C3B60"/>
    <w:rsid w:val="749008C3"/>
    <w:rsid w:val="74CC6652"/>
    <w:rsid w:val="74FF07D6"/>
    <w:rsid w:val="75063912"/>
    <w:rsid w:val="75236DCA"/>
    <w:rsid w:val="753158B8"/>
    <w:rsid w:val="753D4E5A"/>
    <w:rsid w:val="753F5A32"/>
    <w:rsid w:val="754D07DA"/>
    <w:rsid w:val="75735A9C"/>
    <w:rsid w:val="758901E5"/>
    <w:rsid w:val="758D2B25"/>
    <w:rsid w:val="759529A3"/>
    <w:rsid w:val="759E71AB"/>
    <w:rsid w:val="75A1363B"/>
    <w:rsid w:val="75A5137D"/>
    <w:rsid w:val="75C97D9A"/>
    <w:rsid w:val="75CB4B5C"/>
    <w:rsid w:val="75DA5960"/>
    <w:rsid w:val="75E841DD"/>
    <w:rsid w:val="75F47C0F"/>
    <w:rsid w:val="760342F6"/>
    <w:rsid w:val="76346639"/>
    <w:rsid w:val="763C15B6"/>
    <w:rsid w:val="764A5A81"/>
    <w:rsid w:val="76650B0D"/>
    <w:rsid w:val="769A3F64"/>
    <w:rsid w:val="76A01B45"/>
    <w:rsid w:val="76AB459B"/>
    <w:rsid w:val="76B86E8E"/>
    <w:rsid w:val="76CB3CD0"/>
    <w:rsid w:val="77026547"/>
    <w:rsid w:val="77053F55"/>
    <w:rsid w:val="770B16B4"/>
    <w:rsid w:val="773F310C"/>
    <w:rsid w:val="776B3F01"/>
    <w:rsid w:val="7789082B"/>
    <w:rsid w:val="77A80CB1"/>
    <w:rsid w:val="77CD6969"/>
    <w:rsid w:val="78144598"/>
    <w:rsid w:val="782034D8"/>
    <w:rsid w:val="78300CA6"/>
    <w:rsid w:val="78351913"/>
    <w:rsid w:val="783B2315"/>
    <w:rsid w:val="78632E2A"/>
    <w:rsid w:val="786F3910"/>
    <w:rsid w:val="78827754"/>
    <w:rsid w:val="78BC57F7"/>
    <w:rsid w:val="78CD70A8"/>
    <w:rsid w:val="78E627ED"/>
    <w:rsid w:val="78F47F26"/>
    <w:rsid w:val="78F784A4"/>
    <w:rsid w:val="79170CE2"/>
    <w:rsid w:val="79425135"/>
    <w:rsid w:val="796A0A46"/>
    <w:rsid w:val="79701CA2"/>
    <w:rsid w:val="79954690"/>
    <w:rsid w:val="799B65F3"/>
    <w:rsid w:val="79D33D69"/>
    <w:rsid w:val="79FA77BE"/>
    <w:rsid w:val="7A2B78EC"/>
    <w:rsid w:val="7A2E0F01"/>
    <w:rsid w:val="7A3F16ED"/>
    <w:rsid w:val="7A3F49D8"/>
    <w:rsid w:val="7A417F52"/>
    <w:rsid w:val="7A6801B6"/>
    <w:rsid w:val="7A747570"/>
    <w:rsid w:val="7A7A6384"/>
    <w:rsid w:val="7A7D5124"/>
    <w:rsid w:val="7A903C7E"/>
    <w:rsid w:val="7A9419C0"/>
    <w:rsid w:val="7A973C69"/>
    <w:rsid w:val="7AAD4830"/>
    <w:rsid w:val="7AD324E9"/>
    <w:rsid w:val="7AE244DA"/>
    <w:rsid w:val="7B0326A2"/>
    <w:rsid w:val="7B0C1557"/>
    <w:rsid w:val="7B4231CA"/>
    <w:rsid w:val="7B450F0D"/>
    <w:rsid w:val="7B8B738F"/>
    <w:rsid w:val="7BFF6169"/>
    <w:rsid w:val="7C273558"/>
    <w:rsid w:val="7C30396B"/>
    <w:rsid w:val="7C5A430A"/>
    <w:rsid w:val="7C5E2286"/>
    <w:rsid w:val="7C6802D2"/>
    <w:rsid w:val="7C790514"/>
    <w:rsid w:val="7C7D79F7"/>
    <w:rsid w:val="7C947A56"/>
    <w:rsid w:val="7CCD7A5C"/>
    <w:rsid w:val="7CD50824"/>
    <w:rsid w:val="7D101A03"/>
    <w:rsid w:val="7D165F0A"/>
    <w:rsid w:val="7D1E6B66"/>
    <w:rsid w:val="7D243A2A"/>
    <w:rsid w:val="7D532A49"/>
    <w:rsid w:val="7D5A0C9F"/>
    <w:rsid w:val="7D5B4A17"/>
    <w:rsid w:val="7D5D5266"/>
    <w:rsid w:val="7D6F0D80"/>
    <w:rsid w:val="7D702444"/>
    <w:rsid w:val="7D7312FC"/>
    <w:rsid w:val="7DA30D25"/>
    <w:rsid w:val="7DA50639"/>
    <w:rsid w:val="7DA63C42"/>
    <w:rsid w:val="7DAC20E7"/>
    <w:rsid w:val="7DB11BF9"/>
    <w:rsid w:val="7DB97018"/>
    <w:rsid w:val="7DE70059"/>
    <w:rsid w:val="7E1075B0"/>
    <w:rsid w:val="7E15161E"/>
    <w:rsid w:val="7E1B7F14"/>
    <w:rsid w:val="7E417850"/>
    <w:rsid w:val="7E953F59"/>
    <w:rsid w:val="7EBF0A29"/>
    <w:rsid w:val="7EDD530F"/>
    <w:rsid w:val="7EF7251E"/>
    <w:rsid w:val="7F016F84"/>
    <w:rsid w:val="7F2552DD"/>
    <w:rsid w:val="7F517E80"/>
    <w:rsid w:val="7F622A13"/>
    <w:rsid w:val="7F6D27E0"/>
    <w:rsid w:val="7F7B5911"/>
    <w:rsid w:val="7F8F46AD"/>
    <w:rsid w:val="7F967F89"/>
    <w:rsid w:val="7F9B3D14"/>
    <w:rsid w:val="7F9B559F"/>
    <w:rsid w:val="7FA25815"/>
    <w:rsid w:val="7FA75CF2"/>
    <w:rsid w:val="7FFF78DC"/>
    <w:rsid w:val="B7FA93ED"/>
    <w:rsid w:val="CFFE74E9"/>
    <w:rsid w:val="D75E3566"/>
    <w:rsid w:val="F1F763EB"/>
    <w:rsid w:val="F3FF6BA7"/>
    <w:rsid w:val="F4FF87BD"/>
    <w:rsid w:val="FAFFCFC1"/>
    <w:rsid w:val="FDF1B084"/>
    <w:rsid w:val="FE359F2F"/>
    <w:rsid w:val="FFEF79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paragraph" w:styleId="2">
    <w:name w:val="heading 1"/>
    <w:basedOn w:val="3"/>
    <w:next w:val="3"/>
    <w:qFormat/>
    <w:uiPriority w:val="0"/>
    <w:pPr>
      <w:spacing w:before="90"/>
      <w:ind w:right="608"/>
      <w:jc w:val="center"/>
      <w:outlineLvl w:val="0"/>
    </w:pPr>
    <w:rPr>
      <w:b/>
      <w:bCs/>
      <w:sz w:val="36"/>
      <w:szCs w:val="36"/>
    </w:rPr>
  </w:style>
  <w:style w:type="paragraph" w:styleId="4">
    <w:name w:val="heading 2"/>
    <w:basedOn w:val="1"/>
    <w:next w:val="1"/>
    <w:qFormat/>
    <w:uiPriority w:val="0"/>
    <w:pPr>
      <w:ind w:right="610"/>
      <w:jc w:val="center"/>
      <w:outlineLvl w:val="1"/>
    </w:pPr>
    <w:rPr>
      <w:rFonts w:ascii="Times New Roman" w:hAnsi="Times New Roman" w:cs="Times New Roman"/>
      <w:b/>
      <w:bCs/>
      <w:sz w:val="32"/>
      <w:szCs w:val="32"/>
    </w:rPr>
  </w:style>
  <w:style w:type="paragraph" w:styleId="5">
    <w:name w:val="heading 3"/>
    <w:basedOn w:val="1"/>
    <w:next w:val="1"/>
    <w:link w:val="34"/>
    <w:qFormat/>
    <w:uiPriority w:val="0"/>
    <w:pPr>
      <w:spacing w:before="1"/>
      <w:ind w:left="637"/>
      <w:jc w:val="center"/>
      <w:outlineLvl w:val="2"/>
    </w:pPr>
    <w:rPr>
      <w:rFonts w:ascii="Times New Roman" w:hAnsi="Times New Roman" w:cs="Times New Roman"/>
      <w:b/>
      <w:bCs/>
      <w:sz w:val="28"/>
      <w:szCs w:val="24"/>
    </w:rPr>
  </w:style>
  <w:style w:type="paragraph" w:styleId="6">
    <w:name w:val="heading 4"/>
    <w:basedOn w:val="1"/>
    <w:next w:val="1"/>
    <w:qFormat/>
    <w:uiPriority w:val="0"/>
    <w:pPr>
      <w:keepNext/>
      <w:keepLines/>
      <w:spacing w:before="100" w:beforeAutospacing="1" w:after="100" w:afterAutospacing="1" w:line="372" w:lineRule="auto"/>
      <w:ind w:left="864" w:hanging="864"/>
      <w:jc w:val="both"/>
      <w:outlineLvl w:val="3"/>
    </w:pPr>
    <w:rPr>
      <w:rFonts w:ascii="Arial" w:hAnsi="Arial" w:eastAsia="黑体" w:cs="Times New Roman"/>
      <w:b/>
      <w:kern w:val="2"/>
      <w:sz w:val="28"/>
      <w:szCs w:val="28"/>
      <w:lang w:val="en-US" w:bidi="ar-SA"/>
    </w:rPr>
  </w:style>
  <w:style w:type="character" w:default="1" w:styleId="28">
    <w:name w:val="Default Paragraph Font"/>
    <w:qFormat/>
    <w:uiPriority w:val="0"/>
    <w:rPr>
      <w:rFonts w:ascii="Times New Roman" w:hAnsi="Times New Roman" w:eastAsia="宋体" w:cs="Times New Roman"/>
    </w:rPr>
  </w:style>
  <w:style w:type="table" w:default="1" w:styleId="26">
    <w:name w:val="Normal Table"/>
    <w:qFormat/>
    <w:uiPriority w:val="0"/>
    <w:tblPr>
      <w:tblCellMar>
        <w:top w:w="0" w:type="dxa"/>
        <w:left w:w="108" w:type="dxa"/>
        <w:bottom w:w="0" w:type="dxa"/>
        <w:right w:w="108" w:type="dxa"/>
      </w:tblCellMar>
    </w:tblPr>
  </w:style>
  <w:style w:type="paragraph" w:styleId="3">
    <w:name w:val="Block Text"/>
    <w:basedOn w:val="1"/>
    <w:qFormat/>
    <w:uiPriority w:val="0"/>
    <w:pPr>
      <w:spacing w:after="120"/>
      <w:ind w:left="700" w:leftChars="700" w:right="700" w:rightChars="700"/>
    </w:pPr>
    <w:rPr>
      <w:rFonts w:ascii="Times New Roman" w:hAnsi="Times New Roman" w:cs="Times New Roman"/>
      <w:szCs w:val="21"/>
    </w:rPr>
  </w:style>
  <w:style w:type="paragraph" w:styleId="7">
    <w:name w:val="List 3"/>
    <w:basedOn w:val="1"/>
    <w:qFormat/>
    <w:uiPriority w:val="0"/>
    <w:pPr>
      <w:adjustRightInd w:val="0"/>
      <w:snapToGrid w:val="0"/>
      <w:spacing w:line="360" w:lineRule="auto"/>
      <w:ind w:left="100" w:leftChars="400" w:hanging="200" w:hangingChars="200"/>
    </w:pPr>
    <w:rPr>
      <w:rFonts w:ascii="Times New Roman" w:hAnsi="Times New Roman" w:cs="Times New Roman"/>
      <w:sz w:val="24"/>
      <w:szCs w:val="20"/>
    </w:rPr>
  </w:style>
  <w:style w:type="paragraph" w:styleId="8">
    <w:name w:val="table of authorities"/>
    <w:basedOn w:val="1"/>
    <w:next w:val="1"/>
    <w:qFormat/>
    <w:uiPriority w:val="0"/>
    <w:pPr>
      <w:ind w:left="200" w:leftChars="200"/>
    </w:pPr>
    <w:rPr>
      <w:rFonts w:ascii="Times New Roman" w:hAnsi="Times New Roman" w:cs="Times New Roman"/>
    </w:rPr>
  </w:style>
  <w:style w:type="paragraph" w:styleId="9">
    <w:name w:val="Normal Indent"/>
    <w:basedOn w:val="1"/>
    <w:qFormat/>
    <w:uiPriority w:val="0"/>
    <w:pPr>
      <w:ind w:firstLine="420"/>
    </w:pPr>
    <w:rPr>
      <w:rFonts w:ascii="Times New Roman" w:hAnsi="Times New Roman" w:cs="Times New Roman"/>
    </w:rPr>
  </w:style>
  <w:style w:type="paragraph" w:styleId="10">
    <w:name w:val="Document Map"/>
    <w:basedOn w:val="1"/>
    <w:link w:val="35"/>
    <w:qFormat/>
    <w:uiPriority w:val="0"/>
    <w:rPr>
      <w:rFonts w:ascii="Times New Roman" w:hAnsi="Times New Roman" w:cs="Times New Roman"/>
      <w:sz w:val="18"/>
      <w:szCs w:val="18"/>
    </w:rPr>
  </w:style>
  <w:style w:type="paragraph" w:styleId="11">
    <w:name w:val="toa heading"/>
    <w:basedOn w:val="1"/>
    <w:next w:val="1"/>
    <w:qFormat/>
    <w:uiPriority w:val="0"/>
    <w:pPr>
      <w:spacing w:before="120"/>
    </w:pPr>
    <w:rPr>
      <w:rFonts w:ascii="Arial" w:hAnsi="Arial" w:eastAsia="仿宋" w:cs="Times New Roman"/>
      <w:sz w:val="24"/>
      <w:szCs w:val="20"/>
    </w:rPr>
  </w:style>
  <w:style w:type="paragraph" w:styleId="12">
    <w:name w:val="annotation text"/>
    <w:basedOn w:val="1"/>
    <w:link w:val="36"/>
    <w:qFormat/>
    <w:uiPriority w:val="0"/>
    <w:rPr>
      <w:rFonts w:ascii="Times New Roman" w:hAnsi="Times New Roman" w:cs="Times New Roman"/>
    </w:rPr>
  </w:style>
  <w:style w:type="paragraph" w:styleId="13">
    <w:name w:val="index 6"/>
    <w:basedOn w:val="1"/>
    <w:next w:val="1"/>
    <w:qFormat/>
    <w:uiPriority w:val="0"/>
    <w:pPr>
      <w:ind w:left="2100"/>
    </w:pPr>
    <w:rPr>
      <w:rFonts w:ascii="Times New Roman" w:hAnsi="Times New Roman" w:cs="Times New Roman"/>
    </w:rPr>
  </w:style>
  <w:style w:type="paragraph" w:styleId="14">
    <w:name w:val="Body Text"/>
    <w:basedOn w:val="1"/>
    <w:next w:val="1"/>
    <w:qFormat/>
    <w:uiPriority w:val="0"/>
    <w:pPr>
      <w:spacing w:before="1"/>
      <w:ind w:left="637"/>
    </w:pPr>
    <w:rPr>
      <w:rFonts w:ascii="Times New Roman" w:hAnsi="Times New Roman" w:cs="Times New Roman"/>
      <w:sz w:val="24"/>
      <w:szCs w:val="24"/>
    </w:rPr>
  </w:style>
  <w:style w:type="paragraph" w:styleId="15">
    <w:name w:val="Body Text Indent"/>
    <w:basedOn w:val="1"/>
    <w:next w:val="16"/>
    <w:qFormat/>
    <w:uiPriority w:val="0"/>
    <w:pPr>
      <w:spacing w:after="120"/>
      <w:ind w:left="420" w:leftChars="200"/>
    </w:pPr>
    <w:rPr>
      <w:rFonts w:ascii="Times New Roman" w:hAnsi="Times New Roman" w:cs="Times New Roman"/>
    </w:rPr>
  </w:style>
  <w:style w:type="paragraph" w:styleId="16">
    <w:name w:val="toc 5"/>
    <w:basedOn w:val="1"/>
    <w:next w:val="1"/>
    <w:qFormat/>
    <w:uiPriority w:val="0"/>
    <w:pPr>
      <w:ind w:left="840"/>
    </w:pPr>
    <w:rPr>
      <w:rFonts w:ascii="Calibri" w:hAnsi="Calibri" w:cs="Times New Roman"/>
      <w:sz w:val="18"/>
      <w:szCs w:val="18"/>
    </w:rPr>
  </w:style>
  <w:style w:type="paragraph" w:styleId="17">
    <w:name w:val="Plain Text"/>
    <w:basedOn w:val="1"/>
    <w:qFormat/>
    <w:uiPriority w:val="0"/>
    <w:rPr>
      <w:rFonts w:hAnsi="Courier New" w:cs="Courier New"/>
      <w:szCs w:val="21"/>
    </w:rPr>
  </w:style>
  <w:style w:type="paragraph" w:styleId="18">
    <w:name w:val="Balloon Text"/>
    <w:basedOn w:val="1"/>
    <w:link w:val="37"/>
    <w:qFormat/>
    <w:uiPriority w:val="0"/>
    <w:rPr>
      <w:rFonts w:ascii="Times New Roman" w:hAnsi="Times New Roman" w:cs="Times New Roman"/>
      <w:sz w:val="18"/>
      <w:szCs w:val="18"/>
    </w:rPr>
  </w:style>
  <w:style w:type="paragraph" w:styleId="19">
    <w:name w:val="footer"/>
    <w:basedOn w:val="1"/>
    <w:qFormat/>
    <w:uiPriority w:val="0"/>
    <w:pPr>
      <w:tabs>
        <w:tab w:val="center" w:pos="4153"/>
        <w:tab w:val="right" w:pos="8306"/>
      </w:tabs>
      <w:snapToGrid w:val="0"/>
    </w:pPr>
    <w:rPr>
      <w:rFonts w:ascii="Calibri" w:hAnsi="Calibri" w:cs="Times New Roman"/>
      <w:sz w:val="18"/>
    </w:rPr>
  </w:style>
  <w:style w:type="paragraph" w:styleId="20">
    <w:name w:val="envelope return"/>
    <w:basedOn w:val="1"/>
    <w:qFormat/>
    <w:uiPriority w:val="0"/>
    <w:pPr>
      <w:snapToGrid w:val="0"/>
    </w:pPr>
    <w:rPr>
      <w:rFonts w:ascii="Arial" w:hAnsi="Arial" w:cs="Times New Roman"/>
    </w:rPr>
  </w:style>
  <w:style w:type="paragraph" w:styleId="21">
    <w:name w:val="header"/>
    <w:basedOn w:val="1"/>
    <w:qFormat/>
    <w:uiPriority w:val="0"/>
    <w:pPr>
      <w:pBdr>
        <w:bottom w:val="single" w:color="auto" w:sz="6" w:space="1"/>
      </w:pBdr>
      <w:tabs>
        <w:tab w:val="center" w:pos="4153"/>
        <w:tab w:val="right" w:pos="8306"/>
      </w:tabs>
      <w:snapToGrid w:val="0"/>
      <w:jc w:val="center"/>
    </w:pPr>
    <w:rPr>
      <w:rFonts w:ascii="Calibri" w:hAnsi="Calibri" w:cs="Times New Roman"/>
      <w:sz w:val="18"/>
    </w:rPr>
  </w:style>
  <w:style w:type="paragraph" w:styleId="22">
    <w:name w:val="Normal (Web)"/>
    <w:basedOn w:val="1"/>
    <w:next w:val="1"/>
    <w:qFormat/>
    <w:uiPriority w:val="0"/>
    <w:pPr>
      <w:spacing w:before="100" w:beforeAutospacing="1" w:after="100" w:afterAutospacing="1"/>
    </w:pPr>
    <w:rPr>
      <w:rFonts w:cs="Times New Roman"/>
      <w:kern w:val="1"/>
      <w:sz w:val="24"/>
      <w:szCs w:val="20"/>
    </w:rPr>
  </w:style>
  <w:style w:type="paragraph" w:styleId="23">
    <w:name w:val="annotation subject"/>
    <w:basedOn w:val="12"/>
    <w:next w:val="12"/>
    <w:link w:val="38"/>
    <w:qFormat/>
    <w:uiPriority w:val="0"/>
    <w:rPr>
      <w:b/>
      <w:bCs/>
    </w:rPr>
  </w:style>
  <w:style w:type="paragraph" w:styleId="24">
    <w:name w:val="Body Text First Indent"/>
    <w:basedOn w:val="14"/>
    <w:next w:val="1"/>
    <w:qFormat/>
    <w:uiPriority w:val="0"/>
    <w:pPr>
      <w:spacing w:after="120"/>
      <w:ind w:firstLine="420" w:firstLineChars="100"/>
    </w:pPr>
    <w:rPr>
      <w:sz w:val="21"/>
    </w:rPr>
  </w:style>
  <w:style w:type="paragraph" w:styleId="25">
    <w:name w:val="Body Text First Indent 2"/>
    <w:basedOn w:val="15"/>
    <w:next w:val="1"/>
    <w:qFormat/>
    <w:uiPriority w:val="0"/>
    <w:pPr>
      <w:ind w:left="200" w:firstLine="200" w:firstLineChars="200"/>
      <w:jc w:val="both"/>
    </w:pPr>
    <w:rPr>
      <w:kern w:val="2"/>
      <w:sz w:val="21"/>
      <w:lang w:bidi="ar-SA"/>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0"/>
    <w:rPr>
      <w:rFonts w:ascii="Times New Roman" w:hAnsi="Times New Roman" w:eastAsia="宋体" w:cs="Times New Roman"/>
      <w:b/>
    </w:rPr>
  </w:style>
  <w:style w:type="character" w:styleId="30">
    <w:name w:val="page number"/>
    <w:basedOn w:val="28"/>
    <w:qFormat/>
    <w:uiPriority w:val="0"/>
    <w:rPr>
      <w:rFonts w:ascii="Times New Roman" w:hAnsi="Times New Roman" w:eastAsia="宋体" w:cs="Times New Roman"/>
    </w:rPr>
  </w:style>
  <w:style w:type="character" w:styleId="31">
    <w:name w:val="Hyperlink"/>
    <w:qFormat/>
    <w:uiPriority w:val="0"/>
    <w:rPr>
      <w:rFonts w:ascii="Times New Roman" w:hAnsi="Times New Roman" w:eastAsia="宋体" w:cs="Times New Roman"/>
      <w:color w:val="0000FF"/>
      <w:u w:val="single"/>
    </w:rPr>
  </w:style>
  <w:style w:type="character" w:styleId="32">
    <w:name w:val="annotation reference"/>
    <w:qFormat/>
    <w:uiPriority w:val="0"/>
    <w:rPr>
      <w:rFonts w:ascii="Times New Roman" w:hAnsi="Times New Roman" w:eastAsia="宋体" w:cs="Times New Roman"/>
      <w:sz w:val="21"/>
      <w:szCs w:val="21"/>
    </w:rPr>
  </w:style>
  <w:style w:type="character" w:styleId="33">
    <w:name w:val="HTML Sample"/>
    <w:qFormat/>
    <w:uiPriority w:val="0"/>
    <w:rPr>
      <w:rFonts w:ascii="Courier New" w:hAnsi="Courier New" w:eastAsia="宋体" w:cs="Times New Roman"/>
    </w:rPr>
  </w:style>
  <w:style w:type="character" w:customStyle="1" w:styleId="34">
    <w:name w:val="标题 3 Char"/>
    <w:link w:val="5"/>
    <w:qFormat/>
    <w:uiPriority w:val="0"/>
    <w:rPr>
      <w:rFonts w:ascii="Times New Roman" w:hAnsi="Times New Roman" w:eastAsia="宋体" w:cs="Times New Roman"/>
      <w:b/>
      <w:bCs/>
      <w:sz w:val="28"/>
      <w:szCs w:val="24"/>
    </w:rPr>
  </w:style>
  <w:style w:type="character" w:customStyle="1" w:styleId="35">
    <w:name w:val="文档结构图 Char"/>
    <w:link w:val="10"/>
    <w:qFormat/>
    <w:uiPriority w:val="0"/>
    <w:rPr>
      <w:rFonts w:ascii="宋体" w:hAnsi="宋体" w:eastAsia="宋体" w:cs="宋体"/>
      <w:sz w:val="18"/>
      <w:szCs w:val="18"/>
      <w:lang w:val="zh-CN" w:bidi="zh-CN"/>
    </w:rPr>
  </w:style>
  <w:style w:type="character" w:customStyle="1" w:styleId="36">
    <w:name w:val="批注文字 Char"/>
    <w:link w:val="12"/>
    <w:qFormat/>
    <w:uiPriority w:val="0"/>
    <w:rPr>
      <w:rFonts w:ascii="宋体" w:hAnsi="宋体" w:eastAsia="宋体" w:cs="宋体"/>
      <w:sz w:val="22"/>
      <w:szCs w:val="22"/>
      <w:lang w:val="zh-CN" w:bidi="zh-CN"/>
    </w:rPr>
  </w:style>
  <w:style w:type="character" w:customStyle="1" w:styleId="37">
    <w:name w:val="批注框文本 Char"/>
    <w:link w:val="18"/>
    <w:qFormat/>
    <w:uiPriority w:val="0"/>
    <w:rPr>
      <w:rFonts w:ascii="宋体" w:hAnsi="宋体" w:eastAsia="宋体" w:cs="宋体"/>
      <w:sz w:val="18"/>
      <w:szCs w:val="18"/>
      <w:lang w:val="zh-CN" w:bidi="zh-CN"/>
    </w:rPr>
  </w:style>
  <w:style w:type="character" w:customStyle="1" w:styleId="38">
    <w:name w:val="批注主题 Char"/>
    <w:link w:val="23"/>
    <w:qFormat/>
    <w:uiPriority w:val="0"/>
    <w:rPr>
      <w:rFonts w:ascii="宋体" w:hAnsi="宋体" w:eastAsia="宋体" w:cs="宋体"/>
      <w:b/>
      <w:bCs/>
      <w:sz w:val="22"/>
      <w:szCs w:val="22"/>
      <w:lang w:val="zh-CN" w:bidi="zh-CN"/>
    </w:rPr>
  </w:style>
  <w:style w:type="paragraph" w:customStyle="1" w:styleId="39">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40">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表格文字2"/>
    <w:basedOn w:val="41"/>
    <w:qFormat/>
    <w:uiPriority w:val="0"/>
    <w:pPr>
      <w:spacing w:before="25" w:after="25"/>
      <w:jc w:val="left"/>
    </w:pPr>
    <w:rPr>
      <w:rFonts w:ascii="Times New Roman" w:hAnsi="Times New Roman"/>
      <w:bCs/>
      <w:spacing w:val="10"/>
      <w:kern w:val="0"/>
    </w:rPr>
  </w:style>
  <w:style w:type="paragraph" w:styleId="43">
    <w:name w:val="List Paragraph"/>
    <w:basedOn w:val="1"/>
    <w:qFormat/>
    <w:uiPriority w:val="0"/>
    <w:pPr>
      <w:spacing w:before="1"/>
      <w:ind w:left="637" w:firstLine="480"/>
    </w:pPr>
    <w:rPr>
      <w:rFonts w:ascii="Times New Roman" w:hAnsi="Times New Roman" w:cs="Times New Roman"/>
    </w:rPr>
  </w:style>
  <w:style w:type="paragraph" w:customStyle="1" w:styleId="44">
    <w:name w:val="Default"/>
    <w:qFormat/>
    <w:uiPriority w:val="0"/>
    <w:pPr>
      <w:widowControl w:val="0"/>
      <w:autoSpaceDE w:val="0"/>
      <w:autoSpaceDN w:val="0"/>
      <w:adjustRightInd w:val="0"/>
    </w:pPr>
    <w:rPr>
      <w:rFonts w:ascii="新宋体" w:hAnsi="Calibri" w:eastAsia="新宋体" w:cs="Times New Roman"/>
      <w:color w:val="000000"/>
      <w:sz w:val="24"/>
      <w:szCs w:val="24"/>
      <w:lang w:val="en-US" w:eastAsia="zh-CN" w:bidi="ar-SA"/>
    </w:rPr>
  </w:style>
  <w:style w:type="paragraph" w:customStyle="1" w:styleId="45">
    <w:name w:val="p0"/>
    <w:basedOn w:val="1"/>
    <w:qFormat/>
    <w:uiPriority w:val="0"/>
    <w:pPr>
      <w:widowControl/>
    </w:pPr>
    <w:rPr>
      <w:rFonts w:ascii="Times New Roman" w:hAnsi="Times New Roman" w:cs="Times New Roman"/>
      <w:szCs w:val="21"/>
    </w:rPr>
  </w:style>
  <w:style w:type="paragraph" w:customStyle="1" w:styleId="46">
    <w:name w:val="正文_0_0_0_0"/>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47">
    <w:name w:val="Table Paragraph"/>
    <w:basedOn w:val="1"/>
    <w:qFormat/>
    <w:uiPriority w:val="0"/>
    <w:rPr>
      <w:rFonts w:ascii="Times New Roman" w:hAnsi="Times New Roman" w:cs="Times New Roman"/>
    </w:rPr>
  </w:style>
  <w:style w:type="paragraph" w:customStyle="1" w:styleId="48">
    <w:name w:val="列出段落1"/>
    <w:basedOn w:val="1"/>
    <w:qFormat/>
    <w:uiPriority w:val="0"/>
    <w:pPr>
      <w:ind w:firstLine="420" w:firstLineChars="200"/>
    </w:pPr>
    <w:rPr>
      <w:rFonts w:ascii="Times New Roman" w:hAnsi="Times New Roman" w:cs="Times New Roman"/>
    </w:rPr>
  </w:style>
  <w:style w:type="paragraph" w:customStyle="1" w:styleId="49">
    <w:name w:val="È±Ê¡ÎÄ±¾"/>
    <w:basedOn w:val="1"/>
    <w:qFormat/>
    <w:uiPriority w:val="0"/>
    <w:pPr>
      <w:widowControl/>
      <w:overflowPunct w:val="0"/>
      <w:adjustRightInd w:val="0"/>
      <w:textAlignment w:val="baseline"/>
    </w:pPr>
    <w:rPr>
      <w:rFonts w:ascii="Times New Roman" w:hAnsi="Times New Roman" w:cs="Times New Roman"/>
      <w:sz w:val="24"/>
      <w:szCs w:val="20"/>
    </w:rPr>
  </w:style>
  <w:style w:type="paragraph" w:customStyle="1" w:styleId="50">
    <w:name w:val="正文_0_0_2"/>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51">
    <w:name w:val="正文缩进1"/>
    <w:basedOn w:val="1"/>
    <w:qFormat/>
    <w:uiPriority w:val="0"/>
    <w:pPr>
      <w:ind w:firstLine="420"/>
    </w:pPr>
    <w:rPr>
      <w:rFonts w:ascii="Times New Roman" w:hAnsi="Times New Roman" w:cs="Times New Roman"/>
    </w:rPr>
  </w:style>
  <w:style w:type="character" w:customStyle="1" w:styleId="52">
    <w:name w:val="font71"/>
    <w:qFormat/>
    <w:uiPriority w:val="0"/>
    <w:rPr>
      <w:rFonts w:hint="eastAsia" w:ascii="宋体" w:hAnsi="宋体" w:eastAsia="宋体" w:cs="宋体"/>
      <w:color w:val="000000"/>
      <w:sz w:val="21"/>
      <w:szCs w:val="21"/>
      <w:u w:val="none"/>
    </w:rPr>
  </w:style>
  <w:style w:type="character" w:customStyle="1" w:styleId="53">
    <w:name w:val="font01"/>
    <w:qFormat/>
    <w:uiPriority w:val="0"/>
    <w:rPr>
      <w:rFonts w:hint="default" w:ascii="Times New Roman" w:hAnsi="Times New Roman" w:eastAsia="宋体" w:cs="Times New Roman"/>
      <w:color w:val="000000"/>
      <w:sz w:val="22"/>
      <w:szCs w:val="22"/>
      <w:u w:val="none"/>
    </w:rPr>
  </w:style>
  <w:style w:type="character" w:customStyle="1" w:styleId="54">
    <w:name w:val="15"/>
    <w:qFormat/>
    <w:uiPriority w:val="0"/>
    <w:rPr>
      <w:rFonts w:hint="default" w:ascii="Wingdings" w:hAnsi="Wingdings" w:eastAsia="宋体" w:cs="Times New Roman"/>
    </w:rPr>
  </w:style>
  <w:style w:type="character" w:customStyle="1" w:styleId="55">
    <w:name w:val="font21"/>
    <w:basedOn w:val="28"/>
    <w:qFormat/>
    <w:uiPriority w:val="0"/>
    <w:rPr>
      <w:rFonts w:hint="eastAsia" w:ascii="宋体" w:hAnsi="宋体" w:eastAsia="宋体" w:cs="宋体"/>
      <w:color w:val="000000"/>
      <w:sz w:val="24"/>
      <w:szCs w:val="24"/>
      <w:u w:val="none"/>
    </w:rPr>
  </w:style>
  <w:style w:type="character" w:customStyle="1" w:styleId="56">
    <w:name w:val="fontstyle01"/>
    <w:basedOn w:val="28"/>
    <w:qFormat/>
    <w:uiPriority w:val="0"/>
    <w:rPr>
      <w:rFonts w:hint="eastAsia" w:ascii="宋体" w:hAnsi="宋体" w:eastAsia="宋体" w:cs="Times New Roman"/>
      <w:color w:val="000000"/>
      <w:sz w:val="22"/>
      <w:szCs w:val="22"/>
    </w:rPr>
  </w:style>
  <w:style w:type="character" w:customStyle="1" w:styleId="57">
    <w:name w:val="font11"/>
    <w:qFormat/>
    <w:uiPriority w:val="0"/>
    <w:rPr>
      <w:rFonts w:hint="eastAsia" w:ascii="宋体" w:hAnsi="宋体" w:eastAsia="宋体" w:cs="宋体"/>
      <w:color w:val="000000"/>
      <w:sz w:val="22"/>
      <w:szCs w:val="22"/>
      <w:u w:val="none"/>
    </w:rPr>
  </w:style>
  <w:style w:type="character" w:customStyle="1" w:styleId="58">
    <w:name w:val="10"/>
    <w:qFormat/>
    <w:uiPriority w:val="0"/>
    <w:rPr>
      <w:rFonts w:hint="default" w:ascii="Wingdings" w:hAnsi="Wingdings" w:eastAsia="宋体" w:cs="Wingdings"/>
    </w:rPr>
  </w:style>
  <w:style w:type="character" w:customStyle="1" w:styleId="59">
    <w:name w:val="font41"/>
    <w:qFormat/>
    <w:uiPriority w:val="0"/>
    <w:rPr>
      <w:rFonts w:hint="eastAsia" w:ascii="宋体" w:hAnsi="宋体" w:eastAsia="宋体" w:cs="宋体"/>
      <w:color w:val="000000"/>
      <w:sz w:val="21"/>
      <w:szCs w:val="21"/>
      <w:u w:val="none"/>
    </w:rPr>
  </w:style>
  <w:style w:type="paragraph" w:customStyle="1" w:styleId="60">
    <w:name w:val="列表段落2"/>
    <w:basedOn w:val="1"/>
    <w:qFormat/>
    <w:uiPriority w:val="0"/>
    <w:pPr>
      <w:ind w:firstLine="420" w:firstLineChars="200"/>
      <w:jc w:val="both"/>
    </w:pPr>
    <w:rPr>
      <w:rFonts w:ascii="Calibri" w:hAnsi="Calibri" w:cs="Times New Roman"/>
      <w:kern w:val="2"/>
      <w:sz w:val="21"/>
      <w:szCs w:val="21"/>
      <w:lang w:val="en-US" w:bidi="ar-SA"/>
    </w:rPr>
  </w:style>
  <w:style w:type="paragraph" w:customStyle="1" w:styleId="61">
    <w:name w:val="首行缩进"/>
    <w:basedOn w:val="1"/>
    <w:qFormat/>
    <w:uiPriority w:val="0"/>
    <w:pPr>
      <w:spacing w:line="360" w:lineRule="auto"/>
      <w:ind w:firstLine="720" w:firstLineChars="200"/>
    </w:pPr>
    <w:rPr>
      <w:rFonts w:ascii="Times New Roman" w:hAnsi="Times New Roman" w:cs="Times New Roman"/>
      <w:sz w:val="24"/>
    </w:rPr>
  </w:style>
  <w:style w:type="paragraph" w:customStyle="1" w:styleId="62">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
    <w:name w:val="正文_3_1"/>
    <w:basedOn w:val="62"/>
    <w:qFormat/>
    <w:uiPriority w:val="0"/>
    <w:rPr>
      <w:szCs w:val="21"/>
    </w:rPr>
  </w:style>
  <w:style w:type="paragraph" w:customStyle="1" w:styleId="64">
    <w:name w:val="reader-word-layer reader-word-s1-14"/>
    <w:basedOn w:val="1"/>
    <w:qFormat/>
    <w:uiPriority w:val="0"/>
    <w:pPr>
      <w:widowControl/>
      <w:spacing w:before="100" w:beforeAutospacing="1" w:after="100" w:afterAutospacing="1"/>
    </w:pPr>
    <w:rPr>
      <w:sz w:val="24"/>
    </w:rPr>
  </w:style>
  <w:style w:type="paragraph" w:customStyle="1" w:styleId="65">
    <w:name w:val="_Style 2"/>
    <w:basedOn w:val="1"/>
    <w:qFormat/>
    <w:uiPriority w:val="0"/>
    <w:pPr>
      <w:spacing w:before="1"/>
      <w:ind w:left="637" w:firstLine="480"/>
    </w:pPr>
    <w:rPr>
      <w:rFonts w:ascii="Times New Roman" w:hAnsi="Times New Roman" w:cs="Times New Roman"/>
    </w:rPr>
  </w:style>
  <w:style w:type="paragraph" w:customStyle="1" w:styleId="66">
    <w:name w:val="文档正文"/>
    <w:basedOn w:val="1"/>
    <w:qFormat/>
    <w:uiPriority w:val="0"/>
    <w:pPr>
      <w:adjustRightInd w:val="0"/>
      <w:snapToGrid w:val="0"/>
      <w:spacing w:line="288" w:lineRule="auto"/>
      <w:ind w:firstLine="420" w:firstLineChars="200"/>
      <w:jc w:val="center"/>
      <w:textAlignment w:val="baseline"/>
    </w:pPr>
    <w:rPr>
      <w:bCs/>
    </w:rPr>
  </w:style>
  <w:style w:type="paragraph" w:customStyle="1" w:styleId="67">
    <w:name w:val="列表段落1"/>
    <w:basedOn w:val="1"/>
    <w:qFormat/>
    <w:uiPriority w:val="0"/>
    <w:pPr>
      <w:ind w:firstLine="420" w:firstLineChars="200"/>
    </w:pPr>
    <w:rPr>
      <w:rFonts w:ascii="Times New Roman" w:hAnsi="Times New Roman" w:cs="Times New Roman"/>
    </w:rPr>
  </w:style>
  <w:style w:type="paragraph" w:customStyle="1" w:styleId="68">
    <w:name w:val="Heading 2"/>
    <w:basedOn w:val="1"/>
    <w:qFormat/>
    <w:uiPriority w:val="0"/>
    <w:pPr>
      <w:spacing w:before="41"/>
      <w:ind w:left="1702"/>
      <w:outlineLvl w:val="2"/>
    </w:pPr>
    <w:rPr>
      <w:rFonts w:ascii="Times New Roman" w:hAnsi="Times New Roman" w:cs="Times New Roman"/>
      <w:b/>
      <w:bCs/>
      <w:sz w:val="24"/>
      <w:szCs w:val="24"/>
    </w:rPr>
  </w:style>
  <w:style w:type="paragraph" w:customStyle="1" w:styleId="69">
    <w:name w:val="普通正文"/>
    <w:basedOn w:val="1"/>
    <w:qFormat/>
    <w:uiPriority w:val="0"/>
    <w:pPr>
      <w:adjustRightInd w:val="0"/>
      <w:spacing w:before="120" w:after="120" w:line="360" w:lineRule="auto"/>
      <w:ind w:firstLine="480"/>
      <w:textAlignment w:val="baseline"/>
    </w:pPr>
    <w:rPr>
      <w:rFonts w:ascii="Arial" w:hAnsi="Arial" w:cs="Times New Roman"/>
      <w:sz w:val="24"/>
      <w:szCs w:val="24"/>
    </w:rPr>
  </w:style>
  <w:style w:type="paragraph" w:customStyle="1" w:styleId="70">
    <w:name w:val="无间隔1"/>
    <w:qFormat/>
    <w:uiPriority w:val="0"/>
    <w:pPr>
      <w:widowControl w:val="0"/>
      <w:jc w:val="both"/>
    </w:pPr>
    <w:rPr>
      <w:rFonts w:ascii="Calibri" w:hAnsi="Calibri" w:eastAsia="宋体" w:cs="Times New Roman"/>
      <w:kern w:val="2"/>
      <w:sz w:val="21"/>
      <w:szCs w:val="24"/>
      <w:lang w:val="en-US" w:eastAsia="zh-CN" w:bidi="ar-SA"/>
    </w:rPr>
  </w:style>
  <w:style w:type="paragraph" w:customStyle="1" w:styleId="71">
    <w:name w:val="Other|1"/>
    <w:basedOn w:val="1"/>
    <w:qFormat/>
    <w:uiPriority w:val="0"/>
    <w:pPr>
      <w:jc w:val="center"/>
    </w:pPr>
    <w:rPr>
      <w:rFonts w:ascii="Times New Roman" w:hAnsi="Times New Roman" w:cs="Times New Roman"/>
      <w:sz w:val="20"/>
      <w:szCs w:val="20"/>
      <w:lang w:val="zh-TW" w:eastAsia="zh-TW" w:bidi="zh-TW"/>
    </w:rPr>
  </w:style>
  <w:style w:type="paragraph" w:customStyle="1" w:styleId="72">
    <w:name w:val="_Style 1"/>
    <w:basedOn w:val="1"/>
    <w:qFormat/>
    <w:uiPriority w:val="0"/>
    <w:pPr>
      <w:spacing w:before="1"/>
      <w:ind w:left="637" w:firstLine="480"/>
    </w:pPr>
    <w:rPr>
      <w:rFonts w:ascii="Times New Roman" w:hAnsi="Times New Roman" w:cs="Times New Roman"/>
    </w:rPr>
  </w:style>
  <w:style w:type="paragraph" w:customStyle="1" w:styleId="73">
    <w:name w:val="Normal_8"/>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74">
    <w:name w:val="List Paragraph1"/>
    <w:basedOn w:val="1"/>
    <w:qFormat/>
    <w:uiPriority w:val="0"/>
    <w:pPr>
      <w:widowControl/>
      <w:spacing w:before="5" w:afterLines="50" w:line="312" w:lineRule="auto"/>
      <w:ind w:firstLine="420" w:firstLineChars="200"/>
    </w:pPr>
    <w:rPr>
      <w:rFonts w:ascii="Calibri" w:hAnsi="Calibri" w:cs="Times New Roman"/>
      <w:sz w:val="24"/>
    </w:rPr>
  </w:style>
  <w:style w:type="paragraph" w:customStyle="1" w:styleId="7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6">
    <w:name w:val="Default Tex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77">
    <w:name w:val="列出段落3"/>
    <w:basedOn w:val="1"/>
    <w:qFormat/>
    <w:uiPriority w:val="0"/>
    <w:pPr>
      <w:spacing w:line="360" w:lineRule="auto"/>
      <w:ind w:firstLine="420" w:firstLineChars="200"/>
    </w:pPr>
    <w:rPr>
      <w:rFonts w:ascii="Calibri" w:hAnsi="Calibri" w:cs="Times New Roman"/>
    </w:rPr>
  </w:style>
  <w:style w:type="paragraph" w:customStyle="1" w:styleId="78">
    <w:name w:val="Normal_23"/>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79">
    <w:name w:val="_Style 3"/>
    <w:basedOn w:val="1"/>
    <w:qFormat/>
    <w:uiPriority w:val="0"/>
    <w:pPr>
      <w:ind w:firstLine="420" w:firstLineChars="200"/>
    </w:pPr>
    <w:rPr>
      <w:rFonts w:ascii="Times New Roman" w:hAnsi="Times New Roman" w:cs="Times New Roman"/>
    </w:rPr>
  </w:style>
  <w:style w:type="paragraph" w:customStyle="1" w:styleId="80">
    <w:name w:val="Body text|1"/>
    <w:basedOn w:val="1"/>
    <w:qFormat/>
    <w:uiPriority w:val="0"/>
    <w:pPr>
      <w:spacing w:after="170" w:line="480" w:lineRule="auto"/>
      <w:ind w:firstLine="400"/>
      <w:jc w:val="both"/>
    </w:pPr>
    <w:rPr>
      <w:rFonts w:hint="eastAsia" w:cs="Times New Roman"/>
      <w:kern w:val="2"/>
      <w:lang w:val="en-US" w:bidi="ar-SA"/>
    </w:rPr>
  </w:style>
  <w:style w:type="table" w:customStyle="1" w:styleId="81">
    <w:name w:val="Table Normal"/>
    <w:qFormat/>
    <w:uiPriority w:val="0"/>
    <w:tblPr>
      <w:tblCellMar>
        <w:top w:w="0" w:type="dxa"/>
        <w:left w:w="0" w:type="dxa"/>
        <w:bottom w:w="0" w:type="dxa"/>
        <w:right w:w="0" w:type="dxa"/>
      </w:tblCellMar>
    </w:tblPr>
  </w:style>
  <w:style w:type="character" w:customStyle="1" w:styleId="82">
    <w:name w:val="NormalCharacter"/>
    <w:qFormat/>
    <w:uiPriority w:val="0"/>
    <w:rPr>
      <w:rFonts w:ascii="Times New Roman" w:hAnsi="Times New Roman" w:eastAsia="宋体" w:cs="Times New Roman"/>
    </w:rPr>
  </w:style>
  <w:style w:type="paragraph" w:customStyle="1" w:styleId="83">
    <w:name w:val="主要特点"/>
    <w:basedOn w:val="1"/>
    <w:qFormat/>
    <w:uiPriority w:val="0"/>
    <w:pPr>
      <w:adjustRightInd w:val="0"/>
      <w:spacing w:after="113" w:line="288" w:lineRule="auto"/>
      <w:textAlignment w:val="center"/>
    </w:pPr>
    <w:rPr>
      <w:rFonts w:ascii="方正大黑简体" w:hAnsi="Times New Roman" w:eastAsia="方正大黑简体" w:cs="方正大黑简体"/>
      <w:color w:val="0085C9"/>
      <w:sz w:val="21"/>
      <w:szCs w:val="21"/>
    </w:rPr>
  </w:style>
  <w:style w:type="paragraph" w:customStyle="1" w:styleId="84">
    <w:name w:val="缩进4"/>
    <w:basedOn w:val="1"/>
    <w:qFormat/>
    <w:uiPriority w:val="0"/>
    <w:pPr>
      <w:adjustRightInd w:val="0"/>
      <w:spacing w:line="288" w:lineRule="auto"/>
      <w:ind w:left="227"/>
      <w:textAlignment w:val="center"/>
    </w:pPr>
    <w:rPr>
      <w:rFonts w:ascii="方正黑体简体" w:hAnsi="Times New Roman" w:eastAsia="方正黑体简体" w:cs="方正黑体简体"/>
      <w:color w:val="000000"/>
      <w:sz w:val="18"/>
      <w:szCs w:val="18"/>
    </w:rPr>
  </w:style>
  <w:style w:type="character" w:customStyle="1" w:styleId="85">
    <w:name w:val="黑简9px"/>
    <w:qFormat/>
    <w:uiPriority w:val="0"/>
    <w:rPr>
      <w:rFonts w:ascii="方正黑体简体" w:hAnsi="Times New Roman" w:eastAsia="方正黑体简体" w:cs="方正黑体简体"/>
      <w:sz w:val="16"/>
      <w:szCs w:val="16"/>
    </w:rPr>
  </w:style>
  <w:style w:type="character" w:customStyle="1" w:styleId="86">
    <w:name w:val="黑简10.5px"/>
    <w:qFormat/>
    <w:uiPriority w:val="0"/>
    <w:rPr>
      <w:rFonts w:ascii="方正黑体简体" w:hAnsi="Times New Roman" w:eastAsia="方正黑体简体" w:cs="方正黑体简体"/>
      <w:sz w:val="21"/>
      <w:szCs w:val="21"/>
    </w:rPr>
  </w:style>
  <w:style w:type="paragraph" w:customStyle="1" w:styleId="87">
    <w:name w:val="首行缩进4"/>
    <w:basedOn w:val="1"/>
    <w:qFormat/>
    <w:uiPriority w:val="0"/>
    <w:pPr>
      <w:widowControl/>
      <w:adjustRightInd w:val="0"/>
      <w:spacing w:after="113" w:line="288" w:lineRule="auto"/>
      <w:ind w:firstLine="454"/>
      <w:textAlignment w:val="center"/>
    </w:pPr>
    <w:rPr>
      <w:rFonts w:ascii="方正黑体简体" w:hAnsi="Calibri" w:eastAsia="方正黑体简体" w:cs="方正黑体简体"/>
      <w:color w:val="000000"/>
      <w:szCs w:val="21"/>
      <w:lang w:bidi="en-US"/>
    </w:rPr>
  </w:style>
  <w:style w:type="character" w:customStyle="1" w:styleId="88">
    <w:name w:val="font131"/>
    <w:basedOn w:val="28"/>
    <w:qFormat/>
    <w:uiPriority w:val="0"/>
    <w:rPr>
      <w:rFonts w:hint="default" w:ascii="方正仿宋简体" w:hAnsi="方正仿宋简体" w:eastAsia="方正仿宋简体" w:cs="方正仿宋简体"/>
      <w:color w:val="000000"/>
      <w:sz w:val="16"/>
      <w:szCs w:val="16"/>
      <w:u w:val="none"/>
    </w:rPr>
  </w:style>
  <w:style w:type="character" w:customStyle="1" w:styleId="89">
    <w:name w:val="font151"/>
    <w:basedOn w:val="28"/>
    <w:qFormat/>
    <w:uiPriority w:val="0"/>
    <w:rPr>
      <w:rFonts w:hint="eastAsia" w:ascii="宋体" w:hAnsi="宋体" w:eastAsia="宋体" w:cs="宋体"/>
      <w:color w:val="000000"/>
      <w:sz w:val="16"/>
      <w:szCs w:val="16"/>
      <w:u w:val="none"/>
    </w:rPr>
  </w:style>
  <w:style w:type="character" w:customStyle="1" w:styleId="90">
    <w:name w:val="font251"/>
    <w:basedOn w:val="28"/>
    <w:qFormat/>
    <w:uiPriority w:val="0"/>
    <w:rPr>
      <w:rFonts w:ascii="Arial Unicode MS" w:hAnsi="Arial Unicode MS" w:eastAsia="Arial Unicode MS" w:cs="Arial Unicode MS"/>
      <w:color w:val="000000"/>
      <w:sz w:val="16"/>
      <w:szCs w:val="16"/>
      <w:u w:val="none"/>
    </w:rPr>
  </w:style>
  <w:style w:type="character" w:customStyle="1" w:styleId="91">
    <w:name w:val="font141"/>
    <w:basedOn w:val="28"/>
    <w:qFormat/>
    <w:uiPriority w:val="0"/>
    <w:rPr>
      <w:rFonts w:hint="default" w:ascii="Symbol" w:hAnsi="Symbol" w:eastAsia="宋体" w:cs="Symbol"/>
      <w:color w:val="000000"/>
      <w:sz w:val="20"/>
      <w:szCs w:val="20"/>
      <w:u w:val="none"/>
    </w:rPr>
  </w:style>
  <w:style w:type="character" w:customStyle="1" w:styleId="92">
    <w:name w:val="font261"/>
    <w:basedOn w:val="28"/>
    <w:qFormat/>
    <w:uiPriority w:val="0"/>
    <w:rPr>
      <w:rFonts w:hint="eastAsia" w:ascii="宋体" w:hAnsi="宋体" w:eastAsia="宋体" w:cs="宋体"/>
      <w:color w:val="000000"/>
      <w:sz w:val="20"/>
      <w:szCs w:val="20"/>
      <w:u w:val="none"/>
    </w:rPr>
  </w:style>
  <w:style w:type="character" w:customStyle="1" w:styleId="93">
    <w:name w:val="font241"/>
    <w:basedOn w:val="28"/>
    <w:qFormat/>
    <w:uiPriority w:val="0"/>
    <w:rPr>
      <w:rFonts w:hint="default" w:ascii="Times New Roman" w:hAnsi="Times New Roman" w:eastAsia="宋体" w:cs="Times New Roman"/>
      <w:color w:val="000000"/>
      <w:sz w:val="20"/>
      <w:szCs w:val="20"/>
      <w:u w:val="none"/>
    </w:rPr>
  </w:style>
  <w:style w:type="character" w:customStyle="1" w:styleId="94">
    <w:name w:val="font191"/>
    <w:basedOn w:val="28"/>
    <w:qFormat/>
    <w:uiPriority w:val="0"/>
    <w:rPr>
      <w:rFonts w:hint="default" w:ascii="方正仿宋简体" w:hAnsi="方正仿宋简体" w:eastAsia="方正仿宋简体" w:cs="方正仿宋简体"/>
      <w:color w:val="000000"/>
      <w:sz w:val="12"/>
      <w:szCs w:val="12"/>
      <w:u w:val="none"/>
    </w:rPr>
  </w:style>
  <w:style w:type="character" w:customStyle="1" w:styleId="95">
    <w:name w:val="font281"/>
    <w:basedOn w:val="28"/>
    <w:qFormat/>
    <w:uiPriority w:val="0"/>
    <w:rPr>
      <w:rFonts w:ascii="Arial" w:hAnsi="Arial" w:eastAsia="宋体" w:cs="Arial"/>
      <w:color w:val="000000"/>
      <w:sz w:val="12"/>
      <w:szCs w:val="12"/>
      <w:u w:val="none"/>
    </w:rPr>
  </w:style>
  <w:style w:type="character" w:customStyle="1" w:styleId="96">
    <w:name w:val="font291"/>
    <w:basedOn w:val="28"/>
    <w:qFormat/>
    <w:uiPriority w:val="0"/>
    <w:rPr>
      <w:rFonts w:ascii="Wingdings 2" w:hAnsi="Wingdings 2" w:eastAsia="Wingdings 2" w:cs="Wingdings 2"/>
      <w:color w:val="000000"/>
      <w:sz w:val="12"/>
      <w:szCs w:val="12"/>
      <w:u w:val="none"/>
    </w:rPr>
  </w:style>
  <w:style w:type="character" w:customStyle="1" w:styleId="97">
    <w:name w:val="font271"/>
    <w:basedOn w:val="28"/>
    <w:qFormat/>
    <w:uiPriority w:val="0"/>
    <w:rPr>
      <w:rFonts w:hint="default" w:ascii="Times New Roman" w:hAnsi="Times New Roman" w:eastAsia="宋体" w:cs="Times New Roman"/>
      <w:color w:val="000000"/>
      <w:sz w:val="12"/>
      <w:szCs w:val="12"/>
      <w:u w:val="none"/>
    </w:rPr>
  </w:style>
  <w:style w:type="character" w:customStyle="1" w:styleId="98">
    <w:name w:val="font221"/>
    <w:basedOn w:val="28"/>
    <w:qFormat/>
    <w:uiPriority w:val="0"/>
    <w:rPr>
      <w:rFonts w:hint="eastAsia" w:ascii="宋体" w:hAnsi="宋体" w:eastAsia="宋体" w:cs="宋体"/>
      <w:color w:val="000000"/>
      <w:sz w:val="18"/>
      <w:szCs w:val="18"/>
      <w:u w:val="none"/>
    </w:rPr>
  </w:style>
  <w:style w:type="paragraph" w:customStyle="1" w:styleId="99">
    <w:name w:val="LO-Normal"/>
    <w:qFormat/>
    <w:uiPriority w:val="0"/>
    <w:pPr>
      <w:suppressAutoHyphens/>
    </w:pPr>
    <w:rPr>
      <w:rFonts w:ascii="Times New Roman" w:hAnsi="Times New Roman" w:eastAsia="宋体" w:cs="Times New Roman"/>
      <w:sz w:val="24"/>
      <w:szCs w:val="24"/>
      <w:lang w:val="en-US" w:eastAsia="zh-CN" w:bidi="ar-SA"/>
    </w:rPr>
  </w:style>
  <w:style w:type="paragraph" w:styleId="100">
    <w:name w:val="No Spacing"/>
    <w:qFormat/>
    <w:uiPriority w:val="0"/>
    <w:pPr>
      <w:widowControl w:val="0"/>
    </w:pPr>
    <w:rPr>
      <w:rFonts w:ascii="宋体" w:hAnsi="宋体" w:eastAsia="宋体" w:cs="Times New Roman"/>
      <w:kern w:val="2"/>
      <w:sz w:val="24"/>
      <w:szCs w:val="22"/>
      <w:lang w:val="en-US" w:eastAsia="zh-CN" w:bidi="ar-SA"/>
    </w:rPr>
  </w:style>
  <w:style w:type="paragraph" w:customStyle="1" w:styleId="101">
    <w:name w:val="BodyText"/>
    <w:basedOn w:val="1"/>
    <w:next w:val="102"/>
    <w:autoRedefine/>
    <w:qFormat/>
    <w:uiPriority w:val="0"/>
    <w:pPr>
      <w:spacing w:line="300" w:lineRule="auto"/>
      <w:ind w:firstLineChars="0"/>
      <w:jc w:val="center"/>
      <w:textAlignment w:val="baseline"/>
    </w:pPr>
    <w:rPr>
      <w:rFonts w:ascii="宋体" w:hAnsi="宋体" w:eastAsia="宋体"/>
      <w:kern w:val="2"/>
      <w:sz w:val="24"/>
      <w:szCs w:val="24"/>
      <w:lang w:val="en-US" w:eastAsia="zh-CN" w:bidi="ar-SA"/>
    </w:rPr>
  </w:style>
  <w:style w:type="paragraph" w:customStyle="1" w:styleId="102">
    <w:name w:val="TOC2"/>
    <w:basedOn w:val="1"/>
    <w:next w:val="1"/>
    <w:autoRedefine/>
    <w:qFormat/>
    <w:uiPriority w:val="0"/>
    <w:pPr>
      <w:spacing w:line="413" w:lineRule="auto"/>
      <w:ind w:left="240" w:leftChars="100" w:firstLineChars="0"/>
      <w:jc w:val="both"/>
      <w:textAlignment w:val="baseline"/>
    </w:pPr>
    <w:rPr>
      <w:rFonts w:ascii="Calibri" w:hAnsi="Calibri" w:eastAsia="仿宋"/>
      <w:kern w:val="2"/>
      <w:sz w:val="24"/>
      <w:szCs w:val="24"/>
      <w:lang w:val="en-US" w:eastAsia="zh-CN" w:bidi="ar-SA"/>
    </w:rPr>
  </w:style>
  <w:style w:type="paragraph" w:customStyle="1" w:styleId="103">
    <w:name w:val="Normal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71</Pages>
  <Words>87</Words>
  <Characters>108</Characters>
  <Lines>347</Lines>
  <Paragraphs>97</Paragraphs>
  <TotalTime>13</TotalTime>
  <ScaleCrop>false</ScaleCrop>
  <LinksUpToDate>false</LinksUpToDate>
  <CharactersWithSpaces>115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2025-07-17T05:33:00Z</dcterms:created>
  <dc:creator>Administrator</dc:creator>
  <cp:lastModifiedBy>无Y</cp:lastModifiedBy>
  <cp:lastPrinted>2023-07-14T07:53:00Z</cp:lastPrinted>
  <dcterms:modified xsi:type="dcterms:W3CDTF">2026-09-30T11:01:37Z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9839900C6B0B463D90B9EAF2FF3468AC_13</vt:lpwstr>
  </property>
  <property fmtid="{D5CDD505-2E9C-101B-9397-08002B2CF9AE}" pid="4" name="KSOTemplateDocerSaveRecord">
    <vt:lpwstr>eyJoZGlkIjoiMzNiOWNiMmQ2MWQxNWQ2YjFhNDlmYzNjYzdiNzMzN2IiLCJ1c2VySWQiOiI1NTgyNjc5NjMifQ==</vt:lpwstr>
  </property>
</Properties>
</file>